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CC3B7" w14:textId="77777777" w:rsidR="00D27751" w:rsidRDefault="00D27751" w:rsidP="00040AA9">
      <w:pPr>
        <w:suppressAutoHyphens/>
        <w:jc w:val="both"/>
        <w:rPr>
          <w:b/>
          <w:smallCaps/>
          <w:sz w:val="28"/>
          <w:szCs w:val="28"/>
        </w:rPr>
      </w:pPr>
      <w:bookmarkStart w:id="0" w:name="_GoBack"/>
      <w:bookmarkEnd w:id="0"/>
      <w:r>
        <w:rPr>
          <w:noProof/>
        </w:rPr>
        <w:drawing>
          <wp:anchor distT="0" distB="0" distL="114300" distR="114300" simplePos="0" relativeHeight="251661312" behindDoc="1" locked="0" layoutInCell="1" allowOverlap="1" wp14:anchorId="2B0D1D05" wp14:editId="311F24FB">
            <wp:simplePos x="0" y="0"/>
            <wp:positionH relativeFrom="column">
              <wp:posOffset>-123825</wp:posOffset>
            </wp:positionH>
            <wp:positionV relativeFrom="paragraph">
              <wp:posOffset>-86360</wp:posOffset>
            </wp:positionV>
            <wp:extent cx="6233160" cy="8582025"/>
            <wp:effectExtent l="0" t="0" r="0" b="9525"/>
            <wp:wrapNone/>
            <wp:docPr id="9" name="Picture 9" descr="fondo_vertical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ndo_vertical5-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33160" cy="85820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1" layoutInCell="1" allowOverlap="1" wp14:anchorId="12DA74B2" wp14:editId="61BB9D64">
                <wp:simplePos x="0" y="0"/>
                <wp:positionH relativeFrom="column">
                  <wp:posOffset>3235960</wp:posOffset>
                </wp:positionH>
                <wp:positionV relativeFrom="paragraph">
                  <wp:posOffset>8716010</wp:posOffset>
                </wp:positionV>
                <wp:extent cx="3526790" cy="3238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323850"/>
                        </a:xfrm>
                        <a:prstGeom prst="rect">
                          <a:avLst/>
                        </a:prstGeom>
                        <a:noFill/>
                        <a:ln w="9525">
                          <a:noFill/>
                          <a:miter lim="800000"/>
                          <a:headEnd/>
                          <a:tailEnd/>
                        </a:ln>
                      </wps:spPr>
                      <wps:txbx>
                        <w:txbxContent>
                          <w:p w14:paraId="1466C59A" w14:textId="77777777" w:rsidR="00D64D1A" w:rsidRDefault="00D64D1A" w:rsidP="00D27751">
                            <w:pPr>
                              <w:jc w:val="center"/>
                              <w:rPr>
                                <w:i/>
                                <w:color w:val="FFFFFF" w:themeColor="background1"/>
                                <w:sz w:val="28"/>
                                <w:szCs w:val="28"/>
                              </w:rPr>
                            </w:pPr>
                            <w:r>
                              <w:rPr>
                                <w:i/>
                                <w:color w:val="FFFFFF" w:themeColor="background1"/>
                                <w:sz w:val="28"/>
                                <w:szCs w:val="28"/>
                              </w:rPr>
                              <w:t>For internal use only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DA74B2" id="_x0000_t202" coordsize="21600,21600" o:spt="202" path="m,l,21600r21600,l21600,xe">
                <v:stroke joinstyle="miter"/>
                <v:path gradientshapeok="t" o:connecttype="rect"/>
              </v:shapetype>
              <v:shape id="Text Box 5" o:spid="_x0000_s1026" type="#_x0000_t202" style="position:absolute;left:0;text-align:left;margin-left:254.8pt;margin-top:686.3pt;width:277.7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" filled="f" stroked="f">
                <v:textbox>
                  <w:txbxContent>
                    <w:p w14:paraId="1466C59A" w14:textId="77777777" w:rsidR="00D64D1A" w:rsidRDefault="00D64D1A" w:rsidP="00D27751">
                      <w:pPr>
                        <w:jc w:val="center"/>
                        <w:rPr>
                          <w:i/>
                          <w:color w:val="FFFFFF" w:themeColor="background1"/>
                          <w:sz w:val="28"/>
                          <w:szCs w:val="28"/>
                        </w:rPr>
                      </w:pPr>
                      <w:r>
                        <w:rPr>
                          <w:i/>
                          <w:color w:val="FFFFFF" w:themeColor="background1"/>
                          <w:sz w:val="28"/>
                          <w:szCs w:val="28"/>
                        </w:rPr>
                        <w:t>For internal use only</w:t>
                      </w:r>
                    </w:p>
                  </w:txbxContent>
                </v:textbox>
                <w10:anchorlock/>
              </v:shape>
            </w:pict>
          </mc:Fallback>
        </mc:AlternateContent>
      </w:r>
      <w:r>
        <w:rPr>
          <w:noProof/>
        </w:rPr>
        <mc:AlternateContent>
          <mc:Choice Requires="wps">
            <w:drawing>
              <wp:anchor distT="0" distB="0" distL="114300" distR="114300" simplePos="0" relativeHeight="251663360" behindDoc="0" locked="0" layoutInCell="1" allowOverlap="1" wp14:anchorId="7591DF2A" wp14:editId="782B464A">
                <wp:simplePos x="0" y="0"/>
                <wp:positionH relativeFrom="column">
                  <wp:posOffset>219075</wp:posOffset>
                </wp:positionH>
                <wp:positionV relativeFrom="paragraph">
                  <wp:posOffset>1193800</wp:posOffset>
                </wp:positionV>
                <wp:extent cx="4152900" cy="25908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590800"/>
                        </a:xfrm>
                        <a:prstGeom prst="rect">
                          <a:avLst/>
                        </a:prstGeom>
                        <a:noFill/>
                        <a:ln w="9525">
                          <a:noFill/>
                          <a:miter lim="800000"/>
                          <a:headEnd/>
                          <a:tailEnd/>
                        </a:ln>
                      </wps:spPr>
                      <wps:txbx>
                        <w:txbxContent>
                          <w:p w14:paraId="29E9C951" w14:textId="2CF95DC8" w:rsidR="00D64D1A" w:rsidRDefault="00D64D1A" w:rsidP="00D27751">
                            <w:pPr>
                              <w:rPr>
                                <w:rFonts w:ascii="Arial Black" w:hAnsi="Arial Black"/>
                                <w:color w:val="FFFFFF" w:themeColor="background1"/>
                                <w:sz w:val="36"/>
                              </w:rPr>
                            </w:pPr>
                            <w:r>
                              <w:rPr>
                                <w:rFonts w:ascii="Arial Black" w:hAnsi="Arial Black"/>
                                <w:color w:val="FFFFFF" w:themeColor="background1"/>
                                <w:sz w:val="36"/>
                              </w:rPr>
                              <w:t>Fiscal Structural Program for Economic Growth I, II, &amp; III</w:t>
                            </w:r>
                          </w:p>
                          <w:p w14:paraId="08DCED70" w14:textId="77777777" w:rsidR="00D64D1A" w:rsidRPr="009C40BB" w:rsidRDefault="00D64D1A" w:rsidP="00D27751">
                            <w:pPr>
                              <w:rPr>
                                <w:rFonts w:ascii="Arial Black" w:hAnsi="Arial Black"/>
                                <w:color w:val="FFFFFF" w:themeColor="background1"/>
                                <w:sz w:val="36"/>
                                <w:lang w:val="pt-BR"/>
                              </w:rPr>
                            </w:pPr>
                            <w:r w:rsidRPr="009C40BB">
                              <w:rPr>
                                <w:rFonts w:ascii="Arial Black" w:hAnsi="Arial Black"/>
                                <w:color w:val="FFFFFF" w:themeColor="background1"/>
                                <w:sz w:val="36"/>
                                <w:lang w:val="pt-BR"/>
                              </w:rPr>
                              <w:t>(JA-L1038 / 3148/OC-JA)</w:t>
                            </w:r>
                          </w:p>
                          <w:p w14:paraId="1E8DA054" w14:textId="77777777" w:rsidR="00D64D1A" w:rsidRPr="009C40BB" w:rsidRDefault="00D64D1A" w:rsidP="00D27751">
                            <w:pPr>
                              <w:rPr>
                                <w:rFonts w:ascii="Arial Black" w:hAnsi="Arial Black"/>
                                <w:color w:val="FFFFFF" w:themeColor="background1"/>
                                <w:sz w:val="36"/>
                                <w:lang w:val="pt-BR"/>
                              </w:rPr>
                            </w:pPr>
                            <w:r w:rsidRPr="009C40BB">
                              <w:rPr>
                                <w:rFonts w:ascii="Arial Black" w:hAnsi="Arial Black"/>
                                <w:color w:val="FFFFFF" w:themeColor="background1"/>
                                <w:sz w:val="36"/>
                                <w:lang w:val="pt-BR"/>
                              </w:rPr>
                              <w:t>(JA-L1051 / 3511/OC-JA)</w:t>
                            </w:r>
                          </w:p>
                          <w:p w14:paraId="3A4C8AA9" w14:textId="77777777" w:rsidR="00D64D1A" w:rsidRPr="000248D9" w:rsidRDefault="00D64D1A" w:rsidP="00D27751">
                            <w:pPr>
                              <w:rPr>
                                <w:rFonts w:ascii="Arial Black" w:hAnsi="Arial Black"/>
                                <w:color w:val="FFFFFF" w:themeColor="background1"/>
                                <w:sz w:val="36"/>
                              </w:rPr>
                            </w:pPr>
                            <w:r w:rsidRPr="000248D9">
                              <w:rPr>
                                <w:rFonts w:ascii="Arial Black" w:hAnsi="Arial Black"/>
                                <w:color w:val="FFFFFF" w:themeColor="background1"/>
                                <w:sz w:val="36"/>
                              </w:rPr>
                              <w:t>(JA-L1055 / 3880/OC-JA)</w:t>
                            </w:r>
                          </w:p>
                          <w:p w14:paraId="25704E90" w14:textId="77777777" w:rsidR="00D64D1A" w:rsidRPr="000248D9" w:rsidRDefault="00D64D1A" w:rsidP="00D27751">
                            <w:pPr>
                              <w:rPr>
                                <w:rFonts w:ascii="Arial Black" w:hAnsi="Arial Black"/>
                                <w:color w:val="FFFFFF" w:themeColor="background1"/>
                                <w:sz w:val="36"/>
                              </w:rPr>
                            </w:pPr>
                          </w:p>
                          <w:p w14:paraId="6082A3A2" w14:textId="77777777" w:rsidR="00D64D1A" w:rsidRDefault="00D64D1A" w:rsidP="00D27751">
                            <w:pPr>
                              <w:rPr>
                                <w:rFonts w:ascii="Arial Black" w:hAnsi="Arial Black"/>
                                <w:color w:val="FFFFFF" w:themeColor="background1"/>
                                <w:sz w:val="36"/>
                              </w:rPr>
                            </w:pPr>
                            <w:r>
                              <w:rPr>
                                <w:rFonts w:ascii="Arial Black" w:hAnsi="Arial Black"/>
                                <w:color w:val="FFFFFF" w:themeColor="background1"/>
                                <w:sz w:val="36"/>
                              </w:rPr>
                              <w:t>Project Completion Report</w:t>
                            </w:r>
                          </w:p>
                          <w:p w14:paraId="0ECC55F8" w14:textId="77777777" w:rsidR="00D64D1A" w:rsidRDefault="00D64D1A" w:rsidP="00D27751">
                            <w:pPr>
                              <w:rPr>
                                <w:rFonts w:ascii="Arial Black" w:hAnsi="Arial Black"/>
                                <w:color w:val="FFFFFF" w:themeColor="background1"/>
                                <w:sz w:val="36"/>
                              </w:rPr>
                            </w:pPr>
                            <w:r>
                              <w:rPr>
                                <w:rFonts w:ascii="Arial Black" w:hAnsi="Arial Black"/>
                                <w:color w:val="FFFFFF" w:themeColor="background1"/>
                                <w:sz w:val="36"/>
                              </w:rPr>
                              <w:t>(PCR)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91DF2A" id="Text Box 6" o:spid="_x0000_s1027" type="#_x0000_t202" style="position:absolute;left:0;text-align:left;margin-left:17.25pt;margin-top:94pt;width:327pt;height:2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" filled="f" stroked="f">
                <v:textbox>
                  <w:txbxContent>
                    <w:p w14:paraId="29E9C951" w14:textId="2CF95DC8" w:rsidR="00D64D1A" w:rsidRDefault="00D64D1A" w:rsidP="00D27751">
                      <w:pPr>
                        <w:rPr>
                          <w:rFonts w:ascii="Arial Black" w:hAnsi="Arial Black"/>
                          <w:color w:val="FFFFFF" w:themeColor="background1"/>
                          <w:sz w:val="36"/>
                        </w:rPr>
                      </w:pPr>
                      <w:r>
                        <w:rPr>
                          <w:rFonts w:ascii="Arial Black" w:hAnsi="Arial Black"/>
                          <w:color w:val="FFFFFF" w:themeColor="background1"/>
                          <w:sz w:val="36"/>
                        </w:rPr>
                        <w:t>Fiscal Structural Program for Economic Growth I, II, &amp; III</w:t>
                      </w:r>
                    </w:p>
                    <w:p w14:paraId="08DCED70" w14:textId="77777777" w:rsidR="00D64D1A" w:rsidRPr="009C40BB" w:rsidRDefault="00D64D1A" w:rsidP="00D27751">
                      <w:pPr>
                        <w:rPr>
                          <w:rFonts w:ascii="Arial Black" w:hAnsi="Arial Black"/>
                          <w:color w:val="FFFFFF" w:themeColor="background1"/>
                          <w:sz w:val="36"/>
                          <w:lang w:val="pt-BR"/>
                        </w:rPr>
                      </w:pPr>
                      <w:r w:rsidRPr="009C40BB">
                        <w:rPr>
                          <w:rFonts w:ascii="Arial Black" w:hAnsi="Arial Black"/>
                          <w:color w:val="FFFFFF" w:themeColor="background1"/>
                          <w:sz w:val="36"/>
                          <w:lang w:val="pt-BR"/>
                        </w:rPr>
                        <w:t>(JA-L1038 / 3148/OC-JA)</w:t>
                      </w:r>
                    </w:p>
                    <w:p w14:paraId="1E8DA054" w14:textId="77777777" w:rsidR="00D64D1A" w:rsidRPr="009C40BB" w:rsidRDefault="00D64D1A" w:rsidP="00D27751">
                      <w:pPr>
                        <w:rPr>
                          <w:rFonts w:ascii="Arial Black" w:hAnsi="Arial Black"/>
                          <w:color w:val="FFFFFF" w:themeColor="background1"/>
                          <w:sz w:val="36"/>
                          <w:lang w:val="pt-BR"/>
                        </w:rPr>
                      </w:pPr>
                      <w:r w:rsidRPr="009C40BB">
                        <w:rPr>
                          <w:rFonts w:ascii="Arial Black" w:hAnsi="Arial Black"/>
                          <w:color w:val="FFFFFF" w:themeColor="background1"/>
                          <w:sz w:val="36"/>
                          <w:lang w:val="pt-BR"/>
                        </w:rPr>
                        <w:t>(JA-L1051 / 3511/OC-JA)</w:t>
                      </w:r>
                    </w:p>
                    <w:p w14:paraId="3A4C8AA9" w14:textId="77777777" w:rsidR="00D64D1A" w:rsidRPr="000248D9" w:rsidRDefault="00D64D1A" w:rsidP="00D27751">
                      <w:pPr>
                        <w:rPr>
                          <w:rFonts w:ascii="Arial Black" w:hAnsi="Arial Black"/>
                          <w:color w:val="FFFFFF" w:themeColor="background1"/>
                          <w:sz w:val="36"/>
                        </w:rPr>
                      </w:pPr>
                      <w:r w:rsidRPr="000248D9">
                        <w:rPr>
                          <w:rFonts w:ascii="Arial Black" w:hAnsi="Arial Black"/>
                          <w:color w:val="FFFFFF" w:themeColor="background1"/>
                          <w:sz w:val="36"/>
                        </w:rPr>
                        <w:t>(JA-L1055 / 3880/OC-JA)</w:t>
                      </w:r>
                    </w:p>
                    <w:p w14:paraId="25704E90" w14:textId="77777777" w:rsidR="00D64D1A" w:rsidRPr="000248D9" w:rsidRDefault="00D64D1A" w:rsidP="00D27751">
                      <w:pPr>
                        <w:rPr>
                          <w:rFonts w:ascii="Arial Black" w:hAnsi="Arial Black"/>
                          <w:color w:val="FFFFFF" w:themeColor="background1"/>
                          <w:sz w:val="36"/>
                        </w:rPr>
                      </w:pPr>
                    </w:p>
                    <w:p w14:paraId="6082A3A2" w14:textId="77777777" w:rsidR="00D64D1A" w:rsidRDefault="00D64D1A" w:rsidP="00D27751">
                      <w:pPr>
                        <w:rPr>
                          <w:rFonts w:ascii="Arial Black" w:hAnsi="Arial Black"/>
                          <w:color w:val="FFFFFF" w:themeColor="background1"/>
                          <w:sz w:val="36"/>
                        </w:rPr>
                      </w:pPr>
                      <w:r>
                        <w:rPr>
                          <w:rFonts w:ascii="Arial Black" w:hAnsi="Arial Black"/>
                          <w:color w:val="FFFFFF" w:themeColor="background1"/>
                          <w:sz w:val="36"/>
                        </w:rPr>
                        <w:t>Project Completion Report</w:t>
                      </w:r>
                    </w:p>
                    <w:p w14:paraId="0ECC55F8" w14:textId="77777777" w:rsidR="00D64D1A" w:rsidRDefault="00D64D1A" w:rsidP="00D27751">
                      <w:pPr>
                        <w:rPr>
                          <w:rFonts w:ascii="Arial Black" w:hAnsi="Arial Black"/>
                          <w:color w:val="FFFFFF" w:themeColor="background1"/>
                          <w:sz w:val="36"/>
                        </w:rPr>
                      </w:pPr>
                      <w:r>
                        <w:rPr>
                          <w:rFonts w:ascii="Arial Black" w:hAnsi="Arial Black"/>
                          <w:color w:val="FFFFFF" w:themeColor="background1"/>
                          <w:sz w:val="36"/>
                        </w:rPr>
                        <w:t>(PCR)</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F3484C9" wp14:editId="0CD6EF42">
                <wp:simplePos x="0" y="0"/>
                <wp:positionH relativeFrom="column">
                  <wp:posOffset>215900</wp:posOffset>
                </wp:positionH>
                <wp:positionV relativeFrom="paragraph">
                  <wp:posOffset>4366895</wp:posOffset>
                </wp:positionV>
                <wp:extent cx="2988310" cy="379095"/>
                <wp:effectExtent l="0" t="0" r="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379095"/>
                        </a:xfrm>
                        <a:prstGeom prst="rect">
                          <a:avLst/>
                        </a:prstGeom>
                        <a:noFill/>
                        <a:ln w="9525">
                          <a:noFill/>
                          <a:miter lim="800000"/>
                          <a:headEnd/>
                          <a:tailEnd/>
                        </a:ln>
                      </wps:spPr>
                      <wps:txbx>
                        <w:txbxContent>
                          <w:p w14:paraId="4ABE905C" w14:textId="77777777" w:rsidR="00D64D1A" w:rsidRDefault="00D64D1A" w:rsidP="00D27751">
                            <w:pPr>
                              <w:autoSpaceDE w:val="0"/>
                              <w:autoSpaceDN w:val="0"/>
                              <w:adjustRightInd w:val="0"/>
                              <w:jc w:val="center"/>
                              <w:rPr>
                                <w:rFonts w:ascii="Arial Black" w:hAnsi="Arial Black"/>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3484C9" id="Text Box 7" o:spid="_x0000_s1028" type="#_x0000_t202" style="position:absolute;left:0;text-align:left;margin-left:17pt;margin-top:343.85pt;width:235.3pt;height:2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" filled="f" stroked="f">
                <v:textbox>
                  <w:txbxContent>
                    <w:p w14:paraId="4ABE905C" w14:textId="77777777" w:rsidR="00D64D1A" w:rsidRDefault="00D64D1A" w:rsidP="00D27751">
                      <w:pPr>
                        <w:autoSpaceDE w:val="0"/>
                        <w:autoSpaceDN w:val="0"/>
                        <w:adjustRightInd w:val="0"/>
                        <w:jc w:val="center"/>
                        <w:rPr>
                          <w:rFonts w:ascii="Arial Black" w:hAnsi="Arial Black"/>
                          <w:color w:val="FFFFFF" w:themeColor="background1"/>
                        </w:rPr>
                      </w:pPr>
                    </w:p>
                  </w:txbxContent>
                </v:textbox>
              </v:shape>
            </w:pict>
          </mc:Fallback>
        </mc:AlternateContent>
      </w:r>
      <w:r>
        <w:rPr>
          <w:noProof/>
        </w:rPr>
        <w:drawing>
          <wp:anchor distT="0" distB="0" distL="114300" distR="114300" simplePos="0" relativeHeight="251665408" behindDoc="1" locked="0" layoutInCell="1" allowOverlap="1" wp14:anchorId="2CA58175" wp14:editId="64642E1C">
            <wp:simplePos x="0" y="0"/>
            <wp:positionH relativeFrom="column">
              <wp:posOffset>-122555</wp:posOffset>
            </wp:positionH>
            <wp:positionV relativeFrom="paragraph">
              <wp:posOffset>-84455</wp:posOffset>
            </wp:positionV>
            <wp:extent cx="2171700" cy="1534795"/>
            <wp:effectExtent l="0" t="0" r="0" b="0"/>
            <wp:wrapNone/>
            <wp:docPr id="11" name="Picture 11" descr="bid_englis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d_english-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14:anchorId="7249C262" wp14:editId="12B31E1E">
            <wp:simplePos x="0" y="0"/>
            <wp:positionH relativeFrom="column">
              <wp:posOffset>-122555</wp:posOffset>
            </wp:positionH>
            <wp:positionV relativeFrom="paragraph">
              <wp:posOffset>-84455</wp:posOffset>
            </wp:positionV>
            <wp:extent cx="2171700" cy="1534795"/>
            <wp:effectExtent l="0" t="0" r="0" b="0"/>
            <wp:wrapNone/>
            <wp:docPr id="13" name="Picture 13" descr="bid_english-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d_english-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71700" cy="1534795"/>
                    </a:xfrm>
                    <a:prstGeom prst="rect">
                      <a:avLst/>
                    </a:prstGeom>
                    <a:noFill/>
                  </pic:spPr>
                </pic:pic>
              </a:graphicData>
            </a:graphic>
            <wp14:sizeRelH relativeFrom="page">
              <wp14:pctWidth>0</wp14:pctWidth>
            </wp14:sizeRelH>
            <wp14:sizeRelV relativeFrom="page">
              <wp14:pctHeight>0</wp14:pctHeight>
            </wp14:sizeRelV>
          </wp:anchor>
        </w:drawing>
      </w:r>
    </w:p>
    <w:p w14:paraId="44935BFE" w14:textId="7C9729C1" w:rsidR="00D27751" w:rsidRDefault="00B62D69" w:rsidP="00040AA9">
      <w:pPr>
        <w:suppressAutoHyphens/>
      </w:pPr>
      <w:r>
        <w:rPr>
          <w:noProof/>
        </w:rPr>
        <mc:AlternateContent>
          <mc:Choice Requires="wps">
            <w:drawing>
              <wp:anchor distT="0" distB="0" distL="114300" distR="114300" simplePos="0" relativeHeight="251652096" behindDoc="0" locked="0" layoutInCell="1" allowOverlap="1" wp14:anchorId="304B0939" wp14:editId="6453AB09">
                <wp:simplePos x="0" y="0"/>
                <wp:positionH relativeFrom="column">
                  <wp:posOffset>-179692</wp:posOffset>
                </wp:positionH>
                <wp:positionV relativeFrom="paragraph">
                  <wp:posOffset>4535649</wp:posOffset>
                </wp:positionV>
                <wp:extent cx="6096000" cy="20859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2085975"/>
                        </a:xfrm>
                        <a:prstGeom prst="rect">
                          <a:avLst/>
                        </a:prstGeom>
                        <a:noFill/>
                        <a:ln w="9525">
                          <a:noFill/>
                          <a:miter lim="800000"/>
                          <a:headEnd/>
                          <a:tailEnd/>
                        </a:ln>
                      </wps:spPr>
                      <wps:txbx>
                        <w:txbxContent>
                          <w:p w14:paraId="20AEBF1E" w14:textId="5C7A6A12" w:rsidR="00D64D1A" w:rsidRPr="009C40BB" w:rsidRDefault="00D64D1A" w:rsidP="00040AA9">
                            <w:pPr>
                              <w:suppressAutoHyphens/>
                              <w:jc w:val="both"/>
                              <w:rPr>
                                <w:rFonts w:ascii="Arial" w:hAnsi="Arial" w:cs="Arial"/>
                                <w:b/>
                                <w:bCs/>
                                <w:i/>
                                <w:iCs/>
                                <w:color w:val="FFFFFF" w:themeColor="background1"/>
                                <w:sz w:val="22"/>
                                <w:szCs w:val="22"/>
                              </w:rPr>
                            </w:pPr>
                            <w:r w:rsidRPr="009C40BB">
                              <w:rPr>
                                <w:rFonts w:ascii="Arial" w:hAnsi="Arial" w:cs="Arial"/>
                                <w:b/>
                                <w:bCs/>
                                <w:i/>
                                <w:iCs/>
                                <w:color w:val="FFFFFF" w:themeColor="background1"/>
                                <w:sz w:val="22"/>
                                <w:szCs w:val="22"/>
                              </w:rPr>
                              <w:t>Original Project Team:</w:t>
                            </w:r>
                            <w:r w:rsidRPr="009C40BB">
                              <w:rPr>
                                <w:rFonts w:ascii="Arial" w:hAnsi="Arial" w:cs="Arial"/>
                                <w:b/>
                                <w:i/>
                                <w:color w:val="FFFFFF" w:themeColor="background1"/>
                                <w:sz w:val="22"/>
                                <w:szCs w:val="22"/>
                                <w:lang w:val="en-GB"/>
                              </w:rPr>
                              <w:t xml:space="preserve"> Gerardo Reyes-Tagle (IFD/FMM), Team Leader; Solange Berstein (LMK/CCH), Alternate Team Leader; Juan Pedro Schmid (CCB/CJA); Javier Jimenez-Mosquera (LEG/SGO); Brodrick Watson (CCB/CJA); Lucia Madrigal (SCL/LMK); Jodi Ho Lung (FMM/CJA); Marcio Cracel, Wyatt Grant, Paulo Dos Santos, Jorge Baca</w:t>
                            </w:r>
                            <w:r w:rsidRPr="009C40BB">
                              <w:rPr>
                                <w:rFonts w:ascii="Arial" w:hAnsi="Arial" w:cs="Arial"/>
                                <w:b/>
                                <w:i/>
                                <w:color w:val="FFFFFF" w:themeColor="background1"/>
                                <w:sz w:val="22"/>
                                <w:szCs w:val="22"/>
                                <w:lang w:val="en-GB"/>
                              </w:rPr>
                              <w:noBreakHyphen/>
                              <w:t>Campodonico, and Hunt Howell (Consultants); and Maria Lorena Kevish (IFD/FMM)</w:t>
                            </w:r>
                            <w:r w:rsidRPr="009C40BB">
                              <w:rPr>
                                <w:rFonts w:ascii="Arial" w:hAnsi="Arial" w:cs="Arial"/>
                                <w:b/>
                                <w:bCs/>
                                <w:i/>
                                <w:iCs/>
                                <w:color w:val="FFFFFF" w:themeColor="background1"/>
                                <w:sz w:val="22"/>
                                <w:szCs w:val="22"/>
                              </w:rPr>
                              <w:t xml:space="preserve"> </w:t>
                            </w:r>
                          </w:p>
                          <w:p w14:paraId="6AE69765" w14:textId="77777777" w:rsidR="00D64D1A" w:rsidRPr="009C40BB" w:rsidRDefault="00D64D1A" w:rsidP="009B4D7A">
                            <w:pPr>
                              <w:rPr>
                                <w:rFonts w:ascii="Arial" w:hAnsi="Arial" w:cs="Arial"/>
                                <w:b/>
                                <w:bCs/>
                                <w:i/>
                                <w:iCs/>
                                <w:color w:val="FFFFFF" w:themeColor="background1"/>
                                <w:sz w:val="22"/>
                                <w:szCs w:val="22"/>
                              </w:rPr>
                            </w:pPr>
                          </w:p>
                          <w:p w14:paraId="2B4AF20E" w14:textId="77777777" w:rsidR="00D64D1A" w:rsidRPr="009C40BB" w:rsidRDefault="00D64D1A" w:rsidP="009B4D7A">
                            <w:pPr>
                              <w:rPr>
                                <w:rFonts w:ascii="Arial" w:hAnsi="Arial" w:cs="Arial"/>
                                <w:color w:val="FFFFFF" w:themeColor="background1"/>
                                <w:sz w:val="22"/>
                                <w:szCs w:val="22"/>
                              </w:rPr>
                            </w:pPr>
                          </w:p>
                          <w:p w14:paraId="7534E05E" w14:textId="1E508B36" w:rsidR="00D64D1A" w:rsidRPr="009C40BB" w:rsidRDefault="00D64D1A" w:rsidP="00040AA9">
                            <w:pPr>
                              <w:jc w:val="both"/>
                              <w:rPr>
                                <w:rFonts w:ascii="Arial" w:hAnsi="Arial" w:cs="Arial"/>
                                <w:b/>
                                <w:bCs/>
                                <w:i/>
                                <w:iCs/>
                                <w:color w:val="FFFFFF" w:themeColor="background1"/>
                                <w:sz w:val="22"/>
                                <w:szCs w:val="22"/>
                              </w:rPr>
                            </w:pPr>
                            <w:r w:rsidRPr="009C40BB">
                              <w:rPr>
                                <w:rFonts w:ascii="Arial" w:hAnsi="Arial" w:cs="Arial"/>
                                <w:b/>
                                <w:bCs/>
                                <w:i/>
                                <w:iCs/>
                                <w:color w:val="FFFFFF" w:themeColor="background1"/>
                                <w:sz w:val="22"/>
                                <w:szCs w:val="22"/>
                              </w:rPr>
                              <w:t xml:space="preserve">PCR Team: </w:t>
                            </w:r>
                            <w:r w:rsidRPr="009C40BB">
                              <w:rPr>
                                <w:rFonts w:ascii="Arial" w:hAnsi="Arial" w:cs="Arial"/>
                                <w:b/>
                                <w:i/>
                                <w:color w:val="FFFFFF" w:themeColor="background1"/>
                                <w:sz w:val="22"/>
                                <w:szCs w:val="22"/>
                                <w:lang w:val="en-GB"/>
                              </w:rPr>
                              <w:t xml:space="preserve">Gerardo Reyes-Tagle (IFD/FMM), Team Leader; Lucia Madrigal (SCL/LMK); Jodi Ho Lung (FMM/CJA); </w:t>
                            </w:r>
                            <w:r>
                              <w:rPr>
                                <w:rFonts w:ascii="Arial" w:hAnsi="Arial" w:cs="Arial"/>
                                <w:b/>
                                <w:i/>
                                <w:color w:val="FFFFFF" w:themeColor="background1"/>
                                <w:sz w:val="22"/>
                                <w:szCs w:val="22"/>
                                <w:lang w:val="en-GB"/>
                              </w:rPr>
                              <w:t xml:space="preserve">Susana Roman-Sanchez, (IFD/FMM); </w:t>
                            </w:r>
                            <w:r w:rsidRPr="009C40BB">
                              <w:rPr>
                                <w:rFonts w:ascii="Arial" w:hAnsi="Arial" w:cs="Arial"/>
                                <w:b/>
                                <w:i/>
                                <w:color w:val="FFFFFF" w:themeColor="background1"/>
                                <w:sz w:val="22"/>
                                <w:szCs w:val="22"/>
                                <w:lang w:val="en-GB"/>
                              </w:rPr>
                              <w:t>Jorge Baca</w:t>
                            </w:r>
                            <w:r w:rsidRPr="009C40BB">
                              <w:rPr>
                                <w:rFonts w:ascii="Arial" w:hAnsi="Arial" w:cs="Arial"/>
                                <w:b/>
                                <w:i/>
                                <w:color w:val="FFFFFF" w:themeColor="background1"/>
                                <w:sz w:val="22"/>
                                <w:szCs w:val="22"/>
                                <w:lang w:val="en-GB"/>
                              </w:rPr>
                              <w:noBreakHyphen/>
                              <w:t>Campodonico, Hunt Howell, Marcio Cracel, Wyatt Grant, and Paulo Dos Santos, (Consultants)</w:t>
                            </w:r>
                            <w:r w:rsidRPr="009C40BB">
                              <w:rPr>
                                <w:rFonts w:ascii="Arial" w:hAnsi="Arial" w:cs="Arial"/>
                                <w:b/>
                                <w:bCs/>
                                <w:i/>
                                <w:iCs/>
                                <w:color w:val="FFFFFF" w:themeColor="background1"/>
                                <w:sz w:val="22"/>
                                <w:szCs w:val="22"/>
                              </w:rPr>
                              <w:t xml:space="preserve"> </w:t>
                            </w:r>
                          </w:p>
                          <w:p w14:paraId="08907BD3" w14:textId="77777777" w:rsidR="00D64D1A" w:rsidRDefault="00D64D1A" w:rsidP="009B4D7A">
                            <w:pPr>
                              <w:rPr>
                                <w:b/>
                                <w:bCs/>
                                <w:i/>
                                <w:iCs/>
                                <w:color w:val="FFFFFF" w:themeColor="background1"/>
                              </w:rPr>
                            </w:pPr>
                          </w:p>
                          <w:p w14:paraId="29EB02EE" w14:textId="77777777" w:rsidR="00D64D1A" w:rsidRDefault="00D64D1A" w:rsidP="009B4D7A">
                            <w:pPr>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B0939" id="Text Box 12" o:spid="_x0000_s1029" type="#_x0000_t202" style="position:absolute;margin-left:-14.15pt;margin-top:357.15pt;width:480pt;height:16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" filled="f" stroked="f">
                <v:textbox>
                  <w:txbxContent>
                    <w:p w14:paraId="20AEBF1E" w14:textId="5C7A6A12" w:rsidR="00D64D1A" w:rsidRPr="009C40BB" w:rsidRDefault="00D64D1A" w:rsidP="00040AA9">
                      <w:pPr>
                        <w:suppressAutoHyphens/>
                        <w:jc w:val="both"/>
                        <w:rPr>
                          <w:rFonts w:ascii="Arial" w:hAnsi="Arial" w:cs="Arial"/>
                          <w:b/>
                          <w:bCs/>
                          <w:i/>
                          <w:iCs/>
                          <w:color w:val="FFFFFF" w:themeColor="background1"/>
                          <w:sz w:val="22"/>
                          <w:szCs w:val="22"/>
                        </w:rPr>
                      </w:pPr>
                      <w:r w:rsidRPr="009C40BB">
                        <w:rPr>
                          <w:rFonts w:ascii="Arial" w:hAnsi="Arial" w:cs="Arial"/>
                          <w:b/>
                          <w:bCs/>
                          <w:i/>
                          <w:iCs/>
                          <w:color w:val="FFFFFF" w:themeColor="background1"/>
                          <w:sz w:val="22"/>
                          <w:szCs w:val="22"/>
                        </w:rPr>
                        <w:t>Original Project Team:</w:t>
                      </w:r>
                      <w:r w:rsidRPr="009C40BB">
                        <w:rPr>
                          <w:rFonts w:ascii="Arial" w:hAnsi="Arial" w:cs="Arial"/>
                          <w:b/>
                          <w:i/>
                          <w:color w:val="FFFFFF" w:themeColor="background1"/>
                          <w:sz w:val="22"/>
                          <w:szCs w:val="22"/>
                          <w:lang w:val="en-GB"/>
                        </w:rPr>
                        <w:t xml:space="preserve"> Gerardo Reyes-Tagle (IFD/FMM), Team Leader; Solange Berstein (LMK/CCH), Alternate Team Leader; Juan Pedro Schmid (CCB/CJA); Javier Jimenez-Mosquera (LEG/SGO); Brodrick Watson (CCB/CJA); Lucia Madrigal (SCL/LMK); Jodi Ho Lung (FMM/CJA); Marcio Cracel, Wyatt Grant, Paulo Dos Santos, Jorge Baca</w:t>
                      </w:r>
                      <w:r w:rsidRPr="009C40BB">
                        <w:rPr>
                          <w:rFonts w:ascii="Arial" w:hAnsi="Arial" w:cs="Arial"/>
                          <w:b/>
                          <w:i/>
                          <w:color w:val="FFFFFF" w:themeColor="background1"/>
                          <w:sz w:val="22"/>
                          <w:szCs w:val="22"/>
                          <w:lang w:val="en-GB"/>
                        </w:rPr>
                        <w:noBreakHyphen/>
                        <w:t>Campodonico, and Hunt Howell (Consultants); and Maria Lorena Kevish (IFD/FMM)</w:t>
                      </w:r>
                      <w:r w:rsidRPr="009C40BB">
                        <w:rPr>
                          <w:rFonts w:ascii="Arial" w:hAnsi="Arial" w:cs="Arial"/>
                          <w:b/>
                          <w:bCs/>
                          <w:i/>
                          <w:iCs/>
                          <w:color w:val="FFFFFF" w:themeColor="background1"/>
                          <w:sz w:val="22"/>
                          <w:szCs w:val="22"/>
                        </w:rPr>
                        <w:t xml:space="preserve"> </w:t>
                      </w:r>
                    </w:p>
                    <w:p w14:paraId="6AE69765" w14:textId="77777777" w:rsidR="00D64D1A" w:rsidRPr="009C40BB" w:rsidRDefault="00D64D1A" w:rsidP="009B4D7A">
                      <w:pPr>
                        <w:rPr>
                          <w:rFonts w:ascii="Arial" w:hAnsi="Arial" w:cs="Arial"/>
                          <w:b/>
                          <w:bCs/>
                          <w:i/>
                          <w:iCs/>
                          <w:color w:val="FFFFFF" w:themeColor="background1"/>
                          <w:sz w:val="22"/>
                          <w:szCs w:val="22"/>
                        </w:rPr>
                      </w:pPr>
                    </w:p>
                    <w:p w14:paraId="2B4AF20E" w14:textId="77777777" w:rsidR="00D64D1A" w:rsidRPr="009C40BB" w:rsidRDefault="00D64D1A" w:rsidP="009B4D7A">
                      <w:pPr>
                        <w:rPr>
                          <w:rFonts w:ascii="Arial" w:hAnsi="Arial" w:cs="Arial"/>
                          <w:color w:val="FFFFFF" w:themeColor="background1"/>
                          <w:sz w:val="22"/>
                          <w:szCs w:val="22"/>
                        </w:rPr>
                      </w:pPr>
                    </w:p>
                    <w:p w14:paraId="7534E05E" w14:textId="1E508B36" w:rsidR="00D64D1A" w:rsidRPr="009C40BB" w:rsidRDefault="00D64D1A" w:rsidP="00040AA9">
                      <w:pPr>
                        <w:jc w:val="both"/>
                        <w:rPr>
                          <w:rFonts w:ascii="Arial" w:hAnsi="Arial" w:cs="Arial"/>
                          <w:b/>
                          <w:bCs/>
                          <w:i/>
                          <w:iCs/>
                          <w:color w:val="FFFFFF" w:themeColor="background1"/>
                          <w:sz w:val="22"/>
                          <w:szCs w:val="22"/>
                        </w:rPr>
                      </w:pPr>
                      <w:r w:rsidRPr="009C40BB">
                        <w:rPr>
                          <w:rFonts w:ascii="Arial" w:hAnsi="Arial" w:cs="Arial"/>
                          <w:b/>
                          <w:bCs/>
                          <w:i/>
                          <w:iCs/>
                          <w:color w:val="FFFFFF" w:themeColor="background1"/>
                          <w:sz w:val="22"/>
                          <w:szCs w:val="22"/>
                        </w:rPr>
                        <w:t xml:space="preserve">PCR Team: </w:t>
                      </w:r>
                      <w:r w:rsidRPr="009C40BB">
                        <w:rPr>
                          <w:rFonts w:ascii="Arial" w:hAnsi="Arial" w:cs="Arial"/>
                          <w:b/>
                          <w:i/>
                          <w:color w:val="FFFFFF" w:themeColor="background1"/>
                          <w:sz w:val="22"/>
                          <w:szCs w:val="22"/>
                          <w:lang w:val="en-GB"/>
                        </w:rPr>
                        <w:t xml:space="preserve">Gerardo Reyes-Tagle (IFD/FMM), Team Leader; Lucia Madrigal (SCL/LMK); Jodi Ho Lung (FMM/CJA); </w:t>
                      </w:r>
                      <w:r>
                        <w:rPr>
                          <w:rFonts w:ascii="Arial" w:hAnsi="Arial" w:cs="Arial"/>
                          <w:b/>
                          <w:i/>
                          <w:color w:val="FFFFFF" w:themeColor="background1"/>
                          <w:sz w:val="22"/>
                          <w:szCs w:val="22"/>
                          <w:lang w:val="en-GB"/>
                        </w:rPr>
                        <w:t xml:space="preserve">Susana Roman-Sanchez, (IFD/FMM); </w:t>
                      </w:r>
                      <w:r w:rsidRPr="009C40BB">
                        <w:rPr>
                          <w:rFonts w:ascii="Arial" w:hAnsi="Arial" w:cs="Arial"/>
                          <w:b/>
                          <w:i/>
                          <w:color w:val="FFFFFF" w:themeColor="background1"/>
                          <w:sz w:val="22"/>
                          <w:szCs w:val="22"/>
                          <w:lang w:val="en-GB"/>
                        </w:rPr>
                        <w:t>Jorge Baca</w:t>
                      </w:r>
                      <w:r w:rsidRPr="009C40BB">
                        <w:rPr>
                          <w:rFonts w:ascii="Arial" w:hAnsi="Arial" w:cs="Arial"/>
                          <w:b/>
                          <w:i/>
                          <w:color w:val="FFFFFF" w:themeColor="background1"/>
                          <w:sz w:val="22"/>
                          <w:szCs w:val="22"/>
                          <w:lang w:val="en-GB"/>
                        </w:rPr>
                        <w:noBreakHyphen/>
                        <w:t>Campodonico, Hunt Howell, Marcio Cracel, Wyatt Grant, and Paulo Dos Santos, (Consultants)</w:t>
                      </w:r>
                      <w:r w:rsidRPr="009C40BB">
                        <w:rPr>
                          <w:rFonts w:ascii="Arial" w:hAnsi="Arial" w:cs="Arial"/>
                          <w:b/>
                          <w:bCs/>
                          <w:i/>
                          <w:iCs/>
                          <w:color w:val="FFFFFF" w:themeColor="background1"/>
                          <w:sz w:val="22"/>
                          <w:szCs w:val="22"/>
                        </w:rPr>
                        <w:t xml:space="preserve"> </w:t>
                      </w:r>
                    </w:p>
                    <w:p w14:paraId="08907BD3" w14:textId="77777777" w:rsidR="00D64D1A" w:rsidRDefault="00D64D1A" w:rsidP="009B4D7A">
                      <w:pPr>
                        <w:rPr>
                          <w:b/>
                          <w:bCs/>
                          <w:i/>
                          <w:iCs/>
                          <w:color w:val="FFFFFF" w:themeColor="background1"/>
                        </w:rPr>
                      </w:pPr>
                    </w:p>
                    <w:p w14:paraId="29EB02EE" w14:textId="77777777" w:rsidR="00D64D1A" w:rsidRDefault="00D64D1A" w:rsidP="009B4D7A">
                      <w:pPr>
                        <w:rPr>
                          <w:color w:val="FFFFFF" w:themeColor="background1"/>
                        </w:rPr>
                      </w:pPr>
                    </w:p>
                  </w:txbxContent>
                </v:textbox>
              </v:shape>
            </w:pict>
          </mc:Fallback>
        </mc:AlternateContent>
      </w:r>
      <w:r w:rsidR="009B4D7A">
        <w:br w:type="page"/>
      </w:r>
    </w:p>
    <w:p w14:paraId="60668E48" w14:textId="77777777" w:rsidR="009B4D7A" w:rsidRDefault="009B4D7A" w:rsidP="00040AA9">
      <w:pPr>
        <w:suppressAutoHyphens/>
        <w:rPr>
          <w:color w:val="7F7F7F" w:themeColor="text1" w:themeTint="80"/>
          <w:sz w:val="28"/>
          <w:szCs w:val="28"/>
        </w:rPr>
        <w:sectPr w:rsidR="009B4D7A">
          <w:footerReference w:type="default" r:id="rId16"/>
          <w:pgSz w:w="12240" w:h="15840"/>
          <w:pgMar w:top="1440" w:right="1440" w:bottom="1440" w:left="1440" w:header="720" w:footer="720" w:gutter="0"/>
          <w:pgNumType w:start="0"/>
          <w:cols w:space="720"/>
        </w:sectPr>
      </w:pPr>
    </w:p>
    <w:sdt>
      <w:sdtPr>
        <w:rPr>
          <w:rFonts w:ascii="Times New Roman" w:eastAsiaTheme="minorHAnsi" w:hAnsi="Times New Roman" w:cs="Arial"/>
          <w:b w:val="0"/>
          <w:bCs w:val="0"/>
          <w:sz w:val="24"/>
          <w:szCs w:val="22"/>
          <w:lang w:eastAsia="en-US"/>
        </w:rPr>
        <w:id w:val="-1150281611"/>
        <w:docPartObj>
          <w:docPartGallery w:val="Table of Contents"/>
          <w:docPartUnique/>
        </w:docPartObj>
      </w:sdtPr>
      <w:sdtEndPr>
        <w:rPr>
          <w:szCs w:val="24"/>
        </w:rPr>
      </w:sdtEndPr>
      <w:sdtContent>
        <w:p w14:paraId="596D4BE7" w14:textId="77777777" w:rsidR="009B4D7A" w:rsidRPr="004743DB" w:rsidRDefault="009B4D7A" w:rsidP="00040AA9">
          <w:pPr>
            <w:pStyle w:val="TOCHeading"/>
            <w:keepNext w:val="0"/>
            <w:keepLines w:val="0"/>
            <w:suppressAutoHyphens/>
            <w:rPr>
              <w:rFonts w:cs="Arial"/>
              <w:smallCaps/>
              <w:szCs w:val="22"/>
            </w:rPr>
          </w:pPr>
          <w:r w:rsidRPr="004743DB">
            <w:rPr>
              <w:rFonts w:cs="Arial"/>
              <w:smallCaps/>
              <w:szCs w:val="22"/>
            </w:rPr>
            <w:t>Index</w:t>
          </w:r>
        </w:p>
        <w:p w14:paraId="5105BE66" w14:textId="666E12F5" w:rsidR="00E845E5" w:rsidRDefault="009B4D7A" w:rsidP="00040AA9">
          <w:pPr>
            <w:pStyle w:val="TOC1"/>
            <w:tabs>
              <w:tab w:val="right" w:leader="dot" w:pos="9350"/>
            </w:tabs>
            <w:suppressAutoHyphens/>
            <w:rPr>
              <w:rFonts w:asciiTheme="minorHAnsi" w:eastAsiaTheme="minorEastAsia" w:hAnsiTheme="minorHAnsi"/>
              <w:noProof/>
            </w:rPr>
          </w:pPr>
          <w:r>
            <w:rPr>
              <w:rFonts w:cs="Arial"/>
            </w:rPr>
            <w:fldChar w:fldCharType="begin"/>
          </w:r>
          <w:r>
            <w:rPr>
              <w:rFonts w:cs="Arial"/>
            </w:rPr>
            <w:instrText xml:space="preserve"> TOC \o "1-3" \h \z \u </w:instrText>
          </w:r>
          <w:r>
            <w:rPr>
              <w:rFonts w:cs="Arial"/>
            </w:rPr>
            <w:fldChar w:fldCharType="separate"/>
          </w:r>
          <w:hyperlink w:anchor="_Toc469493886" w:history="1">
            <w:r w:rsidR="00E845E5" w:rsidRPr="00A609A1">
              <w:rPr>
                <w:rStyle w:val="Hyperlink"/>
                <w:rFonts w:ascii="Arial Black" w:hAnsi="Arial Black" w:cs="Arial"/>
                <w:noProof/>
              </w:rPr>
              <w:t>Electronic Links</w:t>
            </w:r>
            <w:r w:rsidR="00E845E5">
              <w:rPr>
                <w:noProof/>
                <w:webHidden/>
              </w:rPr>
              <w:tab/>
            </w:r>
            <w:r w:rsidR="00E845E5">
              <w:rPr>
                <w:noProof/>
                <w:webHidden/>
              </w:rPr>
              <w:fldChar w:fldCharType="begin"/>
            </w:r>
            <w:r w:rsidR="00E845E5">
              <w:rPr>
                <w:noProof/>
                <w:webHidden/>
              </w:rPr>
              <w:instrText xml:space="preserve"> PAGEREF _Toc469493886 \h </w:instrText>
            </w:r>
            <w:r w:rsidR="00E845E5">
              <w:rPr>
                <w:noProof/>
                <w:webHidden/>
              </w:rPr>
            </w:r>
            <w:r w:rsidR="00E845E5">
              <w:rPr>
                <w:noProof/>
                <w:webHidden/>
              </w:rPr>
              <w:fldChar w:fldCharType="separate"/>
            </w:r>
            <w:r w:rsidR="003D2A7F">
              <w:rPr>
                <w:noProof/>
                <w:webHidden/>
              </w:rPr>
              <w:t>ii</w:t>
            </w:r>
            <w:r w:rsidR="00E845E5">
              <w:rPr>
                <w:noProof/>
                <w:webHidden/>
              </w:rPr>
              <w:fldChar w:fldCharType="end"/>
            </w:r>
          </w:hyperlink>
        </w:p>
        <w:p w14:paraId="646634F5" w14:textId="1DC08ABB" w:rsidR="00E845E5" w:rsidRDefault="00FE4AAC" w:rsidP="00040AA9">
          <w:pPr>
            <w:pStyle w:val="TOC1"/>
            <w:tabs>
              <w:tab w:val="right" w:leader="dot" w:pos="9350"/>
            </w:tabs>
            <w:suppressAutoHyphens/>
            <w:rPr>
              <w:rFonts w:asciiTheme="minorHAnsi" w:eastAsiaTheme="minorEastAsia" w:hAnsiTheme="minorHAnsi"/>
              <w:noProof/>
            </w:rPr>
          </w:pPr>
          <w:hyperlink w:anchor="_Toc469493887" w:history="1">
            <w:r w:rsidR="00E845E5" w:rsidRPr="00A609A1">
              <w:rPr>
                <w:rStyle w:val="Hyperlink"/>
                <w:rFonts w:ascii="Arial Black" w:hAnsi="Arial Black" w:cs="Arial"/>
                <w:noProof/>
              </w:rPr>
              <w:t>Optional Electronic Links</w:t>
            </w:r>
            <w:r w:rsidR="00E845E5">
              <w:rPr>
                <w:noProof/>
                <w:webHidden/>
              </w:rPr>
              <w:tab/>
            </w:r>
            <w:r w:rsidR="00E845E5">
              <w:rPr>
                <w:noProof/>
                <w:webHidden/>
              </w:rPr>
              <w:fldChar w:fldCharType="begin"/>
            </w:r>
            <w:r w:rsidR="00E845E5">
              <w:rPr>
                <w:noProof/>
                <w:webHidden/>
              </w:rPr>
              <w:instrText xml:space="preserve"> PAGEREF _Toc469493887 \h </w:instrText>
            </w:r>
            <w:r w:rsidR="00E845E5">
              <w:rPr>
                <w:noProof/>
                <w:webHidden/>
              </w:rPr>
            </w:r>
            <w:r w:rsidR="00E845E5">
              <w:rPr>
                <w:noProof/>
                <w:webHidden/>
              </w:rPr>
              <w:fldChar w:fldCharType="separate"/>
            </w:r>
            <w:r w:rsidR="003D2A7F">
              <w:rPr>
                <w:noProof/>
                <w:webHidden/>
              </w:rPr>
              <w:t>ii</w:t>
            </w:r>
            <w:r w:rsidR="00E845E5">
              <w:rPr>
                <w:noProof/>
                <w:webHidden/>
              </w:rPr>
              <w:fldChar w:fldCharType="end"/>
            </w:r>
          </w:hyperlink>
        </w:p>
        <w:p w14:paraId="400A760B" w14:textId="0145E4F4" w:rsidR="00E845E5" w:rsidRDefault="00FE4AAC" w:rsidP="00040AA9">
          <w:pPr>
            <w:pStyle w:val="TOC1"/>
            <w:tabs>
              <w:tab w:val="right" w:leader="dot" w:pos="9350"/>
            </w:tabs>
            <w:suppressAutoHyphens/>
            <w:rPr>
              <w:rFonts w:asciiTheme="minorHAnsi" w:eastAsiaTheme="minorEastAsia" w:hAnsiTheme="minorHAnsi"/>
              <w:noProof/>
            </w:rPr>
          </w:pPr>
          <w:hyperlink w:anchor="_Toc469493888" w:history="1">
            <w:r w:rsidR="00E845E5" w:rsidRPr="00A609A1">
              <w:rPr>
                <w:rStyle w:val="Hyperlink"/>
                <w:rFonts w:ascii="Arial Black" w:hAnsi="Arial Black" w:cs="Arial"/>
                <w:noProof/>
              </w:rPr>
              <w:t>Acronyms and Abbreviations</w:t>
            </w:r>
            <w:r w:rsidR="00E845E5">
              <w:rPr>
                <w:noProof/>
                <w:webHidden/>
              </w:rPr>
              <w:tab/>
            </w:r>
            <w:r w:rsidR="00E845E5">
              <w:rPr>
                <w:noProof/>
                <w:webHidden/>
              </w:rPr>
              <w:fldChar w:fldCharType="begin"/>
            </w:r>
            <w:r w:rsidR="00E845E5">
              <w:rPr>
                <w:noProof/>
                <w:webHidden/>
              </w:rPr>
              <w:instrText xml:space="preserve"> PAGEREF _Toc469493888 \h </w:instrText>
            </w:r>
            <w:r w:rsidR="00E845E5">
              <w:rPr>
                <w:noProof/>
                <w:webHidden/>
              </w:rPr>
            </w:r>
            <w:r w:rsidR="00E845E5">
              <w:rPr>
                <w:noProof/>
                <w:webHidden/>
              </w:rPr>
              <w:fldChar w:fldCharType="separate"/>
            </w:r>
            <w:r w:rsidR="003D2A7F">
              <w:rPr>
                <w:noProof/>
                <w:webHidden/>
              </w:rPr>
              <w:t>iii</w:t>
            </w:r>
            <w:r w:rsidR="00E845E5">
              <w:rPr>
                <w:noProof/>
                <w:webHidden/>
              </w:rPr>
              <w:fldChar w:fldCharType="end"/>
            </w:r>
          </w:hyperlink>
        </w:p>
        <w:p w14:paraId="6C5F5212" w14:textId="7EE1A3FC" w:rsidR="00E845E5" w:rsidRDefault="00FE4AAC" w:rsidP="00040AA9">
          <w:pPr>
            <w:pStyle w:val="TOC1"/>
            <w:tabs>
              <w:tab w:val="right" w:leader="dot" w:pos="9350"/>
            </w:tabs>
            <w:suppressAutoHyphens/>
            <w:rPr>
              <w:rFonts w:asciiTheme="minorHAnsi" w:eastAsiaTheme="minorEastAsia" w:hAnsiTheme="minorHAnsi"/>
              <w:noProof/>
            </w:rPr>
          </w:pPr>
          <w:hyperlink w:anchor="_Toc469493889" w:history="1">
            <w:r w:rsidR="00E845E5" w:rsidRPr="00A609A1">
              <w:rPr>
                <w:rStyle w:val="Hyperlink"/>
                <w:rFonts w:ascii="Arial Black" w:hAnsi="Arial Black" w:cs="Arial"/>
                <w:smallCaps/>
                <w:noProof/>
              </w:rPr>
              <w:t>Basic Information</w:t>
            </w:r>
            <w:r w:rsidR="00E845E5">
              <w:rPr>
                <w:noProof/>
                <w:webHidden/>
              </w:rPr>
              <w:tab/>
            </w:r>
            <w:r w:rsidR="00E845E5">
              <w:rPr>
                <w:noProof/>
                <w:webHidden/>
              </w:rPr>
              <w:fldChar w:fldCharType="begin"/>
            </w:r>
            <w:r w:rsidR="00E845E5">
              <w:rPr>
                <w:noProof/>
                <w:webHidden/>
              </w:rPr>
              <w:instrText xml:space="preserve"> PAGEREF _Toc469493889 \h </w:instrText>
            </w:r>
            <w:r w:rsidR="00E845E5">
              <w:rPr>
                <w:noProof/>
                <w:webHidden/>
              </w:rPr>
            </w:r>
            <w:r w:rsidR="00E845E5">
              <w:rPr>
                <w:noProof/>
                <w:webHidden/>
              </w:rPr>
              <w:fldChar w:fldCharType="separate"/>
            </w:r>
            <w:r w:rsidR="003D2A7F">
              <w:rPr>
                <w:noProof/>
                <w:webHidden/>
              </w:rPr>
              <w:t>v</w:t>
            </w:r>
            <w:r w:rsidR="00E845E5">
              <w:rPr>
                <w:noProof/>
                <w:webHidden/>
              </w:rPr>
              <w:fldChar w:fldCharType="end"/>
            </w:r>
          </w:hyperlink>
        </w:p>
        <w:p w14:paraId="1FDC60B8" w14:textId="5768655B" w:rsidR="00E845E5" w:rsidRDefault="00FE4AAC" w:rsidP="00040AA9">
          <w:pPr>
            <w:pStyle w:val="TOC1"/>
            <w:tabs>
              <w:tab w:val="left" w:pos="440"/>
              <w:tab w:val="right" w:leader="dot" w:pos="9350"/>
            </w:tabs>
            <w:suppressAutoHyphens/>
            <w:rPr>
              <w:rFonts w:asciiTheme="minorHAnsi" w:eastAsiaTheme="minorEastAsia" w:hAnsiTheme="minorHAnsi"/>
              <w:noProof/>
            </w:rPr>
          </w:pPr>
          <w:hyperlink w:anchor="_Toc469493890" w:history="1">
            <w:r w:rsidR="00E845E5" w:rsidRPr="00A609A1">
              <w:rPr>
                <w:rStyle w:val="Hyperlink"/>
                <w:noProof/>
                <w:lang w:val="es-MX"/>
              </w:rPr>
              <w:t>I.</w:t>
            </w:r>
            <w:r w:rsidR="00E845E5">
              <w:rPr>
                <w:rFonts w:asciiTheme="minorHAnsi" w:eastAsiaTheme="minorEastAsia" w:hAnsiTheme="minorHAnsi"/>
                <w:noProof/>
              </w:rPr>
              <w:tab/>
            </w:r>
            <w:r w:rsidR="00E845E5" w:rsidRPr="00A609A1">
              <w:rPr>
                <w:rStyle w:val="Hyperlink"/>
                <w:smallCaps/>
                <w:noProof/>
              </w:rPr>
              <w:t>Executive Summary</w:t>
            </w:r>
            <w:r w:rsidR="00E845E5" w:rsidRPr="00A609A1">
              <w:rPr>
                <w:rStyle w:val="Hyperlink"/>
                <w:noProof/>
              </w:rPr>
              <w:t xml:space="preserve"> </w:t>
            </w:r>
            <w:r w:rsidR="00E845E5">
              <w:rPr>
                <w:noProof/>
                <w:webHidden/>
              </w:rPr>
              <w:tab/>
            </w:r>
            <w:r w:rsidR="00E845E5">
              <w:rPr>
                <w:noProof/>
                <w:webHidden/>
              </w:rPr>
              <w:fldChar w:fldCharType="begin"/>
            </w:r>
            <w:r w:rsidR="00E845E5">
              <w:rPr>
                <w:noProof/>
                <w:webHidden/>
              </w:rPr>
              <w:instrText xml:space="preserve"> PAGEREF _Toc469493890 \h </w:instrText>
            </w:r>
            <w:r w:rsidR="00E845E5">
              <w:rPr>
                <w:noProof/>
                <w:webHidden/>
              </w:rPr>
            </w:r>
            <w:r w:rsidR="00E845E5">
              <w:rPr>
                <w:noProof/>
                <w:webHidden/>
              </w:rPr>
              <w:fldChar w:fldCharType="separate"/>
            </w:r>
            <w:r w:rsidR="003D2A7F">
              <w:rPr>
                <w:noProof/>
                <w:webHidden/>
              </w:rPr>
              <w:t>1</w:t>
            </w:r>
            <w:r w:rsidR="00E845E5">
              <w:rPr>
                <w:noProof/>
                <w:webHidden/>
              </w:rPr>
              <w:fldChar w:fldCharType="end"/>
            </w:r>
          </w:hyperlink>
        </w:p>
        <w:p w14:paraId="64774723" w14:textId="75E31E4B" w:rsidR="00E845E5" w:rsidRDefault="00FE4AAC" w:rsidP="00040AA9">
          <w:pPr>
            <w:pStyle w:val="TOC1"/>
            <w:tabs>
              <w:tab w:val="left" w:pos="440"/>
              <w:tab w:val="right" w:leader="dot" w:pos="9350"/>
            </w:tabs>
            <w:suppressAutoHyphens/>
            <w:rPr>
              <w:rFonts w:asciiTheme="minorHAnsi" w:eastAsiaTheme="minorEastAsia" w:hAnsiTheme="minorHAnsi"/>
              <w:noProof/>
            </w:rPr>
          </w:pPr>
          <w:hyperlink w:anchor="_Toc469493891" w:history="1">
            <w:r w:rsidR="00E845E5" w:rsidRPr="00A609A1">
              <w:rPr>
                <w:rStyle w:val="Hyperlink"/>
                <w:noProof/>
                <w:lang w:val="es-MX"/>
              </w:rPr>
              <w:t>II.</w:t>
            </w:r>
            <w:r w:rsidR="00E845E5">
              <w:rPr>
                <w:rFonts w:asciiTheme="minorHAnsi" w:eastAsiaTheme="minorEastAsia" w:hAnsiTheme="minorHAnsi"/>
                <w:noProof/>
              </w:rPr>
              <w:tab/>
            </w:r>
            <w:r w:rsidR="00E845E5" w:rsidRPr="00A609A1">
              <w:rPr>
                <w:rStyle w:val="Hyperlink"/>
                <w:smallCaps/>
                <w:noProof/>
              </w:rPr>
              <w:t>Introduction</w:t>
            </w:r>
            <w:r w:rsidR="00E845E5">
              <w:rPr>
                <w:noProof/>
                <w:webHidden/>
              </w:rPr>
              <w:tab/>
            </w:r>
            <w:r w:rsidR="008D02B7">
              <w:rPr>
                <w:noProof/>
                <w:webHidden/>
              </w:rPr>
              <w:t>3</w:t>
            </w:r>
          </w:hyperlink>
        </w:p>
        <w:p w14:paraId="4EF0F0D1" w14:textId="143BB46B" w:rsidR="00E845E5" w:rsidRDefault="00FE4AAC" w:rsidP="00040AA9">
          <w:pPr>
            <w:pStyle w:val="TOC1"/>
            <w:tabs>
              <w:tab w:val="left" w:pos="660"/>
              <w:tab w:val="right" w:leader="dot" w:pos="9350"/>
            </w:tabs>
            <w:suppressAutoHyphens/>
            <w:rPr>
              <w:rFonts w:asciiTheme="minorHAnsi" w:eastAsiaTheme="minorEastAsia" w:hAnsiTheme="minorHAnsi"/>
              <w:noProof/>
            </w:rPr>
          </w:pPr>
          <w:hyperlink w:anchor="_Toc469493892" w:history="1">
            <w:r w:rsidR="00E845E5" w:rsidRPr="00A609A1">
              <w:rPr>
                <w:rStyle w:val="Hyperlink"/>
                <w:noProof/>
                <w:lang w:val="es-MX"/>
              </w:rPr>
              <w:t>III.</w:t>
            </w:r>
            <w:r w:rsidR="00E845E5">
              <w:rPr>
                <w:rFonts w:asciiTheme="minorHAnsi" w:eastAsiaTheme="minorEastAsia" w:hAnsiTheme="minorHAnsi"/>
                <w:noProof/>
              </w:rPr>
              <w:tab/>
            </w:r>
            <w:r w:rsidR="00E845E5" w:rsidRPr="00A609A1">
              <w:rPr>
                <w:rStyle w:val="Hyperlink"/>
                <w:smallCaps/>
                <w:noProof/>
              </w:rPr>
              <w:t>Core criteria. Project performance</w:t>
            </w:r>
            <w:r w:rsidR="00E845E5">
              <w:rPr>
                <w:noProof/>
                <w:webHidden/>
              </w:rPr>
              <w:tab/>
            </w:r>
            <w:r w:rsidR="008D02B7">
              <w:rPr>
                <w:noProof/>
                <w:webHidden/>
              </w:rPr>
              <w:t>5</w:t>
            </w:r>
          </w:hyperlink>
        </w:p>
        <w:p w14:paraId="0C53595F" w14:textId="6CAD5920" w:rsidR="00E845E5" w:rsidRDefault="00FE4AAC" w:rsidP="00040AA9">
          <w:pPr>
            <w:pStyle w:val="TOC2"/>
            <w:suppressAutoHyphens/>
            <w:rPr>
              <w:rFonts w:asciiTheme="minorHAnsi" w:eastAsiaTheme="minorEastAsia" w:hAnsiTheme="minorHAnsi" w:cstheme="minorBidi"/>
            </w:rPr>
          </w:pPr>
          <w:hyperlink w:anchor="_Toc469493893" w:history="1">
            <w:r w:rsidR="00E845E5" w:rsidRPr="00A609A1">
              <w:rPr>
                <w:rStyle w:val="Hyperlink"/>
              </w:rPr>
              <w:t>3.1</w:t>
            </w:r>
            <w:r w:rsidR="00E845E5">
              <w:rPr>
                <w:rFonts w:asciiTheme="minorHAnsi" w:eastAsiaTheme="minorEastAsia" w:hAnsiTheme="minorHAnsi" w:cstheme="minorBidi"/>
              </w:rPr>
              <w:tab/>
            </w:r>
            <w:r w:rsidR="00E845E5" w:rsidRPr="00A609A1">
              <w:rPr>
                <w:rStyle w:val="Hyperlink"/>
              </w:rPr>
              <w:t>Relevance</w:t>
            </w:r>
            <w:r w:rsidR="00E845E5">
              <w:rPr>
                <w:webHidden/>
              </w:rPr>
              <w:tab/>
            </w:r>
            <w:r w:rsidR="008D02B7">
              <w:rPr>
                <w:webHidden/>
              </w:rPr>
              <w:t>5</w:t>
            </w:r>
          </w:hyperlink>
        </w:p>
        <w:p w14:paraId="74984403" w14:textId="3EE96012"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894" w:history="1">
            <w:r w:rsidR="00E845E5" w:rsidRPr="00A609A1">
              <w:rPr>
                <w:rStyle w:val="Hyperlink"/>
                <w:noProof/>
              </w:rPr>
              <w:t>a.</w:t>
            </w:r>
            <w:r w:rsidR="00E845E5">
              <w:rPr>
                <w:rFonts w:asciiTheme="minorHAnsi" w:eastAsiaTheme="minorEastAsia" w:hAnsiTheme="minorHAnsi"/>
                <w:noProof/>
              </w:rPr>
              <w:tab/>
            </w:r>
            <w:r w:rsidR="00E845E5" w:rsidRPr="00A609A1">
              <w:rPr>
                <w:rStyle w:val="Hyperlink"/>
                <w:noProof/>
              </w:rPr>
              <w:t>Alignment with country development needs</w:t>
            </w:r>
            <w:r w:rsidR="00E845E5">
              <w:rPr>
                <w:noProof/>
                <w:webHidden/>
              </w:rPr>
              <w:tab/>
            </w:r>
            <w:r w:rsidR="008D02B7">
              <w:rPr>
                <w:noProof/>
                <w:webHidden/>
              </w:rPr>
              <w:t>6</w:t>
            </w:r>
          </w:hyperlink>
        </w:p>
        <w:p w14:paraId="10761144" w14:textId="4F7D9209"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895" w:history="1">
            <w:r w:rsidR="00E845E5" w:rsidRPr="00A609A1">
              <w:rPr>
                <w:rStyle w:val="Hyperlink"/>
                <w:noProof/>
              </w:rPr>
              <w:t>b.</w:t>
            </w:r>
            <w:r w:rsidR="00E845E5">
              <w:rPr>
                <w:rFonts w:asciiTheme="minorHAnsi" w:eastAsiaTheme="minorEastAsia" w:hAnsiTheme="minorHAnsi"/>
                <w:noProof/>
              </w:rPr>
              <w:tab/>
            </w:r>
            <w:r w:rsidR="00E845E5" w:rsidRPr="00A609A1">
              <w:rPr>
                <w:rStyle w:val="Hyperlink"/>
                <w:noProof/>
              </w:rPr>
              <w:t>Vertical logic</w:t>
            </w:r>
            <w:r w:rsidR="00E845E5">
              <w:rPr>
                <w:noProof/>
                <w:webHidden/>
              </w:rPr>
              <w:tab/>
            </w:r>
            <w:r w:rsidR="008D02B7">
              <w:rPr>
                <w:noProof/>
                <w:webHidden/>
              </w:rPr>
              <w:t>6</w:t>
            </w:r>
          </w:hyperlink>
        </w:p>
        <w:p w14:paraId="1C812004" w14:textId="31CDD5A1" w:rsidR="00E845E5" w:rsidRDefault="00FE4AAC" w:rsidP="00040AA9">
          <w:pPr>
            <w:pStyle w:val="TOC2"/>
            <w:suppressAutoHyphens/>
            <w:rPr>
              <w:rFonts w:asciiTheme="minorHAnsi" w:eastAsiaTheme="minorEastAsia" w:hAnsiTheme="minorHAnsi" w:cstheme="minorBidi"/>
            </w:rPr>
          </w:pPr>
          <w:hyperlink w:anchor="_Toc469493896" w:history="1">
            <w:r w:rsidR="00E845E5" w:rsidRPr="00A609A1">
              <w:rPr>
                <w:rStyle w:val="Hyperlink"/>
              </w:rPr>
              <w:t>3.2</w:t>
            </w:r>
            <w:r w:rsidR="00E845E5">
              <w:rPr>
                <w:rFonts w:asciiTheme="minorHAnsi" w:eastAsiaTheme="minorEastAsia" w:hAnsiTheme="minorHAnsi" w:cstheme="minorBidi"/>
              </w:rPr>
              <w:tab/>
            </w:r>
            <w:r w:rsidR="00E845E5" w:rsidRPr="00A609A1">
              <w:rPr>
                <w:rStyle w:val="Hyperlink"/>
              </w:rPr>
              <w:t>Effectiveness</w:t>
            </w:r>
            <w:r w:rsidR="00E845E5">
              <w:rPr>
                <w:webHidden/>
              </w:rPr>
              <w:tab/>
            </w:r>
            <w:r w:rsidR="008D02B7">
              <w:rPr>
                <w:webHidden/>
              </w:rPr>
              <w:t>9</w:t>
            </w:r>
          </w:hyperlink>
        </w:p>
        <w:p w14:paraId="20B609C7" w14:textId="7538502F"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897" w:history="1">
            <w:r w:rsidR="00E845E5" w:rsidRPr="00A609A1">
              <w:rPr>
                <w:rStyle w:val="Hyperlink"/>
                <w:noProof/>
              </w:rPr>
              <w:t>a.</w:t>
            </w:r>
            <w:r w:rsidR="00E845E5">
              <w:rPr>
                <w:rFonts w:asciiTheme="minorHAnsi" w:eastAsiaTheme="minorEastAsia" w:hAnsiTheme="minorHAnsi"/>
                <w:noProof/>
              </w:rPr>
              <w:tab/>
            </w:r>
            <w:r w:rsidR="00E845E5" w:rsidRPr="00A609A1">
              <w:rPr>
                <w:rStyle w:val="Hyperlink"/>
                <w:noProof/>
              </w:rPr>
              <w:t>Statement of project development objectives.</w:t>
            </w:r>
            <w:r w:rsidR="00E845E5">
              <w:rPr>
                <w:noProof/>
                <w:webHidden/>
              </w:rPr>
              <w:tab/>
            </w:r>
            <w:r w:rsidR="008D02B7">
              <w:rPr>
                <w:noProof/>
                <w:webHidden/>
              </w:rPr>
              <w:t>9</w:t>
            </w:r>
          </w:hyperlink>
        </w:p>
        <w:p w14:paraId="02A1E659" w14:textId="1C4AF568"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898" w:history="1">
            <w:r w:rsidR="00E845E5" w:rsidRPr="00A609A1">
              <w:rPr>
                <w:rStyle w:val="Hyperlink"/>
                <w:noProof/>
              </w:rPr>
              <w:t>b.</w:t>
            </w:r>
            <w:r w:rsidR="00E845E5">
              <w:rPr>
                <w:rFonts w:asciiTheme="minorHAnsi" w:eastAsiaTheme="minorEastAsia" w:hAnsiTheme="minorHAnsi"/>
                <w:noProof/>
              </w:rPr>
              <w:tab/>
            </w:r>
            <w:r w:rsidR="00E845E5" w:rsidRPr="00A609A1">
              <w:rPr>
                <w:rStyle w:val="Hyperlink"/>
                <w:noProof/>
              </w:rPr>
              <w:t>Results Achieved</w:t>
            </w:r>
            <w:r w:rsidR="00E845E5">
              <w:rPr>
                <w:noProof/>
                <w:webHidden/>
              </w:rPr>
              <w:tab/>
            </w:r>
            <w:r w:rsidR="008D02B7">
              <w:rPr>
                <w:noProof/>
                <w:webHidden/>
              </w:rPr>
              <w:t>9</w:t>
            </w:r>
          </w:hyperlink>
        </w:p>
        <w:p w14:paraId="180E89A6" w14:textId="5F68AE1A"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899" w:history="1">
            <w:r w:rsidR="00E845E5" w:rsidRPr="00A609A1">
              <w:rPr>
                <w:rStyle w:val="Hyperlink"/>
                <w:noProof/>
              </w:rPr>
              <w:t>c.</w:t>
            </w:r>
            <w:r w:rsidR="00E845E5">
              <w:rPr>
                <w:rFonts w:asciiTheme="minorHAnsi" w:eastAsiaTheme="minorEastAsia" w:hAnsiTheme="minorHAnsi"/>
                <w:noProof/>
              </w:rPr>
              <w:tab/>
            </w:r>
            <w:r w:rsidR="00E845E5" w:rsidRPr="00A609A1">
              <w:rPr>
                <w:rStyle w:val="Hyperlink"/>
                <w:noProof/>
              </w:rPr>
              <w:t>Analysis of the Results Attribution</w:t>
            </w:r>
            <w:r w:rsidR="00E845E5">
              <w:rPr>
                <w:noProof/>
                <w:webHidden/>
              </w:rPr>
              <w:tab/>
            </w:r>
            <w:r w:rsidR="005A3E98">
              <w:rPr>
                <w:noProof/>
                <w:webHidden/>
              </w:rPr>
              <w:t>68</w:t>
            </w:r>
          </w:hyperlink>
        </w:p>
        <w:p w14:paraId="00C36A52" w14:textId="12D3BC2C"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900" w:history="1">
            <w:r w:rsidR="00E845E5" w:rsidRPr="00A609A1">
              <w:rPr>
                <w:rStyle w:val="Hyperlink"/>
                <w:noProof/>
              </w:rPr>
              <w:t>d.</w:t>
            </w:r>
            <w:r w:rsidR="00E845E5">
              <w:rPr>
                <w:rFonts w:asciiTheme="minorHAnsi" w:eastAsiaTheme="minorEastAsia" w:hAnsiTheme="minorHAnsi"/>
                <w:noProof/>
              </w:rPr>
              <w:tab/>
            </w:r>
            <w:r w:rsidR="00E845E5" w:rsidRPr="00A609A1">
              <w:rPr>
                <w:rStyle w:val="Hyperlink"/>
                <w:noProof/>
              </w:rPr>
              <w:t>Unanticipated outcomes</w:t>
            </w:r>
            <w:r w:rsidR="00E845E5">
              <w:rPr>
                <w:noProof/>
                <w:webHidden/>
              </w:rPr>
              <w:tab/>
            </w:r>
            <w:r w:rsidR="005A3E98">
              <w:rPr>
                <w:noProof/>
                <w:webHidden/>
              </w:rPr>
              <w:t>70</w:t>
            </w:r>
          </w:hyperlink>
        </w:p>
        <w:p w14:paraId="63D27B11" w14:textId="0230F501" w:rsidR="00E845E5" w:rsidRDefault="00FE4AAC" w:rsidP="00040AA9">
          <w:pPr>
            <w:pStyle w:val="TOC2"/>
            <w:suppressAutoHyphens/>
            <w:rPr>
              <w:rFonts w:asciiTheme="minorHAnsi" w:eastAsiaTheme="minorEastAsia" w:hAnsiTheme="minorHAnsi" w:cstheme="minorBidi"/>
            </w:rPr>
          </w:pPr>
          <w:hyperlink w:anchor="_Toc469493901" w:history="1">
            <w:r w:rsidR="00E845E5" w:rsidRPr="00A609A1">
              <w:rPr>
                <w:rStyle w:val="Hyperlink"/>
              </w:rPr>
              <w:t>3.3</w:t>
            </w:r>
            <w:r w:rsidR="00E845E5">
              <w:rPr>
                <w:rFonts w:asciiTheme="minorHAnsi" w:eastAsiaTheme="minorEastAsia" w:hAnsiTheme="minorHAnsi" w:cstheme="minorBidi"/>
              </w:rPr>
              <w:tab/>
            </w:r>
            <w:r w:rsidR="00E845E5" w:rsidRPr="00A609A1">
              <w:rPr>
                <w:rStyle w:val="Hyperlink"/>
              </w:rPr>
              <w:t>Efficiency</w:t>
            </w:r>
            <w:r w:rsidR="00E845E5">
              <w:rPr>
                <w:webHidden/>
              </w:rPr>
              <w:tab/>
            </w:r>
            <w:r w:rsidR="005A3E98">
              <w:rPr>
                <w:webHidden/>
              </w:rPr>
              <w:t>70</w:t>
            </w:r>
          </w:hyperlink>
        </w:p>
        <w:p w14:paraId="1CC82C9F" w14:textId="74F491BA" w:rsidR="00E845E5" w:rsidRDefault="00FE4AAC" w:rsidP="00040AA9">
          <w:pPr>
            <w:pStyle w:val="TOC2"/>
            <w:suppressAutoHyphens/>
            <w:rPr>
              <w:rFonts w:asciiTheme="minorHAnsi" w:eastAsiaTheme="minorEastAsia" w:hAnsiTheme="minorHAnsi" w:cstheme="minorBidi"/>
            </w:rPr>
          </w:pPr>
          <w:hyperlink w:anchor="_Toc469493902" w:history="1">
            <w:r w:rsidR="00E845E5" w:rsidRPr="00A609A1">
              <w:rPr>
                <w:rStyle w:val="Hyperlink"/>
              </w:rPr>
              <w:t>3.4</w:t>
            </w:r>
            <w:r w:rsidR="00E845E5">
              <w:rPr>
                <w:rFonts w:asciiTheme="minorHAnsi" w:eastAsiaTheme="minorEastAsia" w:hAnsiTheme="minorHAnsi" w:cstheme="minorBidi"/>
              </w:rPr>
              <w:tab/>
            </w:r>
            <w:r w:rsidR="00E845E5" w:rsidRPr="00A609A1">
              <w:rPr>
                <w:rStyle w:val="Hyperlink"/>
              </w:rPr>
              <w:t>Sustainability</w:t>
            </w:r>
            <w:r w:rsidR="00E845E5">
              <w:rPr>
                <w:webHidden/>
              </w:rPr>
              <w:tab/>
            </w:r>
            <w:r w:rsidR="00E845E5">
              <w:rPr>
                <w:webHidden/>
              </w:rPr>
              <w:fldChar w:fldCharType="begin"/>
            </w:r>
            <w:r w:rsidR="00E845E5">
              <w:rPr>
                <w:webHidden/>
              </w:rPr>
              <w:instrText xml:space="preserve"> PAGEREF _Toc469493902 \h </w:instrText>
            </w:r>
            <w:r w:rsidR="00E845E5">
              <w:rPr>
                <w:webHidden/>
              </w:rPr>
            </w:r>
            <w:r w:rsidR="00E845E5">
              <w:rPr>
                <w:webHidden/>
              </w:rPr>
              <w:fldChar w:fldCharType="separate"/>
            </w:r>
            <w:r w:rsidR="003D2A7F">
              <w:rPr>
                <w:webHidden/>
              </w:rPr>
              <w:t>74</w:t>
            </w:r>
            <w:r w:rsidR="00E845E5">
              <w:rPr>
                <w:webHidden/>
              </w:rPr>
              <w:fldChar w:fldCharType="end"/>
            </w:r>
          </w:hyperlink>
        </w:p>
        <w:p w14:paraId="46648EDA" w14:textId="1A7E4D22" w:rsidR="00E845E5" w:rsidRDefault="00FE4AAC" w:rsidP="00040AA9">
          <w:pPr>
            <w:pStyle w:val="TOC1"/>
            <w:tabs>
              <w:tab w:val="left" w:pos="660"/>
              <w:tab w:val="right" w:leader="dot" w:pos="9350"/>
            </w:tabs>
            <w:suppressAutoHyphens/>
            <w:rPr>
              <w:rFonts w:asciiTheme="minorHAnsi" w:eastAsiaTheme="minorEastAsia" w:hAnsiTheme="minorHAnsi"/>
              <w:noProof/>
            </w:rPr>
          </w:pPr>
          <w:hyperlink w:anchor="_Toc469493903" w:history="1">
            <w:r w:rsidR="00E845E5" w:rsidRPr="00A609A1">
              <w:rPr>
                <w:rStyle w:val="Hyperlink"/>
                <w:smallCaps/>
                <w:noProof/>
                <w:lang w:val="es-MX"/>
              </w:rPr>
              <w:t>IV.</w:t>
            </w:r>
            <w:r w:rsidR="00E845E5">
              <w:rPr>
                <w:rFonts w:asciiTheme="minorHAnsi" w:eastAsiaTheme="minorEastAsia" w:hAnsiTheme="minorHAnsi"/>
                <w:noProof/>
              </w:rPr>
              <w:tab/>
            </w:r>
            <w:r w:rsidR="00E845E5" w:rsidRPr="00A609A1">
              <w:rPr>
                <w:rStyle w:val="Hyperlink"/>
                <w:smallCaps/>
                <w:noProof/>
              </w:rPr>
              <w:t>Non-Core Criteria</w:t>
            </w:r>
            <w:r w:rsidR="00E845E5">
              <w:rPr>
                <w:noProof/>
                <w:webHidden/>
              </w:rPr>
              <w:tab/>
            </w:r>
            <w:r w:rsidR="00E845E5">
              <w:rPr>
                <w:noProof/>
                <w:webHidden/>
              </w:rPr>
              <w:fldChar w:fldCharType="begin"/>
            </w:r>
            <w:r w:rsidR="00E845E5">
              <w:rPr>
                <w:noProof/>
                <w:webHidden/>
              </w:rPr>
              <w:instrText xml:space="preserve"> PAGEREF _Toc469493903 \h </w:instrText>
            </w:r>
            <w:r w:rsidR="00E845E5">
              <w:rPr>
                <w:noProof/>
                <w:webHidden/>
              </w:rPr>
            </w:r>
            <w:r w:rsidR="00E845E5">
              <w:rPr>
                <w:noProof/>
                <w:webHidden/>
              </w:rPr>
              <w:fldChar w:fldCharType="separate"/>
            </w:r>
            <w:r w:rsidR="003D2A7F">
              <w:rPr>
                <w:noProof/>
                <w:webHidden/>
              </w:rPr>
              <w:t>76</w:t>
            </w:r>
            <w:r w:rsidR="00E845E5">
              <w:rPr>
                <w:noProof/>
                <w:webHidden/>
              </w:rPr>
              <w:fldChar w:fldCharType="end"/>
            </w:r>
          </w:hyperlink>
        </w:p>
        <w:p w14:paraId="1AC918CA" w14:textId="14FC5CDA" w:rsidR="00E845E5" w:rsidRDefault="00FE4AAC" w:rsidP="00040AA9">
          <w:pPr>
            <w:pStyle w:val="TOC2"/>
            <w:suppressAutoHyphens/>
            <w:rPr>
              <w:rFonts w:asciiTheme="minorHAnsi" w:eastAsiaTheme="minorEastAsia" w:hAnsiTheme="minorHAnsi" w:cstheme="minorBidi"/>
            </w:rPr>
          </w:pPr>
          <w:hyperlink w:anchor="_Toc469493904" w:history="1">
            <w:r w:rsidR="00E845E5" w:rsidRPr="00A609A1">
              <w:rPr>
                <w:rStyle w:val="Hyperlink"/>
              </w:rPr>
              <w:t>4.1</w:t>
            </w:r>
            <w:r w:rsidR="00E845E5">
              <w:rPr>
                <w:rFonts w:asciiTheme="minorHAnsi" w:eastAsiaTheme="minorEastAsia" w:hAnsiTheme="minorHAnsi" w:cstheme="minorBidi"/>
              </w:rPr>
              <w:tab/>
            </w:r>
            <w:r w:rsidR="00E845E5" w:rsidRPr="00A609A1">
              <w:rPr>
                <w:rStyle w:val="Hyperlink"/>
              </w:rPr>
              <w:t>Strategic Alignment</w:t>
            </w:r>
            <w:r w:rsidR="00E845E5">
              <w:rPr>
                <w:webHidden/>
              </w:rPr>
              <w:tab/>
            </w:r>
            <w:r w:rsidR="00E845E5">
              <w:rPr>
                <w:webHidden/>
              </w:rPr>
              <w:fldChar w:fldCharType="begin"/>
            </w:r>
            <w:r w:rsidR="00E845E5">
              <w:rPr>
                <w:webHidden/>
              </w:rPr>
              <w:instrText xml:space="preserve"> PAGEREF _Toc469493904 \h </w:instrText>
            </w:r>
            <w:r w:rsidR="00E845E5">
              <w:rPr>
                <w:webHidden/>
              </w:rPr>
            </w:r>
            <w:r w:rsidR="00E845E5">
              <w:rPr>
                <w:webHidden/>
              </w:rPr>
              <w:fldChar w:fldCharType="separate"/>
            </w:r>
            <w:r w:rsidR="003D2A7F">
              <w:rPr>
                <w:webHidden/>
              </w:rPr>
              <w:t>76</w:t>
            </w:r>
            <w:r w:rsidR="00E845E5">
              <w:rPr>
                <w:webHidden/>
              </w:rPr>
              <w:fldChar w:fldCharType="end"/>
            </w:r>
          </w:hyperlink>
        </w:p>
        <w:p w14:paraId="2FC8BDD3" w14:textId="2780194F" w:rsidR="00E845E5" w:rsidRDefault="00FE4AAC" w:rsidP="00040AA9">
          <w:pPr>
            <w:pStyle w:val="TOC2"/>
            <w:suppressAutoHyphens/>
            <w:rPr>
              <w:rFonts w:asciiTheme="minorHAnsi" w:eastAsiaTheme="minorEastAsia" w:hAnsiTheme="minorHAnsi" w:cstheme="minorBidi"/>
            </w:rPr>
          </w:pPr>
          <w:hyperlink w:anchor="_Toc469493905" w:history="1">
            <w:r w:rsidR="00E845E5" w:rsidRPr="00A609A1">
              <w:rPr>
                <w:rStyle w:val="Hyperlink"/>
              </w:rPr>
              <w:t>4.2</w:t>
            </w:r>
            <w:r w:rsidR="00E845E5">
              <w:rPr>
                <w:rFonts w:asciiTheme="minorHAnsi" w:eastAsiaTheme="minorEastAsia" w:hAnsiTheme="minorHAnsi" w:cstheme="minorBidi"/>
              </w:rPr>
              <w:tab/>
            </w:r>
            <w:r w:rsidR="00E845E5" w:rsidRPr="00A609A1">
              <w:rPr>
                <w:rStyle w:val="Hyperlink"/>
              </w:rPr>
              <w:t>Monitoring and Evaluation</w:t>
            </w:r>
            <w:r w:rsidR="00E845E5">
              <w:rPr>
                <w:webHidden/>
              </w:rPr>
              <w:tab/>
            </w:r>
            <w:r w:rsidR="00E845E5">
              <w:rPr>
                <w:webHidden/>
              </w:rPr>
              <w:fldChar w:fldCharType="begin"/>
            </w:r>
            <w:r w:rsidR="00E845E5">
              <w:rPr>
                <w:webHidden/>
              </w:rPr>
              <w:instrText xml:space="preserve"> PAGEREF _Toc469493905 \h </w:instrText>
            </w:r>
            <w:r w:rsidR="00E845E5">
              <w:rPr>
                <w:webHidden/>
              </w:rPr>
            </w:r>
            <w:r w:rsidR="00E845E5">
              <w:rPr>
                <w:webHidden/>
              </w:rPr>
              <w:fldChar w:fldCharType="separate"/>
            </w:r>
            <w:r w:rsidR="003D2A7F">
              <w:rPr>
                <w:webHidden/>
              </w:rPr>
              <w:t>76</w:t>
            </w:r>
            <w:r w:rsidR="00E845E5">
              <w:rPr>
                <w:webHidden/>
              </w:rPr>
              <w:fldChar w:fldCharType="end"/>
            </w:r>
          </w:hyperlink>
        </w:p>
        <w:p w14:paraId="43270338" w14:textId="588D2476"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906" w:history="1">
            <w:r w:rsidR="00E845E5" w:rsidRPr="00A609A1">
              <w:rPr>
                <w:rStyle w:val="Hyperlink"/>
                <w:noProof/>
              </w:rPr>
              <w:t>a.</w:t>
            </w:r>
            <w:r w:rsidR="00E845E5">
              <w:rPr>
                <w:rFonts w:asciiTheme="minorHAnsi" w:eastAsiaTheme="minorEastAsia" w:hAnsiTheme="minorHAnsi"/>
                <w:noProof/>
              </w:rPr>
              <w:tab/>
            </w:r>
            <w:r w:rsidR="00E845E5" w:rsidRPr="00A609A1">
              <w:rPr>
                <w:rStyle w:val="Hyperlink"/>
                <w:noProof/>
              </w:rPr>
              <w:t>M&amp;E Design</w:t>
            </w:r>
            <w:r w:rsidR="00E845E5">
              <w:rPr>
                <w:noProof/>
                <w:webHidden/>
              </w:rPr>
              <w:tab/>
            </w:r>
            <w:r w:rsidR="00E845E5">
              <w:rPr>
                <w:noProof/>
                <w:webHidden/>
              </w:rPr>
              <w:fldChar w:fldCharType="begin"/>
            </w:r>
            <w:r w:rsidR="00E845E5">
              <w:rPr>
                <w:noProof/>
                <w:webHidden/>
              </w:rPr>
              <w:instrText xml:space="preserve"> PAGEREF _Toc469493906 \h </w:instrText>
            </w:r>
            <w:r w:rsidR="00E845E5">
              <w:rPr>
                <w:noProof/>
                <w:webHidden/>
              </w:rPr>
            </w:r>
            <w:r w:rsidR="00E845E5">
              <w:rPr>
                <w:noProof/>
                <w:webHidden/>
              </w:rPr>
              <w:fldChar w:fldCharType="separate"/>
            </w:r>
            <w:r w:rsidR="003D2A7F">
              <w:rPr>
                <w:noProof/>
                <w:webHidden/>
              </w:rPr>
              <w:t>76</w:t>
            </w:r>
            <w:r w:rsidR="00E845E5">
              <w:rPr>
                <w:noProof/>
                <w:webHidden/>
              </w:rPr>
              <w:fldChar w:fldCharType="end"/>
            </w:r>
          </w:hyperlink>
        </w:p>
        <w:p w14:paraId="4AB364B1" w14:textId="15AC0838"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907" w:history="1">
            <w:r w:rsidR="00E845E5" w:rsidRPr="00A609A1">
              <w:rPr>
                <w:rStyle w:val="Hyperlink"/>
                <w:noProof/>
              </w:rPr>
              <w:t>b.</w:t>
            </w:r>
            <w:r w:rsidR="00E845E5">
              <w:rPr>
                <w:rFonts w:asciiTheme="minorHAnsi" w:eastAsiaTheme="minorEastAsia" w:hAnsiTheme="minorHAnsi"/>
                <w:noProof/>
              </w:rPr>
              <w:tab/>
            </w:r>
            <w:r w:rsidR="00E845E5" w:rsidRPr="00A609A1">
              <w:rPr>
                <w:rStyle w:val="Hyperlink"/>
                <w:noProof/>
              </w:rPr>
              <w:t>M&amp;E Implementation</w:t>
            </w:r>
            <w:r w:rsidR="00E845E5">
              <w:rPr>
                <w:noProof/>
                <w:webHidden/>
              </w:rPr>
              <w:tab/>
            </w:r>
            <w:r w:rsidR="00E845E5">
              <w:rPr>
                <w:noProof/>
                <w:webHidden/>
              </w:rPr>
              <w:fldChar w:fldCharType="begin"/>
            </w:r>
            <w:r w:rsidR="00E845E5">
              <w:rPr>
                <w:noProof/>
                <w:webHidden/>
              </w:rPr>
              <w:instrText xml:space="preserve"> PAGEREF _Toc469493907 \h </w:instrText>
            </w:r>
            <w:r w:rsidR="00E845E5">
              <w:rPr>
                <w:noProof/>
                <w:webHidden/>
              </w:rPr>
            </w:r>
            <w:r w:rsidR="00E845E5">
              <w:rPr>
                <w:noProof/>
                <w:webHidden/>
              </w:rPr>
              <w:fldChar w:fldCharType="separate"/>
            </w:r>
            <w:r w:rsidR="003D2A7F">
              <w:rPr>
                <w:noProof/>
                <w:webHidden/>
              </w:rPr>
              <w:t>77</w:t>
            </w:r>
            <w:r w:rsidR="00E845E5">
              <w:rPr>
                <w:noProof/>
                <w:webHidden/>
              </w:rPr>
              <w:fldChar w:fldCharType="end"/>
            </w:r>
          </w:hyperlink>
        </w:p>
        <w:p w14:paraId="5F2AC2F9" w14:textId="135C1464" w:rsidR="00E845E5" w:rsidRDefault="00FE4AAC" w:rsidP="00040AA9">
          <w:pPr>
            <w:pStyle w:val="TOC3"/>
            <w:tabs>
              <w:tab w:val="left" w:pos="880"/>
              <w:tab w:val="right" w:leader="dot" w:pos="9350"/>
            </w:tabs>
            <w:suppressAutoHyphens/>
            <w:rPr>
              <w:rFonts w:asciiTheme="minorHAnsi" w:eastAsiaTheme="minorEastAsia" w:hAnsiTheme="minorHAnsi"/>
              <w:noProof/>
            </w:rPr>
          </w:pPr>
          <w:hyperlink w:anchor="_Toc469493908" w:history="1">
            <w:r w:rsidR="00E845E5" w:rsidRPr="00A609A1">
              <w:rPr>
                <w:rStyle w:val="Hyperlink"/>
                <w:noProof/>
              </w:rPr>
              <w:t>c.</w:t>
            </w:r>
            <w:r w:rsidR="00E845E5">
              <w:rPr>
                <w:rFonts w:asciiTheme="minorHAnsi" w:eastAsiaTheme="minorEastAsia" w:hAnsiTheme="minorHAnsi"/>
                <w:noProof/>
              </w:rPr>
              <w:tab/>
            </w:r>
            <w:r w:rsidR="00E845E5" w:rsidRPr="00A609A1">
              <w:rPr>
                <w:rStyle w:val="Hyperlink"/>
                <w:noProof/>
              </w:rPr>
              <w:t>M&amp;E Utilization</w:t>
            </w:r>
            <w:r w:rsidR="00E845E5">
              <w:rPr>
                <w:noProof/>
                <w:webHidden/>
              </w:rPr>
              <w:tab/>
            </w:r>
            <w:r w:rsidR="00E845E5">
              <w:rPr>
                <w:noProof/>
                <w:webHidden/>
              </w:rPr>
              <w:fldChar w:fldCharType="begin"/>
            </w:r>
            <w:r w:rsidR="00E845E5">
              <w:rPr>
                <w:noProof/>
                <w:webHidden/>
              </w:rPr>
              <w:instrText xml:space="preserve"> PAGEREF _Toc469493908 \h </w:instrText>
            </w:r>
            <w:r w:rsidR="00E845E5">
              <w:rPr>
                <w:noProof/>
                <w:webHidden/>
              </w:rPr>
            </w:r>
            <w:r w:rsidR="00E845E5">
              <w:rPr>
                <w:noProof/>
                <w:webHidden/>
              </w:rPr>
              <w:fldChar w:fldCharType="separate"/>
            </w:r>
            <w:r w:rsidR="003D2A7F">
              <w:rPr>
                <w:noProof/>
                <w:webHidden/>
              </w:rPr>
              <w:t>77</w:t>
            </w:r>
            <w:r w:rsidR="00E845E5">
              <w:rPr>
                <w:noProof/>
                <w:webHidden/>
              </w:rPr>
              <w:fldChar w:fldCharType="end"/>
            </w:r>
          </w:hyperlink>
        </w:p>
        <w:p w14:paraId="0686C126" w14:textId="2D96D13B" w:rsidR="00E845E5" w:rsidRDefault="00FE4AAC" w:rsidP="00040AA9">
          <w:pPr>
            <w:pStyle w:val="TOC2"/>
            <w:suppressAutoHyphens/>
            <w:rPr>
              <w:rFonts w:asciiTheme="minorHAnsi" w:eastAsiaTheme="minorEastAsia" w:hAnsiTheme="minorHAnsi" w:cstheme="minorBidi"/>
            </w:rPr>
          </w:pPr>
          <w:hyperlink w:anchor="_Toc469493909" w:history="1">
            <w:r w:rsidR="00E845E5" w:rsidRPr="00A609A1">
              <w:rPr>
                <w:rStyle w:val="Hyperlink"/>
              </w:rPr>
              <w:t>4.3</w:t>
            </w:r>
            <w:r w:rsidR="00E845E5">
              <w:rPr>
                <w:rFonts w:asciiTheme="minorHAnsi" w:eastAsiaTheme="minorEastAsia" w:hAnsiTheme="minorHAnsi" w:cstheme="minorBidi"/>
              </w:rPr>
              <w:tab/>
            </w:r>
            <w:r w:rsidR="00E845E5" w:rsidRPr="00A609A1">
              <w:rPr>
                <w:rStyle w:val="Hyperlink"/>
              </w:rPr>
              <w:t>Use of Country Systems</w:t>
            </w:r>
            <w:r w:rsidR="00E845E5">
              <w:rPr>
                <w:webHidden/>
              </w:rPr>
              <w:tab/>
            </w:r>
            <w:r w:rsidR="00E845E5">
              <w:rPr>
                <w:webHidden/>
              </w:rPr>
              <w:fldChar w:fldCharType="begin"/>
            </w:r>
            <w:r w:rsidR="00E845E5">
              <w:rPr>
                <w:webHidden/>
              </w:rPr>
              <w:instrText xml:space="preserve"> PAGEREF _Toc469493909 \h </w:instrText>
            </w:r>
            <w:r w:rsidR="00E845E5">
              <w:rPr>
                <w:webHidden/>
              </w:rPr>
            </w:r>
            <w:r w:rsidR="00E845E5">
              <w:rPr>
                <w:webHidden/>
              </w:rPr>
              <w:fldChar w:fldCharType="separate"/>
            </w:r>
            <w:r w:rsidR="003D2A7F">
              <w:rPr>
                <w:webHidden/>
              </w:rPr>
              <w:t>77</w:t>
            </w:r>
            <w:r w:rsidR="00E845E5">
              <w:rPr>
                <w:webHidden/>
              </w:rPr>
              <w:fldChar w:fldCharType="end"/>
            </w:r>
          </w:hyperlink>
        </w:p>
        <w:p w14:paraId="7AAC777D" w14:textId="6037CBC4" w:rsidR="00E845E5" w:rsidRDefault="00FE4AAC" w:rsidP="00040AA9">
          <w:pPr>
            <w:pStyle w:val="TOC2"/>
            <w:suppressAutoHyphens/>
            <w:rPr>
              <w:rFonts w:asciiTheme="minorHAnsi" w:eastAsiaTheme="minorEastAsia" w:hAnsiTheme="minorHAnsi" w:cstheme="minorBidi"/>
            </w:rPr>
          </w:pPr>
          <w:hyperlink w:anchor="_Toc469493910" w:history="1">
            <w:r w:rsidR="00E845E5" w:rsidRPr="00A609A1">
              <w:rPr>
                <w:rStyle w:val="Hyperlink"/>
              </w:rPr>
              <w:t>4.4</w:t>
            </w:r>
            <w:r w:rsidR="00E845E5">
              <w:rPr>
                <w:rFonts w:asciiTheme="minorHAnsi" w:eastAsiaTheme="minorEastAsia" w:hAnsiTheme="minorHAnsi" w:cstheme="minorBidi"/>
              </w:rPr>
              <w:tab/>
            </w:r>
            <w:r w:rsidR="00E845E5" w:rsidRPr="00A609A1">
              <w:rPr>
                <w:rStyle w:val="Hyperlink"/>
              </w:rPr>
              <w:t>Environmental and Social Safeguards</w:t>
            </w:r>
            <w:r w:rsidR="00E845E5">
              <w:rPr>
                <w:webHidden/>
              </w:rPr>
              <w:tab/>
            </w:r>
            <w:r w:rsidR="005A3E98">
              <w:rPr>
                <w:webHidden/>
              </w:rPr>
              <w:t>75</w:t>
            </w:r>
          </w:hyperlink>
        </w:p>
        <w:p w14:paraId="4570E873" w14:textId="766FC8D9" w:rsidR="00E845E5" w:rsidRDefault="00FE4AAC" w:rsidP="00040AA9">
          <w:pPr>
            <w:pStyle w:val="TOC1"/>
            <w:tabs>
              <w:tab w:val="left" w:pos="440"/>
              <w:tab w:val="right" w:leader="dot" w:pos="9350"/>
            </w:tabs>
            <w:suppressAutoHyphens/>
            <w:rPr>
              <w:rFonts w:asciiTheme="minorHAnsi" w:eastAsiaTheme="minorEastAsia" w:hAnsiTheme="minorHAnsi"/>
              <w:noProof/>
            </w:rPr>
          </w:pPr>
          <w:hyperlink w:anchor="_Toc469493911" w:history="1">
            <w:r w:rsidR="00E845E5" w:rsidRPr="00A609A1">
              <w:rPr>
                <w:rStyle w:val="Hyperlink"/>
                <w:rFonts w:cs="Arial"/>
                <w:smallCaps/>
                <w:noProof/>
                <w:lang w:val="es-MX"/>
              </w:rPr>
              <w:t>V.</w:t>
            </w:r>
            <w:r w:rsidR="00E845E5">
              <w:rPr>
                <w:rFonts w:asciiTheme="minorHAnsi" w:eastAsiaTheme="minorEastAsia" w:hAnsiTheme="minorHAnsi"/>
                <w:noProof/>
              </w:rPr>
              <w:tab/>
            </w:r>
            <w:r w:rsidR="00E845E5" w:rsidRPr="00A609A1">
              <w:rPr>
                <w:rStyle w:val="Hyperlink"/>
                <w:rFonts w:cs="Arial"/>
                <w:smallCaps/>
                <w:noProof/>
              </w:rPr>
              <w:t>Findings and Recommendations</w:t>
            </w:r>
            <w:r w:rsidR="00E845E5">
              <w:rPr>
                <w:noProof/>
                <w:webHidden/>
              </w:rPr>
              <w:tab/>
            </w:r>
            <w:r w:rsidR="005A3E98">
              <w:rPr>
                <w:noProof/>
                <w:webHidden/>
              </w:rPr>
              <w:t>75</w:t>
            </w:r>
          </w:hyperlink>
        </w:p>
        <w:p w14:paraId="17926F4D" w14:textId="10D48A70" w:rsidR="00E845E5" w:rsidRDefault="00FE4AAC" w:rsidP="00040AA9">
          <w:pPr>
            <w:pStyle w:val="TOC2"/>
            <w:suppressAutoHyphens/>
            <w:rPr>
              <w:rFonts w:asciiTheme="minorHAnsi" w:eastAsiaTheme="minorEastAsia" w:hAnsiTheme="minorHAnsi" w:cstheme="minorBidi"/>
            </w:rPr>
          </w:pPr>
          <w:hyperlink w:anchor="_Toc469493912" w:history="1">
            <w:r w:rsidR="00E845E5" w:rsidRPr="00A609A1">
              <w:rPr>
                <w:rStyle w:val="Hyperlink"/>
              </w:rPr>
              <w:t>5.1</w:t>
            </w:r>
            <w:r w:rsidR="00E845E5">
              <w:rPr>
                <w:rFonts w:asciiTheme="minorHAnsi" w:eastAsiaTheme="minorEastAsia" w:hAnsiTheme="minorHAnsi" w:cstheme="minorBidi"/>
              </w:rPr>
              <w:tab/>
            </w:r>
            <w:r w:rsidR="00E845E5" w:rsidRPr="00A609A1">
              <w:rPr>
                <w:rStyle w:val="Hyperlink"/>
              </w:rPr>
              <w:t>Dimensions 1 to 5</w:t>
            </w:r>
            <w:r w:rsidR="00E845E5">
              <w:rPr>
                <w:webHidden/>
              </w:rPr>
              <w:tab/>
            </w:r>
            <w:r w:rsidR="005A3E98">
              <w:rPr>
                <w:webHidden/>
              </w:rPr>
              <w:t>75</w:t>
            </w:r>
          </w:hyperlink>
        </w:p>
        <w:p w14:paraId="67C4A98C" w14:textId="352EC0C7" w:rsidR="009B4D7A" w:rsidRDefault="009B4D7A" w:rsidP="00040AA9">
          <w:pPr>
            <w:suppressAutoHyphens/>
            <w:rPr>
              <w:rFonts w:cs="Arial"/>
              <w:b/>
              <w:bCs/>
              <w:noProof/>
            </w:rPr>
          </w:pPr>
          <w:r>
            <w:rPr>
              <w:rFonts w:cs="Arial"/>
              <w:b/>
              <w:bCs/>
              <w:noProof/>
            </w:rPr>
            <w:fldChar w:fldCharType="end"/>
          </w:r>
        </w:p>
      </w:sdtContent>
    </w:sdt>
    <w:p w14:paraId="7EA9521F" w14:textId="77777777" w:rsidR="00C12A9E" w:rsidRDefault="00C12A9E" w:rsidP="00040AA9">
      <w:pPr>
        <w:suppressAutoHyphens/>
        <w:rPr>
          <w:rFonts w:eastAsiaTheme="majorEastAsia" w:cs="Arial"/>
          <w:spacing w:val="5"/>
          <w:kern w:val="28"/>
        </w:rPr>
        <w:sectPr w:rsidR="00C12A9E" w:rsidSect="00C12A9E">
          <w:pgSz w:w="12240" w:h="15840"/>
          <w:pgMar w:top="1440" w:right="1440" w:bottom="1440" w:left="1440" w:header="720" w:footer="720" w:gutter="0"/>
          <w:pgNumType w:fmt="lowerRoman"/>
          <w:cols w:space="720"/>
        </w:sectPr>
      </w:pPr>
    </w:p>
    <w:p w14:paraId="40C06F8A" w14:textId="77777777" w:rsidR="009B4D7A" w:rsidRDefault="009B4D7A" w:rsidP="00040AA9">
      <w:pPr>
        <w:pStyle w:val="Heading1"/>
        <w:keepNext w:val="0"/>
        <w:keepLines w:val="0"/>
        <w:numPr>
          <w:ilvl w:val="0"/>
          <w:numId w:val="0"/>
        </w:numPr>
        <w:suppressAutoHyphens/>
        <w:ind w:left="720" w:hanging="360"/>
        <w:jc w:val="center"/>
        <w:rPr>
          <w:rFonts w:ascii="Arial Black" w:hAnsi="Arial Black" w:cs="Arial"/>
          <w:noProof/>
          <w:color w:val="5F7D96"/>
        </w:rPr>
      </w:pPr>
      <w:bookmarkStart w:id="1" w:name="_Toc469493886"/>
      <w:r>
        <w:rPr>
          <w:rFonts w:ascii="Arial Black" w:hAnsi="Arial Black" w:cs="Arial"/>
          <w:noProof/>
          <w:color w:val="5F7D96"/>
        </w:rPr>
        <w:t>Electronic Links</w:t>
      </w:r>
      <w:bookmarkEnd w:id="1"/>
    </w:p>
    <w:p w14:paraId="3183D9C6" w14:textId="77777777" w:rsidR="009B4D7A" w:rsidRDefault="009B4D7A" w:rsidP="00040AA9">
      <w:pPr>
        <w:suppressAutoHyphens/>
        <w:jc w:val="center"/>
        <w:rPr>
          <w:rFonts w:eastAsia="Times New Roman" w:cs="Arial"/>
          <w:b/>
          <w:bCs/>
        </w:rPr>
      </w:pPr>
      <w:r>
        <w:rPr>
          <w:rFonts w:eastAsia="Times New Roman" w:cs="Arial"/>
          <w:b/>
          <w:bCs/>
        </w:rPr>
        <w:t xml:space="preserve"> </w:t>
      </w:r>
    </w:p>
    <w:p w14:paraId="2A465633" w14:textId="2D7FED71" w:rsidR="009B4D7A" w:rsidRPr="009B4D7A" w:rsidRDefault="00FE4AAC" w:rsidP="00040AA9">
      <w:pPr>
        <w:pStyle w:val="ListParagraph"/>
        <w:numPr>
          <w:ilvl w:val="0"/>
          <w:numId w:val="2"/>
        </w:numPr>
        <w:suppressAutoHyphens/>
        <w:jc w:val="both"/>
        <w:rPr>
          <w:rFonts w:eastAsia="Times New Roman" w:cs="Arial"/>
          <w:bCs/>
        </w:rPr>
      </w:pPr>
      <w:hyperlink r:id="rId17" w:history="1">
        <w:r w:rsidR="009B4D7A" w:rsidRPr="00EF255B">
          <w:rPr>
            <w:rStyle w:val="Hyperlink"/>
            <w:rFonts w:eastAsia="Times New Roman" w:cs="Arial"/>
          </w:rPr>
          <w:t>Development Effectiveness Matrix (DEM)</w:t>
        </w:r>
      </w:hyperlink>
    </w:p>
    <w:p w14:paraId="43490738" w14:textId="32CB174F" w:rsidR="009B4D7A" w:rsidRDefault="00FE4AAC" w:rsidP="00040AA9">
      <w:pPr>
        <w:pStyle w:val="ListParagraph"/>
        <w:numPr>
          <w:ilvl w:val="0"/>
          <w:numId w:val="2"/>
        </w:numPr>
        <w:suppressAutoHyphens/>
        <w:jc w:val="both"/>
        <w:rPr>
          <w:rFonts w:eastAsia="Times New Roman" w:cs="Arial"/>
          <w:bCs/>
        </w:rPr>
      </w:pPr>
      <w:hyperlink r:id="rId18" w:history="1">
        <w:r w:rsidR="009B4D7A" w:rsidRPr="00EF255B">
          <w:rPr>
            <w:rStyle w:val="Hyperlink"/>
            <w:rFonts w:eastAsia="Times New Roman" w:cs="Arial"/>
          </w:rPr>
          <w:t>PCR Checklist</w:t>
        </w:r>
      </w:hyperlink>
    </w:p>
    <w:p w14:paraId="63A6CD14" w14:textId="77777777" w:rsidR="0038106F" w:rsidRDefault="0038106F" w:rsidP="00040AA9">
      <w:pPr>
        <w:suppressAutoHyphens/>
        <w:jc w:val="both"/>
        <w:rPr>
          <w:rFonts w:eastAsia="Times New Roman" w:cs="Arial"/>
          <w:bCs/>
        </w:rPr>
      </w:pPr>
    </w:p>
    <w:p w14:paraId="11165B06" w14:textId="77777777" w:rsidR="0038106F" w:rsidRDefault="0038106F" w:rsidP="00040AA9">
      <w:pPr>
        <w:pStyle w:val="Heading1"/>
        <w:keepNext w:val="0"/>
        <w:keepLines w:val="0"/>
        <w:numPr>
          <w:ilvl w:val="0"/>
          <w:numId w:val="0"/>
        </w:numPr>
        <w:suppressAutoHyphens/>
        <w:ind w:left="720" w:hanging="360"/>
        <w:jc w:val="center"/>
        <w:rPr>
          <w:rFonts w:ascii="Arial Black" w:hAnsi="Arial Black" w:cs="Arial"/>
          <w:noProof/>
          <w:color w:val="5F7D96"/>
        </w:rPr>
      </w:pPr>
      <w:bookmarkStart w:id="2" w:name="_Toc469493887"/>
      <w:r>
        <w:rPr>
          <w:rFonts w:ascii="Arial Black" w:hAnsi="Arial Black" w:cs="Arial"/>
          <w:noProof/>
          <w:color w:val="5F7D96"/>
        </w:rPr>
        <w:t>Optional Electronic Links</w:t>
      </w:r>
      <w:bookmarkEnd w:id="2"/>
    </w:p>
    <w:p w14:paraId="21AEB818" w14:textId="77777777" w:rsidR="0038106F" w:rsidRPr="0038106F" w:rsidRDefault="0038106F" w:rsidP="00040AA9">
      <w:pPr>
        <w:suppressAutoHyphens/>
        <w:jc w:val="both"/>
        <w:rPr>
          <w:rFonts w:eastAsia="Times New Roman" w:cs="Arial"/>
          <w:bCs/>
        </w:rPr>
      </w:pPr>
    </w:p>
    <w:p w14:paraId="4F6F4486" w14:textId="18C05243" w:rsidR="00C87E0F" w:rsidRPr="0060437F" w:rsidRDefault="00FE4AAC" w:rsidP="00040AA9">
      <w:pPr>
        <w:pStyle w:val="ListParagraph"/>
        <w:numPr>
          <w:ilvl w:val="0"/>
          <w:numId w:val="5"/>
        </w:numPr>
        <w:suppressAutoHyphens/>
        <w:jc w:val="both"/>
        <w:rPr>
          <w:rFonts w:eastAsia="Times New Roman" w:cs="Arial"/>
          <w:bCs/>
        </w:rPr>
      </w:pPr>
      <w:hyperlink r:id="rId19" w:history="1">
        <w:r w:rsidR="001F3E21" w:rsidRPr="00EF255B">
          <w:rPr>
            <w:rStyle w:val="Hyperlink"/>
            <w:rFonts w:eastAsia="Times New Roman" w:cs="Arial"/>
          </w:rPr>
          <w:t>Annex I</w:t>
        </w:r>
        <w:r w:rsidR="00892F3E" w:rsidRPr="00EF255B">
          <w:rPr>
            <w:rStyle w:val="Hyperlink"/>
            <w:rFonts w:eastAsia="Times New Roman" w:cs="Arial"/>
          </w:rPr>
          <w:t xml:space="preserve"> </w:t>
        </w:r>
        <w:r w:rsidR="0060437F" w:rsidRPr="00EF255B">
          <w:rPr>
            <w:rStyle w:val="Hyperlink"/>
            <w:rFonts w:eastAsia="Times New Roman" w:cs="Arial"/>
          </w:rPr>
          <w:t>– Vertical Logic Table</w:t>
        </w:r>
      </w:hyperlink>
    </w:p>
    <w:p w14:paraId="46D92C10" w14:textId="25209D9F" w:rsidR="009B4D7A" w:rsidRPr="00413940" w:rsidRDefault="00FE4AAC" w:rsidP="00040AA9">
      <w:pPr>
        <w:pStyle w:val="ListParagraph"/>
        <w:numPr>
          <w:ilvl w:val="0"/>
          <w:numId w:val="5"/>
        </w:numPr>
        <w:suppressAutoHyphens/>
        <w:jc w:val="both"/>
        <w:rPr>
          <w:rFonts w:eastAsia="Times New Roman" w:cs="Arial"/>
          <w:bCs/>
        </w:rPr>
      </w:pPr>
      <w:hyperlink r:id="rId20" w:history="1">
        <w:r w:rsidR="001F3E21" w:rsidRPr="00EF255B">
          <w:rPr>
            <w:rStyle w:val="Hyperlink"/>
            <w:rFonts w:eastAsia="Times New Roman" w:cs="Arial"/>
          </w:rPr>
          <w:t>Annex II</w:t>
        </w:r>
        <w:r w:rsidR="0060437F" w:rsidRPr="00EF255B">
          <w:rPr>
            <w:rStyle w:val="Hyperlink"/>
            <w:rFonts w:eastAsia="Times New Roman" w:cs="Arial"/>
          </w:rPr>
          <w:t xml:space="preserve"> – Summary of Achievements</w:t>
        </w:r>
      </w:hyperlink>
      <w:r w:rsidR="0060437F">
        <w:rPr>
          <w:rFonts w:eastAsia="Times New Roman" w:cs="Arial"/>
          <w:bCs/>
        </w:rPr>
        <w:t xml:space="preserve"> </w:t>
      </w:r>
    </w:p>
    <w:p w14:paraId="147C3642" w14:textId="6F4BA8F6" w:rsidR="009B4D7A" w:rsidRDefault="00FE4AAC" w:rsidP="00040AA9">
      <w:pPr>
        <w:pStyle w:val="ListParagraph"/>
        <w:numPr>
          <w:ilvl w:val="0"/>
          <w:numId w:val="5"/>
        </w:numPr>
        <w:suppressAutoHyphens/>
        <w:jc w:val="both"/>
        <w:rPr>
          <w:rFonts w:eastAsia="Times New Roman" w:cs="Arial"/>
          <w:bCs/>
        </w:rPr>
      </w:pPr>
      <w:hyperlink r:id="rId21" w:history="1">
        <w:r w:rsidR="001F3E21" w:rsidRPr="00EF255B">
          <w:rPr>
            <w:rStyle w:val="Hyperlink"/>
            <w:rFonts w:eastAsia="Times New Roman" w:cs="Arial"/>
          </w:rPr>
          <w:t>Annex III</w:t>
        </w:r>
        <w:r w:rsidR="00413940" w:rsidRPr="00EF255B">
          <w:rPr>
            <w:rStyle w:val="Hyperlink"/>
            <w:rFonts w:eastAsia="Times New Roman" w:cs="Arial"/>
          </w:rPr>
          <w:t xml:space="preserve"> </w:t>
        </w:r>
        <w:r w:rsidR="003B0F46" w:rsidRPr="00EF255B">
          <w:rPr>
            <w:rStyle w:val="Hyperlink"/>
            <w:rFonts w:eastAsia="Times New Roman" w:cs="Arial"/>
          </w:rPr>
          <w:t>–</w:t>
        </w:r>
        <w:r w:rsidR="00413940" w:rsidRPr="00EF255B">
          <w:rPr>
            <w:rStyle w:val="Hyperlink"/>
            <w:rFonts w:eastAsia="Times New Roman" w:cs="Arial"/>
          </w:rPr>
          <w:t xml:space="preserve"> </w:t>
        </w:r>
        <w:r w:rsidR="003B0F46" w:rsidRPr="00EF255B">
          <w:rPr>
            <w:rStyle w:val="Hyperlink"/>
            <w:rFonts w:eastAsia="Times New Roman" w:cs="Arial"/>
          </w:rPr>
          <w:t>Jamaica Tax Reform Assessment</w:t>
        </w:r>
      </w:hyperlink>
    </w:p>
    <w:p w14:paraId="6F074020" w14:textId="76ED55AF" w:rsidR="00F61130" w:rsidRPr="009C086E" w:rsidRDefault="00FE4AAC" w:rsidP="00040AA9">
      <w:pPr>
        <w:pStyle w:val="ListParagraph"/>
        <w:numPr>
          <w:ilvl w:val="0"/>
          <w:numId w:val="5"/>
        </w:numPr>
        <w:suppressAutoHyphens/>
        <w:jc w:val="both"/>
        <w:rPr>
          <w:rStyle w:val="Hyperlink"/>
          <w:rFonts w:eastAsia="Times New Roman" w:cs="Arial"/>
          <w:bCs/>
          <w:color w:val="auto"/>
          <w:u w:val="none"/>
        </w:rPr>
      </w:pPr>
      <w:hyperlink r:id="rId22" w:history="1">
        <w:r w:rsidR="00F61130" w:rsidRPr="00EF255B">
          <w:rPr>
            <w:rStyle w:val="Hyperlink"/>
            <w:rFonts w:eastAsia="Times New Roman" w:cs="Arial"/>
          </w:rPr>
          <w:t xml:space="preserve">Annex IV </w:t>
        </w:r>
        <w:r w:rsidR="00FF15DA" w:rsidRPr="00EF255B">
          <w:rPr>
            <w:rStyle w:val="Hyperlink"/>
            <w:rFonts w:eastAsia="Times New Roman" w:cs="Arial"/>
          </w:rPr>
          <w:t>–</w:t>
        </w:r>
        <w:r w:rsidR="00F61130" w:rsidRPr="00EF255B">
          <w:rPr>
            <w:rStyle w:val="Hyperlink"/>
            <w:rFonts w:eastAsia="Times New Roman" w:cs="Arial"/>
          </w:rPr>
          <w:t xml:space="preserve"> </w:t>
        </w:r>
        <w:r w:rsidR="00FF15DA" w:rsidRPr="00EF255B">
          <w:rPr>
            <w:rStyle w:val="Hyperlink"/>
            <w:rFonts w:eastAsia="Times New Roman" w:cs="Arial"/>
          </w:rPr>
          <w:t>A Comparison of Benefits and Costs</w:t>
        </w:r>
      </w:hyperlink>
    </w:p>
    <w:p w14:paraId="17CAF817" w14:textId="015F02A8" w:rsidR="00D14026" w:rsidRDefault="00FE4AAC" w:rsidP="00040AA9">
      <w:pPr>
        <w:pStyle w:val="ListParagraph"/>
        <w:numPr>
          <w:ilvl w:val="0"/>
          <w:numId w:val="5"/>
        </w:numPr>
        <w:suppressAutoHyphens/>
        <w:jc w:val="both"/>
        <w:rPr>
          <w:rFonts w:eastAsia="Times New Roman" w:cs="Arial"/>
          <w:bCs/>
        </w:rPr>
      </w:pPr>
      <w:hyperlink r:id="rId23" w:history="1">
        <w:r w:rsidR="00D14026" w:rsidRPr="00C958C9">
          <w:rPr>
            <w:rStyle w:val="Hyperlink"/>
            <w:rFonts w:eastAsia="Times New Roman" w:cs="Arial"/>
            <w:bCs/>
          </w:rPr>
          <w:t>Annex V - References</w:t>
        </w:r>
      </w:hyperlink>
    </w:p>
    <w:p w14:paraId="389D4D50" w14:textId="2F13AC5A" w:rsidR="00DA239B" w:rsidRPr="00E81794" w:rsidRDefault="00FE4AAC" w:rsidP="00813501">
      <w:pPr>
        <w:pStyle w:val="ListParagraph"/>
        <w:numPr>
          <w:ilvl w:val="0"/>
          <w:numId w:val="5"/>
        </w:numPr>
        <w:tabs>
          <w:tab w:val="center" w:pos="4680"/>
        </w:tabs>
        <w:suppressAutoHyphens/>
        <w:jc w:val="both"/>
        <w:rPr>
          <w:rFonts w:eastAsia="Times New Roman" w:cs="Arial"/>
          <w:bCs/>
        </w:rPr>
      </w:pPr>
      <w:hyperlink r:id="rId24" w:history="1">
        <w:r w:rsidR="009B4D7A" w:rsidRPr="00DA239B">
          <w:rPr>
            <w:rStyle w:val="Hyperlink"/>
            <w:rFonts w:eastAsia="Times New Roman" w:cs="Arial"/>
            <w:bCs/>
          </w:rPr>
          <w:t>QRR Results and Procedures Report</w:t>
        </w:r>
      </w:hyperlink>
    </w:p>
    <w:p w14:paraId="5C634F56" w14:textId="1CB491BE" w:rsidR="009B4D7A" w:rsidRPr="00144EE7" w:rsidRDefault="00DA239B" w:rsidP="00472226">
      <w:pPr>
        <w:pStyle w:val="ListParagraph"/>
        <w:numPr>
          <w:ilvl w:val="0"/>
          <w:numId w:val="5"/>
        </w:numPr>
      </w:pPr>
      <w:r w:rsidRPr="00144EE7">
        <w:rPr>
          <w:rFonts w:eastAsia="Times New Roman" w:cs="Arial"/>
          <w:bCs/>
        </w:rPr>
        <w:t>Government of Jamaica “</w:t>
      </w:r>
      <w:r w:rsidRPr="00472226">
        <w:t>Comments on the Project Completion Report (PCR)</w:t>
      </w:r>
      <w:r w:rsidRPr="00144EE7">
        <w:rPr>
          <w:rFonts w:cs="Arial"/>
        </w:rPr>
        <w:t xml:space="preserve"> </w:t>
      </w:r>
      <w:r w:rsidRPr="00472226">
        <w:t>IDB-Fiscal Structural Programme for Economic Growth (FISPEG) I, II and III</w:t>
      </w:r>
      <w:r w:rsidRPr="00144EE7">
        <w:rPr>
          <w:rFonts w:eastAsia="Times New Roman" w:cs="Arial"/>
          <w:bCs/>
        </w:rPr>
        <w:t>”</w:t>
      </w:r>
      <w:r w:rsidR="00383B34" w:rsidRPr="00144EE7">
        <w:tab/>
      </w:r>
    </w:p>
    <w:p w14:paraId="68E78057" w14:textId="77777777" w:rsidR="007B1A36" w:rsidRPr="00472226" w:rsidRDefault="007B1A36" w:rsidP="00040AA9">
      <w:pPr>
        <w:suppressAutoHyphens/>
        <w:spacing w:after="200" w:line="276" w:lineRule="auto"/>
        <w:rPr>
          <w:rFonts w:ascii="Arial" w:eastAsia="Times New Roman" w:hAnsi="Arial" w:cs="Arial"/>
          <w:bCs/>
          <w:sz w:val="22"/>
          <w:szCs w:val="22"/>
        </w:rPr>
      </w:pPr>
      <w:r w:rsidRPr="00472226">
        <w:rPr>
          <w:rFonts w:ascii="Arial" w:eastAsia="Times New Roman" w:hAnsi="Arial" w:cs="Arial"/>
          <w:bCs/>
          <w:sz w:val="22"/>
          <w:szCs w:val="22"/>
        </w:rPr>
        <w:br w:type="page"/>
      </w:r>
    </w:p>
    <w:p w14:paraId="14336B3D" w14:textId="77777777" w:rsidR="009B4D7A" w:rsidRDefault="009B4D7A" w:rsidP="00040AA9">
      <w:pPr>
        <w:pStyle w:val="Heading1"/>
        <w:keepNext w:val="0"/>
        <w:keepLines w:val="0"/>
        <w:numPr>
          <w:ilvl w:val="0"/>
          <w:numId w:val="0"/>
        </w:numPr>
        <w:suppressAutoHyphens/>
        <w:ind w:left="720" w:hanging="360"/>
        <w:jc w:val="center"/>
        <w:rPr>
          <w:rFonts w:ascii="Arial Black" w:hAnsi="Arial Black" w:cs="Arial"/>
          <w:color w:val="5F7D96"/>
          <w:sz w:val="28"/>
        </w:rPr>
      </w:pPr>
      <w:bookmarkStart w:id="3" w:name="_Toc469493888"/>
      <w:r>
        <w:rPr>
          <w:rFonts w:ascii="Arial Black" w:hAnsi="Arial Black" w:cs="Arial"/>
          <w:color w:val="5F7D96"/>
        </w:rPr>
        <w:t>Acronyms and Abbreviations</w:t>
      </w:r>
      <w:bookmarkEnd w:id="3"/>
    </w:p>
    <w:p w14:paraId="5B41D002" w14:textId="77777777" w:rsidR="009B4D7A" w:rsidRPr="00040AA9" w:rsidRDefault="009B4D7A" w:rsidP="00040AA9">
      <w:pPr>
        <w:suppressAutoHyphens/>
        <w:rPr>
          <w:rFonts w:ascii="Arial" w:eastAsia="Times New Roman" w:hAnsi="Arial" w:cs="Arial"/>
          <w:b/>
          <w:bCs/>
          <w:sz w:val="22"/>
          <w:szCs w:val="22"/>
        </w:rPr>
      </w:pPr>
    </w:p>
    <w:tbl>
      <w:tblPr>
        <w:tblW w:w="9500" w:type="dxa"/>
        <w:tblCellMar>
          <w:left w:w="0" w:type="dxa"/>
          <w:right w:w="0" w:type="dxa"/>
        </w:tblCellMar>
        <w:tblLook w:val="04A0" w:firstRow="1" w:lastRow="0" w:firstColumn="1" w:lastColumn="0" w:noHBand="0" w:noVBand="1"/>
      </w:tblPr>
      <w:tblGrid>
        <w:gridCol w:w="2320"/>
        <w:gridCol w:w="7180"/>
      </w:tblGrid>
      <w:tr w:rsidR="00645B30" w:rsidRPr="009C40BB" w14:paraId="394E122E" w14:textId="77777777" w:rsidTr="00645B30">
        <w:trPr>
          <w:trHeight w:val="320"/>
        </w:trPr>
        <w:tc>
          <w:tcPr>
            <w:tcW w:w="2320" w:type="dxa"/>
            <w:tcBorders>
              <w:top w:val="nil"/>
              <w:left w:val="nil"/>
              <w:bottom w:val="nil"/>
              <w:right w:val="nil"/>
            </w:tcBorders>
            <w:shd w:val="clear" w:color="auto" w:fill="auto"/>
            <w:noWrap/>
            <w:tcMar>
              <w:top w:w="15" w:type="dxa"/>
              <w:left w:w="15" w:type="dxa"/>
              <w:bottom w:w="0" w:type="dxa"/>
              <w:right w:w="15" w:type="dxa"/>
            </w:tcMar>
            <w:vAlign w:val="bottom"/>
            <w:hideMark/>
          </w:tcPr>
          <w:p w14:paraId="5587195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ACCPAC</w:t>
            </w:r>
          </w:p>
        </w:tc>
        <w:tc>
          <w:tcPr>
            <w:tcW w:w="7180" w:type="dxa"/>
            <w:tcBorders>
              <w:top w:val="nil"/>
              <w:left w:val="nil"/>
              <w:bottom w:val="nil"/>
              <w:right w:val="nil"/>
            </w:tcBorders>
            <w:shd w:val="clear" w:color="auto" w:fill="auto"/>
            <w:noWrap/>
            <w:tcMar>
              <w:top w:w="15" w:type="dxa"/>
              <w:left w:w="15" w:type="dxa"/>
              <w:bottom w:w="0" w:type="dxa"/>
              <w:right w:w="15" w:type="dxa"/>
            </w:tcMar>
            <w:vAlign w:val="bottom"/>
            <w:hideMark/>
          </w:tcPr>
          <w:p w14:paraId="3AE333F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Commercial Software Package (now known as "Sage 300c")</w:t>
            </w:r>
          </w:p>
        </w:tc>
      </w:tr>
      <w:tr w:rsidR="00645B30" w:rsidRPr="009C40BB" w14:paraId="014A284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31C3B11"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AI</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D12B22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Actual improvement (of Impact, Outcome or Output indicators)</w:t>
            </w:r>
          </w:p>
        </w:tc>
      </w:tr>
      <w:tr w:rsidR="00645B30" w:rsidRPr="009C40BB" w14:paraId="7732A85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4F780D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ASYCUDA</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6174EB0" w14:textId="79458682"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Automated S</w:t>
            </w:r>
            <w:r w:rsidR="00DC574C">
              <w:rPr>
                <w:rFonts w:ascii="Arial" w:eastAsia="Times New Roman" w:hAnsi="Arial" w:cs="Arial"/>
                <w:color w:val="000000"/>
                <w:sz w:val="22"/>
                <w:szCs w:val="22"/>
              </w:rPr>
              <w:t>y</w:t>
            </w:r>
            <w:r w:rsidRPr="00040AA9">
              <w:rPr>
                <w:rFonts w:ascii="Arial" w:eastAsia="Times New Roman" w:hAnsi="Arial" w:cs="Arial"/>
                <w:color w:val="000000"/>
                <w:sz w:val="22"/>
                <w:szCs w:val="22"/>
              </w:rPr>
              <w:t>stems for C</w:t>
            </w:r>
            <w:r w:rsidR="00DC574C">
              <w:rPr>
                <w:rFonts w:ascii="Arial" w:eastAsia="Times New Roman" w:hAnsi="Arial" w:cs="Arial"/>
                <w:color w:val="000000"/>
                <w:sz w:val="22"/>
                <w:szCs w:val="22"/>
              </w:rPr>
              <w:t>u</w:t>
            </w:r>
            <w:r w:rsidRPr="00040AA9">
              <w:rPr>
                <w:rFonts w:ascii="Arial" w:eastAsia="Times New Roman" w:hAnsi="Arial" w:cs="Arial"/>
                <w:color w:val="000000"/>
                <w:sz w:val="22"/>
                <w:szCs w:val="22"/>
              </w:rPr>
              <w:t>stoms D</w:t>
            </w:r>
            <w:r w:rsidR="00DC574C">
              <w:rPr>
                <w:rFonts w:ascii="Arial" w:eastAsia="Times New Roman" w:hAnsi="Arial" w:cs="Arial"/>
                <w:color w:val="000000"/>
                <w:sz w:val="22"/>
                <w:szCs w:val="22"/>
              </w:rPr>
              <w:t>a</w:t>
            </w:r>
            <w:r w:rsidRPr="00040AA9">
              <w:rPr>
                <w:rFonts w:ascii="Arial" w:eastAsia="Times New Roman" w:hAnsi="Arial" w:cs="Arial"/>
                <w:color w:val="000000"/>
                <w:sz w:val="22"/>
                <w:szCs w:val="22"/>
              </w:rPr>
              <w:t xml:space="preserve">ta </w:t>
            </w:r>
          </w:p>
        </w:tc>
      </w:tr>
      <w:tr w:rsidR="00645B30" w:rsidRPr="009C40BB" w14:paraId="04D08B17"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AD408A5"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CIT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35CA91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Corporate Income Tax</w:t>
            </w:r>
          </w:p>
        </w:tc>
      </w:tr>
      <w:tr w:rsidR="000E0BB4" w:rsidRPr="009C40BB" w14:paraId="5F1EA2C3"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6DBAF06" w14:textId="3556EA95" w:rsidR="000E0BB4" w:rsidRPr="00040AA9" w:rsidRDefault="000E0BB4"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CRF</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4D65F9B" w14:textId="576E8DE1" w:rsidR="000E0BB4" w:rsidRPr="00040AA9" w:rsidRDefault="00967D6F"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Corporate Results Framework</w:t>
            </w:r>
          </w:p>
        </w:tc>
      </w:tr>
      <w:tr w:rsidR="00645B30" w:rsidRPr="009C40BB" w14:paraId="0BBFCF3A"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F74A4C1" w14:textId="3A0A7D7A" w:rsidR="00A040C3"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8E1712E"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Country Strategy</w:t>
            </w:r>
          </w:p>
        </w:tc>
      </w:tr>
      <w:tr w:rsidR="00A040C3" w:rsidRPr="009C40BB" w14:paraId="76CEC6A8"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DBB802E" w14:textId="2F0F4002" w:rsidR="00A040C3" w:rsidRPr="003606E2" w:rsidRDefault="00A040C3"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Convergence</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D31491D" w14:textId="6FF246A9" w:rsidR="00A040C3" w:rsidRPr="003606E2" w:rsidRDefault="00CF5B70"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 xml:space="preserve">The internal Bank </w:t>
            </w:r>
            <w:r w:rsidR="006A1CF9">
              <w:rPr>
                <w:rFonts w:ascii="Arial" w:eastAsia="Times New Roman" w:hAnsi="Arial" w:cs="Arial"/>
                <w:color w:val="000000"/>
                <w:sz w:val="22"/>
                <w:szCs w:val="22"/>
              </w:rPr>
              <w:t>project data management platform</w:t>
            </w:r>
          </w:p>
        </w:tc>
      </w:tr>
      <w:tr w:rsidR="00724D45" w:rsidRPr="009C40BB" w14:paraId="6AC4B74A"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87D8B8E" w14:textId="293E35B9"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CUF</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5FBC39" w14:textId="529FC609"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Customs User Fees</w:t>
            </w:r>
          </w:p>
        </w:tc>
      </w:tr>
      <w:tr w:rsidR="00724D45" w:rsidRPr="009C40BB" w14:paraId="522A4095"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7B870E5" w14:textId="567D3138"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CY</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CFC0F5" w14:textId="1BD6050B"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Calendar year</w:t>
            </w:r>
          </w:p>
        </w:tc>
      </w:tr>
      <w:tr w:rsidR="00645B30" w:rsidRPr="009C40BB" w14:paraId="768193D1"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9FC7C3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DCGE</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635BC3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Dynamic Computable General Equilibrium (model)</w:t>
            </w:r>
          </w:p>
        </w:tc>
      </w:tr>
      <w:tr w:rsidR="00645B30" w:rsidRPr="009C40BB" w14:paraId="5F4B4B9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410A7F8"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EI</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08B66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Expected improvement (of Impact, Outcome or Output indicators)</w:t>
            </w:r>
          </w:p>
        </w:tc>
      </w:tr>
      <w:tr w:rsidR="00645B30" w:rsidRPr="009C40BB" w14:paraId="248E3D8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69EB6BE"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EOP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1D5724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End of Program (or Project)</w:t>
            </w:r>
          </w:p>
        </w:tc>
      </w:tr>
      <w:tr w:rsidR="00645B30" w:rsidRPr="009C40BB" w14:paraId="1E54C407"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FDA2F63"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ETC</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058EBA3"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Employment Tax Credit</w:t>
            </w:r>
          </w:p>
        </w:tc>
      </w:tr>
      <w:tr w:rsidR="00645B30" w:rsidRPr="009C40BB" w14:paraId="2A9D24DF"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4F1051A"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FAMP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D5D9801" w14:textId="27EDFD08"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Fiscal Administration Modernization Program</w:t>
            </w:r>
          </w:p>
        </w:tc>
      </w:tr>
      <w:tr w:rsidR="00645B30" w:rsidRPr="009C40BB" w14:paraId="6F1B204D"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99C55E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FCP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D9959EA"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Fiscal Consolidation Program </w:t>
            </w:r>
          </w:p>
        </w:tc>
      </w:tr>
      <w:tr w:rsidR="00645B30" w:rsidRPr="009C40BB" w14:paraId="2AF4FD6C"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EB30FF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FIA </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677BF5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Fiscal Incentives Act</w:t>
            </w:r>
          </w:p>
        </w:tc>
      </w:tr>
      <w:tr w:rsidR="00645B30" w:rsidRPr="009C40BB" w14:paraId="61E6BAFB"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3AAD946"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FISPEG</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C5E1F62" w14:textId="7010E70F"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Fiscal Structural </w:t>
            </w:r>
            <w:r w:rsidR="00DC574C" w:rsidRPr="009C40BB">
              <w:rPr>
                <w:rFonts w:ascii="Arial" w:eastAsia="Times New Roman" w:hAnsi="Arial" w:cs="Arial"/>
                <w:color w:val="000000"/>
                <w:sz w:val="22"/>
                <w:szCs w:val="22"/>
              </w:rPr>
              <w:t>Program</w:t>
            </w:r>
            <w:r w:rsidRPr="00040AA9">
              <w:rPr>
                <w:rFonts w:ascii="Arial" w:eastAsia="Times New Roman" w:hAnsi="Arial" w:cs="Arial"/>
                <w:color w:val="000000"/>
                <w:sz w:val="22"/>
                <w:szCs w:val="22"/>
              </w:rPr>
              <w:t xml:space="preserve"> for Economic Growth</w:t>
            </w:r>
          </w:p>
        </w:tc>
      </w:tr>
      <w:tr w:rsidR="00645B30" w:rsidRPr="009C40BB" w14:paraId="5C15829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BA01ADA"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FPP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8331E12" w14:textId="7F30DE08"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Fiscal Policy P</w:t>
            </w:r>
            <w:r w:rsidR="00B875E4" w:rsidRPr="00040AA9">
              <w:rPr>
                <w:rFonts w:ascii="Arial" w:eastAsia="Times New Roman" w:hAnsi="Arial" w:cs="Arial"/>
                <w:color w:val="000000"/>
                <w:sz w:val="22"/>
                <w:szCs w:val="22"/>
              </w:rPr>
              <w:t>a</w:t>
            </w:r>
            <w:r w:rsidRPr="00040AA9">
              <w:rPr>
                <w:rFonts w:ascii="Arial" w:eastAsia="Times New Roman" w:hAnsi="Arial" w:cs="Arial"/>
                <w:color w:val="000000"/>
                <w:sz w:val="22"/>
                <w:szCs w:val="22"/>
              </w:rPr>
              <w:t>per</w:t>
            </w:r>
          </w:p>
        </w:tc>
      </w:tr>
      <w:tr w:rsidR="00645B30" w:rsidRPr="009C40BB" w14:paraId="6C91552E"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03EA90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FRF</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EE8304A"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Fiscal Responsibility Framework</w:t>
            </w:r>
          </w:p>
        </w:tc>
      </w:tr>
      <w:tr w:rsidR="00645B30" w:rsidRPr="009C40BB" w14:paraId="712767FC"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E7DBEC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90D5FF7" w14:textId="537D0B68"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Financial Secretary </w:t>
            </w:r>
          </w:p>
        </w:tc>
      </w:tr>
      <w:tr w:rsidR="00645B30" w:rsidRPr="009C40BB" w14:paraId="06401266"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FCD25E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FSL</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C341CC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Fiscal Services Limited</w:t>
            </w:r>
          </w:p>
        </w:tc>
      </w:tr>
      <w:tr w:rsidR="00645B30" w:rsidRPr="009C40BB" w14:paraId="5AA33D2A"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30E9750"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FY</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1CFC41C" w14:textId="40849854"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Fiscal Year </w:t>
            </w:r>
          </w:p>
        </w:tc>
      </w:tr>
      <w:tr w:rsidR="00645B30" w:rsidRPr="009C40BB" w14:paraId="0E84EBF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36E49A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GCT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90D4E6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General Consumption Tax</w:t>
            </w:r>
          </w:p>
        </w:tc>
      </w:tr>
      <w:tr w:rsidR="00645B30" w:rsidRPr="009C40BB" w14:paraId="66CE0673"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C5CCE47"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GDP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F623D1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Gross Domestic Product</w:t>
            </w:r>
          </w:p>
        </w:tc>
      </w:tr>
      <w:tr w:rsidR="00724D45" w:rsidRPr="00CC5ABB" w14:paraId="269AE0B8"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931CF3B" w14:textId="78B09682"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GINI</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6E7D31E" w14:textId="10DAC296" w:rsidR="00724D45" w:rsidRPr="00CC5ABB" w:rsidRDefault="00724D45" w:rsidP="004142E4">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 xml:space="preserve">Measure of </w:t>
            </w:r>
            <w:r w:rsidR="0017369E" w:rsidRPr="003606E2">
              <w:rPr>
                <w:rFonts w:ascii="Arial" w:eastAsia="Times New Roman" w:hAnsi="Arial" w:cs="Arial"/>
                <w:color w:val="000000"/>
                <w:sz w:val="22"/>
                <w:szCs w:val="22"/>
              </w:rPr>
              <w:t xml:space="preserve">inequality in </w:t>
            </w:r>
            <w:r w:rsidR="004142E4" w:rsidRPr="003606E2">
              <w:rPr>
                <w:rFonts w:ascii="Arial" w:eastAsia="Times New Roman" w:hAnsi="Arial" w:cs="Arial"/>
                <w:color w:val="000000"/>
                <w:sz w:val="22"/>
                <w:szCs w:val="22"/>
              </w:rPr>
              <w:t>income</w:t>
            </w:r>
            <w:r w:rsidRPr="003606E2">
              <w:rPr>
                <w:rFonts w:ascii="Arial" w:eastAsia="Times New Roman" w:hAnsi="Arial" w:cs="Arial"/>
                <w:color w:val="000000"/>
                <w:sz w:val="22"/>
                <w:szCs w:val="22"/>
              </w:rPr>
              <w:t xml:space="preserve"> distribution (developed by </w:t>
            </w:r>
            <w:proofErr w:type="spellStart"/>
            <w:r w:rsidRPr="003606E2">
              <w:rPr>
                <w:rFonts w:ascii="Arial" w:eastAsia="Times New Roman" w:hAnsi="Arial" w:cs="Arial"/>
                <w:color w:val="000000"/>
                <w:sz w:val="22"/>
                <w:szCs w:val="22"/>
              </w:rPr>
              <w:t>Corrado</w:t>
            </w:r>
            <w:proofErr w:type="spellEnd"/>
            <w:r w:rsidRPr="003606E2">
              <w:rPr>
                <w:rFonts w:ascii="Arial" w:eastAsia="Times New Roman" w:hAnsi="Arial" w:cs="Arial"/>
                <w:color w:val="000000"/>
                <w:sz w:val="22"/>
                <w:szCs w:val="22"/>
              </w:rPr>
              <w:t xml:space="preserve"> Gini)</w:t>
            </w:r>
          </w:p>
        </w:tc>
      </w:tr>
      <w:tr w:rsidR="00645B30" w:rsidRPr="009C40BB" w14:paraId="096389E4"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8DA4FFC" w14:textId="77777777" w:rsidR="00645B30" w:rsidRPr="00040AA9" w:rsidRDefault="00645B30" w:rsidP="00040AA9">
            <w:pPr>
              <w:suppressAutoHyphens/>
              <w:rPr>
                <w:rFonts w:ascii="Arial" w:eastAsia="Times New Roman" w:hAnsi="Arial" w:cs="Arial"/>
                <w:color w:val="000000"/>
                <w:sz w:val="22"/>
                <w:szCs w:val="22"/>
              </w:rPr>
            </w:pPr>
            <w:proofErr w:type="spellStart"/>
            <w:r w:rsidRPr="00040AA9">
              <w:rPr>
                <w:rFonts w:ascii="Arial" w:eastAsia="Times New Roman" w:hAnsi="Arial" w:cs="Arial"/>
                <w:color w:val="000000"/>
                <w:sz w:val="22"/>
                <w:szCs w:val="22"/>
              </w:rPr>
              <w:t>GoJ</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A3B20BB"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Government of Jamaica</w:t>
            </w:r>
          </w:p>
        </w:tc>
      </w:tr>
      <w:tr w:rsidR="00645B30" w:rsidRPr="009C40BB" w14:paraId="1661B5D8"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AADAF2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ICA</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424E49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Initial Capital Allowance</w:t>
            </w:r>
          </w:p>
        </w:tc>
      </w:tr>
      <w:tr w:rsidR="00645B30" w:rsidRPr="009C40BB" w14:paraId="002AB77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D89DC2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IMF (FMI)</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CCFEFA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International Monetary Fund</w:t>
            </w:r>
          </w:p>
        </w:tc>
      </w:tr>
      <w:tr w:rsidR="00645B30" w:rsidRPr="009C40BB" w14:paraId="287C2AEA"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1CBF345"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IRR</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8405EA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Internal Rate of Return</w:t>
            </w:r>
          </w:p>
        </w:tc>
      </w:tr>
      <w:tr w:rsidR="00645B30" w:rsidRPr="009C40BB" w14:paraId="3CA3758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E87091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D73C041"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Information Technology</w:t>
            </w:r>
          </w:p>
        </w:tc>
      </w:tr>
      <w:tr w:rsidR="00645B30" w:rsidRPr="009C40BB" w14:paraId="50D6322D"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5DF7AF3"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JA</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97CB91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Jamaica</w:t>
            </w:r>
          </w:p>
        </w:tc>
      </w:tr>
      <w:tr w:rsidR="00645B30" w:rsidRPr="009C40BB" w14:paraId="7999D082"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44FBB5E"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JCA</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1D3E8E1" w14:textId="3D11B7DC" w:rsidR="00645B30" w:rsidRPr="00040AA9" w:rsidRDefault="00A77835"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Jamaica Custo</w:t>
            </w:r>
            <w:r w:rsidR="00645B30" w:rsidRPr="00040AA9">
              <w:rPr>
                <w:rFonts w:ascii="Arial" w:eastAsia="Times New Roman" w:hAnsi="Arial" w:cs="Arial"/>
                <w:color w:val="000000"/>
                <w:sz w:val="22"/>
                <w:szCs w:val="22"/>
              </w:rPr>
              <w:t>ms Agency</w:t>
            </w:r>
          </w:p>
        </w:tc>
      </w:tr>
      <w:tr w:rsidR="00724D45" w:rsidRPr="009C40BB" w14:paraId="47E15FB4"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F22D89" w14:textId="4E125314"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JCEP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3C99837" w14:textId="3009F325"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Jamaica Competitiveness Enhancement Program</w:t>
            </w:r>
          </w:p>
        </w:tc>
      </w:tr>
      <w:tr w:rsidR="00645B30" w:rsidRPr="009C40BB" w14:paraId="1E1712D4"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CE10417"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JUTC</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F669961"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Jamaica Urban Transit Company </w:t>
            </w:r>
          </w:p>
        </w:tc>
      </w:tr>
      <w:tr w:rsidR="00645B30" w:rsidRPr="009C40BB" w14:paraId="60578C87"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63A1AC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LTO</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E21C38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Large Taxpayer Office</w:t>
            </w:r>
          </w:p>
        </w:tc>
      </w:tr>
      <w:tr w:rsidR="00645B30" w:rsidRPr="009C40BB" w14:paraId="428E19BF"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9B6F980"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MBT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B8E70E7"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Minimum Business Tax</w:t>
            </w:r>
          </w:p>
        </w:tc>
      </w:tr>
      <w:tr w:rsidR="00724D45" w:rsidRPr="009C40BB" w14:paraId="262AFC79"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07E8755" w14:textId="7148544B"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MIS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11AA4A3" w14:textId="7ED6B442"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Management Information System</w:t>
            </w:r>
          </w:p>
        </w:tc>
      </w:tr>
      <w:tr w:rsidR="00724D45" w:rsidRPr="009C40BB" w14:paraId="71EA9732"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5A248027" w14:textId="0DCE414A"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MLSS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5553BF9" w14:textId="3CAB6A5B" w:rsidR="00724D45" w:rsidRPr="00CC5ABB" w:rsidRDefault="00724D4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Ministry of Labor and Social Security</w:t>
            </w:r>
          </w:p>
        </w:tc>
      </w:tr>
      <w:tr w:rsidR="00645B30" w:rsidRPr="009C40BB" w14:paraId="64D6942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FB74DE7" w14:textId="77777777" w:rsidR="00645B30" w:rsidRPr="00040AA9" w:rsidRDefault="00645B30" w:rsidP="00040AA9">
            <w:pPr>
              <w:suppressAutoHyphens/>
              <w:rPr>
                <w:rFonts w:ascii="Arial" w:eastAsia="Times New Roman" w:hAnsi="Arial" w:cs="Arial"/>
                <w:color w:val="000000"/>
                <w:sz w:val="22"/>
                <w:szCs w:val="22"/>
              </w:rPr>
            </w:pPr>
            <w:proofErr w:type="spellStart"/>
            <w:r w:rsidRPr="00040AA9">
              <w:rPr>
                <w:rFonts w:ascii="Arial" w:eastAsia="Times New Roman" w:hAnsi="Arial" w:cs="Arial"/>
                <w:color w:val="000000"/>
                <w:sz w:val="22"/>
                <w:szCs w:val="22"/>
              </w:rPr>
              <w:t>MoF</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63470C2" w14:textId="24C0B838" w:rsidR="00645B30" w:rsidRPr="00040AA9" w:rsidRDefault="00A77835"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Ministry</w:t>
            </w:r>
            <w:r w:rsidR="00645B30" w:rsidRPr="00040AA9">
              <w:rPr>
                <w:rFonts w:ascii="Arial" w:eastAsia="Times New Roman" w:hAnsi="Arial" w:cs="Arial"/>
                <w:color w:val="000000"/>
                <w:sz w:val="22"/>
                <w:szCs w:val="22"/>
              </w:rPr>
              <w:t xml:space="preserve"> of Finance</w:t>
            </w:r>
          </w:p>
        </w:tc>
      </w:tr>
      <w:tr w:rsidR="001B285B" w:rsidRPr="009C40BB" w14:paraId="33C26B15"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16FE4F32" w14:textId="155CCFEC"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MTO</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30FF64" w14:textId="24A14171"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Medium Taxpayer Office</w:t>
            </w:r>
          </w:p>
        </w:tc>
      </w:tr>
      <w:tr w:rsidR="001B285B" w:rsidRPr="009C40BB" w14:paraId="3E094B52"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492D09B" w14:textId="59584213"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NCB</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59AB31" w14:textId="29EBAB52"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 xml:space="preserve">National Commercial Bank Jamaica Ltd. </w:t>
            </w:r>
          </w:p>
        </w:tc>
      </w:tr>
      <w:tr w:rsidR="001B285B" w:rsidRPr="009C40BB" w14:paraId="105DB069"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59B5E70" w14:textId="51182927"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NHT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4829367" w14:textId="26EF9822"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National Housing Trust</w:t>
            </w:r>
          </w:p>
        </w:tc>
      </w:tr>
      <w:tr w:rsidR="001B285B" w:rsidRPr="009C40BB" w14:paraId="3EB3DD5F"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5456563" w14:textId="50AC1775"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NIDS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24F7E7B" w14:textId="750CCBCD"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National Identification System</w:t>
            </w:r>
          </w:p>
        </w:tc>
      </w:tr>
      <w:tr w:rsidR="00645B30" w:rsidRPr="009C40BB" w14:paraId="0B612781"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540513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NIF</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F77A0D0"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National Insurance Fund</w:t>
            </w:r>
          </w:p>
        </w:tc>
      </w:tr>
      <w:tr w:rsidR="001B285B" w:rsidRPr="009C40BB" w14:paraId="78893449"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352E78" w14:textId="764FDD52"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NIS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8448AAE" w14:textId="70EA7BE9"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National Insurance Scheme</w:t>
            </w:r>
          </w:p>
        </w:tc>
      </w:tr>
      <w:tr w:rsidR="00645B30" w:rsidRPr="009C40BB" w14:paraId="2F7E438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2A7D71F"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NIS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BF48AD1"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National Insurance Scheme</w:t>
            </w:r>
          </w:p>
        </w:tc>
      </w:tr>
      <w:tr w:rsidR="00645B30" w:rsidRPr="009C40BB" w14:paraId="751AF4A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9F05B98"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NPV</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4F6A4BF"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Net Present Value</w:t>
            </w:r>
          </w:p>
        </w:tc>
      </w:tr>
      <w:tr w:rsidR="001E3283" w:rsidRPr="009C40BB" w14:paraId="6F569703"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5E920EE" w14:textId="6D94696F" w:rsidR="001E3283" w:rsidRPr="00040AA9" w:rsidRDefault="001E3283"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NSFPB</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A12007" w14:textId="51CC286C" w:rsidR="001E3283" w:rsidRPr="00040AA9" w:rsidRDefault="001E3283"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Non-Self-Financing Public Body</w:t>
            </w:r>
          </w:p>
        </w:tc>
      </w:tr>
      <w:tr w:rsidR="00645B30" w:rsidRPr="009C40BB" w14:paraId="2716CAF8"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628662A"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NWC</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6E4156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National Water Commission </w:t>
            </w:r>
          </w:p>
        </w:tc>
      </w:tr>
      <w:tr w:rsidR="00CC1FCD" w:rsidRPr="009C40BB" w14:paraId="1E5D4C8B"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607DEB8" w14:textId="19EE848A" w:rsidR="00CC1FCD" w:rsidRPr="00040AA9" w:rsidRDefault="00CC1FCD"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OEL</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6F7E01A" w14:textId="1E725445" w:rsidR="00CC1FCD" w:rsidRPr="00040AA9" w:rsidRDefault="00CC1FCD"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Optional Electronic Link</w:t>
            </w:r>
          </w:p>
        </w:tc>
      </w:tr>
      <w:tr w:rsidR="00645B30" w:rsidRPr="009C40BB" w14:paraId="6490C2C4"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07553F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OI</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022728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Operation Implementation (TC program)</w:t>
            </w:r>
          </w:p>
        </w:tc>
      </w:tr>
      <w:tr w:rsidR="00645B30" w:rsidRPr="009C40BB" w14:paraId="087A1DB9"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08CC09B"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PATH</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2C5C742" w14:textId="4595CBC4"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Program of Advancement </w:t>
            </w:r>
            <w:r w:rsidR="00A77835" w:rsidRPr="00040AA9">
              <w:rPr>
                <w:rFonts w:ascii="Arial" w:eastAsia="Times New Roman" w:hAnsi="Arial" w:cs="Arial"/>
                <w:color w:val="000000"/>
                <w:sz w:val="22"/>
                <w:szCs w:val="22"/>
              </w:rPr>
              <w:t>Through</w:t>
            </w:r>
            <w:r w:rsidRPr="00040AA9">
              <w:rPr>
                <w:rFonts w:ascii="Arial" w:eastAsia="Times New Roman" w:hAnsi="Arial" w:cs="Arial"/>
                <w:color w:val="000000"/>
                <w:sz w:val="22"/>
                <w:szCs w:val="22"/>
              </w:rPr>
              <w:t xml:space="preserve"> Health and Education (MLSS)</w:t>
            </w:r>
          </w:p>
        </w:tc>
      </w:tr>
      <w:tr w:rsidR="00645B30" w:rsidRPr="009C40BB" w14:paraId="7FE1184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FD3078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PAYE</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DD42D77" w14:textId="49C9BF9F"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Pay as You Earn (</w:t>
            </w:r>
            <w:r w:rsidR="00A77835" w:rsidRPr="00040AA9">
              <w:rPr>
                <w:rFonts w:ascii="Arial" w:eastAsia="Times New Roman" w:hAnsi="Arial" w:cs="Arial"/>
                <w:color w:val="000000"/>
                <w:sz w:val="22"/>
                <w:szCs w:val="22"/>
              </w:rPr>
              <w:t>withholding</w:t>
            </w:r>
            <w:r w:rsidRPr="00040AA9">
              <w:rPr>
                <w:rFonts w:ascii="Arial" w:eastAsia="Times New Roman" w:hAnsi="Arial" w:cs="Arial"/>
                <w:color w:val="000000"/>
                <w:sz w:val="22"/>
                <w:szCs w:val="22"/>
              </w:rPr>
              <w:t xml:space="preserve"> tax on salaried income)</w:t>
            </w:r>
          </w:p>
        </w:tc>
      </w:tr>
      <w:tr w:rsidR="00645B30" w:rsidRPr="009C40BB" w14:paraId="59636996"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96C505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PB</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B536556" w14:textId="1EB70754"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 xml:space="preserve">Public </w:t>
            </w:r>
            <w:r w:rsidR="000A4CC5">
              <w:rPr>
                <w:rFonts w:ascii="Arial" w:eastAsia="Times New Roman" w:hAnsi="Arial" w:cs="Arial"/>
                <w:color w:val="000000"/>
                <w:sz w:val="22"/>
                <w:szCs w:val="22"/>
              </w:rPr>
              <w:t>Body</w:t>
            </w:r>
          </w:p>
        </w:tc>
      </w:tr>
      <w:tr w:rsidR="00645B30" w:rsidRPr="009C40BB" w14:paraId="348AFDD8"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5D6750F"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PBL</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F55AAED"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Policy Based Loan</w:t>
            </w:r>
          </w:p>
        </w:tc>
      </w:tr>
      <w:tr w:rsidR="00645B30" w:rsidRPr="009C40BB" w14:paraId="4405CF07"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33926B4"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PBP</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28E9C0F"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Policy Based Program</w:t>
            </w:r>
          </w:p>
        </w:tc>
      </w:tr>
      <w:tr w:rsidR="00645B30" w:rsidRPr="009C40BB" w14:paraId="6D2AA067"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DE428BE"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PCR</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4FBDBC3"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Project Completion Report</w:t>
            </w:r>
          </w:p>
        </w:tc>
      </w:tr>
      <w:tr w:rsidR="00645B30" w:rsidRPr="009C40BB" w14:paraId="78ADE06B"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7588416"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PED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9CFEC6D" w14:textId="6EA0F548"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Public Enterprises Division</w:t>
            </w:r>
          </w:p>
        </w:tc>
      </w:tr>
      <w:tr w:rsidR="00645B30" w:rsidRPr="009C40BB" w14:paraId="7A0326D9"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1876C5F"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PIT</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35549F6"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Personal Income Tax</w:t>
            </w:r>
          </w:p>
        </w:tc>
      </w:tr>
      <w:tr w:rsidR="00645B30" w:rsidRPr="009C40BB" w14:paraId="3272FF2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5F653C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PPS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35F927A7"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Pension Payment System</w:t>
            </w:r>
          </w:p>
        </w:tc>
      </w:tr>
      <w:tr w:rsidR="00645B30" w:rsidRPr="009C40BB" w14:paraId="276053B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0B3013E"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E434FFB"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Permanent Secretary</w:t>
            </w:r>
          </w:p>
        </w:tc>
      </w:tr>
      <w:tr w:rsidR="00D47144" w:rsidRPr="009C40BB" w14:paraId="7F4343A1"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67BB1ABA" w14:textId="5AB7B99E" w:rsidR="00D47144" w:rsidRPr="003606E2" w:rsidRDefault="00D47144"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PTL</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0FFD30BC" w14:textId="3F52C2A8" w:rsidR="00D47144" w:rsidRPr="003606E2" w:rsidRDefault="00D47144"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Project Team Leader</w:t>
            </w:r>
          </w:p>
        </w:tc>
      </w:tr>
      <w:tr w:rsidR="001B285B" w:rsidRPr="009C40BB" w14:paraId="15350B83"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5773D90" w14:textId="6F683B25" w:rsidR="001B285B" w:rsidRPr="006D06F7" w:rsidRDefault="001B285B" w:rsidP="00040AA9">
            <w:pPr>
              <w:suppressAutoHyphens/>
              <w:rPr>
                <w:rFonts w:ascii="Arial" w:eastAsia="Times New Roman" w:hAnsi="Arial" w:cs="Arial"/>
                <w:color w:val="000000"/>
                <w:sz w:val="22"/>
                <w:szCs w:val="22"/>
              </w:rPr>
            </w:pPr>
            <w:proofErr w:type="spellStart"/>
            <w:r w:rsidRPr="003606E2">
              <w:rPr>
                <w:rFonts w:ascii="Arial" w:eastAsia="Times New Roman" w:hAnsi="Arial" w:cs="Arial"/>
                <w:color w:val="000000"/>
                <w:sz w:val="22"/>
                <w:szCs w:val="22"/>
              </w:rPr>
              <w:t>RAiS</w:t>
            </w:r>
            <w:proofErr w:type="spellEnd"/>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3A8180C0" w14:textId="0CB1F866" w:rsidR="001B285B" w:rsidRPr="006D06F7" w:rsidRDefault="001B285B"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Revenue Administration Information System (of the TAJ)</w:t>
            </w:r>
          </w:p>
        </w:tc>
      </w:tr>
      <w:tr w:rsidR="00645B30" w:rsidRPr="009C40BB" w14:paraId="6A75DB3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F075830"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RM</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7CEFABC"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Results Matrix</w:t>
            </w:r>
          </w:p>
        </w:tc>
      </w:tr>
      <w:tr w:rsidR="00645B30" w:rsidRPr="009C40BB" w14:paraId="4B67A499"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6676316"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SBA</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7510CE0"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Stand-By Agreement (of the IMF)</w:t>
            </w:r>
          </w:p>
        </w:tc>
      </w:tr>
      <w:tr w:rsidR="001E3283" w:rsidRPr="009C40BB" w14:paraId="09BAFCB2"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7BFFE118" w14:textId="0248FC62" w:rsidR="001E3283" w:rsidRPr="00040AA9" w:rsidRDefault="001E3283"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SFPB</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26B4ECE" w14:textId="44157160" w:rsidR="001E3283" w:rsidRPr="00040AA9" w:rsidRDefault="001E3283" w:rsidP="00040AA9">
            <w:pPr>
              <w:suppressAutoHyphens/>
              <w:rPr>
                <w:rFonts w:ascii="Arial" w:eastAsia="Times New Roman" w:hAnsi="Arial" w:cs="Arial"/>
                <w:color w:val="000000"/>
                <w:sz w:val="22"/>
                <w:szCs w:val="22"/>
              </w:rPr>
            </w:pPr>
            <w:r>
              <w:rPr>
                <w:rFonts w:ascii="Arial" w:eastAsia="Times New Roman" w:hAnsi="Arial" w:cs="Arial"/>
                <w:color w:val="000000"/>
                <w:sz w:val="22"/>
                <w:szCs w:val="22"/>
              </w:rPr>
              <w:t>Self-Financing Public Body</w:t>
            </w:r>
          </w:p>
        </w:tc>
      </w:tr>
      <w:tr w:rsidR="00645B30" w:rsidRPr="009C40BB" w14:paraId="357359FF"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62225666"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SLA</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A597892"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Service Level Agreement</w:t>
            </w:r>
          </w:p>
        </w:tc>
      </w:tr>
      <w:tr w:rsidR="00645B30" w:rsidRPr="009C40BB" w14:paraId="0EF26543"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5506720"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SO2</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8910826"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Employers annual NIS return</w:t>
            </w:r>
          </w:p>
        </w:tc>
      </w:tr>
      <w:tr w:rsidR="00645B30" w:rsidRPr="009C40BB" w14:paraId="1F053EE5"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4236B73"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TAJ</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DDDBF6A"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Tax Administration Jamaica</w:t>
            </w:r>
          </w:p>
        </w:tc>
      </w:tr>
      <w:tr w:rsidR="00645B30" w:rsidRPr="009C40BB" w14:paraId="609F45B4"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74A948F"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TC</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33202B8"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Technical Cooperation</w:t>
            </w:r>
          </w:p>
        </w:tc>
      </w:tr>
      <w:tr w:rsidR="00645B30" w:rsidRPr="009C40BB" w14:paraId="696ED2DA"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941E3C7"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TRN</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FCC3DE1" w14:textId="5596E081" w:rsidR="00645B30" w:rsidRPr="00040AA9" w:rsidRDefault="00A77835"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Taxpayer R</w:t>
            </w:r>
            <w:r w:rsidR="00645B30" w:rsidRPr="00040AA9">
              <w:rPr>
                <w:rFonts w:ascii="Arial" w:eastAsia="Times New Roman" w:hAnsi="Arial" w:cs="Arial"/>
                <w:color w:val="000000"/>
                <w:sz w:val="22"/>
                <w:szCs w:val="22"/>
              </w:rPr>
              <w:t>egistration Number</w:t>
            </w:r>
          </w:p>
        </w:tc>
      </w:tr>
      <w:tr w:rsidR="00645B30" w:rsidRPr="009C40BB" w14:paraId="4BAC0230" w14:textId="77777777" w:rsidTr="00645B30">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B9BE789"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UIS</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70E53A8" w14:textId="77777777" w:rsidR="00645B30" w:rsidRPr="00040AA9" w:rsidRDefault="00645B30" w:rsidP="00040AA9">
            <w:pPr>
              <w:suppressAutoHyphens/>
              <w:rPr>
                <w:rFonts w:ascii="Arial" w:eastAsia="Times New Roman" w:hAnsi="Arial" w:cs="Arial"/>
                <w:color w:val="000000"/>
                <w:sz w:val="22"/>
                <w:szCs w:val="22"/>
              </w:rPr>
            </w:pPr>
            <w:r w:rsidRPr="00040AA9">
              <w:rPr>
                <w:rFonts w:ascii="Arial" w:eastAsia="Times New Roman" w:hAnsi="Arial" w:cs="Arial"/>
                <w:color w:val="000000"/>
                <w:sz w:val="22"/>
                <w:szCs w:val="22"/>
              </w:rPr>
              <w:t>Update to the Institutional Strategy</w:t>
            </w:r>
          </w:p>
        </w:tc>
      </w:tr>
      <w:tr w:rsidR="008E0515" w:rsidRPr="009C40BB" w14:paraId="1462B2BF"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0DCC115" w14:textId="7665214B" w:rsidR="008E0515" w:rsidRPr="006D06F7" w:rsidRDefault="008E051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UNCTAD</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FE80DB5" w14:textId="20BB28EB" w:rsidR="008E0515" w:rsidRPr="006D06F7" w:rsidRDefault="008E051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United Nations Conference on Trade and Development</w:t>
            </w:r>
          </w:p>
        </w:tc>
      </w:tr>
      <w:tr w:rsidR="008E0515" w:rsidRPr="009C40BB" w14:paraId="318218FA" w14:textId="77777777" w:rsidTr="00040AA9">
        <w:trPr>
          <w:trHeight w:val="320"/>
        </w:trPr>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297002A2" w14:textId="471D7DC9" w:rsidR="008E0515" w:rsidRPr="006D06F7" w:rsidRDefault="008E051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WG</w:t>
            </w:r>
          </w:p>
        </w:tc>
        <w:tc>
          <w:tcPr>
            <w:tcW w:w="0" w:type="auto"/>
            <w:tcBorders>
              <w:top w:val="nil"/>
              <w:left w:val="nil"/>
              <w:bottom w:val="nil"/>
              <w:right w:val="nil"/>
            </w:tcBorders>
            <w:shd w:val="clear" w:color="auto" w:fill="auto"/>
            <w:noWrap/>
            <w:tcMar>
              <w:top w:w="15" w:type="dxa"/>
              <w:left w:w="15" w:type="dxa"/>
              <w:bottom w:w="0" w:type="dxa"/>
              <w:right w:w="15" w:type="dxa"/>
            </w:tcMar>
            <w:vAlign w:val="bottom"/>
          </w:tcPr>
          <w:p w14:paraId="4921D200" w14:textId="516F6D9F" w:rsidR="008E0515" w:rsidRPr="006D06F7" w:rsidRDefault="008E0515" w:rsidP="00040AA9">
            <w:pPr>
              <w:suppressAutoHyphens/>
              <w:rPr>
                <w:rFonts w:ascii="Arial" w:eastAsia="Times New Roman" w:hAnsi="Arial" w:cs="Arial"/>
                <w:color w:val="000000"/>
                <w:sz w:val="22"/>
                <w:szCs w:val="22"/>
              </w:rPr>
            </w:pPr>
            <w:r w:rsidRPr="003606E2">
              <w:rPr>
                <w:rFonts w:ascii="Arial" w:eastAsia="Times New Roman" w:hAnsi="Arial" w:cs="Arial"/>
                <w:color w:val="000000"/>
                <w:sz w:val="22"/>
                <w:szCs w:val="22"/>
              </w:rPr>
              <w:t>Working Group</w:t>
            </w:r>
          </w:p>
        </w:tc>
      </w:tr>
    </w:tbl>
    <w:p w14:paraId="40FDEBD0" w14:textId="6704F387" w:rsidR="007B1A36" w:rsidRDefault="00645B30" w:rsidP="00040AA9">
      <w:pPr>
        <w:suppressAutoHyphens/>
        <w:spacing w:after="200" w:line="276" w:lineRule="auto"/>
        <w:rPr>
          <w:rFonts w:eastAsia="Times New Roman" w:cs="Arial"/>
          <w:b/>
          <w:bCs/>
        </w:rPr>
      </w:pPr>
      <w:r>
        <w:rPr>
          <w:rFonts w:eastAsia="Times New Roman" w:cs="Arial"/>
          <w:b/>
          <w:bCs/>
        </w:rPr>
        <w:t xml:space="preserve"> </w:t>
      </w:r>
      <w:r w:rsidR="007B1A36">
        <w:rPr>
          <w:rFonts w:eastAsia="Times New Roman" w:cs="Arial"/>
          <w:b/>
          <w:bCs/>
        </w:rPr>
        <w:br w:type="page"/>
      </w:r>
    </w:p>
    <w:p w14:paraId="684C6E71" w14:textId="77777777" w:rsidR="009B4D7A" w:rsidRDefault="009B4D7A" w:rsidP="00040AA9">
      <w:pPr>
        <w:pStyle w:val="Heading1"/>
        <w:keepNext w:val="0"/>
        <w:keepLines w:val="0"/>
        <w:numPr>
          <w:ilvl w:val="0"/>
          <w:numId w:val="0"/>
        </w:numPr>
        <w:suppressAutoHyphens/>
        <w:jc w:val="center"/>
        <w:rPr>
          <w:rFonts w:ascii="Arial Black" w:hAnsi="Arial Black" w:cs="Arial"/>
          <w:smallCaps/>
          <w:color w:val="5F7D96"/>
          <w:sz w:val="26"/>
          <w:szCs w:val="26"/>
        </w:rPr>
      </w:pPr>
      <w:bookmarkStart w:id="4" w:name="_Toc469493889"/>
      <w:r>
        <w:rPr>
          <w:rFonts w:ascii="Arial Black" w:hAnsi="Arial Black" w:cs="Arial"/>
          <w:smallCaps/>
          <w:color w:val="5F7D96"/>
          <w:sz w:val="26"/>
          <w:szCs w:val="26"/>
        </w:rPr>
        <w:t>Basic Information (US$ Amount)</w:t>
      </w:r>
      <w:bookmarkEnd w:id="4"/>
    </w:p>
    <w:tbl>
      <w:tblPr>
        <w:tblStyle w:val="TableGrid"/>
        <w:tblW w:w="9627" w:type="dxa"/>
        <w:tblInd w:w="113" w:type="dxa"/>
        <w:tblBorders>
          <w:insideH w:val="none" w:sz="0" w:space="0" w:color="auto"/>
          <w:insideV w:val="none" w:sz="0" w:space="0" w:color="auto"/>
        </w:tblBorders>
        <w:tblLayout w:type="fixed"/>
        <w:tblLook w:val="04A0" w:firstRow="1" w:lastRow="0" w:firstColumn="1" w:lastColumn="0" w:noHBand="0" w:noVBand="1"/>
      </w:tblPr>
      <w:tblGrid>
        <w:gridCol w:w="4945"/>
        <w:gridCol w:w="1530"/>
        <w:gridCol w:w="1530"/>
        <w:gridCol w:w="1622"/>
      </w:tblGrid>
      <w:tr w:rsidR="00FC1E08" w:rsidRPr="009C40BB" w14:paraId="44A3DA18" w14:textId="77777777" w:rsidTr="002270C4">
        <w:trPr>
          <w:trHeight w:val="251"/>
        </w:trPr>
        <w:tc>
          <w:tcPr>
            <w:tcW w:w="9627" w:type="dxa"/>
            <w:gridSpan w:val="4"/>
            <w:tcBorders>
              <w:top w:val="single" w:sz="4" w:space="0" w:color="auto"/>
              <w:left w:val="single" w:sz="4" w:space="0" w:color="auto"/>
              <w:bottom w:val="nil"/>
              <w:right w:val="single" w:sz="4" w:space="0" w:color="auto"/>
            </w:tcBorders>
            <w:shd w:val="clear" w:color="auto" w:fill="DBE5F1" w:themeFill="accent1" w:themeFillTint="33"/>
          </w:tcPr>
          <w:p w14:paraId="5735C3C2" w14:textId="6D1B8E4D" w:rsidR="00FC1E08" w:rsidRPr="00040AA9" w:rsidRDefault="00FC1E08" w:rsidP="00040AA9">
            <w:pPr>
              <w:suppressAutoHyphens/>
              <w:rPr>
                <w:rFonts w:ascii="Arial" w:hAnsi="Arial" w:cs="Arial"/>
                <w:bCs/>
                <w:smallCaps/>
                <w:sz w:val="20"/>
                <w:szCs w:val="20"/>
              </w:rPr>
            </w:pPr>
            <w:r w:rsidRPr="00040AA9">
              <w:rPr>
                <w:rFonts w:ascii="Arial" w:hAnsi="Arial" w:cs="Arial"/>
                <w:bCs/>
                <w:smallCaps/>
                <w:sz w:val="20"/>
                <w:szCs w:val="20"/>
              </w:rPr>
              <w:t>Project number (s): JA-L1038, JA-L1051, and JA-L1055</w:t>
            </w:r>
          </w:p>
        </w:tc>
      </w:tr>
      <w:tr w:rsidR="00FC1E08" w:rsidRPr="009C40BB" w14:paraId="63A8733B" w14:textId="77777777" w:rsidTr="002270C4">
        <w:trPr>
          <w:trHeight w:val="243"/>
        </w:trPr>
        <w:tc>
          <w:tcPr>
            <w:tcW w:w="9627" w:type="dxa"/>
            <w:gridSpan w:val="4"/>
            <w:tcBorders>
              <w:top w:val="nil"/>
              <w:left w:val="single" w:sz="4" w:space="0" w:color="auto"/>
              <w:bottom w:val="nil"/>
              <w:right w:val="single" w:sz="4" w:space="0" w:color="auto"/>
            </w:tcBorders>
            <w:shd w:val="clear" w:color="auto" w:fill="DBE5F1" w:themeFill="accent1" w:themeFillTint="33"/>
          </w:tcPr>
          <w:p w14:paraId="5CF2A4C8" w14:textId="07A261C2"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Title: Fiscal Structural Program for Economic Growth</w:t>
            </w:r>
          </w:p>
        </w:tc>
      </w:tr>
      <w:tr w:rsidR="00FC1E08" w:rsidRPr="009C40BB" w14:paraId="173C1B01" w14:textId="77777777" w:rsidTr="002270C4">
        <w:tc>
          <w:tcPr>
            <w:tcW w:w="9627" w:type="dxa"/>
            <w:gridSpan w:val="4"/>
            <w:tcBorders>
              <w:top w:val="nil"/>
              <w:left w:val="single" w:sz="4" w:space="0" w:color="auto"/>
              <w:bottom w:val="nil"/>
              <w:right w:val="single" w:sz="4" w:space="0" w:color="auto"/>
            </w:tcBorders>
            <w:shd w:val="clear" w:color="auto" w:fill="DBE5F1" w:themeFill="accent1" w:themeFillTint="33"/>
          </w:tcPr>
          <w:p w14:paraId="505991D3" w14:textId="6E212081"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 xml:space="preserve">Lending Instrument: Policy Based Loans (PBLs) </w:t>
            </w:r>
          </w:p>
        </w:tc>
      </w:tr>
      <w:tr w:rsidR="00FC1E08" w:rsidRPr="009C40BB" w14:paraId="1C3C1A1D" w14:textId="77777777" w:rsidTr="002270C4">
        <w:trPr>
          <w:trHeight w:val="243"/>
        </w:trPr>
        <w:tc>
          <w:tcPr>
            <w:tcW w:w="9627" w:type="dxa"/>
            <w:gridSpan w:val="4"/>
            <w:tcBorders>
              <w:top w:val="nil"/>
              <w:left w:val="single" w:sz="4" w:space="0" w:color="auto"/>
              <w:bottom w:val="nil"/>
              <w:right w:val="single" w:sz="4" w:space="0" w:color="auto"/>
            </w:tcBorders>
            <w:shd w:val="clear" w:color="auto" w:fill="DBE5F1" w:themeFill="accent1" w:themeFillTint="33"/>
          </w:tcPr>
          <w:p w14:paraId="77E4B68C" w14:textId="0E7325E9"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Country: Jamaica</w:t>
            </w:r>
          </w:p>
        </w:tc>
      </w:tr>
      <w:tr w:rsidR="00FC1E08" w:rsidRPr="009C40BB" w14:paraId="6A51B4C6" w14:textId="77777777" w:rsidTr="002270C4">
        <w:tc>
          <w:tcPr>
            <w:tcW w:w="9627" w:type="dxa"/>
            <w:gridSpan w:val="4"/>
            <w:tcBorders>
              <w:top w:val="nil"/>
              <w:left w:val="single" w:sz="4" w:space="0" w:color="auto"/>
              <w:bottom w:val="nil"/>
              <w:right w:val="single" w:sz="4" w:space="0" w:color="auto"/>
            </w:tcBorders>
            <w:shd w:val="clear" w:color="auto" w:fill="DBE5F1" w:themeFill="accent1" w:themeFillTint="33"/>
          </w:tcPr>
          <w:p w14:paraId="48C28AC0" w14:textId="025FCBE1"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Borrower: Government of Jamaica</w:t>
            </w:r>
          </w:p>
        </w:tc>
      </w:tr>
      <w:tr w:rsidR="002270C4" w:rsidRPr="009C40BB" w14:paraId="65924C21" w14:textId="679EEC09"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5B9105A4" w14:textId="5AB9D99D"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 xml:space="preserve">Loan (s):, </w:t>
            </w:r>
          </w:p>
        </w:tc>
        <w:tc>
          <w:tcPr>
            <w:tcW w:w="1530" w:type="dxa"/>
            <w:tcBorders>
              <w:top w:val="nil"/>
              <w:left w:val="single" w:sz="4" w:space="0" w:color="auto"/>
              <w:bottom w:val="nil"/>
              <w:right w:val="single" w:sz="4" w:space="0" w:color="auto"/>
            </w:tcBorders>
            <w:shd w:val="clear" w:color="auto" w:fill="DBE5F1" w:themeFill="accent1" w:themeFillTint="33"/>
          </w:tcPr>
          <w:p w14:paraId="3C96B78E" w14:textId="0206CD90" w:rsidR="00FC1E08" w:rsidRPr="00040AA9" w:rsidRDefault="008E348B" w:rsidP="00040AA9">
            <w:pPr>
              <w:suppressAutoHyphens/>
              <w:jc w:val="center"/>
              <w:rPr>
                <w:rFonts w:ascii="Arial" w:hAnsi="Arial" w:cs="Arial"/>
                <w:smallCaps/>
                <w:sz w:val="20"/>
                <w:szCs w:val="20"/>
              </w:rPr>
            </w:pPr>
            <w:r w:rsidRPr="00040AA9">
              <w:rPr>
                <w:rFonts w:ascii="Arial" w:hAnsi="Arial" w:cs="Arial"/>
                <w:smallCaps/>
                <w:sz w:val="20"/>
                <w:szCs w:val="20"/>
              </w:rPr>
              <w:t>3148/OC-JA</w:t>
            </w:r>
          </w:p>
        </w:tc>
        <w:tc>
          <w:tcPr>
            <w:tcW w:w="1530" w:type="dxa"/>
            <w:tcBorders>
              <w:top w:val="nil"/>
              <w:left w:val="single" w:sz="4" w:space="0" w:color="auto"/>
              <w:bottom w:val="nil"/>
              <w:right w:val="single" w:sz="4" w:space="0" w:color="auto"/>
            </w:tcBorders>
            <w:shd w:val="clear" w:color="auto" w:fill="DBE5F1" w:themeFill="accent1" w:themeFillTint="33"/>
          </w:tcPr>
          <w:p w14:paraId="0BA12488" w14:textId="26DE48E8" w:rsidR="00FC1E08" w:rsidRPr="00040AA9" w:rsidRDefault="008E348B" w:rsidP="00040AA9">
            <w:pPr>
              <w:suppressAutoHyphens/>
              <w:jc w:val="center"/>
              <w:rPr>
                <w:rFonts w:ascii="Arial" w:hAnsi="Arial" w:cs="Arial"/>
                <w:smallCaps/>
                <w:sz w:val="20"/>
                <w:szCs w:val="20"/>
              </w:rPr>
            </w:pPr>
            <w:r w:rsidRPr="00040AA9">
              <w:rPr>
                <w:rFonts w:ascii="Arial" w:hAnsi="Arial" w:cs="Arial"/>
                <w:smallCaps/>
                <w:sz w:val="20"/>
                <w:szCs w:val="20"/>
              </w:rPr>
              <w:t>3511/OC-JA</w:t>
            </w:r>
          </w:p>
        </w:tc>
        <w:tc>
          <w:tcPr>
            <w:tcW w:w="1622" w:type="dxa"/>
            <w:tcBorders>
              <w:top w:val="nil"/>
              <w:left w:val="single" w:sz="4" w:space="0" w:color="auto"/>
              <w:bottom w:val="nil"/>
              <w:right w:val="single" w:sz="4" w:space="0" w:color="auto"/>
            </w:tcBorders>
            <w:shd w:val="clear" w:color="auto" w:fill="DBE5F1" w:themeFill="accent1" w:themeFillTint="33"/>
          </w:tcPr>
          <w:p w14:paraId="56D2025D" w14:textId="389FC333" w:rsidR="00FC1E08" w:rsidRPr="00040AA9" w:rsidRDefault="008E348B" w:rsidP="00040AA9">
            <w:pPr>
              <w:suppressAutoHyphens/>
              <w:jc w:val="center"/>
              <w:rPr>
                <w:rFonts w:ascii="Arial" w:hAnsi="Arial" w:cs="Arial"/>
                <w:smallCaps/>
                <w:sz w:val="20"/>
                <w:szCs w:val="20"/>
              </w:rPr>
            </w:pPr>
            <w:r w:rsidRPr="00040AA9">
              <w:rPr>
                <w:rFonts w:ascii="Arial" w:hAnsi="Arial" w:cs="Arial"/>
                <w:smallCaps/>
                <w:sz w:val="20"/>
                <w:szCs w:val="20"/>
              </w:rPr>
              <w:t>3880/OC-JA</w:t>
            </w:r>
          </w:p>
        </w:tc>
      </w:tr>
      <w:tr w:rsidR="002270C4" w:rsidRPr="009C40BB" w14:paraId="0AE73FE1" w14:textId="51B1959B"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387F68E1" w14:textId="2D6D08A9"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Sector/Subsector:</w:t>
            </w:r>
            <w:r w:rsidR="00177134" w:rsidRPr="00040AA9">
              <w:rPr>
                <w:rFonts w:ascii="Arial" w:hAnsi="Arial" w:cs="Arial"/>
                <w:smallCaps/>
                <w:sz w:val="20"/>
                <w:szCs w:val="20"/>
              </w:rPr>
              <w:t xml:space="preserve"> IFD/FMM - Fiscal Management </w:t>
            </w:r>
          </w:p>
        </w:tc>
        <w:tc>
          <w:tcPr>
            <w:tcW w:w="1530" w:type="dxa"/>
            <w:tcBorders>
              <w:top w:val="nil"/>
              <w:left w:val="single" w:sz="4" w:space="0" w:color="auto"/>
              <w:bottom w:val="nil"/>
              <w:right w:val="single" w:sz="4" w:space="0" w:color="auto"/>
            </w:tcBorders>
            <w:shd w:val="clear" w:color="auto" w:fill="DBE5F1" w:themeFill="accent1" w:themeFillTint="33"/>
          </w:tcPr>
          <w:p w14:paraId="659AED22" w14:textId="77777777" w:rsidR="00FC1E08" w:rsidRPr="00040AA9" w:rsidRDefault="00FC1E08" w:rsidP="00040AA9">
            <w:pPr>
              <w:suppressAutoHyphens/>
              <w:rPr>
                <w:rFonts w:ascii="Arial" w:hAnsi="Arial" w:cs="Arial"/>
                <w:smallCaps/>
                <w:sz w:val="20"/>
                <w:szCs w:val="20"/>
              </w:rPr>
            </w:pPr>
          </w:p>
        </w:tc>
        <w:tc>
          <w:tcPr>
            <w:tcW w:w="1530" w:type="dxa"/>
            <w:tcBorders>
              <w:top w:val="nil"/>
              <w:left w:val="single" w:sz="4" w:space="0" w:color="auto"/>
              <w:bottom w:val="nil"/>
              <w:right w:val="single" w:sz="4" w:space="0" w:color="auto"/>
            </w:tcBorders>
            <w:shd w:val="clear" w:color="auto" w:fill="DBE5F1" w:themeFill="accent1" w:themeFillTint="33"/>
          </w:tcPr>
          <w:p w14:paraId="522D8FD4" w14:textId="77777777" w:rsidR="00FC1E08" w:rsidRPr="00040AA9" w:rsidRDefault="00FC1E08" w:rsidP="00040AA9">
            <w:pPr>
              <w:suppressAutoHyphens/>
              <w:rPr>
                <w:rFonts w:ascii="Arial" w:hAnsi="Arial" w:cs="Arial"/>
                <w:smallCaps/>
                <w:sz w:val="20"/>
                <w:szCs w:val="20"/>
              </w:rPr>
            </w:pPr>
          </w:p>
        </w:tc>
        <w:tc>
          <w:tcPr>
            <w:tcW w:w="1622" w:type="dxa"/>
            <w:tcBorders>
              <w:top w:val="nil"/>
              <w:left w:val="single" w:sz="4" w:space="0" w:color="auto"/>
              <w:bottom w:val="nil"/>
              <w:right w:val="single" w:sz="4" w:space="0" w:color="auto"/>
            </w:tcBorders>
            <w:shd w:val="clear" w:color="auto" w:fill="DBE5F1" w:themeFill="accent1" w:themeFillTint="33"/>
          </w:tcPr>
          <w:p w14:paraId="24C543C3" w14:textId="77777777" w:rsidR="00FC1E08" w:rsidRPr="00040AA9" w:rsidRDefault="00FC1E08" w:rsidP="00040AA9">
            <w:pPr>
              <w:suppressAutoHyphens/>
              <w:rPr>
                <w:rFonts w:ascii="Arial" w:hAnsi="Arial" w:cs="Arial"/>
                <w:smallCaps/>
                <w:sz w:val="20"/>
                <w:szCs w:val="20"/>
              </w:rPr>
            </w:pPr>
          </w:p>
        </w:tc>
      </w:tr>
      <w:tr w:rsidR="002270C4" w:rsidRPr="009C40BB" w14:paraId="2BB04595" w14:textId="3EC54B42" w:rsidTr="002270C4">
        <w:tc>
          <w:tcPr>
            <w:tcW w:w="4945" w:type="dxa"/>
            <w:tcBorders>
              <w:top w:val="nil"/>
              <w:left w:val="single" w:sz="4" w:space="0" w:color="auto"/>
              <w:bottom w:val="nil"/>
              <w:right w:val="single" w:sz="4" w:space="0" w:color="auto"/>
            </w:tcBorders>
          </w:tcPr>
          <w:p w14:paraId="648A60CB" w14:textId="77777777" w:rsidR="00FC1E08" w:rsidRPr="00040AA9" w:rsidRDefault="00FC1E08" w:rsidP="00040AA9">
            <w:pPr>
              <w:suppressAutoHyphens/>
              <w:rPr>
                <w:rFonts w:ascii="Arial" w:hAnsi="Arial" w:cs="Arial"/>
                <w:sz w:val="20"/>
                <w:szCs w:val="20"/>
              </w:rPr>
            </w:pPr>
          </w:p>
        </w:tc>
        <w:tc>
          <w:tcPr>
            <w:tcW w:w="1530" w:type="dxa"/>
            <w:tcBorders>
              <w:top w:val="nil"/>
              <w:left w:val="single" w:sz="4" w:space="0" w:color="auto"/>
              <w:bottom w:val="nil"/>
              <w:right w:val="single" w:sz="4" w:space="0" w:color="auto"/>
            </w:tcBorders>
          </w:tcPr>
          <w:p w14:paraId="17DF88EB" w14:textId="77777777" w:rsidR="00FC1E08" w:rsidRPr="00040AA9" w:rsidRDefault="00FC1E08" w:rsidP="00040AA9">
            <w:pPr>
              <w:suppressAutoHyphens/>
              <w:jc w:val="center"/>
              <w:rPr>
                <w:rFonts w:ascii="Arial" w:hAnsi="Arial" w:cs="Arial"/>
                <w:sz w:val="20"/>
                <w:szCs w:val="20"/>
              </w:rPr>
            </w:pPr>
          </w:p>
        </w:tc>
        <w:tc>
          <w:tcPr>
            <w:tcW w:w="1530" w:type="dxa"/>
            <w:tcBorders>
              <w:top w:val="nil"/>
              <w:left w:val="single" w:sz="4" w:space="0" w:color="auto"/>
              <w:bottom w:val="nil"/>
              <w:right w:val="single" w:sz="4" w:space="0" w:color="auto"/>
            </w:tcBorders>
          </w:tcPr>
          <w:p w14:paraId="7301524C" w14:textId="77777777" w:rsidR="00FC1E08" w:rsidRPr="00040AA9" w:rsidRDefault="00FC1E08" w:rsidP="00040AA9">
            <w:pPr>
              <w:suppressAutoHyphens/>
              <w:rPr>
                <w:rFonts w:ascii="Arial" w:hAnsi="Arial" w:cs="Arial"/>
                <w:sz w:val="20"/>
                <w:szCs w:val="20"/>
              </w:rPr>
            </w:pPr>
          </w:p>
        </w:tc>
        <w:tc>
          <w:tcPr>
            <w:tcW w:w="1622" w:type="dxa"/>
            <w:tcBorders>
              <w:top w:val="nil"/>
              <w:left w:val="single" w:sz="4" w:space="0" w:color="auto"/>
              <w:bottom w:val="nil"/>
              <w:right w:val="single" w:sz="4" w:space="0" w:color="auto"/>
            </w:tcBorders>
          </w:tcPr>
          <w:p w14:paraId="31E4FE64" w14:textId="77777777" w:rsidR="00FC1E08" w:rsidRPr="00040AA9" w:rsidRDefault="00FC1E08" w:rsidP="00040AA9">
            <w:pPr>
              <w:suppressAutoHyphens/>
              <w:rPr>
                <w:rFonts w:ascii="Arial" w:hAnsi="Arial" w:cs="Arial"/>
                <w:sz w:val="20"/>
                <w:szCs w:val="20"/>
              </w:rPr>
            </w:pPr>
          </w:p>
        </w:tc>
      </w:tr>
      <w:tr w:rsidR="002270C4" w:rsidRPr="009C40BB" w14:paraId="173E6CF7" w14:textId="39000CE2" w:rsidTr="00F47215">
        <w:trPr>
          <w:trHeight w:val="252"/>
        </w:trPr>
        <w:tc>
          <w:tcPr>
            <w:tcW w:w="4945" w:type="dxa"/>
            <w:tcBorders>
              <w:top w:val="nil"/>
              <w:left w:val="single" w:sz="4" w:space="0" w:color="auto"/>
              <w:bottom w:val="nil"/>
              <w:right w:val="single" w:sz="4" w:space="0" w:color="auto"/>
            </w:tcBorders>
            <w:shd w:val="clear" w:color="auto" w:fill="F2F2F2" w:themeFill="background1" w:themeFillShade="F2"/>
            <w:hideMark/>
          </w:tcPr>
          <w:p w14:paraId="246A25F2"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Date of Board Approval:</w:t>
            </w:r>
          </w:p>
        </w:tc>
        <w:tc>
          <w:tcPr>
            <w:tcW w:w="1530" w:type="dxa"/>
            <w:tcBorders>
              <w:top w:val="nil"/>
              <w:left w:val="single" w:sz="4" w:space="0" w:color="auto"/>
              <w:bottom w:val="nil"/>
              <w:right w:val="single" w:sz="4" w:space="0" w:color="auto"/>
            </w:tcBorders>
            <w:shd w:val="clear" w:color="auto" w:fill="F2F2F2" w:themeFill="background1" w:themeFillShade="F2"/>
          </w:tcPr>
          <w:p w14:paraId="5AB32D08" w14:textId="4B8891A4" w:rsidR="00FC1E08" w:rsidRPr="00040AA9" w:rsidRDefault="00154388" w:rsidP="00040AA9">
            <w:pPr>
              <w:suppressAutoHyphens/>
              <w:jc w:val="right"/>
              <w:rPr>
                <w:rFonts w:ascii="Arial" w:hAnsi="Arial" w:cs="Arial"/>
                <w:smallCaps/>
                <w:sz w:val="20"/>
                <w:szCs w:val="20"/>
              </w:rPr>
            </w:pPr>
            <w:r w:rsidRPr="00040AA9">
              <w:rPr>
                <w:rFonts w:ascii="Arial" w:hAnsi="Arial" w:cs="Arial"/>
                <w:smallCaps/>
                <w:sz w:val="20"/>
                <w:szCs w:val="20"/>
              </w:rPr>
              <w:t>28-Jan-2014</w:t>
            </w:r>
            <w:r w:rsidR="00F47215" w:rsidRPr="00040AA9">
              <w:rPr>
                <w:rFonts w:ascii="Arial" w:hAnsi="Arial" w:cs="Arial"/>
                <w:smallCaps/>
                <w:sz w:val="20"/>
                <w:szCs w:val="20"/>
              </w:rPr>
              <w:t xml:space="preserve">   </w:t>
            </w:r>
          </w:p>
        </w:tc>
        <w:tc>
          <w:tcPr>
            <w:tcW w:w="1530" w:type="dxa"/>
            <w:tcBorders>
              <w:top w:val="nil"/>
              <w:left w:val="single" w:sz="4" w:space="0" w:color="auto"/>
              <w:bottom w:val="nil"/>
              <w:right w:val="single" w:sz="4" w:space="0" w:color="auto"/>
            </w:tcBorders>
            <w:shd w:val="clear" w:color="auto" w:fill="F2F2F2" w:themeFill="background1" w:themeFillShade="F2"/>
          </w:tcPr>
          <w:p w14:paraId="039E29B6" w14:textId="062A8005" w:rsidR="00FC1E08" w:rsidRPr="00040AA9" w:rsidRDefault="006C5BD6" w:rsidP="00040AA9">
            <w:pPr>
              <w:suppressAutoHyphens/>
              <w:jc w:val="right"/>
              <w:rPr>
                <w:rFonts w:ascii="Arial" w:hAnsi="Arial" w:cs="Arial"/>
                <w:smallCaps/>
                <w:sz w:val="20"/>
                <w:szCs w:val="20"/>
              </w:rPr>
            </w:pPr>
            <w:r w:rsidRPr="00040AA9">
              <w:rPr>
                <w:rFonts w:ascii="Arial" w:hAnsi="Arial" w:cs="Arial"/>
                <w:smallCaps/>
                <w:sz w:val="20"/>
                <w:szCs w:val="20"/>
              </w:rPr>
              <w:t>21-July-2015</w:t>
            </w:r>
          </w:p>
        </w:tc>
        <w:tc>
          <w:tcPr>
            <w:tcW w:w="1622" w:type="dxa"/>
            <w:tcBorders>
              <w:top w:val="nil"/>
              <w:left w:val="single" w:sz="4" w:space="0" w:color="auto"/>
              <w:bottom w:val="nil"/>
              <w:right w:val="single" w:sz="4" w:space="0" w:color="auto"/>
            </w:tcBorders>
            <w:shd w:val="clear" w:color="auto" w:fill="F2F2F2" w:themeFill="background1" w:themeFillShade="F2"/>
          </w:tcPr>
          <w:p w14:paraId="51FB09AD" w14:textId="56C1DD30" w:rsidR="00FC1E08" w:rsidRPr="00040AA9" w:rsidRDefault="00F47215" w:rsidP="00040AA9">
            <w:pPr>
              <w:suppressAutoHyphens/>
              <w:jc w:val="right"/>
              <w:rPr>
                <w:rFonts w:ascii="Arial" w:hAnsi="Arial" w:cs="Arial"/>
                <w:smallCaps/>
                <w:sz w:val="20"/>
                <w:szCs w:val="20"/>
              </w:rPr>
            </w:pPr>
            <w:r w:rsidRPr="00040AA9">
              <w:rPr>
                <w:rFonts w:ascii="Arial" w:hAnsi="Arial" w:cs="Arial"/>
                <w:smallCaps/>
                <w:sz w:val="20"/>
                <w:szCs w:val="20"/>
              </w:rPr>
              <w:t>29-Nov-201</w:t>
            </w:r>
            <w:r w:rsidR="0095621B" w:rsidRPr="00040AA9">
              <w:rPr>
                <w:rFonts w:ascii="Arial" w:hAnsi="Arial" w:cs="Arial"/>
                <w:smallCaps/>
                <w:sz w:val="20"/>
                <w:szCs w:val="20"/>
              </w:rPr>
              <w:t>6</w:t>
            </w:r>
          </w:p>
        </w:tc>
      </w:tr>
      <w:tr w:rsidR="002270C4" w:rsidRPr="009C40BB" w14:paraId="464992B8" w14:textId="26AF07F1" w:rsidTr="00F47215">
        <w:trPr>
          <w:trHeight w:val="234"/>
        </w:trPr>
        <w:tc>
          <w:tcPr>
            <w:tcW w:w="4945" w:type="dxa"/>
            <w:tcBorders>
              <w:top w:val="nil"/>
              <w:left w:val="single" w:sz="4" w:space="0" w:color="auto"/>
              <w:bottom w:val="nil"/>
              <w:right w:val="single" w:sz="4" w:space="0" w:color="auto"/>
            </w:tcBorders>
            <w:shd w:val="clear" w:color="auto" w:fill="F2F2F2" w:themeFill="background1" w:themeFillShade="F2"/>
            <w:hideMark/>
          </w:tcPr>
          <w:p w14:paraId="50E6EE1C"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 xml:space="preserve">Date of Loan Contract Effectiveness: </w:t>
            </w:r>
          </w:p>
        </w:tc>
        <w:tc>
          <w:tcPr>
            <w:tcW w:w="1530" w:type="dxa"/>
            <w:tcBorders>
              <w:top w:val="nil"/>
              <w:left w:val="single" w:sz="4" w:space="0" w:color="auto"/>
              <w:bottom w:val="nil"/>
              <w:right w:val="single" w:sz="4" w:space="0" w:color="auto"/>
            </w:tcBorders>
            <w:shd w:val="clear" w:color="auto" w:fill="F2F2F2" w:themeFill="background1" w:themeFillShade="F2"/>
          </w:tcPr>
          <w:p w14:paraId="184C128B" w14:textId="64817EA4" w:rsidR="00FC1E08" w:rsidRPr="00040AA9" w:rsidRDefault="00154388" w:rsidP="00040AA9">
            <w:pPr>
              <w:suppressAutoHyphens/>
              <w:jc w:val="right"/>
              <w:rPr>
                <w:rFonts w:ascii="Arial" w:hAnsi="Arial" w:cs="Arial"/>
                <w:smallCaps/>
                <w:sz w:val="20"/>
                <w:szCs w:val="20"/>
              </w:rPr>
            </w:pPr>
            <w:r w:rsidRPr="00040AA9">
              <w:rPr>
                <w:rFonts w:ascii="Arial" w:hAnsi="Arial" w:cs="Arial"/>
                <w:smallCaps/>
                <w:sz w:val="20"/>
                <w:szCs w:val="20"/>
              </w:rPr>
              <w:t>6-Feb-2014</w:t>
            </w:r>
          </w:p>
        </w:tc>
        <w:tc>
          <w:tcPr>
            <w:tcW w:w="1530" w:type="dxa"/>
            <w:tcBorders>
              <w:top w:val="nil"/>
              <w:left w:val="single" w:sz="4" w:space="0" w:color="auto"/>
              <w:bottom w:val="nil"/>
              <w:right w:val="single" w:sz="4" w:space="0" w:color="auto"/>
            </w:tcBorders>
            <w:shd w:val="clear" w:color="auto" w:fill="F2F2F2" w:themeFill="background1" w:themeFillShade="F2"/>
          </w:tcPr>
          <w:p w14:paraId="1BB30C24" w14:textId="18C5FA5A" w:rsidR="00FC1E08" w:rsidRPr="00040AA9" w:rsidRDefault="008A042B" w:rsidP="00040AA9">
            <w:pPr>
              <w:suppressAutoHyphens/>
              <w:jc w:val="right"/>
              <w:rPr>
                <w:rFonts w:ascii="Arial" w:hAnsi="Arial" w:cs="Arial"/>
                <w:smallCaps/>
                <w:sz w:val="20"/>
                <w:szCs w:val="20"/>
              </w:rPr>
            </w:pPr>
            <w:r w:rsidRPr="00040AA9">
              <w:rPr>
                <w:rFonts w:ascii="Arial" w:hAnsi="Arial" w:cs="Arial"/>
                <w:smallCaps/>
                <w:sz w:val="20"/>
                <w:szCs w:val="20"/>
              </w:rPr>
              <w:t>5-Aug-2015</w:t>
            </w:r>
          </w:p>
        </w:tc>
        <w:tc>
          <w:tcPr>
            <w:tcW w:w="1622" w:type="dxa"/>
            <w:tcBorders>
              <w:top w:val="nil"/>
              <w:left w:val="single" w:sz="4" w:space="0" w:color="auto"/>
              <w:bottom w:val="nil"/>
              <w:right w:val="single" w:sz="4" w:space="0" w:color="auto"/>
            </w:tcBorders>
            <w:shd w:val="clear" w:color="auto" w:fill="F2F2F2" w:themeFill="background1" w:themeFillShade="F2"/>
          </w:tcPr>
          <w:p w14:paraId="23D07714" w14:textId="487BB5F1" w:rsidR="00FC1E08" w:rsidRPr="00040AA9" w:rsidRDefault="00894293" w:rsidP="00040AA9">
            <w:pPr>
              <w:suppressAutoHyphens/>
              <w:jc w:val="right"/>
              <w:rPr>
                <w:rFonts w:ascii="Arial" w:hAnsi="Arial" w:cs="Arial"/>
                <w:smallCaps/>
                <w:sz w:val="20"/>
                <w:szCs w:val="20"/>
              </w:rPr>
            </w:pPr>
            <w:r w:rsidRPr="00040AA9">
              <w:rPr>
                <w:rFonts w:ascii="Arial" w:hAnsi="Arial" w:cs="Arial"/>
                <w:smallCaps/>
                <w:sz w:val="20"/>
                <w:szCs w:val="20"/>
              </w:rPr>
              <w:t>19-Dec-2016</w:t>
            </w:r>
          </w:p>
        </w:tc>
      </w:tr>
      <w:tr w:rsidR="002270C4" w:rsidRPr="009C40BB" w14:paraId="691B15D8" w14:textId="0F74FB88" w:rsidTr="002270C4">
        <w:tc>
          <w:tcPr>
            <w:tcW w:w="4945" w:type="dxa"/>
            <w:tcBorders>
              <w:top w:val="nil"/>
              <w:left w:val="single" w:sz="4" w:space="0" w:color="auto"/>
              <w:bottom w:val="nil"/>
              <w:right w:val="single" w:sz="4" w:space="0" w:color="auto"/>
            </w:tcBorders>
            <w:shd w:val="clear" w:color="auto" w:fill="F2F2F2" w:themeFill="background1" w:themeFillShade="F2"/>
            <w:hideMark/>
          </w:tcPr>
          <w:p w14:paraId="0F8E81ED"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Date of Eligibility for First Disbursement:</w:t>
            </w:r>
          </w:p>
        </w:tc>
        <w:tc>
          <w:tcPr>
            <w:tcW w:w="1530" w:type="dxa"/>
            <w:tcBorders>
              <w:top w:val="nil"/>
              <w:left w:val="single" w:sz="4" w:space="0" w:color="auto"/>
              <w:bottom w:val="nil"/>
              <w:right w:val="single" w:sz="4" w:space="0" w:color="auto"/>
            </w:tcBorders>
            <w:shd w:val="clear" w:color="auto" w:fill="F2F2F2" w:themeFill="background1" w:themeFillShade="F2"/>
          </w:tcPr>
          <w:p w14:paraId="1BFE08AA" w14:textId="55770298" w:rsidR="00FC1E08" w:rsidRPr="00040AA9" w:rsidRDefault="00374B70" w:rsidP="00040AA9">
            <w:pPr>
              <w:suppressAutoHyphens/>
              <w:jc w:val="right"/>
              <w:rPr>
                <w:rFonts w:ascii="Arial" w:hAnsi="Arial" w:cs="Arial"/>
                <w:smallCaps/>
                <w:sz w:val="20"/>
                <w:szCs w:val="20"/>
              </w:rPr>
            </w:pPr>
            <w:r w:rsidRPr="00040AA9">
              <w:rPr>
                <w:rFonts w:ascii="Arial" w:hAnsi="Arial" w:cs="Arial"/>
                <w:smallCaps/>
                <w:sz w:val="20"/>
                <w:szCs w:val="20"/>
              </w:rPr>
              <w:t>10-Feb-2014</w:t>
            </w:r>
          </w:p>
        </w:tc>
        <w:tc>
          <w:tcPr>
            <w:tcW w:w="1530" w:type="dxa"/>
            <w:tcBorders>
              <w:top w:val="nil"/>
              <w:left w:val="single" w:sz="4" w:space="0" w:color="auto"/>
              <w:bottom w:val="nil"/>
              <w:right w:val="single" w:sz="4" w:space="0" w:color="auto"/>
            </w:tcBorders>
            <w:shd w:val="clear" w:color="auto" w:fill="F2F2F2" w:themeFill="background1" w:themeFillShade="F2"/>
          </w:tcPr>
          <w:p w14:paraId="0613C1F9" w14:textId="2E76F172" w:rsidR="00FC1E08" w:rsidRPr="00040AA9" w:rsidRDefault="00460430" w:rsidP="00040AA9">
            <w:pPr>
              <w:suppressAutoHyphens/>
              <w:jc w:val="right"/>
              <w:rPr>
                <w:rFonts w:ascii="Arial" w:hAnsi="Arial" w:cs="Arial"/>
                <w:smallCaps/>
                <w:sz w:val="20"/>
                <w:szCs w:val="20"/>
              </w:rPr>
            </w:pPr>
            <w:r w:rsidRPr="00040AA9">
              <w:rPr>
                <w:rFonts w:ascii="Arial" w:hAnsi="Arial" w:cs="Arial"/>
                <w:smallCaps/>
                <w:sz w:val="20"/>
                <w:szCs w:val="20"/>
              </w:rPr>
              <w:t>10-Aug-2015</w:t>
            </w:r>
          </w:p>
        </w:tc>
        <w:tc>
          <w:tcPr>
            <w:tcW w:w="1622" w:type="dxa"/>
            <w:tcBorders>
              <w:top w:val="nil"/>
              <w:left w:val="single" w:sz="4" w:space="0" w:color="auto"/>
              <w:bottom w:val="nil"/>
              <w:right w:val="single" w:sz="4" w:space="0" w:color="auto"/>
            </w:tcBorders>
            <w:shd w:val="clear" w:color="auto" w:fill="F2F2F2" w:themeFill="background1" w:themeFillShade="F2"/>
          </w:tcPr>
          <w:p w14:paraId="15E24BE7" w14:textId="4CFFB16C" w:rsidR="00FC1E08" w:rsidRPr="00040AA9" w:rsidRDefault="00894293" w:rsidP="00040AA9">
            <w:pPr>
              <w:suppressAutoHyphens/>
              <w:jc w:val="right"/>
              <w:rPr>
                <w:rFonts w:ascii="Arial" w:hAnsi="Arial" w:cs="Arial"/>
                <w:smallCaps/>
                <w:sz w:val="20"/>
                <w:szCs w:val="20"/>
              </w:rPr>
            </w:pPr>
            <w:r w:rsidRPr="00040AA9">
              <w:rPr>
                <w:rFonts w:ascii="Arial" w:hAnsi="Arial" w:cs="Arial"/>
                <w:smallCaps/>
                <w:sz w:val="20"/>
                <w:szCs w:val="20"/>
              </w:rPr>
              <w:t>19-Dec-2016</w:t>
            </w:r>
          </w:p>
        </w:tc>
      </w:tr>
      <w:tr w:rsidR="002270C4" w:rsidRPr="009C40BB" w14:paraId="65A2436E" w14:textId="258698F0" w:rsidTr="002270C4">
        <w:tc>
          <w:tcPr>
            <w:tcW w:w="4945" w:type="dxa"/>
            <w:tcBorders>
              <w:top w:val="nil"/>
              <w:left w:val="single" w:sz="4" w:space="0" w:color="auto"/>
              <w:bottom w:val="nil"/>
              <w:right w:val="single" w:sz="4" w:space="0" w:color="auto"/>
            </w:tcBorders>
          </w:tcPr>
          <w:p w14:paraId="4F21FAE0" w14:textId="77777777" w:rsidR="00FC1E08" w:rsidRPr="00040AA9" w:rsidRDefault="00FC1E08" w:rsidP="00040AA9">
            <w:pPr>
              <w:suppressAutoHyphens/>
              <w:rPr>
                <w:rFonts w:ascii="Arial" w:hAnsi="Arial" w:cs="Arial"/>
                <w:sz w:val="20"/>
                <w:szCs w:val="20"/>
                <w:u w:val="single"/>
              </w:rPr>
            </w:pPr>
          </w:p>
        </w:tc>
        <w:tc>
          <w:tcPr>
            <w:tcW w:w="1530" w:type="dxa"/>
            <w:tcBorders>
              <w:top w:val="nil"/>
              <w:left w:val="single" w:sz="4" w:space="0" w:color="auto"/>
              <w:bottom w:val="nil"/>
              <w:right w:val="single" w:sz="4" w:space="0" w:color="auto"/>
            </w:tcBorders>
          </w:tcPr>
          <w:p w14:paraId="248AC79B" w14:textId="77777777" w:rsidR="00FC1E08" w:rsidRPr="00040AA9" w:rsidRDefault="00FC1E08" w:rsidP="00040AA9">
            <w:pPr>
              <w:suppressAutoHyphens/>
              <w:jc w:val="center"/>
              <w:rPr>
                <w:rFonts w:ascii="Arial" w:hAnsi="Arial" w:cs="Arial"/>
                <w:sz w:val="20"/>
                <w:szCs w:val="20"/>
                <w:u w:val="single"/>
              </w:rPr>
            </w:pPr>
          </w:p>
        </w:tc>
        <w:tc>
          <w:tcPr>
            <w:tcW w:w="1530" w:type="dxa"/>
            <w:tcBorders>
              <w:top w:val="nil"/>
              <w:left w:val="single" w:sz="4" w:space="0" w:color="auto"/>
              <w:bottom w:val="nil"/>
              <w:right w:val="single" w:sz="4" w:space="0" w:color="auto"/>
            </w:tcBorders>
          </w:tcPr>
          <w:p w14:paraId="44A78D28" w14:textId="77777777" w:rsidR="00FC1E08" w:rsidRPr="00040AA9" w:rsidRDefault="00FC1E08" w:rsidP="00040AA9">
            <w:pPr>
              <w:suppressAutoHyphens/>
              <w:jc w:val="center"/>
              <w:rPr>
                <w:rFonts w:ascii="Arial" w:hAnsi="Arial" w:cs="Arial"/>
                <w:sz w:val="20"/>
                <w:szCs w:val="20"/>
                <w:u w:val="single"/>
              </w:rPr>
            </w:pPr>
          </w:p>
        </w:tc>
        <w:tc>
          <w:tcPr>
            <w:tcW w:w="1622" w:type="dxa"/>
            <w:tcBorders>
              <w:top w:val="nil"/>
              <w:left w:val="single" w:sz="4" w:space="0" w:color="auto"/>
              <w:bottom w:val="nil"/>
              <w:right w:val="single" w:sz="4" w:space="0" w:color="auto"/>
            </w:tcBorders>
          </w:tcPr>
          <w:p w14:paraId="37A5F59F" w14:textId="77777777" w:rsidR="00FC1E08" w:rsidRPr="00040AA9" w:rsidRDefault="00FC1E08" w:rsidP="00040AA9">
            <w:pPr>
              <w:suppressAutoHyphens/>
              <w:rPr>
                <w:rFonts w:ascii="Arial" w:hAnsi="Arial" w:cs="Arial"/>
                <w:sz w:val="20"/>
                <w:szCs w:val="20"/>
                <w:u w:val="single"/>
              </w:rPr>
            </w:pPr>
          </w:p>
        </w:tc>
      </w:tr>
      <w:tr w:rsidR="002270C4" w:rsidRPr="009C40BB" w14:paraId="69458CFB" w14:textId="74CCA4B5"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1D01CDEC" w14:textId="3FAC43B8" w:rsidR="00FC1E08" w:rsidRPr="00040AA9" w:rsidRDefault="00FC1E08" w:rsidP="00040AA9">
            <w:pPr>
              <w:suppressAutoHyphens/>
              <w:rPr>
                <w:rFonts w:ascii="Arial" w:hAnsi="Arial" w:cs="Arial"/>
                <w:smallCaps/>
                <w:sz w:val="20"/>
                <w:szCs w:val="20"/>
                <w:u w:val="single"/>
              </w:rPr>
            </w:pPr>
            <w:r w:rsidRPr="00040AA9">
              <w:rPr>
                <w:rFonts w:ascii="Arial" w:hAnsi="Arial" w:cs="Arial"/>
                <w:smallCaps/>
                <w:sz w:val="20"/>
                <w:szCs w:val="20"/>
                <w:u w:val="single"/>
              </w:rPr>
              <w:t>Loan Amount (s)</w:t>
            </w:r>
            <w:r w:rsidR="00942079" w:rsidRPr="00040AA9">
              <w:rPr>
                <w:rFonts w:ascii="Arial" w:hAnsi="Arial" w:cs="Arial"/>
                <w:smallCaps/>
                <w:sz w:val="20"/>
                <w:szCs w:val="20"/>
                <w:u w:val="single"/>
              </w:rPr>
              <w:t xml:space="preserve"> – US dollars</w:t>
            </w:r>
          </w:p>
        </w:tc>
        <w:tc>
          <w:tcPr>
            <w:tcW w:w="1530" w:type="dxa"/>
            <w:tcBorders>
              <w:top w:val="nil"/>
              <w:left w:val="single" w:sz="4" w:space="0" w:color="auto"/>
              <w:bottom w:val="nil"/>
              <w:right w:val="single" w:sz="4" w:space="0" w:color="auto"/>
            </w:tcBorders>
            <w:shd w:val="clear" w:color="auto" w:fill="DBE5F1" w:themeFill="accent1" w:themeFillTint="33"/>
          </w:tcPr>
          <w:p w14:paraId="6B8C4596" w14:textId="77777777" w:rsidR="00FC1E08" w:rsidRPr="00040AA9" w:rsidRDefault="00FC1E08" w:rsidP="00040AA9">
            <w:pPr>
              <w:suppressAutoHyphens/>
              <w:jc w:val="center"/>
              <w:rPr>
                <w:rFonts w:ascii="Arial" w:hAnsi="Arial" w:cs="Arial"/>
                <w:smallCaps/>
                <w:sz w:val="20"/>
                <w:szCs w:val="20"/>
                <w:u w:val="single"/>
              </w:rPr>
            </w:pPr>
          </w:p>
        </w:tc>
        <w:tc>
          <w:tcPr>
            <w:tcW w:w="1530" w:type="dxa"/>
            <w:tcBorders>
              <w:top w:val="nil"/>
              <w:left w:val="single" w:sz="4" w:space="0" w:color="auto"/>
              <w:bottom w:val="nil"/>
              <w:right w:val="single" w:sz="4" w:space="0" w:color="auto"/>
            </w:tcBorders>
            <w:shd w:val="clear" w:color="auto" w:fill="DBE5F1" w:themeFill="accent1" w:themeFillTint="33"/>
          </w:tcPr>
          <w:p w14:paraId="0C2E49BA" w14:textId="77777777" w:rsidR="00FC1E08" w:rsidRPr="00040AA9" w:rsidRDefault="00FC1E08" w:rsidP="00040AA9">
            <w:pPr>
              <w:suppressAutoHyphens/>
              <w:jc w:val="center"/>
              <w:rPr>
                <w:rFonts w:ascii="Arial" w:hAnsi="Arial" w:cs="Arial"/>
                <w:smallCaps/>
                <w:sz w:val="20"/>
                <w:szCs w:val="20"/>
                <w:u w:val="single"/>
              </w:rPr>
            </w:pPr>
          </w:p>
        </w:tc>
        <w:tc>
          <w:tcPr>
            <w:tcW w:w="1622" w:type="dxa"/>
            <w:tcBorders>
              <w:top w:val="nil"/>
              <w:left w:val="single" w:sz="4" w:space="0" w:color="auto"/>
              <w:bottom w:val="nil"/>
              <w:right w:val="single" w:sz="4" w:space="0" w:color="auto"/>
            </w:tcBorders>
            <w:shd w:val="clear" w:color="auto" w:fill="DBE5F1" w:themeFill="accent1" w:themeFillTint="33"/>
          </w:tcPr>
          <w:p w14:paraId="69D7ACB0" w14:textId="77777777" w:rsidR="00FC1E08" w:rsidRPr="00040AA9" w:rsidRDefault="00FC1E08" w:rsidP="00040AA9">
            <w:pPr>
              <w:suppressAutoHyphens/>
              <w:jc w:val="center"/>
              <w:rPr>
                <w:rFonts w:ascii="Arial" w:hAnsi="Arial" w:cs="Arial"/>
                <w:smallCaps/>
                <w:sz w:val="20"/>
                <w:szCs w:val="20"/>
                <w:u w:val="single"/>
              </w:rPr>
            </w:pPr>
          </w:p>
        </w:tc>
      </w:tr>
      <w:tr w:rsidR="002270C4" w:rsidRPr="009C40BB" w14:paraId="70EF3D39" w14:textId="1208BC60"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2C3E6681"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Original Amount:</w:t>
            </w:r>
          </w:p>
        </w:tc>
        <w:tc>
          <w:tcPr>
            <w:tcW w:w="1530" w:type="dxa"/>
            <w:tcBorders>
              <w:top w:val="nil"/>
              <w:left w:val="single" w:sz="4" w:space="0" w:color="auto"/>
              <w:bottom w:val="nil"/>
              <w:right w:val="single" w:sz="4" w:space="0" w:color="auto"/>
            </w:tcBorders>
            <w:shd w:val="clear" w:color="auto" w:fill="DBE5F1" w:themeFill="accent1" w:themeFillTint="33"/>
          </w:tcPr>
          <w:p w14:paraId="32DBA436" w14:textId="06EB1CEC" w:rsidR="00FC1E08" w:rsidRPr="00040AA9" w:rsidRDefault="00374B70" w:rsidP="00040AA9">
            <w:pPr>
              <w:suppressAutoHyphens/>
              <w:jc w:val="center"/>
              <w:rPr>
                <w:rFonts w:ascii="Arial" w:hAnsi="Arial" w:cs="Arial"/>
                <w:smallCaps/>
                <w:sz w:val="20"/>
                <w:szCs w:val="20"/>
              </w:rPr>
            </w:pPr>
            <w:r w:rsidRPr="00040AA9">
              <w:rPr>
                <w:rFonts w:ascii="Arial" w:hAnsi="Arial" w:cs="Arial"/>
                <w:smallCaps/>
                <w:sz w:val="20"/>
                <w:szCs w:val="20"/>
              </w:rPr>
              <w:t>80</w:t>
            </w:r>
            <w:r w:rsidR="00942079" w:rsidRPr="00040AA9">
              <w:rPr>
                <w:rFonts w:ascii="Arial" w:hAnsi="Arial" w:cs="Arial"/>
                <w:smallCaps/>
                <w:sz w:val="20"/>
                <w:szCs w:val="20"/>
              </w:rPr>
              <w:t>,000,000</w:t>
            </w:r>
          </w:p>
        </w:tc>
        <w:tc>
          <w:tcPr>
            <w:tcW w:w="1530" w:type="dxa"/>
            <w:tcBorders>
              <w:top w:val="nil"/>
              <w:left w:val="single" w:sz="4" w:space="0" w:color="auto"/>
              <w:bottom w:val="nil"/>
              <w:right w:val="single" w:sz="4" w:space="0" w:color="auto"/>
            </w:tcBorders>
            <w:shd w:val="clear" w:color="auto" w:fill="DBE5F1" w:themeFill="accent1" w:themeFillTint="33"/>
          </w:tcPr>
          <w:p w14:paraId="34A8F5B3" w14:textId="66CC0671"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130,000,000</w:t>
            </w:r>
          </w:p>
        </w:tc>
        <w:tc>
          <w:tcPr>
            <w:tcW w:w="1622" w:type="dxa"/>
            <w:tcBorders>
              <w:top w:val="nil"/>
              <w:left w:val="single" w:sz="4" w:space="0" w:color="auto"/>
              <w:bottom w:val="nil"/>
              <w:right w:val="single" w:sz="4" w:space="0" w:color="auto"/>
            </w:tcBorders>
            <w:shd w:val="clear" w:color="auto" w:fill="DBE5F1" w:themeFill="accent1" w:themeFillTint="33"/>
          </w:tcPr>
          <w:p w14:paraId="742F5995" w14:textId="08465208"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50,000,000</w:t>
            </w:r>
          </w:p>
        </w:tc>
      </w:tr>
      <w:tr w:rsidR="002270C4" w:rsidRPr="009C40BB" w14:paraId="73B4FF82" w14:textId="578C977F"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250CB629"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Current Amount:</w:t>
            </w:r>
          </w:p>
        </w:tc>
        <w:tc>
          <w:tcPr>
            <w:tcW w:w="1530" w:type="dxa"/>
            <w:tcBorders>
              <w:top w:val="nil"/>
              <w:left w:val="single" w:sz="4" w:space="0" w:color="auto"/>
              <w:bottom w:val="nil"/>
              <w:right w:val="single" w:sz="4" w:space="0" w:color="auto"/>
            </w:tcBorders>
            <w:shd w:val="clear" w:color="auto" w:fill="DBE5F1" w:themeFill="accent1" w:themeFillTint="33"/>
          </w:tcPr>
          <w:p w14:paraId="7C925301" w14:textId="4A06EE27" w:rsidR="00FC1E08" w:rsidRPr="00040AA9" w:rsidRDefault="00942079" w:rsidP="00040AA9">
            <w:pPr>
              <w:suppressAutoHyphens/>
              <w:jc w:val="center"/>
              <w:rPr>
                <w:rFonts w:ascii="Arial" w:hAnsi="Arial" w:cs="Arial"/>
                <w:smallCaps/>
                <w:sz w:val="20"/>
                <w:szCs w:val="20"/>
              </w:rPr>
            </w:pPr>
            <w:r w:rsidRPr="00040AA9">
              <w:rPr>
                <w:rFonts w:ascii="Arial" w:hAnsi="Arial" w:cs="Arial"/>
                <w:smallCaps/>
                <w:sz w:val="20"/>
                <w:szCs w:val="20"/>
              </w:rPr>
              <w:t>80,000,000</w:t>
            </w:r>
          </w:p>
        </w:tc>
        <w:tc>
          <w:tcPr>
            <w:tcW w:w="1530" w:type="dxa"/>
            <w:tcBorders>
              <w:top w:val="nil"/>
              <w:left w:val="single" w:sz="4" w:space="0" w:color="auto"/>
              <w:bottom w:val="nil"/>
              <w:right w:val="single" w:sz="4" w:space="0" w:color="auto"/>
            </w:tcBorders>
            <w:shd w:val="clear" w:color="auto" w:fill="DBE5F1" w:themeFill="accent1" w:themeFillTint="33"/>
          </w:tcPr>
          <w:p w14:paraId="3D6C6687" w14:textId="61D71820"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130,000,000</w:t>
            </w:r>
          </w:p>
        </w:tc>
        <w:tc>
          <w:tcPr>
            <w:tcW w:w="1622" w:type="dxa"/>
            <w:tcBorders>
              <w:top w:val="nil"/>
              <w:left w:val="single" w:sz="4" w:space="0" w:color="auto"/>
              <w:bottom w:val="nil"/>
              <w:right w:val="single" w:sz="4" w:space="0" w:color="auto"/>
            </w:tcBorders>
            <w:shd w:val="clear" w:color="auto" w:fill="DBE5F1" w:themeFill="accent1" w:themeFillTint="33"/>
          </w:tcPr>
          <w:p w14:paraId="479CD268" w14:textId="165BD706"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50,000,000</w:t>
            </w:r>
          </w:p>
        </w:tc>
      </w:tr>
      <w:tr w:rsidR="002270C4" w:rsidRPr="009C40BB" w14:paraId="023D9721" w14:textId="6640AF81"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01BB1C69"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 xml:space="preserve">Pari </w:t>
            </w:r>
            <w:proofErr w:type="spellStart"/>
            <w:r w:rsidRPr="00040AA9">
              <w:rPr>
                <w:rFonts w:ascii="Arial" w:hAnsi="Arial" w:cs="Arial"/>
                <w:smallCaps/>
                <w:sz w:val="20"/>
                <w:szCs w:val="20"/>
              </w:rPr>
              <w:t>Passu</w:t>
            </w:r>
            <w:proofErr w:type="spellEnd"/>
            <w:r w:rsidRPr="00040AA9">
              <w:rPr>
                <w:rFonts w:ascii="Arial" w:hAnsi="Arial" w:cs="Arial"/>
                <w:smallCaps/>
                <w:sz w:val="20"/>
                <w:szCs w:val="20"/>
              </w:rPr>
              <w:t>:</w:t>
            </w:r>
          </w:p>
        </w:tc>
        <w:tc>
          <w:tcPr>
            <w:tcW w:w="1530" w:type="dxa"/>
            <w:tcBorders>
              <w:top w:val="nil"/>
              <w:left w:val="single" w:sz="4" w:space="0" w:color="auto"/>
              <w:bottom w:val="nil"/>
              <w:right w:val="single" w:sz="4" w:space="0" w:color="auto"/>
            </w:tcBorders>
            <w:shd w:val="clear" w:color="auto" w:fill="DBE5F1" w:themeFill="accent1" w:themeFillTint="33"/>
          </w:tcPr>
          <w:p w14:paraId="2624C083" w14:textId="4B78A595" w:rsidR="00FC1E08" w:rsidRPr="00040AA9" w:rsidRDefault="001126CB" w:rsidP="00040AA9">
            <w:pPr>
              <w:suppressAutoHyphens/>
              <w:jc w:val="center"/>
              <w:rPr>
                <w:rFonts w:ascii="Arial" w:hAnsi="Arial" w:cs="Arial"/>
                <w:smallCaps/>
                <w:sz w:val="20"/>
                <w:szCs w:val="20"/>
              </w:rPr>
            </w:pPr>
            <w:r w:rsidRPr="00040AA9">
              <w:rPr>
                <w:rFonts w:ascii="Arial" w:hAnsi="Arial" w:cs="Arial"/>
                <w:smallCaps/>
                <w:sz w:val="20"/>
                <w:szCs w:val="20"/>
              </w:rPr>
              <w:t>-</w:t>
            </w:r>
          </w:p>
        </w:tc>
        <w:tc>
          <w:tcPr>
            <w:tcW w:w="1530" w:type="dxa"/>
            <w:tcBorders>
              <w:top w:val="nil"/>
              <w:left w:val="single" w:sz="4" w:space="0" w:color="auto"/>
              <w:bottom w:val="nil"/>
              <w:right w:val="single" w:sz="4" w:space="0" w:color="auto"/>
            </w:tcBorders>
            <w:shd w:val="clear" w:color="auto" w:fill="DBE5F1" w:themeFill="accent1" w:themeFillTint="33"/>
          </w:tcPr>
          <w:p w14:paraId="38C35EBA" w14:textId="6E752436" w:rsidR="00FC1E08" w:rsidRPr="00040AA9" w:rsidRDefault="001126CB" w:rsidP="00040AA9">
            <w:pPr>
              <w:suppressAutoHyphens/>
              <w:jc w:val="center"/>
              <w:rPr>
                <w:rFonts w:ascii="Arial" w:hAnsi="Arial" w:cs="Arial"/>
                <w:smallCaps/>
                <w:sz w:val="20"/>
                <w:szCs w:val="20"/>
              </w:rPr>
            </w:pPr>
            <w:r w:rsidRPr="00040AA9">
              <w:rPr>
                <w:rFonts w:ascii="Arial" w:hAnsi="Arial" w:cs="Arial"/>
                <w:smallCaps/>
                <w:sz w:val="20"/>
                <w:szCs w:val="20"/>
              </w:rPr>
              <w:t>-</w:t>
            </w:r>
          </w:p>
        </w:tc>
        <w:tc>
          <w:tcPr>
            <w:tcW w:w="1622" w:type="dxa"/>
            <w:tcBorders>
              <w:top w:val="nil"/>
              <w:left w:val="single" w:sz="4" w:space="0" w:color="auto"/>
              <w:bottom w:val="nil"/>
              <w:right w:val="single" w:sz="4" w:space="0" w:color="auto"/>
            </w:tcBorders>
            <w:shd w:val="clear" w:color="auto" w:fill="DBE5F1" w:themeFill="accent1" w:themeFillTint="33"/>
          </w:tcPr>
          <w:p w14:paraId="5A99CBE4" w14:textId="1EFB18B7" w:rsidR="00FC1E08" w:rsidRPr="00040AA9" w:rsidRDefault="001126CB" w:rsidP="00040AA9">
            <w:pPr>
              <w:suppressAutoHyphens/>
              <w:jc w:val="center"/>
              <w:rPr>
                <w:rFonts w:ascii="Arial" w:hAnsi="Arial" w:cs="Arial"/>
                <w:smallCaps/>
                <w:sz w:val="20"/>
                <w:szCs w:val="20"/>
              </w:rPr>
            </w:pPr>
            <w:r w:rsidRPr="00040AA9">
              <w:rPr>
                <w:rFonts w:ascii="Arial" w:hAnsi="Arial" w:cs="Arial"/>
                <w:smallCaps/>
                <w:sz w:val="20"/>
                <w:szCs w:val="20"/>
              </w:rPr>
              <w:t>-</w:t>
            </w:r>
          </w:p>
        </w:tc>
      </w:tr>
      <w:tr w:rsidR="002270C4" w:rsidRPr="009C40BB" w14:paraId="72386545" w14:textId="592FD679" w:rsidTr="002270C4">
        <w:tc>
          <w:tcPr>
            <w:tcW w:w="4945" w:type="dxa"/>
            <w:tcBorders>
              <w:top w:val="nil"/>
              <w:left w:val="single" w:sz="4" w:space="0" w:color="auto"/>
              <w:bottom w:val="nil"/>
              <w:right w:val="single" w:sz="4" w:space="0" w:color="auto"/>
            </w:tcBorders>
            <w:shd w:val="clear" w:color="auto" w:fill="DBE5F1" w:themeFill="accent1" w:themeFillTint="33"/>
            <w:hideMark/>
          </w:tcPr>
          <w:p w14:paraId="0FDB7C33"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Total Project Cost:</w:t>
            </w:r>
          </w:p>
        </w:tc>
        <w:tc>
          <w:tcPr>
            <w:tcW w:w="1530" w:type="dxa"/>
            <w:tcBorders>
              <w:top w:val="nil"/>
              <w:left w:val="single" w:sz="4" w:space="0" w:color="auto"/>
              <w:bottom w:val="nil"/>
              <w:right w:val="single" w:sz="4" w:space="0" w:color="auto"/>
            </w:tcBorders>
            <w:shd w:val="clear" w:color="auto" w:fill="DBE5F1" w:themeFill="accent1" w:themeFillTint="33"/>
          </w:tcPr>
          <w:p w14:paraId="17885908" w14:textId="47CACC28" w:rsidR="00FC1E08" w:rsidRPr="00040AA9" w:rsidRDefault="00942079" w:rsidP="00040AA9">
            <w:pPr>
              <w:suppressAutoHyphens/>
              <w:jc w:val="center"/>
              <w:rPr>
                <w:rFonts w:ascii="Arial" w:hAnsi="Arial" w:cs="Arial"/>
                <w:smallCaps/>
                <w:sz w:val="20"/>
                <w:szCs w:val="20"/>
              </w:rPr>
            </w:pPr>
            <w:r w:rsidRPr="00040AA9">
              <w:rPr>
                <w:rFonts w:ascii="Arial" w:hAnsi="Arial" w:cs="Arial"/>
                <w:smallCaps/>
                <w:sz w:val="20"/>
                <w:szCs w:val="20"/>
              </w:rPr>
              <w:t>80,000,000</w:t>
            </w:r>
          </w:p>
        </w:tc>
        <w:tc>
          <w:tcPr>
            <w:tcW w:w="1530" w:type="dxa"/>
            <w:tcBorders>
              <w:top w:val="nil"/>
              <w:left w:val="single" w:sz="4" w:space="0" w:color="auto"/>
              <w:bottom w:val="nil"/>
              <w:right w:val="single" w:sz="4" w:space="0" w:color="auto"/>
            </w:tcBorders>
            <w:shd w:val="clear" w:color="auto" w:fill="DBE5F1" w:themeFill="accent1" w:themeFillTint="33"/>
          </w:tcPr>
          <w:p w14:paraId="70A7D02B" w14:textId="13C56C74"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130,000,000</w:t>
            </w:r>
          </w:p>
        </w:tc>
        <w:tc>
          <w:tcPr>
            <w:tcW w:w="1622" w:type="dxa"/>
            <w:tcBorders>
              <w:top w:val="nil"/>
              <w:left w:val="single" w:sz="4" w:space="0" w:color="auto"/>
              <w:bottom w:val="nil"/>
              <w:right w:val="single" w:sz="4" w:space="0" w:color="auto"/>
            </w:tcBorders>
            <w:shd w:val="clear" w:color="auto" w:fill="DBE5F1" w:themeFill="accent1" w:themeFillTint="33"/>
          </w:tcPr>
          <w:p w14:paraId="1B43C856" w14:textId="5C54CB48"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50,000,000</w:t>
            </w:r>
          </w:p>
        </w:tc>
      </w:tr>
      <w:tr w:rsidR="002270C4" w:rsidRPr="009C40BB" w14:paraId="13779E4F" w14:textId="12693FB2" w:rsidTr="002270C4">
        <w:tc>
          <w:tcPr>
            <w:tcW w:w="4945" w:type="dxa"/>
            <w:tcBorders>
              <w:top w:val="nil"/>
              <w:left w:val="single" w:sz="4" w:space="0" w:color="auto"/>
              <w:bottom w:val="nil"/>
              <w:right w:val="single" w:sz="4" w:space="0" w:color="auto"/>
            </w:tcBorders>
          </w:tcPr>
          <w:p w14:paraId="7891FBD9" w14:textId="77777777" w:rsidR="00FC1E08" w:rsidRPr="00040AA9" w:rsidRDefault="00FC1E08" w:rsidP="00040AA9">
            <w:pPr>
              <w:suppressAutoHyphens/>
              <w:rPr>
                <w:rFonts w:ascii="Arial" w:hAnsi="Arial" w:cs="Arial"/>
                <w:sz w:val="20"/>
                <w:szCs w:val="20"/>
              </w:rPr>
            </w:pPr>
          </w:p>
        </w:tc>
        <w:tc>
          <w:tcPr>
            <w:tcW w:w="1530" w:type="dxa"/>
            <w:tcBorders>
              <w:top w:val="nil"/>
              <w:left w:val="single" w:sz="4" w:space="0" w:color="auto"/>
              <w:bottom w:val="nil"/>
              <w:right w:val="single" w:sz="4" w:space="0" w:color="auto"/>
            </w:tcBorders>
          </w:tcPr>
          <w:p w14:paraId="0AF4E5EE" w14:textId="77777777" w:rsidR="00FC1E08" w:rsidRPr="00040AA9" w:rsidRDefault="00FC1E08" w:rsidP="00040AA9">
            <w:pPr>
              <w:suppressAutoHyphens/>
              <w:jc w:val="center"/>
              <w:rPr>
                <w:rFonts w:ascii="Arial" w:hAnsi="Arial" w:cs="Arial"/>
                <w:sz w:val="20"/>
                <w:szCs w:val="20"/>
              </w:rPr>
            </w:pPr>
          </w:p>
        </w:tc>
        <w:tc>
          <w:tcPr>
            <w:tcW w:w="1530" w:type="dxa"/>
            <w:tcBorders>
              <w:top w:val="nil"/>
              <w:left w:val="single" w:sz="4" w:space="0" w:color="auto"/>
              <w:bottom w:val="nil"/>
              <w:right w:val="single" w:sz="4" w:space="0" w:color="auto"/>
            </w:tcBorders>
          </w:tcPr>
          <w:p w14:paraId="581EDDD2" w14:textId="77777777" w:rsidR="00FC1E08" w:rsidRPr="00040AA9" w:rsidRDefault="00FC1E08" w:rsidP="00040AA9">
            <w:pPr>
              <w:suppressAutoHyphens/>
              <w:jc w:val="center"/>
              <w:rPr>
                <w:rFonts w:ascii="Arial" w:hAnsi="Arial" w:cs="Arial"/>
                <w:sz w:val="20"/>
                <w:szCs w:val="20"/>
              </w:rPr>
            </w:pPr>
          </w:p>
        </w:tc>
        <w:tc>
          <w:tcPr>
            <w:tcW w:w="1622" w:type="dxa"/>
            <w:tcBorders>
              <w:top w:val="nil"/>
              <w:left w:val="single" w:sz="4" w:space="0" w:color="auto"/>
              <w:bottom w:val="nil"/>
              <w:right w:val="single" w:sz="4" w:space="0" w:color="auto"/>
            </w:tcBorders>
          </w:tcPr>
          <w:p w14:paraId="6ABD48D5" w14:textId="77777777" w:rsidR="00FC1E08" w:rsidRPr="00040AA9" w:rsidRDefault="00FC1E08" w:rsidP="00040AA9">
            <w:pPr>
              <w:suppressAutoHyphens/>
              <w:jc w:val="center"/>
              <w:rPr>
                <w:rFonts w:ascii="Arial" w:hAnsi="Arial" w:cs="Arial"/>
                <w:sz w:val="20"/>
                <w:szCs w:val="20"/>
              </w:rPr>
            </w:pPr>
          </w:p>
        </w:tc>
      </w:tr>
      <w:tr w:rsidR="002270C4" w:rsidRPr="009C40BB" w14:paraId="12B17886" w14:textId="7AA003EB" w:rsidTr="002270C4">
        <w:tc>
          <w:tcPr>
            <w:tcW w:w="4945" w:type="dxa"/>
            <w:tcBorders>
              <w:top w:val="nil"/>
              <w:left w:val="single" w:sz="4" w:space="0" w:color="auto"/>
              <w:bottom w:val="nil"/>
              <w:right w:val="single" w:sz="4" w:space="0" w:color="auto"/>
            </w:tcBorders>
            <w:shd w:val="clear" w:color="auto" w:fill="F2F2F2" w:themeFill="background1" w:themeFillShade="F2"/>
            <w:hideMark/>
          </w:tcPr>
          <w:p w14:paraId="6F00F485" w14:textId="77777777" w:rsidR="00FC1E08" w:rsidRPr="00040AA9" w:rsidRDefault="00FC1E08" w:rsidP="00040AA9">
            <w:pPr>
              <w:suppressAutoHyphens/>
              <w:rPr>
                <w:rFonts w:ascii="Arial" w:hAnsi="Arial" w:cs="Arial"/>
                <w:smallCaps/>
                <w:sz w:val="20"/>
                <w:szCs w:val="20"/>
                <w:u w:val="single"/>
              </w:rPr>
            </w:pPr>
            <w:r w:rsidRPr="00040AA9">
              <w:rPr>
                <w:rFonts w:ascii="Arial" w:hAnsi="Arial" w:cs="Arial"/>
                <w:smallCaps/>
                <w:sz w:val="20"/>
                <w:szCs w:val="20"/>
                <w:u w:val="single"/>
              </w:rPr>
              <w:t>Months in execution</w:t>
            </w:r>
          </w:p>
        </w:tc>
        <w:tc>
          <w:tcPr>
            <w:tcW w:w="1530" w:type="dxa"/>
            <w:tcBorders>
              <w:top w:val="nil"/>
              <w:left w:val="single" w:sz="4" w:space="0" w:color="auto"/>
              <w:bottom w:val="nil"/>
              <w:right w:val="single" w:sz="4" w:space="0" w:color="auto"/>
            </w:tcBorders>
            <w:shd w:val="clear" w:color="auto" w:fill="F2F2F2" w:themeFill="background1" w:themeFillShade="F2"/>
          </w:tcPr>
          <w:p w14:paraId="6E2E04BC" w14:textId="77777777" w:rsidR="00FC1E08" w:rsidRPr="00040AA9" w:rsidRDefault="00FC1E08" w:rsidP="00040AA9">
            <w:pPr>
              <w:suppressAutoHyphens/>
              <w:jc w:val="center"/>
              <w:rPr>
                <w:rFonts w:ascii="Arial" w:hAnsi="Arial" w:cs="Arial"/>
                <w:smallCaps/>
                <w:sz w:val="20"/>
                <w:szCs w:val="20"/>
                <w:u w:val="single"/>
              </w:rPr>
            </w:pPr>
          </w:p>
        </w:tc>
        <w:tc>
          <w:tcPr>
            <w:tcW w:w="1530" w:type="dxa"/>
            <w:tcBorders>
              <w:top w:val="nil"/>
              <w:left w:val="single" w:sz="4" w:space="0" w:color="auto"/>
              <w:bottom w:val="nil"/>
              <w:right w:val="single" w:sz="4" w:space="0" w:color="auto"/>
            </w:tcBorders>
            <w:shd w:val="clear" w:color="auto" w:fill="F2F2F2" w:themeFill="background1" w:themeFillShade="F2"/>
          </w:tcPr>
          <w:p w14:paraId="6C4E808D" w14:textId="77777777" w:rsidR="00FC1E08" w:rsidRPr="00040AA9" w:rsidRDefault="00FC1E08" w:rsidP="00040AA9">
            <w:pPr>
              <w:suppressAutoHyphens/>
              <w:jc w:val="center"/>
              <w:rPr>
                <w:rFonts w:ascii="Arial" w:hAnsi="Arial" w:cs="Arial"/>
                <w:smallCaps/>
                <w:sz w:val="20"/>
                <w:szCs w:val="20"/>
                <w:u w:val="single"/>
              </w:rPr>
            </w:pPr>
          </w:p>
        </w:tc>
        <w:tc>
          <w:tcPr>
            <w:tcW w:w="1622" w:type="dxa"/>
            <w:tcBorders>
              <w:top w:val="nil"/>
              <w:left w:val="single" w:sz="4" w:space="0" w:color="auto"/>
              <w:bottom w:val="nil"/>
              <w:right w:val="single" w:sz="4" w:space="0" w:color="auto"/>
            </w:tcBorders>
            <w:shd w:val="clear" w:color="auto" w:fill="F2F2F2" w:themeFill="background1" w:themeFillShade="F2"/>
          </w:tcPr>
          <w:p w14:paraId="67C347D4" w14:textId="77777777" w:rsidR="00FC1E08" w:rsidRPr="00040AA9" w:rsidRDefault="00FC1E08" w:rsidP="00040AA9">
            <w:pPr>
              <w:suppressAutoHyphens/>
              <w:jc w:val="center"/>
              <w:rPr>
                <w:rFonts w:ascii="Arial" w:hAnsi="Arial" w:cs="Arial"/>
                <w:smallCaps/>
                <w:sz w:val="20"/>
                <w:szCs w:val="20"/>
                <w:u w:val="single"/>
              </w:rPr>
            </w:pPr>
          </w:p>
        </w:tc>
      </w:tr>
      <w:tr w:rsidR="002270C4" w:rsidRPr="009C40BB" w14:paraId="0D36403E" w14:textId="49A77ACA" w:rsidTr="002270C4">
        <w:tc>
          <w:tcPr>
            <w:tcW w:w="4945" w:type="dxa"/>
            <w:tcBorders>
              <w:top w:val="nil"/>
              <w:left w:val="single" w:sz="4" w:space="0" w:color="auto"/>
              <w:bottom w:val="nil"/>
              <w:right w:val="single" w:sz="4" w:space="0" w:color="auto"/>
            </w:tcBorders>
            <w:shd w:val="clear" w:color="auto" w:fill="F2F2F2" w:themeFill="background1" w:themeFillShade="F2"/>
            <w:hideMark/>
          </w:tcPr>
          <w:p w14:paraId="3D6956DD"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From Approval:</w:t>
            </w:r>
          </w:p>
        </w:tc>
        <w:tc>
          <w:tcPr>
            <w:tcW w:w="1530" w:type="dxa"/>
            <w:tcBorders>
              <w:top w:val="nil"/>
              <w:left w:val="single" w:sz="4" w:space="0" w:color="auto"/>
              <w:bottom w:val="nil"/>
              <w:right w:val="single" w:sz="4" w:space="0" w:color="auto"/>
            </w:tcBorders>
            <w:shd w:val="clear" w:color="auto" w:fill="F2F2F2" w:themeFill="background1" w:themeFillShade="F2"/>
          </w:tcPr>
          <w:p w14:paraId="089BCF53" w14:textId="4EAEC8B4" w:rsidR="00FC1E08" w:rsidRPr="00040AA9" w:rsidRDefault="00942079" w:rsidP="00040AA9">
            <w:pPr>
              <w:suppressAutoHyphens/>
              <w:jc w:val="center"/>
              <w:rPr>
                <w:rFonts w:ascii="Arial" w:hAnsi="Arial" w:cs="Arial"/>
                <w:smallCaps/>
                <w:sz w:val="20"/>
                <w:szCs w:val="20"/>
              </w:rPr>
            </w:pPr>
            <w:r w:rsidRPr="00040AA9">
              <w:rPr>
                <w:rFonts w:ascii="Arial" w:hAnsi="Arial" w:cs="Arial"/>
                <w:smallCaps/>
                <w:sz w:val="20"/>
                <w:szCs w:val="20"/>
              </w:rPr>
              <w:t>0</w:t>
            </w:r>
          </w:p>
        </w:tc>
        <w:tc>
          <w:tcPr>
            <w:tcW w:w="1530" w:type="dxa"/>
            <w:tcBorders>
              <w:top w:val="nil"/>
              <w:left w:val="single" w:sz="4" w:space="0" w:color="auto"/>
              <w:bottom w:val="nil"/>
              <w:right w:val="single" w:sz="4" w:space="0" w:color="auto"/>
            </w:tcBorders>
            <w:shd w:val="clear" w:color="auto" w:fill="F2F2F2" w:themeFill="background1" w:themeFillShade="F2"/>
          </w:tcPr>
          <w:p w14:paraId="0540E7B6" w14:textId="17DE560A"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0</w:t>
            </w:r>
          </w:p>
        </w:tc>
        <w:tc>
          <w:tcPr>
            <w:tcW w:w="1622" w:type="dxa"/>
            <w:tcBorders>
              <w:top w:val="nil"/>
              <w:left w:val="single" w:sz="4" w:space="0" w:color="auto"/>
              <w:bottom w:val="nil"/>
              <w:right w:val="single" w:sz="4" w:space="0" w:color="auto"/>
            </w:tcBorders>
            <w:shd w:val="clear" w:color="auto" w:fill="F2F2F2" w:themeFill="background1" w:themeFillShade="F2"/>
          </w:tcPr>
          <w:p w14:paraId="391E6B01" w14:textId="3C077BA6"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0</w:t>
            </w:r>
          </w:p>
        </w:tc>
      </w:tr>
      <w:tr w:rsidR="002270C4" w:rsidRPr="009C40BB" w14:paraId="645C833D" w14:textId="5EFBD41D" w:rsidTr="002270C4">
        <w:tc>
          <w:tcPr>
            <w:tcW w:w="4945" w:type="dxa"/>
            <w:tcBorders>
              <w:top w:val="nil"/>
              <w:left w:val="single" w:sz="4" w:space="0" w:color="auto"/>
              <w:bottom w:val="nil"/>
              <w:right w:val="single" w:sz="4" w:space="0" w:color="auto"/>
            </w:tcBorders>
            <w:shd w:val="clear" w:color="auto" w:fill="F2F2F2" w:themeFill="background1" w:themeFillShade="F2"/>
            <w:hideMark/>
          </w:tcPr>
          <w:p w14:paraId="754B49D6"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From Contract Effectiveness:</w:t>
            </w:r>
          </w:p>
        </w:tc>
        <w:tc>
          <w:tcPr>
            <w:tcW w:w="1530" w:type="dxa"/>
            <w:tcBorders>
              <w:top w:val="nil"/>
              <w:left w:val="single" w:sz="4" w:space="0" w:color="auto"/>
              <w:bottom w:val="nil"/>
              <w:right w:val="single" w:sz="4" w:space="0" w:color="auto"/>
            </w:tcBorders>
            <w:shd w:val="clear" w:color="auto" w:fill="F2F2F2" w:themeFill="background1" w:themeFillShade="F2"/>
          </w:tcPr>
          <w:p w14:paraId="6B339E0D" w14:textId="22567995" w:rsidR="00FC1E08" w:rsidRPr="00040AA9" w:rsidRDefault="00942079" w:rsidP="00040AA9">
            <w:pPr>
              <w:suppressAutoHyphens/>
              <w:jc w:val="center"/>
              <w:rPr>
                <w:rFonts w:ascii="Arial" w:hAnsi="Arial" w:cs="Arial"/>
                <w:smallCaps/>
                <w:sz w:val="20"/>
                <w:szCs w:val="20"/>
              </w:rPr>
            </w:pPr>
            <w:r w:rsidRPr="00040AA9">
              <w:rPr>
                <w:rFonts w:ascii="Arial" w:hAnsi="Arial" w:cs="Arial"/>
                <w:smallCaps/>
                <w:sz w:val="20"/>
                <w:szCs w:val="20"/>
              </w:rPr>
              <w:t>0</w:t>
            </w:r>
          </w:p>
        </w:tc>
        <w:tc>
          <w:tcPr>
            <w:tcW w:w="1530" w:type="dxa"/>
            <w:tcBorders>
              <w:top w:val="nil"/>
              <w:left w:val="single" w:sz="4" w:space="0" w:color="auto"/>
              <w:bottom w:val="nil"/>
              <w:right w:val="single" w:sz="4" w:space="0" w:color="auto"/>
            </w:tcBorders>
            <w:shd w:val="clear" w:color="auto" w:fill="F2F2F2" w:themeFill="background1" w:themeFillShade="F2"/>
          </w:tcPr>
          <w:p w14:paraId="4AE8CF59" w14:textId="47978471"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0</w:t>
            </w:r>
          </w:p>
        </w:tc>
        <w:tc>
          <w:tcPr>
            <w:tcW w:w="1622" w:type="dxa"/>
            <w:tcBorders>
              <w:top w:val="nil"/>
              <w:left w:val="single" w:sz="4" w:space="0" w:color="auto"/>
              <w:bottom w:val="nil"/>
              <w:right w:val="single" w:sz="4" w:space="0" w:color="auto"/>
            </w:tcBorders>
            <w:shd w:val="clear" w:color="auto" w:fill="F2F2F2" w:themeFill="background1" w:themeFillShade="F2"/>
          </w:tcPr>
          <w:p w14:paraId="7E0532B3" w14:textId="061F57C4"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0</w:t>
            </w:r>
          </w:p>
        </w:tc>
      </w:tr>
      <w:tr w:rsidR="002270C4" w:rsidRPr="009C40BB" w14:paraId="0C2EF1A4" w14:textId="2876F8E3" w:rsidTr="002270C4">
        <w:tc>
          <w:tcPr>
            <w:tcW w:w="4945" w:type="dxa"/>
            <w:tcBorders>
              <w:top w:val="nil"/>
              <w:left w:val="single" w:sz="4" w:space="0" w:color="auto"/>
              <w:bottom w:val="nil"/>
              <w:right w:val="single" w:sz="4" w:space="0" w:color="auto"/>
            </w:tcBorders>
          </w:tcPr>
          <w:p w14:paraId="4C239599" w14:textId="77777777" w:rsidR="00FC1E08" w:rsidRPr="00040AA9" w:rsidRDefault="00FC1E08" w:rsidP="00040AA9">
            <w:pPr>
              <w:suppressAutoHyphens/>
              <w:rPr>
                <w:rFonts w:ascii="Arial" w:hAnsi="Arial" w:cs="Arial"/>
                <w:sz w:val="20"/>
                <w:szCs w:val="20"/>
              </w:rPr>
            </w:pPr>
          </w:p>
        </w:tc>
        <w:tc>
          <w:tcPr>
            <w:tcW w:w="1530" w:type="dxa"/>
            <w:tcBorders>
              <w:top w:val="nil"/>
              <w:left w:val="single" w:sz="4" w:space="0" w:color="auto"/>
              <w:bottom w:val="nil"/>
              <w:right w:val="single" w:sz="4" w:space="0" w:color="auto"/>
            </w:tcBorders>
          </w:tcPr>
          <w:p w14:paraId="506C9135" w14:textId="77777777" w:rsidR="00FC1E08" w:rsidRPr="00040AA9" w:rsidRDefault="00FC1E08" w:rsidP="00040AA9">
            <w:pPr>
              <w:suppressAutoHyphens/>
              <w:jc w:val="center"/>
              <w:rPr>
                <w:rFonts w:ascii="Arial" w:hAnsi="Arial" w:cs="Arial"/>
                <w:sz w:val="20"/>
                <w:szCs w:val="20"/>
              </w:rPr>
            </w:pPr>
          </w:p>
        </w:tc>
        <w:tc>
          <w:tcPr>
            <w:tcW w:w="1530" w:type="dxa"/>
            <w:tcBorders>
              <w:top w:val="nil"/>
              <w:left w:val="single" w:sz="4" w:space="0" w:color="auto"/>
              <w:bottom w:val="nil"/>
              <w:right w:val="single" w:sz="4" w:space="0" w:color="auto"/>
            </w:tcBorders>
          </w:tcPr>
          <w:p w14:paraId="797F7EB7" w14:textId="77777777" w:rsidR="00FC1E08" w:rsidRPr="00040AA9" w:rsidRDefault="00FC1E08" w:rsidP="00040AA9">
            <w:pPr>
              <w:suppressAutoHyphens/>
              <w:jc w:val="center"/>
              <w:rPr>
                <w:rFonts w:ascii="Arial" w:hAnsi="Arial" w:cs="Arial"/>
                <w:sz w:val="20"/>
                <w:szCs w:val="20"/>
              </w:rPr>
            </w:pPr>
          </w:p>
        </w:tc>
        <w:tc>
          <w:tcPr>
            <w:tcW w:w="1622" w:type="dxa"/>
            <w:tcBorders>
              <w:top w:val="nil"/>
              <w:left w:val="single" w:sz="4" w:space="0" w:color="auto"/>
              <w:bottom w:val="nil"/>
              <w:right w:val="single" w:sz="4" w:space="0" w:color="auto"/>
            </w:tcBorders>
          </w:tcPr>
          <w:p w14:paraId="7736D9AE" w14:textId="77777777" w:rsidR="00FC1E08" w:rsidRPr="00040AA9" w:rsidRDefault="00FC1E08" w:rsidP="00040AA9">
            <w:pPr>
              <w:suppressAutoHyphens/>
              <w:jc w:val="center"/>
              <w:rPr>
                <w:rFonts w:ascii="Arial" w:hAnsi="Arial" w:cs="Arial"/>
                <w:sz w:val="20"/>
                <w:szCs w:val="20"/>
              </w:rPr>
            </w:pPr>
          </w:p>
        </w:tc>
      </w:tr>
      <w:tr w:rsidR="002270C4" w:rsidRPr="009C40BB" w14:paraId="08A9A63A" w14:textId="0E49D16A" w:rsidTr="00894293">
        <w:trPr>
          <w:trHeight w:val="252"/>
        </w:trPr>
        <w:tc>
          <w:tcPr>
            <w:tcW w:w="4945" w:type="dxa"/>
            <w:tcBorders>
              <w:top w:val="nil"/>
              <w:left w:val="single" w:sz="4" w:space="0" w:color="auto"/>
              <w:bottom w:val="nil"/>
              <w:right w:val="single" w:sz="4" w:space="0" w:color="auto"/>
            </w:tcBorders>
            <w:shd w:val="clear" w:color="auto" w:fill="DBE5F1" w:themeFill="accent1" w:themeFillTint="33"/>
            <w:hideMark/>
          </w:tcPr>
          <w:p w14:paraId="7FF8D8FF" w14:textId="77777777" w:rsidR="00FC1E08" w:rsidRPr="00040AA9" w:rsidRDefault="00FC1E08" w:rsidP="00040AA9">
            <w:pPr>
              <w:suppressAutoHyphens/>
              <w:rPr>
                <w:rFonts w:ascii="Arial" w:hAnsi="Arial" w:cs="Arial"/>
                <w:smallCaps/>
                <w:sz w:val="20"/>
                <w:szCs w:val="20"/>
                <w:u w:val="single"/>
              </w:rPr>
            </w:pPr>
            <w:r w:rsidRPr="00040AA9">
              <w:rPr>
                <w:rFonts w:ascii="Arial" w:hAnsi="Arial" w:cs="Arial"/>
                <w:smallCaps/>
                <w:sz w:val="20"/>
                <w:szCs w:val="20"/>
                <w:u w:val="single"/>
              </w:rPr>
              <w:t xml:space="preserve">Disbursements Periods </w:t>
            </w:r>
          </w:p>
        </w:tc>
        <w:tc>
          <w:tcPr>
            <w:tcW w:w="1530" w:type="dxa"/>
            <w:tcBorders>
              <w:top w:val="nil"/>
              <w:left w:val="single" w:sz="4" w:space="0" w:color="auto"/>
              <w:bottom w:val="nil"/>
              <w:right w:val="single" w:sz="4" w:space="0" w:color="auto"/>
            </w:tcBorders>
            <w:shd w:val="clear" w:color="auto" w:fill="DBE5F1" w:themeFill="accent1" w:themeFillTint="33"/>
          </w:tcPr>
          <w:p w14:paraId="02D464DA" w14:textId="77777777" w:rsidR="00FC1E08" w:rsidRPr="00040AA9" w:rsidRDefault="00FC1E08" w:rsidP="00040AA9">
            <w:pPr>
              <w:suppressAutoHyphens/>
              <w:jc w:val="center"/>
              <w:rPr>
                <w:rFonts w:ascii="Arial" w:hAnsi="Arial" w:cs="Arial"/>
                <w:smallCaps/>
                <w:sz w:val="20"/>
                <w:szCs w:val="20"/>
                <w:u w:val="single"/>
              </w:rPr>
            </w:pPr>
          </w:p>
        </w:tc>
        <w:tc>
          <w:tcPr>
            <w:tcW w:w="1530" w:type="dxa"/>
            <w:tcBorders>
              <w:top w:val="nil"/>
              <w:left w:val="single" w:sz="4" w:space="0" w:color="auto"/>
              <w:bottom w:val="nil"/>
              <w:right w:val="single" w:sz="4" w:space="0" w:color="auto"/>
            </w:tcBorders>
            <w:shd w:val="clear" w:color="auto" w:fill="DBE5F1" w:themeFill="accent1" w:themeFillTint="33"/>
          </w:tcPr>
          <w:p w14:paraId="7C693E7F" w14:textId="77777777" w:rsidR="00FC1E08" w:rsidRPr="00040AA9" w:rsidRDefault="00FC1E08" w:rsidP="00040AA9">
            <w:pPr>
              <w:suppressAutoHyphens/>
              <w:jc w:val="center"/>
              <w:rPr>
                <w:rFonts w:ascii="Arial" w:hAnsi="Arial" w:cs="Arial"/>
                <w:smallCaps/>
                <w:sz w:val="20"/>
                <w:szCs w:val="20"/>
                <w:u w:val="single"/>
              </w:rPr>
            </w:pPr>
          </w:p>
        </w:tc>
        <w:tc>
          <w:tcPr>
            <w:tcW w:w="1622" w:type="dxa"/>
            <w:tcBorders>
              <w:top w:val="nil"/>
              <w:left w:val="single" w:sz="4" w:space="0" w:color="auto"/>
              <w:bottom w:val="nil"/>
              <w:right w:val="single" w:sz="4" w:space="0" w:color="auto"/>
            </w:tcBorders>
            <w:shd w:val="clear" w:color="auto" w:fill="DBE5F1" w:themeFill="accent1" w:themeFillTint="33"/>
          </w:tcPr>
          <w:p w14:paraId="40F383E2" w14:textId="77777777" w:rsidR="00FC1E08" w:rsidRPr="00040AA9" w:rsidRDefault="00FC1E08" w:rsidP="00040AA9">
            <w:pPr>
              <w:suppressAutoHyphens/>
              <w:jc w:val="center"/>
              <w:rPr>
                <w:rFonts w:ascii="Arial" w:hAnsi="Arial" w:cs="Arial"/>
                <w:smallCaps/>
                <w:sz w:val="20"/>
                <w:szCs w:val="20"/>
                <w:u w:val="single"/>
              </w:rPr>
            </w:pPr>
          </w:p>
        </w:tc>
      </w:tr>
      <w:tr w:rsidR="002270C4" w:rsidRPr="009C40BB" w14:paraId="04EAFD43" w14:textId="59174DAA" w:rsidTr="00A6624D">
        <w:trPr>
          <w:trHeight w:val="252"/>
        </w:trPr>
        <w:tc>
          <w:tcPr>
            <w:tcW w:w="4945" w:type="dxa"/>
            <w:tcBorders>
              <w:top w:val="nil"/>
              <w:left w:val="single" w:sz="4" w:space="0" w:color="auto"/>
              <w:bottom w:val="nil"/>
              <w:right w:val="single" w:sz="4" w:space="0" w:color="auto"/>
            </w:tcBorders>
            <w:shd w:val="clear" w:color="auto" w:fill="DBE5F1" w:themeFill="accent1" w:themeFillTint="33"/>
            <w:hideMark/>
          </w:tcPr>
          <w:p w14:paraId="6F5AAEA6"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Original Date of Final Disbursement:</w:t>
            </w:r>
          </w:p>
        </w:tc>
        <w:tc>
          <w:tcPr>
            <w:tcW w:w="1530" w:type="dxa"/>
            <w:tcBorders>
              <w:top w:val="nil"/>
              <w:left w:val="single" w:sz="4" w:space="0" w:color="auto"/>
              <w:bottom w:val="nil"/>
              <w:right w:val="single" w:sz="4" w:space="0" w:color="auto"/>
            </w:tcBorders>
            <w:shd w:val="clear" w:color="auto" w:fill="DBE5F1" w:themeFill="accent1" w:themeFillTint="33"/>
          </w:tcPr>
          <w:p w14:paraId="595A4017" w14:textId="44956AAA" w:rsidR="00FC1E08" w:rsidRPr="00040AA9" w:rsidRDefault="004E1718" w:rsidP="00040AA9">
            <w:pPr>
              <w:suppressAutoHyphens/>
              <w:jc w:val="center"/>
              <w:rPr>
                <w:rFonts w:ascii="Arial" w:hAnsi="Arial" w:cs="Arial"/>
                <w:smallCaps/>
                <w:sz w:val="20"/>
                <w:szCs w:val="20"/>
              </w:rPr>
            </w:pPr>
            <w:r w:rsidRPr="00040AA9">
              <w:rPr>
                <w:rFonts w:ascii="Arial" w:hAnsi="Arial" w:cs="Arial"/>
                <w:smallCaps/>
                <w:sz w:val="20"/>
                <w:szCs w:val="20"/>
              </w:rPr>
              <w:t>10-Feb-2014</w:t>
            </w:r>
          </w:p>
        </w:tc>
        <w:tc>
          <w:tcPr>
            <w:tcW w:w="1530" w:type="dxa"/>
            <w:tcBorders>
              <w:top w:val="nil"/>
              <w:left w:val="single" w:sz="4" w:space="0" w:color="auto"/>
              <w:bottom w:val="nil"/>
              <w:right w:val="single" w:sz="4" w:space="0" w:color="auto"/>
            </w:tcBorders>
            <w:shd w:val="clear" w:color="auto" w:fill="DBE5F1" w:themeFill="accent1" w:themeFillTint="33"/>
          </w:tcPr>
          <w:p w14:paraId="5BCD007C" w14:textId="697D2575"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10-Aug-2015</w:t>
            </w:r>
          </w:p>
        </w:tc>
        <w:tc>
          <w:tcPr>
            <w:tcW w:w="1622" w:type="dxa"/>
            <w:tcBorders>
              <w:top w:val="nil"/>
              <w:left w:val="single" w:sz="4" w:space="0" w:color="auto"/>
              <w:bottom w:val="nil"/>
              <w:right w:val="single" w:sz="4" w:space="0" w:color="auto"/>
            </w:tcBorders>
            <w:shd w:val="clear" w:color="auto" w:fill="DBE5F1" w:themeFill="accent1" w:themeFillTint="33"/>
          </w:tcPr>
          <w:p w14:paraId="6E0B676B" w14:textId="6745825B"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19-Dec-2016</w:t>
            </w:r>
          </w:p>
        </w:tc>
      </w:tr>
      <w:tr w:rsidR="002270C4" w:rsidRPr="009C40BB" w14:paraId="6C598D88" w14:textId="468B6CF5" w:rsidTr="00894293">
        <w:trPr>
          <w:trHeight w:val="252"/>
        </w:trPr>
        <w:tc>
          <w:tcPr>
            <w:tcW w:w="4945" w:type="dxa"/>
            <w:tcBorders>
              <w:top w:val="nil"/>
              <w:left w:val="single" w:sz="4" w:space="0" w:color="auto"/>
              <w:bottom w:val="nil"/>
              <w:right w:val="single" w:sz="4" w:space="0" w:color="auto"/>
            </w:tcBorders>
            <w:shd w:val="clear" w:color="auto" w:fill="DBE5F1" w:themeFill="accent1" w:themeFillTint="33"/>
            <w:hideMark/>
          </w:tcPr>
          <w:p w14:paraId="460296A2"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Current Date of Final Disbursement:</w:t>
            </w:r>
          </w:p>
        </w:tc>
        <w:tc>
          <w:tcPr>
            <w:tcW w:w="1530" w:type="dxa"/>
            <w:tcBorders>
              <w:top w:val="nil"/>
              <w:left w:val="single" w:sz="4" w:space="0" w:color="auto"/>
              <w:bottom w:val="nil"/>
              <w:right w:val="single" w:sz="4" w:space="0" w:color="auto"/>
            </w:tcBorders>
            <w:shd w:val="clear" w:color="auto" w:fill="DBE5F1" w:themeFill="accent1" w:themeFillTint="33"/>
          </w:tcPr>
          <w:p w14:paraId="63A39480" w14:textId="3329D812" w:rsidR="00FC1E08" w:rsidRPr="00040AA9" w:rsidRDefault="004E1718" w:rsidP="00040AA9">
            <w:pPr>
              <w:suppressAutoHyphens/>
              <w:jc w:val="center"/>
              <w:rPr>
                <w:rFonts w:ascii="Arial" w:hAnsi="Arial" w:cs="Arial"/>
                <w:smallCaps/>
                <w:sz w:val="20"/>
                <w:szCs w:val="20"/>
              </w:rPr>
            </w:pPr>
            <w:r w:rsidRPr="00040AA9">
              <w:rPr>
                <w:rFonts w:ascii="Arial" w:hAnsi="Arial" w:cs="Arial"/>
                <w:smallCaps/>
                <w:sz w:val="20"/>
                <w:szCs w:val="20"/>
              </w:rPr>
              <w:t>10-Feb-2014</w:t>
            </w:r>
          </w:p>
        </w:tc>
        <w:tc>
          <w:tcPr>
            <w:tcW w:w="1530" w:type="dxa"/>
            <w:tcBorders>
              <w:top w:val="nil"/>
              <w:left w:val="single" w:sz="4" w:space="0" w:color="auto"/>
              <w:bottom w:val="nil"/>
              <w:right w:val="single" w:sz="4" w:space="0" w:color="auto"/>
            </w:tcBorders>
            <w:shd w:val="clear" w:color="auto" w:fill="DBE5F1" w:themeFill="accent1" w:themeFillTint="33"/>
          </w:tcPr>
          <w:p w14:paraId="0E80B984" w14:textId="0112F7E9"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10-Aug-2015</w:t>
            </w:r>
          </w:p>
        </w:tc>
        <w:tc>
          <w:tcPr>
            <w:tcW w:w="1622" w:type="dxa"/>
            <w:tcBorders>
              <w:top w:val="nil"/>
              <w:left w:val="single" w:sz="4" w:space="0" w:color="auto"/>
              <w:bottom w:val="nil"/>
              <w:right w:val="single" w:sz="4" w:space="0" w:color="auto"/>
            </w:tcBorders>
            <w:shd w:val="clear" w:color="auto" w:fill="DBE5F1" w:themeFill="accent1" w:themeFillTint="33"/>
          </w:tcPr>
          <w:p w14:paraId="6DDFBADC" w14:textId="70A6BB2A"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19-Dec-2016</w:t>
            </w:r>
          </w:p>
        </w:tc>
      </w:tr>
      <w:tr w:rsidR="00894293" w:rsidRPr="009C40BB" w14:paraId="486D19F6" w14:textId="3B106B2E" w:rsidTr="00894293">
        <w:trPr>
          <w:trHeight w:val="243"/>
        </w:trPr>
        <w:tc>
          <w:tcPr>
            <w:tcW w:w="4945" w:type="dxa"/>
            <w:tcBorders>
              <w:top w:val="nil"/>
              <w:left w:val="single" w:sz="4" w:space="0" w:color="auto"/>
              <w:bottom w:val="nil"/>
              <w:right w:val="single" w:sz="4" w:space="0" w:color="auto"/>
            </w:tcBorders>
            <w:shd w:val="clear" w:color="auto" w:fill="DBE5F1" w:themeFill="accent1" w:themeFillTint="33"/>
            <w:hideMark/>
          </w:tcPr>
          <w:p w14:paraId="42977B97" w14:textId="77777777" w:rsidR="00894293" w:rsidRPr="00040AA9" w:rsidRDefault="00894293" w:rsidP="00040AA9">
            <w:pPr>
              <w:suppressAutoHyphens/>
              <w:rPr>
                <w:rFonts w:ascii="Arial" w:hAnsi="Arial" w:cs="Arial"/>
                <w:smallCaps/>
                <w:sz w:val="20"/>
                <w:szCs w:val="20"/>
              </w:rPr>
            </w:pPr>
            <w:r w:rsidRPr="00040AA9">
              <w:rPr>
                <w:rFonts w:ascii="Arial" w:hAnsi="Arial" w:cs="Arial"/>
                <w:smallCaps/>
                <w:sz w:val="20"/>
                <w:szCs w:val="20"/>
              </w:rPr>
              <w:t>Cumulative Extension (Months):</w:t>
            </w:r>
          </w:p>
        </w:tc>
        <w:tc>
          <w:tcPr>
            <w:tcW w:w="1530" w:type="dxa"/>
            <w:tcBorders>
              <w:top w:val="nil"/>
              <w:left w:val="single" w:sz="4" w:space="0" w:color="auto"/>
              <w:bottom w:val="nil"/>
              <w:right w:val="single" w:sz="4" w:space="0" w:color="auto"/>
            </w:tcBorders>
            <w:shd w:val="clear" w:color="auto" w:fill="DBE5F1" w:themeFill="accent1" w:themeFillTint="33"/>
          </w:tcPr>
          <w:p w14:paraId="23B3EADD" w14:textId="6752FBFC" w:rsidR="00894293"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0</w:t>
            </w:r>
          </w:p>
        </w:tc>
        <w:tc>
          <w:tcPr>
            <w:tcW w:w="1530" w:type="dxa"/>
            <w:tcBorders>
              <w:top w:val="nil"/>
              <w:left w:val="single" w:sz="4" w:space="0" w:color="auto"/>
              <w:bottom w:val="nil"/>
              <w:right w:val="single" w:sz="4" w:space="0" w:color="auto"/>
            </w:tcBorders>
            <w:shd w:val="clear" w:color="auto" w:fill="DBE5F1" w:themeFill="accent1" w:themeFillTint="33"/>
          </w:tcPr>
          <w:p w14:paraId="3DCEDB3C" w14:textId="4BD06D85" w:rsidR="00894293"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0</w:t>
            </w:r>
          </w:p>
        </w:tc>
        <w:tc>
          <w:tcPr>
            <w:tcW w:w="1622" w:type="dxa"/>
            <w:tcBorders>
              <w:top w:val="nil"/>
              <w:left w:val="single" w:sz="4" w:space="0" w:color="auto"/>
              <w:bottom w:val="nil"/>
              <w:right w:val="single" w:sz="4" w:space="0" w:color="auto"/>
            </w:tcBorders>
            <w:shd w:val="clear" w:color="auto" w:fill="DBE5F1" w:themeFill="accent1" w:themeFillTint="33"/>
          </w:tcPr>
          <w:p w14:paraId="7FEC94DB" w14:textId="72F7BE24" w:rsidR="00894293"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0</w:t>
            </w:r>
          </w:p>
        </w:tc>
      </w:tr>
      <w:tr w:rsidR="00894293" w:rsidRPr="009C40BB" w14:paraId="6B5DD697" w14:textId="32178AE6" w:rsidTr="00D90082">
        <w:tc>
          <w:tcPr>
            <w:tcW w:w="4945" w:type="dxa"/>
            <w:tcBorders>
              <w:top w:val="nil"/>
              <w:left w:val="single" w:sz="4" w:space="0" w:color="auto"/>
              <w:bottom w:val="nil"/>
              <w:right w:val="single" w:sz="4" w:space="0" w:color="auto"/>
            </w:tcBorders>
            <w:shd w:val="clear" w:color="auto" w:fill="DBE5F1" w:themeFill="accent1" w:themeFillTint="33"/>
            <w:hideMark/>
          </w:tcPr>
          <w:p w14:paraId="1C89BE7F" w14:textId="77777777" w:rsidR="00894293" w:rsidRPr="00040AA9" w:rsidRDefault="00894293" w:rsidP="00040AA9">
            <w:pPr>
              <w:suppressAutoHyphens/>
              <w:rPr>
                <w:rFonts w:ascii="Arial" w:hAnsi="Arial" w:cs="Arial"/>
                <w:smallCaps/>
                <w:sz w:val="20"/>
                <w:szCs w:val="20"/>
              </w:rPr>
            </w:pPr>
            <w:r w:rsidRPr="00040AA9">
              <w:rPr>
                <w:rFonts w:ascii="Arial" w:hAnsi="Arial" w:cs="Arial"/>
                <w:smallCaps/>
                <w:sz w:val="20"/>
                <w:szCs w:val="20"/>
              </w:rPr>
              <w:t>Special Extensions (Months):</w:t>
            </w:r>
          </w:p>
        </w:tc>
        <w:tc>
          <w:tcPr>
            <w:tcW w:w="1530" w:type="dxa"/>
            <w:tcBorders>
              <w:top w:val="nil"/>
              <w:left w:val="single" w:sz="4" w:space="0" w:color="auto"/>
              <w:bottom w:val="nil"/>
              <w:right w:val="single" w:sz="4" w:space="0" w:color="auto"/>
            </w:tcBorders>
            <w:shd w:val="clear" w:color="auto" w:fill="DBE5F1" w:themeFill="accent1" w:themeFillTint="33"/>
          </w:tcPr>
          <w:p w14:paraId="3DBC44C4" w14:textId="7599DD64" w:rsidR="00894293"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n/a</w:t>
            </w:r>
          </w:p>
        </w:tc>
        <w:tc>
          <w:tcPr>
            <w:tcW w:w="1530" w:type="dxa"/>
            <w:tcBorders>
              <w:top w:val="nil"/>
              <w:left w:val="single" w:sz="4" w:space="0" w:color="auto"/>
              <w:bottom w:val="nil"/>
              <w:right w:val="single" w:sz="4" w:space="0" w:color="auto"/>
            </w:tcBorders>
            <w:shd w:val="clear" w:color="auto" w:fill="DBE5F1" w:themeFill="accent1" w:themeFillTint="33"/>
          </w:tcPr>
          <w:p w14:paraId="50B8F3AF" w14:textId="160665E1" w:rsidR="00894293"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n/a</w:t>
            </w:r>
          </w:p>
        </w:tc>
        <w:tc>
          <w:tcPr>
            <w:tcW w:w="1622" w:type="dxa"/>
            <w:tcBorders>
              <w:top w:val="nil"/>
              <w:left w:val="single" w:sz="4" w:space="0" w:color="auto"/>
              <w:bottom w:val="nil"/>
              <w:right w:val="single" w:sz="4" w:space="0" w:color="auto"/>
            </w:tcBorders>
            <w:shd w:val="clear" w:color="auto" w:fill="DBE5F1" w:themeFill="accent1" w:themeFillTint="33"/>
          </w:tcPr>
          <w:p w14:paraId="4C385E6A" w14:textId="25464EE2" w:rsidR="00894293"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n/a</w:t>
            </w:r>
          </w:p>
        </w:tc>
      </w:tr>
      <w:tr w:rsidR="002270C4" w:rsidRPr="009C40BB" w14:paraId="7C894BAD" w14:textId="298ADF94" w:rsidTr="00D90082">
        <w:tc>
          <w:tcPr>
            <w:tcW w:w="4945" w:type="dxa"/>
            <w:tcBorders>
              <w:top w:val="nil"/>
              <w:left w:val="single" w:sz="4" w:space="0" w:color="auto"/>
              <w:bottom w:val="nil"/>
              <w:right w:val="single" w:sz="4" w:space="0" w:color="auto"/>
            </w:tcBorders>
            <w:shd w:val="clear" w:color="auto" w:fill="DBE5F1" w:themeFill="accent1" w:themeFillTint="33"/>
            <w:hideMark/>
          </w:tcPr>
          <w:p w14:paraId="09FE5180" w14:textId="596D170D" w:rsidR="00FC1E08" w:rsidRPr="00040AA9" w:rsidRDefault="00FC1E08" w:rsidP="00040AA9">
            <w:pPr>
              <w:suppressAutoHyphens/>
              <w:rPr>
                <w:rFonts w:ascii="Arial" w:hAnsi="Arial" w:cs="Arial"/>
                <w:smallCaps/>
                <w:sz w:val="20"/>
                <w:szCs w:val="20"/>
                <w:u w:val="single"/>
              </w:rPr>
            </w:pPr>
            <w:r w:rsidRPr="00040AA9">
              <w:rPr>
                <w:rFonts w:ascii="Arial" w:hAnsi="Arial" w:cs="Arial"/>
                <w:smallCaps/>
                <w:sz w:val="20"/>
                <w:szCs w:val="20"/>
                <w:u w:val="single"/>
              </w:rPr>
              <w:t>Disbursements</w:t>
            </w:r>
            <w:r w:rsidR="004E1718" w:rsidRPr="00040AA9">
              <w:rPr>
                <w:rFonts w:ascii="Arial" w:hAnsi="Arial" w:cs="Arial"/>
                <w:smallCaps/>
                <w:sz w:val="20"/>
                <w:szCs w:val="20"/>
                <w:u w:val="single"/>
              </w:rPr>
              <w:t xml:space="preserve"> – US dollars</w:t>
            </w:r>
          </w:p>
        </w:tc>
        <w:tc>
          <w:tcPr>
            <w:tcW w:w="1530" w:type="dxa"/>
            <w:tcBorders>
              <w:top w:val="nil"/>
              <w:left w:val="single" w:sz="4" w:space="0" w:color="auto"/>
              <w:bottom w:val="nil"/>
              <w:right w:val="single" w:sz="4" w:space="0" w:color="auto"/>
            </w:tcBorders>
            <w:shd w:val="clear" w:color="auto" w:fill="DBE5F1" w:themeFill="accent1" w:themeFillTint="33"/>
          </w:tcPr>
          <w:p w14:paraId="6FD81C90" w14:textId="77777777" w:rsidR="00FC1E08" w:rsidRPr="00040AA9" w:rsidRDefault="00FC1E08" w:rsidP="00040AA9">
            <w:pPr>
              <w:suppressAutoHyphens/>
              <w:jc w:val="center"/>
              <w:rPr>
                <w:rFonts w:ascii="Arial" w:hAnsi="Arial" w:cs="Arial"/>
                <w:smallCaps/>
                <w:sz w:val="20"/>
                <w:szCs w:val="20"/>
                <w:u w:val="single"/>
              </w:rPr>
            </w:pPr>
          </w:p>
        </w:tc>
        <w:tc>
          <w:tcPr>
            <w:tcW w:w="1530" w:type="dxa"/>
            <w:tcBorders>
              <w:top w:val="nil"/>
              <w:left w:val="single" w:sz="4" w:space="0" w:color="auto"/>
              <w:bottom w:val="nil"/>
              <w:right w:val="single" w:sz="4" w:space="0" w:color="auto"/>
            </w:tcBorders>
            <w:shd w:val="clear" w:color="auto" w:fill="DBE5F1" w:themeFill="accent1" w:themeFillTint="33"/>
          </w:tcPr>
          <w:p w14:paraId="7FFA97F3" w14:textId="77777777" w:rsidR="00FC1E08" w:rsidRPr="00040AA9" w:rsidRDefault="00FC1E08" w:rsidP="00040AA9">
            <w:pPr>
              <w:suppressAutoHyphens/>
              <w:jc w:val="center"/>
              <w:rPr>
                <w:rFonts w:ascii="Arial" w:hAnsi="Arial" w:cs="Arial"/>
                <w:smallCaps/>
                <w:sz w:val="20"/>
                <w:szCs w:val="20"/>
                <w:u w:val="single"/>
              </w:rPr>
            </w:pPr>
          </w:p>
        </w:tc>
        <w:tc>
          <w:tcPr>
            <w:tcW w:w="1622" w:type="dxa"/>
            <w:tcBorders>
              <w:top w:val="nil"/>
              <w:left w:val="single" w:sz="4" w:space="0" w:color="auto"/>
              <w:bottom w:val="nil"/>
              <w:right w:val="single" w:sz="4" w:space="0" w:color="auto"/>
            </w:tcBorders>
            <w:shd w:val="clear" w:color="auto" w:fill="DBE5F1" w:themeFill="accent1" w:themeFillTint="33"/>
          </w:tcPr>
          <w:p w14:paraId="4FAFE6CA" w14:textId="77777777" w:rsidR="00FC1E08" w:rsidRPr="00040AA9" w:rsidRDefault="00FC1E08" w:rsidP="00040AA9">
            <w:pPr>
              <w:suppressAutoHyphens/>
              <w:jc w:val="center"/>
              <w:rPr>
                <w:rFonts w:ascii="Arial" w:hAnsi="Arial" w:cs="Arial"/>
                <w:smallCaps/>
                <w:sz w:val="20"/>
                <w:szCs w:val="20"/>
                <w:u w:val="single"/>
              </w:rPr>
            </w:pPr>
          </w:p>
        </w:tc>
      </w:tr>
      <w:tr w:rsidR="002270C4" w:rsidRPr="009C40BB" w14:paraId="575DEE1F" w14:textId="2A35ABCD" w:rsidTr="00D90082">
        <w:tc>
          <w:tcPr>
            <w:tcW w:w="4945" w:type="dxa"/>
            <w:tcBorders>
              <w:top w:val="nil"/>
              <w:left w:val="single" w:sz="4" w:space="0" w:color="auto"/>
              <w:bottom w:val="nil"/>
              <w:right w:val="single" w:sz="4" w:space="0" w:color="auto"/>
            </w:tcBorders>
            <w:shd w:val="clear" w:color="auto" w:fill="DBE5F1" w:themeFill="accent1" w:themeFillTint="33"/>
            <w:hideMark/>
          </w:tcPr>
          <w:p w14:paraId="3A29242F" w14:textId="77777777"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Total Amount of Disbursements to Date:</w:t>
            </w:r>
          </w:p>
        </w:tc>
        <w:tc>
          <w:tcPr>
            <w:tcW w:w="1530" w:type="dxa"/>
            <w:tcBorders>
              <w:top w:val="nil"/>
              <w:left w:val="single" w:sz="4" w:space="0" w:color="auto"/>
              <w:bottom w:val="nil"/>
              <w:right w:val="single" w:sz="4" w:space="0" w:color="auto"/>
            </w:tcBorders>
            <w:shd w:val="clear" w:color="auto" w:fill="DBE5F1" w:themeFill="accent1" w:themeFillTint="33"/>
          </w:tcPr>
          <w:p w14:paraId="594A61FA" w14:textId="50228F6F" w:rsidR="00FC1E08" w:rsidRPr="00040AA9" w:rsidRDefault="004E1718" w:rsidP="00040AA9">
            <w:pPr>
              <w:suppressAutoHyphens/>
              <w:jc w:val="center"/>
              <w:rPr>
                <w:rFonts w:ascii="Arial" w:hAnsi="Arial" w:cs="Arial"/>
                <w:smallCaps/>
                <w:sz w:val="20"/>
                <w:szCs w:val="20"/>
              </w:rPr>
            </w:pPr>
            <w:r w:rsidRPr="00040AA9">
              <w:rPr>
                <w:rFonts w:ascii="Arial" w:hAnsi="Arial" w:cs="Arial"/>
                <w:smallCaps/>
                <w:sz w:val="20"/>
                <w:szCs w:val="20"/>
              </w:rPr>
              <w:t>80,000,000</w:t>
            </w:r>
          </w:p>
        </w:tc>
        <w:tc>
          <w:tcPr>
            <w:tcW w:w="1530" w:type="dxa"/>
            <w:tcBorders>
              <w:top w:val="nil"/>
              <w:left w:val="single" w:sz="4" w:space="0" w:color="auto"/>
              <w:bottom w:val="nil"/>
              <w:right w:val="single" w:sz="4" w:space="0" w:color="auto"/>
            </w:tcBorders>
            <w:shd w:val="clear" w:color="auto" w:fill="DBE5F1" w:themeFill="accent1" w:themeFillTint="33"/>
          </w:tcPr>
          <w:p w14:paraId="7907460C" w14:textId="2BA90ABC" w:rsidR="00FC1E08" w:rsidRPr="00040AA9" w:rsidRDefault="00A6624D" w:rsidP="00040AA9">
            <w:pPr>
              <w:suppressAutoHyphens/>
              <w:jc w:val="center"/>
              <w:rPr>
                <w:rFonts w:ascii="Arial" w:hAnsi="Arial" w:cs="Arial"/>
                <w:smallCaps/>
                <w:sz w:val="20"/>
                <w:szCs w:val="20"/>
              </w:rPr>
            </w:pPr>
            <w:r w:rsidRPr="00040AA9">
              <w:rPr>
                <w:rFonts w:ascii="Arial" w:hAnsi="Arial" w:cs="Arial"/>
                <w:smallCaps/>
                <w:sz w:val="20"/>
                <w:szCs w:val="20"/>
              </w:rPr>
              <w:t>130,000,000</w:t>
            </w:r>
          </w:p>
        </w:tc>
        <w:tc>
          <w:tcPr>
            <w:tcW w:w="1622" w:type="dxa"/>
            <w:tcBorders>
              <w:top w:val="nil"/>
              <w:left w:val="single" w:sz="4" w:space="0" w:color="auto"/>
              <w:bottom w:val="nil"/>
              <w:right w:val="single" w:sz="4" w:space="0" w:color="auto"/>
            </w:tcBorders>
            <w:shd w:val="clear" w:color="auto" w:fill="DBE5F1" w:themeFill="accent1" w:themeFillTint="33"/>
          </w:tcPr>
          <w:p w14:paraId="680C97D5" w14:textId="0BE53986" w:rsidR="00FC1E08" w:rsidRPr="00040AA9" w:rsidRDefault="00894293" w:rsidP="00040AA9">
            <w:pPr>
              <w:suppressAutoHyphens/>
              <w:jc w:val="center"/>
              <w:rPr>
                <w:rFonts w:ascii="Arial" w:hAnsi="Arial" w:cs="Arial"/>
                <w:smallCaps/>
                <w:sz w:val="20"/>
                <w:szCs w:val="20"/>
              </w:rPr>
            </w:pPr>
            <w:r w:rsidRPr="00040AA9">
              <w:rPr>
                <w:rFonts w:ascii="Arial" w:hAnsi="Arial" w:cs="Arial"/>
                <w:smallCaps/>
                <w:sz w:val="20"/>
                <w:szCs w:val="20"/>
              </w:rPr>
              <w:t>50,000,000</w:t>
            </w:r>
          </w:p>
        </w:tc>
      </w:tr>
      <w:tr w:rsidR="002270C4" w:rsidRPr="009C40BB" w14:paraId="105C2E59" w14:textId="4629C7B5" w:rsidTr="00D90082">
        <w:tc>
          <w:tcPr>
            <w:tcW w:w="4945" w:type="dxa"/>
            <w:tcBorders>
              <w:top w:val="nil"/>
              <w:left w:val="single" w:sz="4" w:space="0" w:color="auto"/>
              <w:bottom w:val="nil"/>
              <w:right w:val="single" w:sz="4" w:space="0" w:color="auto"/>
            </w:tcBorders>
          </w:tcPr>
          <w:p w14:paraId="49850D4D" w14:textId="77777777" w:rsidR="00FC1E08" w:rsidRPr="00040AA9" w:rsidRDefault="00FC1E08" w:rsidP="00040AA9">
            <w:pPr>
              <w:suppressAutoHyphens/>
              <w:rPr>
                <w:rFonts w:ascii="Arial" w:hAnsi="Arial" w:cs="Arial"/>
                <w:sz w:val="20"/>
                <w:szCs w:val="20"/>
              </w:rPr>
            </w:pPr>
          </w:p>
        </w:tc>
        <w:tc>
          <w:tcPr>
            <w:tcW w:w="1530" w:type="dxa"/>
            <w:tcBorders>
              <w:top w:val="nil"/>
              <w:left w:val="single" w:sz="4" w:space="0" w:color="auto"/>
              <w:bottom w:val="nil"/>
              <w:right w:val="single" w:sz="4" w:space="0" w:color="auto"/>
            </w:tcBorders>
          </w:tcPr>
          <w:p w14:paraId="58927B17" w14:textId="77777777" w:rsidR="00FC1E08" w:rsidRPr="00040AA9" w:rsidRDefault="00FC1E08" w:rsidP="00040AA9">
            <w:pPr>
              <w:suppressAutoHyphens/>
              <w:jc w:val="center"/>
              <w:rPr>
                <w:rFonts w:ascii="Arial" w:hAnsi="Arial" w:cs="Arial"/>
                <w:sz w:val="20"/>
                <w:szCs w:val="20"/>
              </w:rPr>
            </w:pPr>
          </w:p>
        </w:tc>
        <w:tc>
          <w:tcPr>
            <w:tcW w:w="1530" w:type="dxa"/>
            <w:tcBorders>
              <w:top w:val="nil"/>
              <w:left w:val="single" w:sz="4" w:space="0" w:color="auto"/>
              <w:bottom w:val="nil"/>
              <w:right w:val="single" w:sz="4" w:space="0" w:color="auto"/>
            </w:tcBorders>
          </w:tcPr>
          <w:p w14:paraId="3F8DAAE3" w14:textId="77777777" w:rsidR="00FC1E08" w:rsidRPr="00040AA9" w:rsidRDefault="00FC1E08" w:rsidP="00040AA9">
            <w:pPr>
              <w:suppressAutoHyphens/>
              <w:jc w:val="center"/>
              <w:rPr>
                <w:rFonts w:ascii="Arial" w:hAnsi="Arial" w:cs="Arial"/>
                <w:sz w:val="20"/>
                <w:szCs w:val="20"/>
              </w:rPr>
            </w:pPr>
          </w:p>
        </w:tc>
        <w:tc>
          <w:tcPr>
            <w:tcW w:w="1622" w:type="dxa"/>
            <w:tcBorders>
              <w:top w:val="nil"/>
              <w:left w:val="single" w:sz="4" w:space="0" w:color="auto"/>
              <w:bottom w:val="nil"/>
              <w:right w:val="single" w:sz="4" w:space="0" w:color="auto"/>
            </w:tcBorders>
          </w:tcPr>
          <w:p w14:paraId="4BDF31DC" w14:textId="77777777" w:rsidR="00FC1E08" w:rsidRPr="00040AA9" w:rsidRDefault="00FC1E08" w:rsidP="00040AA9">
            <w:pPr>
              <w:suppressAutoHyphens/>
              <w:rPr>
                <w:rFonts w:ascii="Arial" w:hAnsi="Arial" w:cs="Arial"/>
                <w:sz w:val="20"/>
                <w:szCs w:val="20"/>
              </w:rPr>
            </w:pPr>
          </w:p>
        </w:tc>
      </w:tr>
      <w:tr w:rsidR="002270C4" w:rsidRPr="009C40BB" w14:paraId="0AF9869B" w14:textId="4C88AD39" w:rsidTr="00D90082">
        <w:tc>
          <w:tcPr>
            <w:tcW w:w="4945" w:type="dxa"/>
            <w:tcBorders>
              <w:top w:val="nil"/>
              <w:left w:val="single" w:sz="4" w:space="0" w:color="auto"/>
              <w:bottom w:val="nil"/>
              <w:right w:val="single" w:sz="4" w:space="0" w:color="auto"/>
            </w:tcBorders>
            <w:shd w:val="clear" w:color="auto" w:fill="F2F2F2" w:themeFill="background1" w:themeFillShade="F2"/>
            <w:hideMark/>
          </w:tcPr>
          <w:p w14:paraId="3B6ACAF9" w14:textId="77777777" w:rsidR="00FC1E08" w:rsidRPr="00040AA9" w:rsidRDefault="00FC1E08" w:rsidP="00040AA9">
            <w:pPr>
              <w:suppressAutoHyphens/>
              <w:rPr>
                <w:rFonts w:ascii="Arial" w:hAnsi="Arial" w:cs="Arial"/>
                <w:smallCaps/>
                <w:sz w:val="20"/>
                <w:szCs w:val="20"/>
              </w:rPr>
            </w:pPr>
            <w:proofErr w:type="spellStart"/>
            <w:r w:rsidRPr="00040AA9">
              <w:rPr>
                <w:rFonts w:ascii="Arial" w:hAnsi="Arial" w:cs="Arial"/>
                <w:smallCaps/>
                <w:sz w:val="20"/>
                <w:szCs w:val="20"/>
                <w:u w:val="single"/>
              </w:rPr>
              <w:t>Redirectioning</w:t>
            </w:r>
            <w:proofErr w:type="spellEnd"/>
            <w:r w:rsidRPr="00040AA9">
              <w:rPr>
                <w:rFonts w:ascii="Arial" w:hAnsi="Arial" w:cs="Arial"/>
                <w:smallCaps/>
                <w:sz w:val="20"/>
                <w:szCs w:val="20"/>
                <w:u w:val="single"/>
              </w:rPr>
              <w:t>.</w:t>
            </w:r>
            <w:r w:rsidRPr="00040AA9">
              <w:rPr>
                <w:rFonts w:ascii="Arial" w:hAnsi="Arial" w:cs="Arial"/>
                <w:smallCaps/>
                <w:sz w:val="20"/>
                <w:szCs w:val="20"/>
              </w:rPr>
              <w:t xml:space="preserve"> Has this Project?</w:t>
            </w:r>
          </w:p>
        </w:tc>
        <w:tc>
          <w:tcPr>
            <w:tcW w:w="1530" w:type="dxa"/>
            <w:tcBorders>
              <w:top w:val="nil"/>
              <w:left w:val="single" w:sz="4" w:space="0" w:color="auto"/>
              <w:bottom w:val="nil"/>
              <w:right w:val="single" w:sz="4" w:space="0" w:color="auto"/>
            </w:tcBorders>
            <w:shd w:val="clear" w:color="auto" w:fill="F2F2F2" w:themeFill="background1" w:themeFillShade="F2"/>
          </w:tcPr>
          <w:p w14:paraId="53133C90" w14:textId="77777777" w:rsidR="00FC1E08" w:rsidRPr="00040AA9" w:rsidRDefault="00FC1E08" w:rsidP="00040AA9">
            <w:pPr>
              <w:suppressAutoHyphens/>
              <w:jc w:val="center"/>
              <w:rPr>
                <w:rFonts w:ascii="Arial" w:hAnsi="Arial" w:cs="Arial"/>
                <w:smallCaps/>
                <w:sz w:val="20"/>
                <w:szCs w:val="20"/>
                <w:u w:val="single"/>
              </w:rPr>
            </w:pPr>
          </w:p>
        </w:tc>
        <w:tc>
          <w:tcPr>
            <w:tcW w:w="1530" w:type="dxa"/>
            <w:tcBorders>
              <w:top w:val="nil"/>
              <w:left w:val="single" w:sz="4" w:space="0" w:color="auto"/>
              <w:bottom w:val="nil"/>
              <w:right w:val="single" w:sz="4" w:space="0" w:color="auto"/>
            </w:tcBorders>
            <w:shd w:val="clear" w:color="auto" w:fill="F2F2F2" w:themeFill="background1" w:themeFillShade="F2"/>
          </w:tcPr>
          <w:p w14:paraId="426546CB" w14:textId="77777777" w:rsidR="00FC1E08" w:rsidRPr="00040AA9" w:rsidRDefault="00FC1E08" w:rsidP="00040AA9">
            <w:pPr>
              <w:suppressAutoHyphens/>
              <w:rPr>
                <w:rFonts w:ascii="Arial" w:hAnsi="Arial" w:cs="Arial"/>
                <w:smallCaps/>
                <w:sz w:val="20"/>
                <w:szCs w:val="20"/>
                <w:u w:val="single"/>
              </w:rPr>
            </w:pPr>
          </w:p>
        </w:tc>
        <w:tc>
          <w:tcPr>
            <w:tcW w:w="1622" w:type="dxa"/>
            <w:tcBorders>
              <w:top w:val="nil"/>
              <w:left w:val="single" w:sz="4" w:space="0" w:color="auto"/>
              <w:bottom w:val="nil"/>
              <w:right w:val="single" w:sz="4" w:space="0" w:color="auto"/>
            </w:tcBorders>
            <w:shd w:val="clear" w:color="auto" w:fill="F2F2F2" w:themeFill="background1" w:themeFillShade="F2"/>
          </w:tcPr>
          <w:p w14:paraId="326A378E" w14:textId="77777777" w:rsidR="00FC1E08" w:rsidRPr="00040AA9" w:rsidRDefault="00FC1E08" w:rsidP="00040AA9">
            <w:pPr>
              <w:suppressAutoHyphens/>
              <w:rPr>
                <w:rFonts w:ascii="Arial" w:hAnsi="Arial" w:cs="Arial"/>
                <w:smallCaps/>
                <w:sz w:val="20"/>
                <w:szCs w:val="20"/>
                <w:u w:val="single"/>
              </w:rPr>
            </w:pPr>
          </w:p>
        </w:tc>
      </w:tr>
      <w:tr w:rsidR="002270C4" w:rsidRPr="009C40BB" w14:paraId="1C2460DC" w14:textId="2FE1FFE1" w:rsidTr="00D90082">
        <w:tc>
          <w:tcPr>
            <w:tcW w:w="4945" w:type="dxa"/>
            <w:tcBorders>
              <w:top w:val="nil"/>
              <w:left w:val="single" w:sz="4" w:space="0" w:color="auto"/>
              <w:bottom w:val="nil"/>
              <w:right w:val="single" w:sz="4" w:space="0" w:color="auto"/>
            </w:tcBorders>
            <w:shd w:val="clear" w:color="auto" w:fill="F2F2F2" w:themeFill="background1" w:themeFillShade="F2"/>
            <w:hideMark/>
          </w:tcPr>
          <w:p w14:paraId="21AD9B1D" w14:textId="72B8E914" w:rsidR="00FC1E08" w:rsidRPr="00040AA9" w:rsidRDefault="00FC1E08" w:rsidP="00040AA9">
            <w:pPr>
              <w:suppressAutoHyphens/>
              <w:rPr>
                <w:rFonts w:ascii="Arial" w:hAnsi="Arial" w:cs="Arial"/>
                <w:smallCaps/>
                <w:sz w:val="20"/>
                <w:szCs w:val="20"/>
              </w:rPr>
            </w:pPr>
            <w:r w:rsidRPr="00040AA9">
              <w:rPr>
                <w:rFonts w:ascii="Arial" w:hAnsi="Arial" w:cs="Arial"/>
                <w:smallCaps/>
                <w:sz w:val="20"/>
                <w:szCs w:val="20"/>
              </w:rPr>
              <w:t xml:space="preserve">Received funds from another Project </w:t>
            </w:r>
          </w:p>
        </w:tc>
        <w:tc>
          <w:tcPr>
            <w:tcW w:w="1530" w:type="dxa"/>
            <w:tcBorders>
              <w:top w:val="nil"/>
              <w:left w:val="single" w:sz="4" w:space="0" w:color="auto"/>
              <w:bottom w:val="nil"/>
              <w:right w:val="single" w:sz="4" w:space="0" w:color="auto"/>
            </w:tcBorders>
            <w:shd w:val="clear" w:color="auto" w:fill="F2F2F2" w:themeFill="background1" w:themeFillShade="F2"/>
          </w:tcPr>
          <w:p w14:paraId="474E394F" w14:textId="6A5B7E83" w:rsidR="00FC1E08" w:rsidRPr="00040AA9" w:rsidRDefault="00B41346" w:rsidP="00040AA9">
            <w:pPr>
              <w:suppressAutoHyphens/>
              <w:jc w:val="center"/>
              <w:rPr>
                <w:rFonts w:ascii="Arial" w:hAnsi="Arial" w:cs="Arial"/>
                <w:smallCaps/>
                <w:sz w:val="20"/>
                <w:szCs w:val="20"/>
              </w:rPr>
            </w:pPr>
            <w:r w:rsidRPr="00040AA9">
              <w:rPr>
                <w:rFonts w:ascii="Arial" w:hAnsi="Arial" w:cs="Arial"/>
                <w:smallCaps/>
                <w:sz w:val="20"/>
                <w:szCs w:val="20"/>
              </w:rPr>
              <w:t>No</w:t>
            </w:r>
          </w:p>
        </w:tc>
        <w:tc>
          <w:tcPr>
            <w:tcW w:w="1530" w:type="dxa"/>
            <w:tcBorders>
              <w:top w:val="nil"/>
              <w:left w:val="single" w:sz="4" w:space="0" w:color="auto"/>
              <w:bottom w:val="nil"/>
              <w:right w:val="single" w:sz="4" w:space="0" w:color="auto"/>
            </w:tcBorders>
            <w:shd w:val="clear" w:color="auto" w:fill="F2F2F2" w:themeFill="background1" w:themeFillShade="F2"/>
          </w:tcPr>
          <w:p w14:paraId="0614B5A0" w14:textId="53115788" w:rsidR="00FC1E08" w:rsidRPr="00040AA9" w:rsidRDefault="00B41346" w:rsidP="00040AA9">
            <w:pPr>
              <w:suppressAutoHyphens/>
              <w:jc w:val="center"/>
              <w:rPr>
                <w:rFonts w:ascii="Arial" w:hAnsi="Arial" w:cs="Arial"/>
                <w:smallCaps/>
                <w:sz w:val="20"/>
                <w:szCs w:val="20"/>
              </w:rPr>
            </w:pPr>
            <w:r w:rsidRPr="00040AA9">
              <w:rPr>
                <w:rFonts w:ascii="Arial" w:hAnsi="Arial" w:cs="Arial"/>
                <w:smallCaps/>
                <w:sz w:val="20"/>
                <w:szCs w:val="20"/>
              </w:rPr>
              <w:t>No</w:t>
            </w:r>
          </w:p>
        </w:tc>
        <w:tc>
          <w:tcPr>
            <w:tcW w:w="1622" w:type="dxa"/>
            <w:tcBorders>
              <w:top w:val="nil"/>
              <w:left w:val="single" w:sz="4" w:space="0" w:color="auto"/>
              <w:bottom w:val="nil"/>
              <w:right w:val="single" w:sz="4" w:space="0" w:color="auto"/>
            </w:tcBorders>
            <w:shd w:val="clear" w:color="auto" w:fill="F2F2F2" w:themeFill="background1" w:themeFillShade="F2"/>
          </w:tcPr>
          <w:p w14:paraId="0C22248C" w14:textId="5B57E47B" w:rsidR="00FC1E08" w:rsidRPr="00040AA9" w:rsidRDefault="00B41346" w:rsidP="00040AA9">
            <w:pPr>
              <w:suppressAutoHyphens/>
              <w:jc w:val="center"/>
              <w:rPr>
                <w:rFonts w:ascii="Arial" w:hAnsi="Arial" w:cs="Arial"/>
                <w:smallCaps/>
                <w:sz w:val="20"/>
                <w:szCs w:val="20"/>
              </w:rPr>
            </w:pPr>
            <w:r w:rsidRPr="00040AA9">
              <w:rPr>
                <w:rFonts w:ascii="Arial" w:hAnsi="Arial" w:cs="Arial"/>
                <w:smallCaps/>
                <w:sz w:val="20"/>
                <w:szCs w:val="20"/>
              </w:rPr>
              <w:t>No</w:t>
            </w:r>
          </w:p>
        </w:tc>
      </w:tr>
      <w:tr w:rsidR="00D90082" w:rsidRPr="009C40BB" w14:paraId="55427CB3" w14:textId="14E0BF1E" w:rsidTr="00D90082">
        <w:tc>
          <w:tcPr>
            <w:tcW w:w="4945" w:type="dxa"/>
            <w:tcBorders>
              <w:top w:val="nil"/>
              <w:left w:val="single" w:sz="4" w:space="0" w:color="auto"/>
              <w:bottom w:val="nil"/>
              <w:right w:val="single" w:sz="4" w:space="0" w:color="auto"/>
            </w:tcBorders>
            <w:shd w:val="clear" w:color="auto" w:fill="F2F2F2" w:themeFill="background1" w:themeFillShade="F2"/>
            <w:hideMark/>
          </w:tcPr>
          <w:p w14:paraId="3AA489AD" w14:textId="3AD2921C" w:rsidR="00D90082" w:rsidRPr="00040AA9" w:rsidRDefault="00D90082" w:rsidP="00040AA9">
            <w:pPr>
              <w:suppressAutoHyphens/>
              <w:rPr>
                <w:rFonts w:ascii="Arial" w:hAnsi="Arial" w:cs="Arial"/>
                <w:smallCaps/>
                <w:sz w:val="20"/>
                <w:szCs w:val="20"/>
              </w:rPr>
            </w:pPr>
            <w:r w:rsidRPr="00040AA9">
              <w:rPr>
                <w:rFonts w:ascii="Arial" w:hAnsi="Arial" w:cs="Arial"/>
                <w:smallCaps/>
                <w:sz w:val="20"/>
                <w:szCs w:val="20"/>
              </w:rPr>
              <w:t xml:space="preserve">Sent funds to another Project </w:t>
            </w:r>
          </w:p>
        </w:tc>
        <w:tc>
          <w:tcPr>
            <w:tcW w:w="1530" w:type="dxa"/>
            <w:tcBorders>
              <w:top w:val="nil"/>
              <w:left w:val="single" w:sz="4" w:space="0" w:color="auto"/>
              <w:bottom w:val="nil"/>
              <w:right w:val="single" w:sz="4" w:space="0" w:color="auto"/>
            </w:tcBorders>
            <w:shd w:val="clear" w:color="auto" w:fill="F2F2F2" w:themeFill="background1" w:themeFillShade="F2"/>
          </w:tcPr>
          <w:p w14:paraId="627C7C80" w14:textId="08A6799A" w:rsidR="00D90082" w:rsidRPr="00040AA9" w:rsidRDefault="00D90082" w:rsidP="00040AA9">
            <w:pPr>
              <w:suppressAutoHyphens/>
              <w:jc w:val="center"/>
              <w:rPr>
                <w:rFonts w:ascii="Arial" w:hAnsi="Arial" w:cs="Arial"/>
                <w:smallCaps/>
                <w:sz w:val="20"/>
                <w:szCs w:val="20"/>
              </w:rPr>
            </w:pPr>
            <w:r w:rsidRPr="00040AA9">
              <w:rPr>
                <w:rFonts w:ascii="Arial" w:hAnsi="Arial" w:cs="Arial"/>
                <w:smallCaps/>
                <w:sz w:val="20"/>
                <w:szCs w:val="20"/>
              </w:rPr>
              <w:t>No</w:t>
            </w:r>
          </w:p>
        </w:tc>
        <w:tc>
          <w:tcPr>
            <w:tcW w:w="1530" w:type="dxa"/>
            <w:tcBorders>
              <w:top w:val="nil"/>
              <w:left w:val="single" w:sz="4" w:space="0" w:color="auto"/>
              <w:bottom w:val="nil"/>
              <w:right w:val="single" w:sz="4" w:space="0" w:color="auto"/>
            </w:tcBorders>
            <w:shd w:val="clear" w:color="auto" w:fill="F2F2F2" w:themeFill="background1" w:themeFillShade="F2"/>
          </w:tcPr>
          <w:p w14:paraId="0432F9AE" w14:textId="7593CC14" w:rsidR="00D90082" w:rsidRPr="00040AA9" w:rsidRDefault="00D90082" w:rsidP="00040AA9">
            <w:pPr>
              <w:suppressAutoHyphens/>
              <w:jc w:val="center"/>
              <w:rPr>
                <w:rFonts w:ascii="Arial" w:hAnsi="Arial" w:cs="Arial"/>
                <w:smallCaps/>
                <w:sz w:val="20"/>
                <w:szCs w:val="20"/>
              </w:rPr>
            </w:pPr>
            <w:r w:rsidRPr="00040AA9">
              <w:rPr>
                <w:rFonts w:ascii="Arial" w:hAnsi="Arial" w:cs="Arial"/>
                <w:smallCaps/>
                <w:sz w:val="20"/>
                <w:szCs w:val="20"/>
              </w:rPr>
              <w:t>No</w:t>
            </w:r>
          </w:p>
        </w:tc>
        <w:tc>
          <w:tcPr>
            <w:tcW w:w="1622" w:type="dxa"/>
            <w:tcBorders>
              <w:top w:val="nil"/>
              <w:left w:val="single" w:sz="4" w:space="0" w:color="auto"/>
              <w:bottom w:val="nil"/>
              <w:right w:val="single" w:sz="4" w:space="0" w:color="auto"/>
            </w:tcBorders>
            <w:shd w:val="clear" w:color="auto" w:fill="F2F2F2" w:themeFill="background1" w:themeFillShade="F2"/>
          </w:tcPr>
          <w:p w14:paraId="0D10947A" w14:textId="42091D61" w:rsidR="00D90082" w:rsidRPr="00040AA9" w:rsidRDefault="00D90082" w:rsidP="00040AA9">
            <w:pPr>
              <w:suppressAutoHyphens/>
              <w:jc w:val="center"/>
              <w:rPr>
                <w:rFonts w:ascii="Arial" w:hAnsi="Arial" w:cs="Arial"/>
                <w:smallCaps/>
                <w:sz w:val="20"/>
                <w:szCs w:val="20"/>
              </w:rPr>
            </w:pPr>
            <w:r w:rsidRPr="00040AA9">
              <w:rPr>
                <w:rFonts w:ascii="Arial" w:hAnsi="Arial" w:cs="Arial"/>
                <w:smallCaps/>
                <w:sz w:val="20"/>
                <w:szCs w:val="20"/>
              </w:rPr>
              <w:t>No</w:t>
            </w:r>
          </w:p>
        </w:tc>
      </w:tr>
      <w:tr w:rsidR="002270C4" w:rsidRPr="009C40BB" w14:paraId="69826FED" w14:textId="77777777" w:rsidTr="00D90082">
        <w:tc>
          <w:tcPr>
            <w:tcW w:w="4945" w:type="dxa"/>
            <w:tcBorders>
              <w:top w:val="nil"/>
              <w:left w:val="single" w:sz="4" w:space="0" w:color="auto"/>
              <w:bottom w:val="nil"/>
              <w:right w:val="single" w:sz="4" w:space="0" w:color="auto"/>
            </w:tcBorders>
          </w:tcPr>
          <w:p w14:paraId="76EB3720" w14:textId="77777777" w:rsidR="00FC1E08" w:rsidRPr="00040AA9" w:rsidRDefault="00FC1E08" w:rsidP="00040AA9">
            <w:pPr>
              <w:suppressAutoHyphens/>
              <w:rPr>
                <w:rFonts w:ascii="Arial" w:hAnsi="Arial" w:cs="Arial"/>
                <w:sz w:val="20"/>
                <w:szCs w:val="20"/>
              </w:rPr>
            </w:pPr>
          </w:p>
        </w:tc>
        <w:tc>
          <w:tcPr>
            <w:tcW w:w="1530" w:type="dxa"/>
            <w:tcBorders>
              <w:top w:val="nil"/>
              <w:left w:val="single" w:sz="4" w:space="0" w:color="auto"/>
              <w:bottom w:val="nil"/>
              <w:right w:val="single" w:sz="4" w:space="0" w:color="auto"/>
            </w:tcBorders>
          </w:tcPr>
          <w:p w14:paraId="70A667A6" w14:textId="77777777" w:rsidR="00FC1E08" w:rsidRPr="00040AA9" w:rsidRDefault="00FC1E08" w:rsidP="00040AA9">
            <w:pPr>
              <w:suppressAutoHyphens/>
              <w:rPr>
                <w:rFonts w:ascii="Arial" w:hAnsi="Arial" w:cs="Arial"/>
                <w:sz w:val="20"/>
                <w:szCs w:val="20"/>
              </w:rPr>
            </w:pPr>
          </w:p>
        </w:tc>
        <w:tc>
          <w:tcPr>
            <w:tcW w:w="1530" w:type="dxa"/>
            <w:tcBorders>
              <w:top w:val="nil"/>
              <w:left w:val="single" w:sz="4" w:space="0" w:color="auto"/>
              <w:bottom w:val="nil"/>
              <w:right w:val="single" w:sz="4" w:space="0" w:color="auto"/>
            </w:tcBorders>
          </w:tcPr>
          <w:p w14:paraId="7D74BE8F" w14:textId="77777777" w:rsidR="00FC1E08" w:rsidRPr="00040AA9" w:rsidRDefault="00FC1E08" w:rsidP="00040AA9">
            <w:pPr>
              <w:suppressAutoHyphens/>
              <w:rPr>
                <w:rFonts w:ascii="Arial" w:hAnsi="Arial" w:cs="Arial"/>
                <w:sz w:val="20"/>
                <w:szCs w:val="20"/>
              </w:rPr>
            </w:pPr>
          </w:p>
        </w:tc>
        <w:tc>
          <w:tcPr>
            <w:tcW w:w="1622" w:type="dxa"/>
            <w:tcBorders>
              <w:top w:val="nil"/>
              <w:left w:val="single" w:sz="4" w:space="0" w:color="auto"/>
              <w:bottom w:val="nil"/>
              <w:right w:val="single" w:sz="4" w:space="0" w:color="auto"/>
            </w:tcBorders>
          </w:tcPr>
          <w:p w14:paraId="72B6CA79" w14:textId="501CD719" w:rsidR="00FC1E08" w:rsidRPr="00040AA9" w:rsidRDefault="00FC1E08" w:rsidP="00040AA9">
            <w:pPr>
              <w:suppressAutoHyphens/>
              <w:rPr>
                <w:rFonts w:ascii="Arial" w:hAnsi="Arial" w:cs="Arial"/>
                <w:sz w:val="20"/>
                <w:szCs w:val="20"/>
              </w:rPr>
            </w:pPr>
          </w:p>
        </w:tc>
      </w:tr>
      <w:tr w:rsidR="008E348B" w:rsidRPr="009C40BB" w14:paraId="2236C776" w14:textId="77777777" w:rsidTr="00D90082">
        <w:tc>
          <w:tcPr>
            <w:tcW w:w="9627" w:type="dxa"/>
            <w:gridSpan w:val="4"/>
            <w:tcBorders>
              <w:top w:val="nil"/>
              <w:left w:val="single" w:sz="4" w:space="0" w:color="auto"/>
              <w:bottom w:val="nil"/>
              <w:right w:val="single" w:sz="4" w:space="0" w:color="auto"/>
            </w:tcBorders>
            <w:shd w:val="clear" w:color="auto" w:fill="DBE5F1" w:themeFill="accent1" w:themeFillTint="33"/>
          </w:tcPr>
          <w:p w14:paraId="4C0CCD8F" w14:textId="58ED8498" w:rsidR="008E348B" w:rsidRPr="00040AA9" w:rsidRDefault="008E348B" w:rsidP="00040AA9">
            <w:pPr>
              <w:suppressAutoHyphens/>
              <w:rPr>
                <w:rFonts w:ascii="Arial" w:hAnsi="Arial" w:cs="Arial"/>
                <w:smallCaps/>
                <w:sz w:val="20"/>
                <w:szCs w:val="20"/>
              </w:rPr>
            </w:pPr>
            <w:r w:rsidRPr="00040AA9">
              <w:rPr>
                <w:rFonts w:ascii="Arial" w:hAnsi="Arial" w:cs="Arial"/>
                <w:smallCaps/>
                <w:sz w:val="20"/>
                <w:szCs w:val="20"/>
              </w:rPr>
              <w:t xml:space="preserve">Ex Post Economic Analysis Methodology: </w:t>
            </w:r>
            <w:r w:rsidR="00DF5AA7" w:rsidRPr="00040AA9">
              <w:rPr>
                <w:rFonts w:ascii="Arial" w:hAnsi="Arial" w:cs="Arial"/>
                <w:smallCaps/>
                <w:sz w:val="20"/>
                <w:szCs w:val="20"/>
              </w:rPr>
              <w:t>General economic a</w:t>
            </w:r>
            <w:r w:rsidR="00B24DC9" w:rsidRPr="00040AA9">
              <w:rPr>
                <w:rFonts w:ascii="Arial" w:hAnsi="Arial" w:cs="Arial"/>
                <w:smallCaps/>
                <w:sz w:val="20"/>
                <w:szCs w:val="20"/>
              </w:rPr>
              <w:t>nal</w:t>
            </w:r>
            <w:r w:rsidR="00DF5AA7" w:rsidRPr="00040AA9">
              <w:rPr>
                <w:rFonts w:ascii="Arial" w:hAnsi="Arial" w:cs="Arial"/>
                <w:smallCaps/>
                <w:sz w:val="20"/>
                <w:szCs w:val="20"/>
              </w:rPr>
              <w:t>ysis</w:t>
            </w:r>
          </w:p>
        </w:tc>
      </w:tr>
      <w:tr w:rsidR="008E348B" w:rsidRPr="009C40BB" w14:paraId="3E57DDBF" w14:textId="77777777" w:rsidTr="00DF5AA7">
        <w:trPr>
          <w:trHeight w:val="504"/>
        </w:trPr>
        <w:tc>
          <w:tcPr>
            <w:tcW w:w="9627" w:type="dxa"/>
            <w:gridSpan w:val="4"/>
            <w:tcBorders>
              <w:top w:val="nil"/>
              <w:left w:val="single" w:sz="4" w:space="0" w:color="auto"/>
              <w:bottom w:val="nil"/>
              <w:right w:val="single" w:sz="4" w:space="0" w:color="auto"/>
            </w:tcBorders>
            <w:shd w:val="clear" w:color="auto" w:fill="DBE5F1" w:themeFill="accent1" w:themeFillTint="33"/>
          </w:tcPr>
          <w:p w14:paraId="2A8EAB8C" w14:textId="0504AFD8" w:rsidR="008E348B" w:rsidRPr="00040AA9" w:rsidRDefault="008E348B" w:rsidP="00040AA9">
            <w:pPr>
              <w:suppressAutoHyphens/>
              <w:rPr>
                <w:rFonts w:ascii="Arial" w:hAnsi="Arial" w:cs="Arial"/>
                <w:smallCaps/>
                <w:sz w:val="20"/>
                <w:szCs w:val="20"/>
              </w:rPr>
            </w:pPr>
            <w:r w:rsidRPr="00040AA9">
              <w:rPr>
                <w:rFonts w:ascii="Arial" w:hAnsi="Arial" w:cs="Arial"/>
                <w:smallCaps/>
                <w:sz w:val="20"/>
                <w:szCs w:val="20"/>
              </w:rPr>
              <w:t>Ex Post Evaluation Methodology:</w:t>
            </w:r>
            <w:r w:rsidR="00DF5AA7" w:rsidRPr="00040AA9">
              <w:rPr>
                <w:rFonts w:ascii="Arial" w:hAnsi="Arial" w:cs="Arial"/>
                <w:smallCaps/>
                <w:sz w:val="20"/>
                <w:szCs w:val="20"/>
              </w:rPr>
              <w:t xml:space="preserve"> Dynamic Computable General Equilibrium model to simulate tax revenues with and without program–sponsored reforms</w:t>
            </w:r>
          </w:p>
        </w:tc>
      </w:tr>
      <w:tr w:rsidR="008E348B" w:rsidRPr="009C40BB" w14:paraId="52C3D974" w14:textId="77777777" w:rsidTr="00D90082">
        <w:tc>
          <w:tcPr>
            <w:tcW w:w="9627" w:type="dxa"/>
            <w:gridSpan w:val="4"/>
            <w:tcBorders>
              <w:top w:val="nil"/>
              <w:left w:val="single" w:sz="4" w:space="0" w:color="auto"/>
              <w:bottom w:val="nil"/>
              <w:right w:val="single" w:sz="4" w:space="0" w:color="auto"/>
            </w:tcBorders>
            <w:shd w:val="clear" w:color="auto" w:fill="DBE5F1" w:themeFill="accent1" w:themeFillTint="33"/>
          </w:tcPr>
          <w:p w14:paraId="4BE2B197" w14:textId="191B0F87" w:rsidR="008E348B" w:rsidRPr="00040AA9" w:rsidRDefault="008E348B" w:rsidP="00040AA9">
            <w:pPr>
              <w:suppressAutoHyphens/>
              <w:rPr>
                <w:rFonts w:ascii="Arial" w:hAnsi="Arial" w:cs="Arial"/>
                <w:sz w:val="20"/>
                <w:szCs w:val="20"/>
              </w:rPr>
            </w:pPr>
          </w:p>
        </w:tc>
      </w:tr>
      <w:tr w:rsidR="008E348B" w:rsidRPr="009C40BB" w14:paraId="6AF8C9B7" w14:textId="77777777" w:rsidTr="00D90082">
        <w:tc>
          <w:tcPr>
            <w:tcW w:w="9627" w:type="dxa"/>
            <w:gridSpan w:val="4"/>
            <w:tcBorders>
              <w:top w:val="nil"/>
              <w:left w:val="single" w:sz="4" w:space="0" w:color="auto"/>
              <w:bottom w:val="nil"/>
              <w:right w:val="single" w:sz="4" w:space="0" w:color="auto"/>
            </w:tcBorders>
            <w:shd w:val="clear" w:color="auto" w:fill="DBE5F1" w:themeFill="accent1" w:themeFillTint="33"/>
          </w:tcPr>
          <w:p w14:paraId="3E7A0AB0" w14:textId="51482E7F" w:rsidR="008E348B" w:rsidRPr="00040AA9" w:rsidRDefault="008E348B" w:rsidP="00040AA9">
            <w:pPr>
              <w:suppressAutoHyphens/>
              <w:ind w:left="4140" w:hanging="4140"/>
              <w:rPr>
                <w:rFonts w:ascii="Arial" w:hAnsi="Arial" w:cs="Arial"/>
                <w:smallCaps/>
                <w:sz w:val="20"/>
                <w:szCs w:val="20"/>
              </w:rPr>
            </w:pPr>
            <w:r w:rsidRPr="00040AA9">
              <w:rPr>
                <w:rFonts w:ascii="Arial" w:hAnsi="Arial" w:cs="Arial"/>
                <w:smallCaps/>
                <w:sz w:val="20"/>
                <w:szCs w:val="20"/>
              </w:rPr>
              <w:t xml:space="preserve">Development Effectiveness Classification: </w:t>
            </w:r>
            <w:r w:rsidR="00A6209C" w:rsidRPr="00040AA9">
              <w:rPr>
                <w:rFonts w:ascii="Arial" w:hAnsi="Arial" w:cs="Arial"/>
                <w:smallCaps/>
                <w:sz w:val="20"/>
                <w:szCs w:val="20"/>
              </w:rPr>
              <w:t>Highly Successful</w:t>
            </w:r>
          </w:p>
        </w:tc>
      </w:tr>
      <w:tr w:rsidR="008E348B" w:rsidRPr="009C40BB" w14:paraId="19AA578C" w14:textId="77777777" w:rsidTr="00D90082">
        <w:tc>
          <w:tcPr>
            <w:tcW w:w="9627" w:type="dxa"/>
            <w:gridSpan w:val="4"/>
            <w:tcBorders>
              <w:top w:val="nil"/>
              <w:left w:val="single" w:sz="4" w:space="0" w:color="auto"/>
              <w:bottom w:val="nil"/>
              <w:right w:val="single" w:sz="4" w:space="0" w:color="auto"/>
            </w:tcBorders>
          </w:tcPr>
          <w:p w14:paraId="655F7221" w14:textId="1FC12128" w:rsidR="008E348B" w:rsidRPr="00040AA9" w:rsidRDefault="008E348B" w:rsidP="00040AA9">
            <w:pPr>
              <w:suppressAutoHyphens/>
              <w:rPr>
                <w:rFonts w:ascii="Arial" w:hAnsi="Arial" w:cs="Arial"/>
                <w:sz w:val="20"/>
                <w:szCs w:val="20"/>
              </w:rPr>
            </w:pPr>
          </w:p>
        </w:tc>
      </w:tr>
      <w:tr w:rsidR="008E348B" w:rsidRPr="009C40BB" w14:paraId="4B287720" w14:textId="77777777" w:rsidTr="00D90082">
        <w:tc>
          <w:tcPr>
            <w:tcW w:w="9627" w:type="dxa"/>
            <w:gridSpan w:val="4"/>
            <w:tcBorders>
              <w:top w:val="nil"/>
              <w:left w:val="single" w:sz="4" w:space="0" w:color="auto"/>
              <w:bottom w:val="nil"/>
              <w:right w:val="single" w:sz="4" w:space="0" w:color="auto"/>
            </w:tcBorders>
          </w:tcPr>
          <w:p w14:paraId="36ED5D7E" w14:textId="5A0D13DB" w:rsidR="008E348B" w:rsidRPr="00040AA9" w:rsidRDefault="008E348B" w:rsidP="00040AA9">
            <w:pPr>
              <w:suppressAutoHyphens/>
              <w:rPr>
                <w:rFonts w:ascii="Arial" w:hAnsi="Arial" w:cs="Arial"/>
                <w:sz w:val="20"/>
                <w:szCs w:val="20"/>
              </w:rPr>
            </w:pPr>
          </w:p>
        </w:tc>
      </w:tr>
      <w:tr w:rsidR="008E348B" w:rsidRPr="009C40BB" w14:paraId="3B2D20D3" w14:textId="77777777" w:rsidTr="00D90082">
        <w:tc>
          <w:tcPr>
            <w:tcW w:w="9627" w:type="dxa"/>
            <w:gridSpan w:val="4"/>
            <w:tcBorders>
              <w:top w:val="nil"/>
              <w:left w:val="single" w:sz="4" w:space="0" w:color="auto"/>
              <w:bottom w:val="nil"/>
              <w:right w:val="single" w:sz="4" w:space="0" w:color="auto"/>
            </w:tcBorders>
          </w:tcPr>
          <w:p w14:paraId="6A6EE3FC" w14:textId="4A8B42C9" w:rsidR="008E348B" w:rsidRPr="00040AA9" w:rsidRDefault="008E348B" w:rsidP="00040AA9">
            <w:pPr>
              <w:suppressAutoHyphens/>
              <w:rPr>
                <w:rFonts w:ascii="Arial" w:hAnsi="Arial" w:cs="Arial"/>
                <w:sz w:val="20"/>
                <w:szCs w:val="20"/>
              </w:rPr>
            </w:pPr>
            <w:r w:rsidRPr="00040AA9">
              <w:rPr>
                <w:rFonts w:ascii="Arial" w:hAnsi="Arial" w:cs="Arial"/>
                <w:smallCaps/>
                <w:sz w:val="20"/>
                <w:szCs w:val="20"/>
              </w:rPr>
              <w:t xml:space="preserve">Statement of the Development Objectives of the Project/Program:      </w:t>
            </w:r>
          </w:p>
        </w:tc>
      </w:tr>
      <w:tr w:rsidR="002270C4" w:rsidRPr="009C40BB" w14:paraId="3ACC4F74" w14:textId="77777777" w:rsidTr="00B24DC9">
        <w:trPr>
          <w:trHeight w:val="1449"/>
        </w:trPr>
        <w:tc>
          <w:tcPr>
            <w:tcW w:w="9627" w:type="dxa"/>
            <w:gridSpan w:val="4"/>
            <w:tcBorders>
              <w:top w:val="nil"/>
              <w:left w:val="single" w:sz="4" w:space="0" w:color="auto"/>
              <w:right w:val="single" w:sz="4" w:space="0" w:color="auto"/>
            </w:tcBorders>
          </w:tcPr>
          <w:p w14:paraId="4D51162B" w14:textId="217E2496" w:rsidR="0057229C" w:rsidRPr="00040AA9" w:rsidRDefault="00004117" w:rsidP="00040AA9">
            <w:pPr>
              <w:suppressAutoHyphens/>
              <w:jc w:val="both"/>
              <w:rPr>
                <w:rFonts w:ascii="Arial" w:hAnsi="Arial" w:cs="Arial"/>
                <w:sz w:val="20"/>
                <w:szCs w:val="20"/>
              </w:rPr>
            </w:pPr>
            <w:r w:rsidRPr="00040AA9">
              <w:rPr>
                <w:rFonts w:ascii="Arial" w:eastAsiaTheme="majorEastAsia" w:hAnsi="Arial" w:cs="Arial"/>
                <w:sz w:val="15"/>
                <w:szCs w:val="15"/>
              </w:rPr>
              <w:t> </w:t>
            </w:r>
            <w:r w:rsidR="00F53BB7" w:rsidRPr="00040AA9">
              <w:rPr>
                <w:rFonts w:ascii="Arial" w:hAnsi="Arial" w:cs="Arial"/>
                <w:sz w:val="20"/>
                <w:szCs w:val="20"/>
              </w:rPr>
              <w:t xml:space="preserve">The </w:t>
            </w:r>
            <w:r w:rsidR="00DC574C" w:rsidRPr="009C40BB">
              <w:rPr>
                <w:rFonts w:ascii="Arial" w:hAnsi="Arial" w:cs="Arial"/>
                <w:sz w:val="20"/>
                <w:szCs w:val="20"/>
              </w:rPr>
              <w:t>program’s</w:t>
            </w:r>
            <w:r w:rsidR="00F53BB7" w:rsidRPr="00040AA9">
              <w:rPr>
                <w:rFonts w:ascii="Arial" w:hAnsi="Arial" w:cs="Arial"/>
                <w:sz w:val="20"/>
                <w:szCs w:val="20"/>
              </w:rPr>
              <w:t xml:space="preserve"> objective is to support the efforts of the Government of Jamaica to achieve a sustainable fiscal path and higher economic growth. This will be done through: (</w:t>
            </w:r>
            <w:proofErr w:type="spellStart"/>
            <w:r w:rsidR="00F53BB7" w:rsidRPr="00040AA9">
              <w:rPr>
                <w:rFonts w:ascii="Arial" w:hAnsi="Arial" w:cs="Arial"/>
                <w:sz w:val="20"/>
                <w:szCs w:val="20"/>
              </w:rPr>
              <w:t>i</w:t>
            </w:r>
            <w:proofErr w:type="spellEnd"/>
            <w:r w:rsidR="00F53BB7" w:rsidRPr="00040AA9">
              <w:rPr>
                <w:rFonts w:ascii="Arial" w:hAnsi="Arial" w:cs="Arial"/>
                <w:sz w:val="20"/>
                <w:szCs w:val="20"/>
              </w:rPr>
              <w:t>) reducing tax distortions which hinder private investment, employment and competitiveness; (ii) strengthening revenue collection through broadening tax bases and reducing tax rates; (iii) enhancing the control over budgetary expenditure; (iv)</w:t>
            </w:r>
            <w:r w:rsidR="00DC574C">
              <w:rPr>
                <w:rFonts w:ascii="Arial" w:hAnsi="Arial" w:cs="Arial"/>
                <w:sz w:val="20"/>
                <w:szCs w:val="20"/>
              </w:rPr>
              <w:t> </w:t>
            </w:r>
            <w:r w:rsidR="00F53BB7" w:rsidRPr="00040AA9">
              <w:rPr>
                <w:rFonts w:ascii="Arial" w:hAnsi="Arial" w:cs="Arial"/>
                <w:sz w:val="20"/>
                <w:szCs w:val="20"/>
              </w:rPr>
              <w:t>improving the fiscal sustainability of the National Insurance Scheme (NIS); and (v) strengthening the Fiscal Responsibility Framework (FRF)</w:t>
            </w:r>
            <w:r w:rsidR="007156D7">
              <w:rPr>
                <w:rFonts w:ascii="Arial" w:hAnsi="Arial" w:cs="Arial"/>
                <w:sz w:val="20"/>
                <w:szCs w:val="20"/>
              </w:rPr>
              <w:t>.</w:t>
            </w:r>
          </w:p>
        </w:tc>
      </w:tr>
    </w:tbl>
    <w:p w14:paraId="70A81A49" w14:textId="77777777" w:rsidR="000D057C" w:rsidRDefault="000D057C" w:rsidP="00040AA9">
      <w:pPr>
        <w:suppressAutoHyphens/>
        <w:sectPr w:rsidR="000D057C" w:rsidSect="00C12A9E">
          <w:footerReference w:type="default" r:id="rId25"/>
          <w:pgSz w:w="12240" w:h="15840"/>
          <w:pgMar w:top="1440" w:right="1440" w:bottom="1440" w:left="1440" w:header="720" w:footer="720" w:gutter="0"/>
          <w:pgNumType w:fmt="lowerRoman"/>
          <w:cols w:space="720"/>
        </w:sectPr>
      </w:pPr>
    </w:p>
    <w:p w14:paraId="7C05462C" w14:textId="7C0CE18F" w:rsidR="009B4D7A" w:rsidRPr="00040AA9" w:rsidRDefault="009B4D7A" w:rsidP="00040AA9">
      <w:pPr>
        <w:pStyle w:val="Heading1"/>
        <w:keepNext w:val="0"/>
        <w:keepLines w:val="0"/>
        <w:suppressAutoHyphens/>
        <w:jc w:val="both"/>
        <w:rPr>
          <w:rFonts w:cs="Arial"/>
          <w:szCs w:val="22"/>
        </w:rPr>
      </w:pPr>
      <w:bookmarkStart w:id="5" w:name="_Toc469493890"/>
      <w:r w:rsidRPr="00040AA9">
        <w:rPr>
          <w:rFonts w:cs="Arial"/>
          <w:smallCaps/>
          <w:szCs w:val="22"/>
        </w:rPr>
        <w:t>Executive Summary</w:t>
      </w:r>
      <w:r w:rsidRPr="00040AA9">
        <w:rPr>
          <w:rFonts w:cs="Arial"/>
          <w:szCs w:val="22"/>
        </w:rPr>
        <w:t xml:space="preserve"> </w:t>
      </w:r>
      <w:bookmarkEnd w:id="5"/>
    </w:p>
    <w:p w14:paraId="666F16EA" w14:textId="762963CB" w:rsidR="00436449" w:rsidRPr="00040AA9" w:rsidRDefault="002E6786"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The primary focus of the</w:t>
      </w:r>
      <w:r w:rsidR="00436449" w:rsidRPr="00040AA9">
        <w:rPr>
          <w:rFonts w:ascii="Arial" w:hAnsi="Arial" w:cs="Arial"/>
          <w:sz w:val="22"/>
          <w:szCs w:val="22"/>
        </w:rPr>
        <w:t xml:space="preserve"> </w:t>
      </w:r>
      <w:r w:rsidR="00FC58E7" w:rsidRPr="00040AA9">
        <w:rPr>
          <w:rFonts w:ascii="Arial" w:hAnsi="Arial" w:cs="Arial"/>
          <w:sz w:val="22"/>
          <w:szCs w:val="22"/>
        </w:rPr>
        <w:t>Fiscal</w:t>
      </w:r>
      <w:r w:rsidRPr="00040AA9">
        <w:rPr>
          <w:rFonts w:ascii="Arial" w:hAnsi="Arial" w:cs="Arial"/>
          <w:sz w:val="22"/>
          <w:szCs w:val="22"/>
        </w:rPr>
        <w:t xml:space="preserve"> Program for Economic Growth (</w:t>
      </w:r>
      <w:r w:rsidR="00436449" w:rsidRPr="00040AA9">
        <w:rPr>
          <w:rFonts w:ascii="Arial" w:hAnsi="Arial" w:cs="Arial"/>
          <w:sz w:val="22"/>
          <w:szCs w:val="22"/>
        </w:rPr>
        <w:t>FISPEG</w:t>
      </w:r>
      <w:r w:rsidR="00FC58E7" w:rsidRPr="00040AA9">
        <w:rPr>
          <w:rFonts w:ascii="Arial" w:hAnsi="Arial" w:cs="Arial"/>
          <w:sz w:val="22"/>
          <w:szCs w:val="22"/>
        </w:rPr>
        <w:t>)</w:t>
      </w:r>
      <w:r w:rsidR="00436449" w:rsidRPr="00040AA9">
        <w:rPr>
          <w:rFonts w:ascii="Arial" w:hAnsi="Arial" w:cs="Arial"/>
          <w:sz w:val="22"/>
          <w:szCs w:val="22"/>
        </w:rPr>
        <w:t xml:space="preserve"> </w:t>
      </w:r>
      <w:r w:rsidR="00F55EBD" w:rsidRPr="00040AA9">
        <w:rPr>
          <w:rFonts w:ascii="Arial" w:hAnsi="Arial" w:cs="Arial"/>
          <w:sz w:val="22"/>
          <w:szCs w:val="22"/>
        </w:rPr>
        <w:t>was on reform of tax policy and</w:t>
      </w:r>
      <w:r w:rsidR="00F80A0C" w:rsidRPr="00040AA9">
        <w:rPr>
          <w:rFonts w:ascii="Arial" w:hAnsi="Arial" w:cs="Arial"/>
          <w:sz w:val="22"/>
          <w:szCs w:val="22"/>
        </w:rPr>
        <w:t xml:space="preserve"> administration, while also </w:t>
      </w:r>
      <w:r w:rsidR="00E711D0" w:rsidRPr="00040AA9">
        <w:rPr>
          <w:rFonts w:ascii="Arial" w:hAnsi="Arial" w:cs="Arial"/>
          <w:sz w:val="22"/>
          <w:szCs w:val="22"/>
        </w:rPr>
        <w:t xml:space="preserve">undertaking </w:t>
      </w:r>
      <w:r w:rsidR="00F80A0C" w:rsidRPr="00040AA9">
        <w:rPr>
          <w:rFonts w:ascii="Arial" w:hAnsi="Arial" w:cs="Arial"/>
          <w:sz w:val="22"/>
          <w:szCs w:val="22"/>
        </w:rPr>
        <w:t xml:space="preserve">several expenditure rationalization </w:t>
      </w:r>
      <w:r w:rsidR="00E711D0" w:rsidRPr="00040AA9">
        <w:rPr>
          <w:rFonts w:ascii="Arial" w:hAnsi="Arial" w:cs="Arial"/>
          <w:sz w:val="22"/>
          <w:szCs w:val="22"/>
        </w:rPr>
        <w:t>measures</w:t>
      </w:r>
      <w:r w:rsidR="00F80A0C" w:rsidRPr="00040AA9">
        <w:rPr>
          <w:rFonts w:ascii="Arial" w:hAnsi="Arial" w:cs="Arial"/>
          <w:sz w:val="22"/>
          <w:szCs w:val="22"/>
        </w:rPr>
        <w:t xml:space="preserve">. </w:t>
      </w:r>
      <w:r w:rsidRPr="00040AA9">
        <w:rPr>
          <w:rFonts w:ascii="Arial" w:hAnsi="Arial" w:cs="Arial"/>
          <w:sz w:val="22"/>
          <w:szCs w:val="22"/>
        </w:rPr>
        <w:t>Approved in January 2014</w:t>
      </w:r>
      <w:r w:rsidR="004525B8" w:rsidRPr="00040AA9">
        <w:rPr>
          <w:rFonts w:ascii="Arial" w:hAnsi="Arial" w:cs="Arial"/>
          <w:sz w:val="22"/>
          <w:szCs w:val="22"/>
        </w:rPr>
        <w:t xml:space="preserve"> </w:t>
      </w:r>
      <w:r w:rsidR="002C06D1" w:rsidRPr="00040AA9">
        <w:rPr>
          <w:rFonts w:ascii="Arial" w:hAnsi="Arial" w:cs="Arial"/>
          <w:sz w:val="22"/>
          <w:szCs w:val="22"/>
        </w:rPr>
        <w:t xml:space="preserve">the program </w:t>
      </w:r>
      <w:r w:rsidR="003541F6" w:rsidRPr="00040AA9">
        <w:rPr>
          <w:rFonts w:ascii="Arial" w:hAnsi="Arial" w:cs="Arial"/>
          <w:sz w:val="22"/>
          <w:szCs w:val="22"/>
        </w:rPr>
        <w:t xml:space="preserve">built upon </w:t>
      </w:r>
      <w:r w:rsidR="00184451" w:rsidRPr="00040AA9">
        <w:rPr>
          <w:rFonts w:ascii="Arial" w:hAnsi="Arial" w:cs="Arial"/>
          <w:sz w:val="22"/>
          <w:szCs w:val="22"/>
        </w:rPr>
        <w:t xml:space="preserve">prior </w:t>
      </w:r>
      <w:r w:rsidR="003541F6" w:rsidRPr="00040AA9">
        <w:rPr>
          <w:rFonts w:ascii="Arial" w:hAnsi="Arial" w:cs="Arial"/>
          <w:sz w:val="22"/>
          <w:szCs w:val="22"/>
        </w:rPr>
        <w:t xml:space="preserve">revenue enhancing </w:t>
      </w:r>
      <w:r w:rsidR="00A11F06" w:rsidRPr="00040AA9">
        <w:rPr>
          <w:rFonts w:ascii="Arial" w:hAnsi="Arial" w:cs="Arial"/>
          <w:sz w:val="22"/>
          <w:szCs w:val="22"/>
        </w:rPr>
        <w:t>initiatives</w:t>
      </w:r>
      <w:r w:rsidR="00F902DE" w:rsidRPr="00040AA9">
        <w:rPr>
          <w:rFonts w:ascii="Arial" w:hAnsi="Arial" w:cs="Arial"/>
          <w:sz w:val="22"/>
          <w:szCs w:val="22"/>
        </w:rPr>
        <w:t xml:space="preserve">, </w:t>
      </w:r>
      <w:r w:rsidR="00144380" w:rsidRPr="00040AA9">
        <w:rPr>
          <w:rFonts w:ascii="Arial" w:hAnsi="Arial" w:cs="Arial"/>
          <w:sz w:val="22"/>
          <w:szCs w:val="22"/>
        </w:rPr>
        <w:t>namely</w:t>
      </w:r>
      <w:r w:rsidR="00F902DE" w:rsidRPr="00040AA9">
        <w:rPr>
          <w:rFonts w:ascii="Arial" w:hAnsi="Arial" w:cs="Arial"/>
          <w:sz w:val="22"/>
          <w:szCs w:val="22"/>
        </w:rPr>
        <w:t xml:space="preserve"> </w:t>
      </w:r>
      <w:r w:rsidR="00436449" w:rsidRPr="00040AA9">
        <w:rPr>
          <w:rFonts w:ascii="Arial" w:hAnsi="Arial" w:cs="Arial"/>
          <w:sz w:val="22"/>
          <w:szCs w:val="22"/>
        </w:rPr>
        <w:t>the Bank-sponsored Fiscal Consolidation Program</w:t>
      </w:r>
      <w:r w:rsidR="000A3024" w:rsidRPr="00040AA9">
        <w:rPr>
          <w:rFonts w:ascii="Arial" w:hAnsi="Arial" w:cs="Arial"/>
          <w:sz w:val="22"/>
          <w:szCs w:val="22"/>
        </w:rPr>
        <w:t xml:space="preserve"> (FCP)</w:t>
      </w:r>
      <w:r w:rsidR="00436449" w:rsidRPr="00040AA9">
        <w:rPr>
          <w:rFonts w:ascii="Arial" w:hAnsi="Arial" w:cs="Arial"/>
          <w:sz w:val="22"/>
          <w:szCs w:val="22"/>
        </w:rPr>
        <w:t xml:space="preserve"> (2010-2012)</w:t>
      </w:r>
      <w:r w:rsidR="00403AFE" w:rsidRPr="00040AA9">
        <w:rPr>
          <w:rFonts w:ascii="Arial" w:hAnsi="Arial" w:cs="Arial"/>
          <w:sz w:val="22"/>
          <w:szCs w:val="22"/>
        </w:rPr>
        <w:t>, which focused on reduction of tax expenditures,</w:t>
      </w:r>
      <w:r w:rsidR="00436449" w:rsidRPr="00040AA9">
        <w:rPr>
          <w:rFonts w:ascii="Arial" w:hAnsi="Arial" w:cs="Arial"/>
          <w:sz w:val="22"/>
          <w:szCs w:val="22"/>
        </w:rPr>
        <w:t xml:space="preserve"> and an </w:t>
      </w:r>
      <w:r w:rsidR="00487538">
        <w:rPr>
          <w:rFonts w:ascii="Arial" w:hAnsi="Arial" w:cs="Arial"/>
          <w:sz w:val="22"/>
          <w:szCs w:val="22"/>
        </w:rPr>
        <w:t>International Monetary Fund (</w:t>
      </w:r>
      <w:r w:rsidR="00436449" w:rsidRPr="00040AA9">
        <w:rPr>
          <w:rFonts w:ascii="Arial" w:hAnsi="Arial" w:cs="Arial"/>
          <w:sz w:val="22"/>
          <w:szCs w:val="22"/>
        </w:rPr>
        <w:t>IMF</w:t>
      </w:r>
      <w:r w:rsidR="00487538">
        <w:rPr>
          <w:rFonts w:ascii="Arial" w:hAnsi="Arial" w:cs="Arial"/>
          <w:sz w:val="22"/>
          <w:szCs w:val="22"/>
        </w:rPr>
        <w:t>)</w:t>
      </w:r>
      <w:r w:rsidR="00436449" w:rsidRPr="00040AA9">
        <w:rPr>
          <w:rFonts w:ascii="Arial" w:hAnsi="Arial" w:cs="Arial"/>
          <w:sz w:val="22"/>
          <w:szCs w:val="22"/>
        </w:rPr>
        <w:t xml:space="preserve"> Stand-By Arrangement</w:t>
      </w:r>
      <w:r w:rsidR="00403AFE" w:rsidRPr="00040AA9">
        <w:rPr>
          <w:rFonts w:ascii="Arial" w:hAnsi="Arial" w:cs="Arial"/>
          <w:sz w:val="22"/>
          <w:szCs w:val="22"/>
        </w:rPr>
        <w:t xml:space="preserve">. Both </w:t>
      </w:r>
      <w:r w:rsidR="003B1FAF" w:rsidRPr="00040AA9">
        <w:rPr>
          <w:rFonts w:ascii="Arial" w:hAnsi="Arial" w:cs="Arial"/>
          <w:sz w:val="22"/>
          <w:szCs w:val="22"/>
        </w:rPr>
        <w:t xml:space="preserve">the Bank and IMF </w:t>
      </w:r>
      <w:r w:rsidR="00403AFE" w:rsidRPr="00040AA9">
        <w:rPr>
          <w:rFonts w:ascii="Arial" w:hAnsi="Arial" w:cs="Arial"/>
          <w:sz w:val="22"/>
          <w:szCs w:val="22"/>
        </w:rPr>
        <w:t xml:space="preserve">programs </w:t>
      </w:r>
      <w:r w:rsidR="00B71F18" w:rsidRPr="00040AA9">
        <w:rPr>
          <w:rFonts w:ascii="Arial" w:hAnsi="Arial" w:cs="Arial"/>
          <w:sz w:val="22"/>
          <w:szCs w:val="22"/>
        </w:rPr>
        <w:t>were</w:t>
      </w:r>
      <w:r w:rsidR="00436449" w:rsidRPr="00040AA9">
        <w:rPr>
          <w:rFonts w:ascii="Arial" w:hAnsi="Arial" w:cs="Arial"/>
          <w:sz w:val="22"/>
          <w:szCs w:val="22"/>
        </w:rPr>
        <w:t xml:space="preserve"> terminated early due to a deteriorating macro-</w:t>
      </w:r>
      <w:r w:rsidR="005D4F78" w:rsidRPr="00040AA9">
        <w:rPr>
          <w:rFonts w:ascii="Arial" w:hAnsi="Arial" w:cs="Arial"/>
          <w:sz w:val="22"/>
          <w:szCs w:val="22"/>
        </w:rPr>
        <w:t>fiscal</w:t>
      </w:r>
      <w:r w:rsidR="00436449" w:rsidRPr="00040AA9">
        <w:rPr>
          <w:rFonts w:ascii="Arial" w:hAnsi="Arial" w:cs="Arial"/>
          <w:sz w:val="22"/>
          <w:szCs w:val="22"/>
        </w:rPr>
        <w:t xml:space="preserve"> en</w:t>
      </w:r>
      <w:r w:rsidR="00F65BB6" w:rsidRPr="00040AA9">
        <w:rPr>
          <w:rFonts w:ascii="Arial" w:hAnsi="Arial" w:cs="Arial"/>
          <w:sz w:val="22"/>
          <w:szCs w:val="22"/>
        </w:rPr>
        <w:t xml:space="preserve">vironment in late 2011 and 2012. </w:t>
      </w:r>
      <w:r w:rsidR="00144380" w:rsidRPr="00040AA9">
        <w:rPr>
          <w:rFonts w:ascii="Arial" w:hAnsi="Arial" w:cs="Arial"/>
          <w:sz w:val="22"/>
          <w:szCs w:val="22"/>
        </w:rPr>
        <w:t>FISPEG</w:t>
      </w:r>
      <w:r w:rsidR="00C22ED7" w:rsidRPr="00040AA9">
        <w:rPr>
          <w:rFonts w:ascii="Arial" w:hAnsi="Arial" w:cs="Arial"/>
          <w:sz w:val="22"/>
          <w:szCs w:val="22"/>
        </w:rPr>
        <w:t>, which focused on tax policy reform,</w:t>
      </w:r>
      <w:r w:rsidR="00144380" w:rsidRPr="00040AA9">
        <w:rPr>
          <w:rFonts w:ascii="Arial" w:hAnsi="Arial" w:cs="Arial"/>
          <w:sz w:val="22"/>
          <w:szCs w:val="22"/>
        </w:rPr>
        <w:t xml:space="preserve"> benefitted from </w:t>
      </w:r>
      <w:r w:rsidR="00B71F18" w:rsidRPr="00040AA9">
        <w:rPr>
          <w:rFonts w:ascii="Arial" w:hAnsi="Arial" w:cs="Arial"/>
          <w:sz w:val="22"/>
          <w:szCs w:val="22"/>
        </w:rPr>
        <w:t>an ongoing Operation Implementation (OI)</w:t>
      </w:r>
      <w:r w:rsidR="00C26F44" w:rsidRPr="00040AA9">
        <w:rPr>
          <w:rFonts w:ascii="Arial" w:hAnsi="Arial" w:cs="Arial"/>
          <w:sz w:val="22"/>
          <w:szCs w:val="22"/>
        </w:rPr>
        <w:t xml:space="preserve"> </w:t>
      </w:r>
      <w:r w:rsidR="00436449" w:rsidRPr="00040AA9">
        <w:rPr>
          <w:rFonts w:ascii="Arial" w:hAnsi="Arial" w:cs="Arial"/>
          <w:sz w:val="22"/>
          <w:szCs w:val="22"/>
        </w:rPr>
        <w:t xml:space="preserve">Technical Cooperation </w:t>
      </w:r>
      <w:r w:rsidR="00E63A13">
        <w:rPr>
          <w:rFonts w:ascii="Arial" w:hAnsi="Arial" w:cs="Arial"/>
          <w:sz w:val="22"/>
          <w:szCs w:val="22"/>
        </w:rPr>
        <w:t xml:space="preserve">(TC) </w:t>
      </w:r>
      <w:r w:rsidR="00436449" w:rsidRPr="00040AA9">
        <w:rPr>
          <w:rFonts w:ascii="Arial" w:hAnsi="Arial" w:cs="Arial"/>
          <w:sz w:val="22"/>
          <w:szCs w:val="22"/>
        </w:rPr>
        <w:t xml:space="preserve">agreement </w:t>
      </w:r>
      <w:r w:rsidR="00A00008" w:rsidRPr="00040AA9">
        <w:rPr>
          <w:rFonts w:ascii="Arial" w:hAnsi="Arial" w:cs="Arial"/>
          <w:sz w:val="22"/>
          <w:szCs w:val="22"/>
        </w:rPr>
        <w:t>approved in 2010</w:t>
      </w:r>
      <w:r w:rsidR="00C22ED7" w:rsidRPr="00040AA9">
        <w:rPr>
          <w:rFonts w:ascii="Arial" w:hAnsi="Arial" w:cs="Arial"/>
          <w:sz w:val="22"/>
          <w:szCs w:val="22"/>
        </w:rPr>
        <w:t xml:space="preserve"> that</w:t>
      </w:r>
      <w:r w:rsidR="00391E94" w:rsidRPr="00040AA9">
        <w:rPr>
          <w:rFonts w:ascii="Arial" w:hAnsi="Arial" w:cs="Arial"/>
          <w:sz w:val="22"/>
          <w:szCs w:val="22"/>
        </w:rPr>
        <w:t xml:space="preserve"> provided invaluable support for tax policy analysis</w:t>
      </w:r>
      <w:r w:rsidR="00C22ED7" w:rsidRPr="00040AA9">
        <w:rPr>
          <w:rFonts w:ascii="Arial" w:hAnsi="Arial" w:cs="Arial"/>
          <w:sz w:val="22"/>
          <w:szCs w:val="22"/>
        </w:rPr>
        <w:t xml:space="preserve"> and</w:t>
      </w:r>
      <w:r w:rsidR="00642234" w:rsidRPr="00040AA9">
        <w:rPr>
          <w:rFonts w:ascii="Arial" w:hAnsi="Arial" w:cs="Arial"/>
          <w:sz w:val="22"/>
          <w:szCs w:val="22"/>
        </w:rPr>
        <w:t xml:space="preserve"> </w:t>
      </w:r>
      <w:r w:rsidR="00DF05D4" w:rsidRPr="00040AA9">
        <w:rPr>
          <w:rFonts w:ascii="Arial" w:hAnsi="Arial" w:cs="Arial"/>
          <w:sz w:val="22"/>
          <w:szCs w:val="22"/>
        </w:rPr>
        <w:t xml:space="preserve">from </w:t>
      </w:r>
      <w:r w:rsidR="00C26F44" w:rsidRPr="00040AA9">
        <w:rPr>
          <w:rFonts w:ascii="Arial" w:hAnsi="Arial" w:cs="Arial"/>
          <w:sz w:val="22"/>
          <w:szCs w:val="22"/>
        </w:rPr>
        <w:t>the</w:t>
      </w:r>
      <w:r w:rsidR="00436449" w:rsidRPr="00040AA9">
        <w:rPr>
          <w:rFonts w:ascii="Arial" w:hAnsi="Arial" w:cs="Arial"/>
          <w:sz w:val="22"/>
          <w:szCs w:val="22"/>
        </w:rPr>
        <w:t xml:space="preserve"> Fiscal Administration Moderni</w:t>
      </w:r>
      <w:r w:rsidR="006D4A37" w:rsidRPr="00040AA9">
        <w:rPr>
          <w:rFonts w:ascii="Arial" w:hAnsi="Arial" w:cs="Arial"/>
          <w:sz w:val="22"/>
          <w:szCs w:val="22"/>
        </w:rPr>
        <w:t>zation</w:t>
      </w:r>
      <w:r w:rsidR="00112EE2" w:rsidRPr="00040AA9">
        <w:rPr>
          <w:rFonts w:ascii="Arial" w:hAnsi="Arial" w:cs="Arial"/>
          <w:sz w:val="22"/>
          <w:szCs w:val="22"/>
        </w:rPr>
        <w:t xml:space="preserve"> </w:t>
      </w:r>
      <w:r w:rsidR="00BB337D" w:rsidRPr="00040AA9">
        <w:rPr>
          <w:rFonts w:ascii="Arial" w:hAnsi="Arial" w:cs="Arial"/>
          <w:sz w:val="22"/>
          <w:szCs w:val="22"/>
        </w:rPr>
        <w:t>Program</w:t>
      </w:r>
      <w:r w:rsidR="000A3024" w:rsidRPr="00040AA9">
        <w:rPr>
          <w:rFonts w:ascii="Arial" w:hAnsi="Arial" w:cs="Arial"/>
          <w:sz w:val="22"/>
          <w:szCs w:val="22"/>
        </w:rPr>
        <w:t xml:space="preserve"> (FAMP</w:t>
      </w:r>
      <w:r w:rsidR="00C26F44" w:rsidRPr="00040AA9">
        <w:rPr>
          <w:rFonts w:ascii="Arial" w:hAnsi="Arial" w:cs="Arial"/>
          <w:sz w:val="22"/>
          <w:szCs w:val="22"/>
        </w:rPr>
        <w:t>)</w:t>
      </w:r>
      <w:r w:rsidR="00BB337D" w:rsidRPr="00040AA9">
        <w:rPr>
          <w:rFonts w:ascii="Arial" w:hAnsi="Arial" w:cs="Arial"/>
          <w:sz w:val="22"/>
          <w:szCs w:val="22"/>
        </w:rPr>
        <w:t xml:space="preserve"> </w:t>
      </w:r>
      <w:r w:rsidR="00C26F44" w:rsidRPr="00040AA9">
        <w:rPr>
          <w:rFonts w:ascii="Arial" w:hAnsi="Arial" w:cs="Arial"/>
          <w:sz w:val="22"/>
          <w:szCs w:val="22"/>
        </w:rPr>
        <w:t xml:space="preserve">which got underway in late 2012 and </w:t>
      </w:r>
      <w:r w:rsidR="00B71F18" w:rsidRPr="00040AA9">
        <w:rPr>
          <w:rFonts w:ascii="Arial" w:hAnsi="Arial" w:cs="Arial"/>
          <w:sz w:val="22"/>
          <w:szCs w:val="22"/>
        </w:rPr>
        <w:t>supported instit</w:t>
      </w:r>
      <w:r w:rsidR="001D6B0D" w:rsidRPr="00040AA9">
        <w:rPr>
          <w:rFonts w:ascii="Arial" w:hAnsi="Arial" w:cs="Arial"/>
          <w:sz w:val="22"/>
          <w:szCs w:val="22"/>
        </w:rPr>
        <w:t>utional improvements at the customs and inland revenue authorities</w:t>
      </w:r>
      <w:r w:rsidR="00C22ED7" w:rsidRPr="00040AA9">
        <w:rPr>
          <w:rFonts w:ascii="Arial" w:hAnsi="Arial" w:cs="Arial"/>
          <w:sz w:val="22"/>
          <w:szCs w:val="22"/>
        </w:rPr>
        <w:t xml:space="preserve">. </w:t>
      </w:r>
      <w:r w:rsidR="00DC574C" w:rsidRPr="009C40BB">
        <w:rPr>
          <w:rFonts w:ascii="Arial" w:hAnsi="Arial" w:cs="Arial"/>
          <w:sz w:val="22"/>
          <w:szCs w:val="22"/>
        </w:rPr>
        <w:t>Also,</w:t>
      </w:r>
      <w:r w:rsidR="005A0E24" w:rsidRPr="00040AA9">
        <w:rPr>
          <w:rFonts w:ascii="Arial" w:hAnsi="Arial" w:cs="Arial"/>
          <w:sz w:val="22"/>
          <w:szCs w:val="22"/>
        </w:rPr>
        <w:t xml:space="preserve"> concurrent with the FISPEG operation</w:t>
      </w:r>
      <w:r w:rsidR="00DF05D4" w:rsidRPr="00040AA9">
        <w:rPr>
          <w:rFonts w:ascii="Arial" w:hAnsi="Arial" w:cs="Arial"/>
          <w:sz w:val="22"/>
          <w:szCs w:val="22"/>
        </w:rPr>
        <w:t xml:space="preserve">, </w:t>
      </w:r>
      <w:r w:rsidR="00E8487B" w:rsidRPr="00040AA9">
        <w:rPr>
          <w:rFonts w:ascii="Arial" w:hAnsi="Arial" w:cs="Arial"/>
          <w:sz w:val="22"/>
          <w:szCs w:val="22"/>
        </w:rPr>
        <w:t>was th</w:t>
      </w:r>
      <w:r w:rsidR="00DF05D4" w:rsidRPr="00040AA9">
        <w:rPr>
          <w:rFonts w:ascii="Arial" w:hAnsi="Arial" w:cs="Arial"/>
          <w:sz w:val="22"/>
          <w:szCs w:val="22"/>
        </w:rPr>
        <w:t>e</w:t>
      </w:r>
      <w:r w:rsidR="005A0E24" w:rsidRPr="00040AA9">
        <w:rPr>
          <w:rFonts w:ascii="Arial" w:hAnsi="Arial" w:cs="Arial"/>
          <w:sz w:val="22"/>
          <w:szCs w:val="22"/>
        </w:rPr>
        <w:t xml:space="preserve"> </w:t>
      </w:r>
      <w:r w:rsidR="00BC6F7A" w:rsidRPr="00040AA9">
        <w:rPr>
          <w:rFonts w:ascii="Arial" w:hAnsi="Arial" w:cs="Arial"/>
          <w:sz w:val="22"/>
          <w:szCs w:val="22"/>
        </w:rPr>
        <w:t>IMF</w:t>
      </w:r>
      <w:r w:rsidR="004E49F3" w:rsidRPr="00040AA9">
        <w:rPr>
          <w:rFonts w:ascii="Arial" w:hAnsi="Arial" w:cs="Arial"/>
          <w:sz w:val="22"/>
          <w:szCs w:val="22"/>
        </w:rPr>
        <w:t>’s</w:t>
      </w:r>
      <w:r w:rsidR="003B1FAF" w:rsidRPr="00040AA9">
        <w:rPr>
          <w:rFonts w:ascii="Arial" w:hAnsi="Arial" w:cs="Arial"/>
          <w:sz w:val="22"/>
          <w:szCs w:val="22"/>
        </w:rPr>
        <w:t xml:space="preserve"> </w:t>
      </w:r>
      <w:r w:rsidR="00436449" w:rsidRPr="00040AA9">
        <w:rPr>
          <w:rFonts w:ascii="Arial" w:hAnsi="Arial" w:cs="Arial"/>
          <w:sz w:val="22"/>
          <w:szCs w:val="22"/>
        </w:rPr>
        <w:t xml:space="preserve">Extended Fund Facility (EFF) </w:t>
      </w:r>
      <w:r w:rsidR="003B1FAF" w:rsidRPr="00040AA9">
        <w:rPr>
          <w:rFonts w:ascii="Arial" w:hAnsi="Arial" w:cs="Arial"/>
          <w:sz w:val="22"/>
          <w:szCs w:val="22"/>
        </w:rPr>
        <w:t xml:space="preserve">that had been </w:t>
      </w:r>
      <w:r w:rsidR="005A0E24" w:rsidRPr="00040AA9">
        <w:rPr>
          <w:rFonts w:ascii="Arial" w:hAnsi="Arial" w:cs="Arial"/>
          <w:sz w:val="22"/>
          <w:szCs w:val="22"/>
        </w:rPr>
        <w:t xml:space="preserve">approved in </w:t>
      </w:r>
      <w:r w:rsidR="00436449" w:rsidRPr="00040AA9">
        <w:rPr>
          <w:rFonts w:ascii="Arial" w:hAnsi="Arial" w:cs="Arial"/>
          <w:sz w:val="22"/>
          <w:szCs w:val="22"/>
        </w:rPr>
        <w:t>May 2013</w:t>
      </w:r>
      <w:r w:rsidR="005A0E24" w:rsidRPr="00040AA9">
        <w:rPr>
          <w:rFonts w:ascii="Arial" w:hAnsi="Arial" w:cs="Arial"/>
          <w:sz w:val="22"/>
          <w:szCs w:val="22"/>
        </w:rPr>
        <w:t>.</w:t>
      </w:r>
      <w:r w:rsidR="004A7C0B" w:rsidRPr="00040AA9">
        <w:rPr>
          <w:rFonts w:ascii="Arial" w:hAnsi="Arial" w:cs="Arial"/>
          <w:sz w:val="22"/>
          <w:szCs w:val="22"/>
        </w:rPr>
        <w:t xml:space="preserve"> </w:t>
      </w:r>
      <w:r w:rsidR="00436449" w:rsidRPr="00040AA9">
        <w:rPr>
          <w:rFonts w:ascii="Arial" w:hAnsi="Arial" w:cs="Arial"/>
          <w:sz w:val="22"/>
          <w:szCs w:val="22"/>
        </w:rPr>
        <w:t xml:space="preserve">Throughout both the FCP and FISPEG operations collaboration between the IMF and Bank teams was close, particularly in the area of tax policy design and implementation. </w:t>
      </w:r>
    </w:p>
    <w:p w14:paraId="4ECEEEEA" w14:textId="7E4AB15E" w:rsidR="00436449" w:rsidRPr="00040AA9" w:rsidRDefault="00436449"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 xml:space="preserve">The three-stage FISPEG operation was directly aligned with the country’s development needs as identified in both the Bank’s Country Strategy </w:t>
      </w:r>
      <w:r w:rsidR="008B4494">
        <w:rPr>
          <w:rFonts w:ascii="Arial" w:hAnsi="Arial" w:cs="Arial"/>
          <w:sz w:val="22"/>
          <w:szCs w:val="22"/>
        </w:rPr>
        <w:t xml:space="preserve">(CS) </w:t>
      </w:r>
      <w:r w:rsidRPr="00040AA9">
        <w:rPr>
          <w:rFonts w:ascii="Arial" w:hAnsi="Arial" w:cs="Arial"/>
          <w:sz w:val="22"/>
          <w:szCs w:val="22"/>
        </w:rPr>
        <w:t xml:space="preserve">and the </w:t>
      </w:r>
      <w:r w:rsidR="00587272">
        <w:rPr>
          <w:rFonts w:ascii="Arial" w:hAnsi="Arial" w:cs="Arial"/>
          <w:sz w:val="22"/>
          <w:szCs w:val="22"/>
        </w:rPr>
        <w:t>Government of Jamaica’s (</w:t>
      </w:r>
      <w:proofErr w:type="spellStart"/>
      <w:r w:rsidRPr="00040AA9">
        <w:rPr>
          <w:rFonts w:ascii="Arial" w:hAnsi="Arial" w:cs="Arial"/>
          <w:sz w:val="22"/>
          <w:szCs w:val="22"/>
        </w:rPr>
        <w:t>GoJ</w:t>
      </w:r>
      <w:proofErr w:type="spellEnd"/>
      <w:r w:rsidR="00587272">
        <w:rPr>
          <w:rFonts w:ascii="Arial" w:hAnsi="Arial" w:cs="Arial"/>
          <w:sz w:val="22"/>
          <w:szCs w:val="22"/>
        </w:rPr>
        <w:t>)</w:t>
      </w:r>
      <w:r w:rsidRPr="00040AA9">
        <w:rPr>
          <w:rFonts w:ascii="Arial" w:hAnsi="Arial" w:cs="Arial"/>
          <w:sz w:val="22"/>
          <w:szCs w:val="22"/>
        </w:rPr>
        <w:t xml:space="preserve"> Fiscal Policy </w:t>
      </w:r>
      <w:r w:rsidR="00DC574C" w:rsidRPr="009C40BB">
        <w:rPr>
          <w:rFonts w:ascii="Arial" w:hAnsi="Arial" w:cs="Arial"/>
          <w:sz w:val="22"/>
          <w:szCs w:val="22"/>
        </w:rPr>
        <w:t>Paper in</w:t>
      </w:r>
      <w:r w:rsidRPr="00040AA9">
        <w:rPr>
          <w:rFonts w:ascii="Arial" w:hAnsi="Arial" w:cs="Arial"/>
          <w:sz w:val="22"/>
          <w:szCs w:val="22"/>
        </w:rPr>
        <w:t xml:space="preserve"> the areas of tight expenditure management, tax reform, pension reform, and </w:t>
      </w:r>
      <w:r w:rsidR="007156D7" w:rsidRPr="009C40BB">
        <w:rPr>
          <w:rFonts w:ascii="Arial" w:hAnsi="Arial" w:cs="Arial"/>
          <w:sz w:val="22"/>
          <w:szCs w:val="22"/>
        </w:rPr>
        <w:t>public-sector</w:t>
      </w:r>
      <w:r w:rsidRPr="00040AA9">
        <w:rPr>
          <w:rFonts w:ascii="Arial" w:hAnsi="Arial" w:cs="Arial"/>
          <w:sz w:val="22"/>
          <w:szCs w:val="22"/>
        </w:rPr>
        <w:t xml:space="preserve"> transformation. The program was divided into five components consisting of</w:t>
      </w:r>
      <w:r w:rsidR="00587272">
        <w:rPr>
          <w:rFonts w:ascii="Arial" w:hAnsi="Arial" w:cs="Arial"/>
          <w:sz w:val="22"/>
          <w:szCs w:val="22"/>
        </w:rPr>
        <w:t>:</w:t>
      </w:r>
      <w:r w:rsidRPr="00040AA9">
        <w:rPr>
          <w:rFonts w:ascii="Arial" w:hAnsi="Arial" w:cs="Arial"/>
          <w:sz w:val="22"/>
          <w:szCs w:val="22"/>
        </w:rPr>
        <w:t xml:space="preserve"> (</w:t>
      </w:r>
      <w:proofErr w:type="spellStart"/>
      <w:r w:rsidRPr="00040AA9">
        <w:rPr>
          <w:rFonts w:ascii="Arial" w:hAnsi="Arial" w:cs="Arial"/>
          <w:sz w:val="22"/>
          <w:szCs w:val="22"/>
        </w:rPr>
        <w:t>i</w:t>
      </w:r>
      <w:proofErr w:type="spellEnd"/>
      <w:r w:rsidRPr="00040AA9">
        <w:rPr>
          <w:rFonts w:ascii="Arial" w:hAnsi="Arial" w:cs="Arial"/>
          <w:sz w:val="22"/>
          <w:szCs w:val="22"/>
        </w:rPr>
        <w:t>) the standard macro-economic stability requirement</w:t>
      </w:r>
      <w:r w:rsidR="00587272">
        <w:rPr>
          <w:rFonts w:ascii="Arial" w:hAnsi="Arial" w:cs="Arial"/>
          <w:sz w:val="22"/>
          <w:szCs w:val="22"/>
        </w:rPr>
        <w:t>;</w:t>
      </w:r>
      <w:r w:rsidRPr="00040AA9">
        <w:rPr>
          <w:rFonts w:ascii="Arial" w:hAnsi="Arial" w:cs="Arial"/>
          <w:sz w:val="22"/>
          <w:szCs w:val="22"/>
        </w:rPr>
        <w:t xml:space="preserve"> (ii) strengthening tax policy and administration</w:t>
      </w:r>
      <w:r w:rsidR="00587272">
        <w:rPr>
          <w:rFonts w:ascii="Arial" w:hAnsi="Arial" w:cs="Arial"/>
          <w:sz w:val="22"/>
          <w:szCs w:val="22"/>
        </w:rPr>
        <w:t>;</w:t>
      </w:r>
      <w:r w:rsidRPr="00040AA9">
        <w:rPr>
          <w:rFonts w:ascii="Arial" w:hAnsi="Arial" w:cs="Arial"/>
          <w:sz w:val="22"/>
          <w:szCs w:val="22"/>
        </w:rPr>
        <w:t xml:space="preserve"> (iii) rationalization of expenditure</w:t>
      </w:r>
      <w:r w:rsidR="00587272">
        <w:rPr>
          <w:rFonts w:ascii="Arial" w:hAnsi="Arial" w:cs="Arial"/>
          <w:sz w:val="22"/>
          <w:szCs w:val="22"/>
        </w:rPr>
        <w:t>;</w:t>
      </w:r>
      <w:r w:rsidRPr="00040AA9">
        <w:rPr>
          <w:rFonts w:ascii="Arial" w:hAnsi="Arial" w:cs="Arial"/>
          <w:sz w:val="22"/>
          <w:szCs w:val="22"/>
        </w:rPr>
        <w:t xml:space="preserve"> (iv) ensuring fiscal sustainability of the National Insurance Scheme</w:t>
      </w:r>
      <w:r w:rsidR="00587272">
        <w:rPr>
          <w:rFonts w:ascii="Arial" w:hAnsi="Arial" w:cs="Arial"/>
          <w:sz w:val="22"/>
          <w:szCs w:val="22"/>
        </w:rPr>
        <w:t>;</w:t>
      </w:r>
      <w:r w:rsidRPr="00040AA9">
        <w:rPr>
          <w:rFonts w:ascii="Arial" w:hAnsi="Arial" w:cs="Arial"/>
          <w:sz w:val="22"/>
          <w:szCs w:val="22"/>
        </w:rPr>
        <w:t xml:space="preserve"> and (v) strengthening the Fiscal Responsibility Framework</w:t>
      </w:r>
      <w:r w:rsidR="00487538">
        <w:rPr>
          <w:rFonts w:ascii="Arial" w:hAnsi="Arial" w:cs="Arial"/>
          <w:sz w:val="22"/>
          <w:szCs w:val="22"/>
        </w:rPr>
        <w:t xml:space="preserve"> (FRF).</w:t>
      </w:r>
    </w:p>
    <w:p w14:paraId="73B07407" w14:textId="2B7ADAD0" w:rsidR="00436449" w:rsidRPr="00040AA9" w:rsidRDefault="00436449"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 xml:space="preserve">FISPEG performance in this </w:t>
      </w:r>
      <w:r w:rsidR="00487538">
        <w:rPr>
          <w:rFonts w:ascii="Arial" w:hAnsi="Arial" w:cs="Arial"/>
          <w:sz w:val="22"/>
          <w:szCs w:val="22"/>
        </w:rPr>
        <w:t>Project Completion Report (</w:t>
      </w:r>
      <w:r w:rsidRPr="00040AA9">
        <w:rPr>
          <w:rFonts w:ascii="Arial" w:hAnsi="Arial" w:cs="Arial"/>
          <w:sz w:val="22"/>
          <w:szCs w:val="22"/>
        </w:rPr>
        <w:t>PCR</w:t>
      </w:r>
      <w:r w:rsidR="00487538">
        <w:rPr>
          <w:rFonts w:ascii="Arial" w:hAnsi="Arial" w:cs="Arial"/>
          <w:sz w:val="22"/>
          <w:szCs w:val="22"/>
        </w:rPr>
        <w:t>)</w:t>
      </w:r>
      <w:r w:rsidRPr="00040AA9">
        <w:rPr>
          <w:rFonts w:ascii="Arial" w:hAnsi="Arial" w:cs="Arial"/>
          <w:sz w:val="22"/>
          <w:szCs w:val="22"/>
        </w:rPr>
        <w:t xml:space="preserve"> is assessed in the context of the indicators specified in the three Results Matrices </w:t>
      </w:r>
      <w:r w:rsidR="00487538">
        <w:rPr>
          <w:rFonts w:ascii="Arial" w:hAnsi="Arial" w:cs="Arial"/>
          <w:sz w:val="22"/>
          <w:szCs w:val="22"/>
        </w:rPr>
        <w:t xml:space="preserve">(RM) </w:t>
      </w:r>
      <w:r w:rsidRPr="00040AA9">
        <w:rPr>
          <w:rFonts w:ascii="Arial" w:hAnsi="Arial" w:cs="Arial"/>
          <w:sz w:val="22"/>
          <w:szCs w:val="22"/>
        </w:rPr>
        <w:t xml:space="preserve">included with the FISPEG I, II and III loan proposals respectively. Because </w:t>
      </w:r>
      <w:r w:rsidR="00DF43F8" w:rsidRPr="00040AA9">
        <w:rPr>
          <w:rFonts w:ascii="Arial" w:hAnsi="Arial" w:cs="Arial"/>
          <w:sz w:val="22"/>
          <w:szCs w:val="22"/>
        </w:rPr>
        <w:t xml:space="preserve">the indicators in </w:t>
      </w:r>
      <w:r w:rsidRPr="00040AA9">
        <w:rPr>
          <w:rFonts w:ascii="Arial" w:hAnsi="Arial" w:cs="Arial"/>
          <w:sz w:val="22"/>
          <w:szCs w:val="22"/>
        </w:rPr>
        <w:t xml:space="preserve">these RMs were </w:t>
      </w:r>
      <w:r w:rsidR="00B1063A" w:rsidRPr="00040AA9">
        <w:rPr>
          <w:rFonts w:ascii="Arial" w:hAnsi="Arial" w:cs="Arial"/>
          <w:sz w:val="22"/>
          <w:szCs w:val="22"/>
        </w:rPr>
        <w:t>not specified in identical terms</w:t>
      </w:r>
      <w:r w:rsidRPr="00040AA9">
        <w:rPr>
          <w:rFonts w:ascii="Arial" w:hAnsi="Arial" w:cs="Arial"/>
          <w:sz w:val="22"/>
          <w:szCs w:val="22"/>
        </w:rPr>
        <w:t xml:space="preserve"> at the time the corresponding operations were prepared, a consolidated </w:t>
      </w:r>
      <w:r w:rsidR="00A57C99" w:rsidRPr="00040AA9">
        <w:rPr>
          <w:rFonts w:ascii="Arial" w:hAnsi="Arial" w:cs="Arial"/>
          <w:sz w:val="22"/>
          <w:szCs w:val="22"/>
        </w:rPr>
        <w:t>R</w:t>
      </w:r>
      <w:r w:rsidR="00487538">
        <w:rPr>
          <w:rFonts w:ascii="Arial" w:hAnsi="Arial" w:cs="Arial"/>
          <w:sz w:val="22"/>
          <w:szCs w:val="22"/>
        </w:rPr>
        <w:t>M</w:t>
      </w:r>
      <w:r w:rsidRPr="00040AA9">
        <w:rPr>
          <w:rFonts w:ascii="Arial" w:hAnsi="Arial" w:cs="Arial"/>
          <w:sz w:val="22"/>
          <w:szCs w:val="22"/>
        </w:rPr>
        <w:t xml:space="preserve"> </w:t>
      </w:r>
      <w:r w:rsidR="00ED7D89" w:rsidRPr="00040AA9">
        <w:rPr>
          <w:rFonts w:ascii="Arial" w:hAnsi="Arial" w:cs="Arial"/>
          <w:sz w:val="22"/>
          <w:szCs w:val="22"/>
        </w:rPr>
        <w:t>was compiled</w:t>
      </w:r>
      <w:r w:rsidRPr="00040AA9">
        <w:rPr>
          <w:rFonts w:ascii="Arial" w:hAnsi="Arial" w:cs="Arial"/>
          <w:sz w:val="22"/>
          <w:szCs w:val="22"/>
        </w:rPr>
        <w:t xml:space="preserve"> </w:t>
      </w:r>
      <w:r w:rsidR="00E87500" w:rsidRPr="00040AA9">
        <w:rPr>
          <w:rFonts w:ascii="Arial" w:hAnsi="Arial" w:cs="Arial"/>
          <w:sz w:val="22"/>
          <w:szCs w:val="22"/>
        </w:rPr>
        <w:t>ex</w:t>
      </w:r>
      <w:r w:rsidR="00487538">
        <w:rPr>
          <w:rFonts w:ascii="Arial" w:hAnsi="Arial" w:cs="Arial"/>
          <w:sz w:val="22"/>
          <w:szCs w:val="22"/>
        </w:rPr>
        <w:t xml:space="preserve"> </w:t>
      </w:r>
      <w:r w:rsidR="00E87500" w:rsidRPr="00040AA9">
        <w:rPr>
          <w:rFonts w:ascii="Arial" w:hAnsi="Arial" w:cs="Arial"/>
          <w:sz w:val="22"/>
          <w:szCs w:val="22"/>
        </w:rPr>
        <w:t>post</w:t>
      </w:r>
      <w:r w:rsidRPr="00040AA9">
        <w:rPr>
          <w:rFonts w:ascii="Arial" w:hAnsi="Arial" w:cs="Arial"/>
          <w:sz w:val="22"/>
          <w:szCs w:val="22"/>
        </w:rPr>
        <w:t xml:space="preserve"> consisting of the combined set of 44 results</w:t>
      </w:r>
      <w:r w:rsidR="00EF4039" w:rsidRPr="00040AA9">
        <w:rPr>
          <w:rFonts w:ascii="Arial" w:hAnsi="Arial" w:cs="Arial"/>
          <w:sz w:val="22"/>
          <w:szCs w:val="22"/>
        </w:rPr>
        <w:t>/products</w:t>
      </w:r>
      <w:r w:rsidRPr="00040AA9">
        <w:rPr>
          <w:rFonts w:ascii="Arial" w:hAnsi="Arial" w:cs="Arial"/>
          <w:sz w:val="22"/>
          <w:szCs w:val="22"/>
        </w:rPr>
        <w:t xml:space="preserve"> and </w:t>
      </w:r>
      <w:r w:rsidR="00EF4039" w:rsidRPr="00040AA9">
        <w:rPr>
          <w:rFonts w:ascii="Arial" w:hAnsi="Arial" w:cs="Arial"/>
          <w:sz w:val="22"/>
          <w:szCs w:val="22"/>
        </w:rPr>
        <w:t xml:space="preserve">their corresponding </w:t>
      </w:r>
      <w:r w:rsidRPr="00040AA9">
        <w:rPr>
          <w:rFonts w:ascii="Arial" w:hAnsi="Arial" w:cs="Arial"/>
          <w:sz w:val="22"/>
          <w:szCs w:val="22"/>
        </w:rPr>
        <w:t>80 indicators spanning the three operations.</w:t>
      </w:r>
      <w:r w:rsidR="001D43C0" w:rsidRPr="00040AA9">
        <w:rPr>
          <w:rFonts w:ascii="Arial" w:hAnsi="Arial" w:cs="Arial"/>
          <w:sz w:val="22"/>
          <w:szCs w:val="22"/>
        </w:rPr>
        <w:t xml:space="preserve"> (See Table 2.)</w:t>
      </w:r>
      <w:r w:rsidR="00375ACB" w:rsidRPr="00040AA9">
        <w:rPr>
          <w:rFonts w:ascii="Arial" w:hAnsi="Arial" w:cs="Arial"/>
          <w:sz w:val="22"/>
          <w:szCs w:val="22"/>
        </w:rPr>
        <w:t xml:space="preserve"> </w:t>
      </w:r>
      <w:r w:rsidR="000D6C9A" w:rsidRPr="00040AA9">
        <w:rPr>
          <w:rFonts w:ascii="Arial" w:hAnsi="Arial" w:cs="Arial"/>
          <w:sz w:val="22"/>
          <w:szCs w:val="22"/>
        </w:rPr>
        <w:t xml:space="preserve">As the borrower had agreed to the indicators contained in the original three RMs and as the </w:t>
      </w:r>
      <w:r w:rsidR="00BB30AA" w:rsidRPr="00040AA9">
        <w:rPr>
          <w:rFonts w:ascii="Arial" w:hAnsi="Arial" w:cs="Arial"/>
          <w:sz w:val="22"/>
          <w:szCs w:val="22"/>
        </w:rPr>
        <w:t xml:space="preserve">consolidated matrix contains no new or </w:t>
      </w:r>
      <w:r w:rsidR="00E06B82" w:rsidRPr="00040AA9">
        <w:rPr>
          <w:rFonts w:ascii="Arial" w:hAnsi="Arial" w:cs="Arial"/>
          <w:sz w:val="22"/>
          <w:szCs w:val="22"/>
        </w:rPr>
        <w:t xml:space="preserve">substantially </w:t>
      </w:r>
      <w:r w:rsidR="00BB30AA" w:rsidRPr="00040AA9">
        <w:rPr>
          <w:rFonts w:ascii="Arial" w:hAnsi="Arial" w:cs="Arial"/>
          <w:sz w:val="22"/>
          <w:szCs w:val="22"/>
        </w:rPr>
        <w:t>altered indicators</w:t>
      </w:r>
      <w:r w:rsidR="000D6C9A" w:rsidRPr="00040AA9">
        <w:rPr>
          <w:rFonts w:ascii="Arial" w:hAnsi="Arial" w:cs="Arial"/>
          <w:sz w:val="22"/>
          <w:szCs w:val="22"/>
        </w:rPr>
        <w:t>, it was not deemed necessary to involve the borrower in the consolidation of the three</w:t>
      </w:r>
      <w:r w:rsidRPr="00040AA9">
        <w:rPr>
          <w:rFonts w:ascii="Arial" w:hAnsi="Arial" w:cs="Arial"/>
          <w:sz w:val="22"/>
          <w:szCs w:val="22"/>
        </w:rPr>
        <w:t xml:space="preserve"> (See Table </w:t>
      </w:r>
      <w:r w:rsidR="00B6556F">
        <w:rPr>
          <w:rFonts w:ascii="Arial" w:hAnsi="Arial" w:cs="Arial"/>
          <w:sz w:val="22"/>
          <w:szCs w:val="22"/>
        </w:rPr>
        <w:t>B</w:t>
      </w:r>
      <w:r w:rsidR="00B6556F" w:rsidRPr="00040AA9">
        <w:rPr>
          <w:rFonts w:ascii="Arial" w:hAnsi="Arial" w:cs="Arial"/>
          <w:sz w:val="22"/>
          <w:szCs w:val="22"/>
        </w:rPr>
        <w:t xml:space="preserve"> </w:t>
      </w:r>
      <w:r w:rsidRPr="00040AA9">
        <w:rPr>
          <w:rFonts w:ascii="Arial" w:hAnsi="Arial" w:cs="Arial"/>
          <w:sz w:val="22"/>
          <w:szCs w:val="22"/>
        </w:rPr>
        <w:t>and related discussion)</w:t>
      </w:r>
      <w:r w:rsidR="00487538">
        <w:rPr>
          <w:rFonts w:ascii="Arial" w:hAnsi="Arial" w:cs="Arial"/>
          <w:sz w:val="22"/>
          <w:szCs w:val="22"/>
        </w:rPr>
        <w:t>.</w:t>
      </w:r>
      <w:r w:rsidRPr="00040AA9">
        <w:rPr>
          <w:rFonts w:ascii="Arial" w:hAnsi="Arial" w:cs="Arial"/>
          <w:sz w:val="22"/>
          <w:szCs w:val="22"/>
        </w:rPr>
        <w:t xml:space="preserve"> The performance of each indicator has been assessed following the PCR Guidelines (OP-1242-5) and uploaded to Convergence using the </w:t>
      </w:r>
      <w:r w:rsidR="006725C1" w:rsidRPr="00040AA9">
        <w:rPr>
          <w:rFonts w:ascii="Arial" w:hAnsi="Arial" w:cs="Arial"/>
          <w:sz w:val="22"/>
          <w:szCs w:val="22"/>
        </w:rPr>
        <w:t>standardized format</w:t>
      </w:r>
      <w:r w:rsidR="0049434C" w:rsidRPr="00040AA9">
        <w:rPr>
          <w:rFonts w:ascii="Arial" w:hAnsi="Arial" w:cs="Arial"/>
          <w:sz w:val="22"/>
          <w:szCs w:val="22"/>
        </w:rPr>
        <w:t>.</w:t>
      </w:r>
      <w:r w:rsidR="006725C1" w:rsidRPr="00040AA9">
        <w:rPr>
          <w:rFonts w:ascii="Arial" w:hAnsi="Arial" w:cs="Arial"/>
          <w:sz w:val="22"/>
          <w:szCs w:val="22"/>
        </w:rPr>
        <w:t xml:space="preserve"> </w:t>
      </w:r>
      <w:r w:rsidRPr="00040AA9">
        <w:rPr>
          <w:rFonts w:ascii="Arial" w:hAnsi="Arial" w:cs="Arial"/>
          <w:sz w:val="22"/>
          <w:szCs w:val="22"/>
        </w:rPr>
        <w:t xml:space="preserve">As </w:t>
      </w:r>
      <w:r w:rsidR="00617E3B" w:rsidRPr="00040AA9">
        <w:rPr>
          <w:rFonts w:ascii="Arial" w:hAnsi="Arial" w:cs="Arial"/>
          <w:sz w:val="22"/>
          <w:szCs w:val="22"/>
        </w:rPr>
        <w:t xml:space="preserve">shown in Table </w:t>
      </w:r>
      <w:r w:rsidR="00B6556F">
        <w:rPr>
          <w:rFonts w:ascii="Arial" w:hAnsi="Arial" w:cs="Arial"/>
          <w:sz w:val="22"/>
          <w:szCs w:val="22"/>
        </w:rPr>
        <w:t>B</w:t>
      </w:r>
      <w:r w:rsidR="00617E3B" w:rsidRPr="00040AA9">
        <w:rPr>
          <w:rFonts w:ascii="Arial" w:hAnsi="Arial" w:cs="Arial"/>
          <w:sz w:val="22"/>
          <w:szCs w:val="22"/>
        </w:rPr>
        <w:t>,</w:t>
      </w:r>
      <w:r w:rsidRPr="00040AA9">
        <w:rPr>
          <w:rFonts w:ascii="Arial" w:hAnsi="Arial" w:cs="Arial"/>
          <w:sz w:val="22"/>
          <w:szCs w:val="22"/>
        </w:rPr>
        <w:t xml:space="preserve"> </w:t>
      </w:r>
      <w:r w:rsidR="00437A83">
        <w:rPr>
          <w:rFonts w:ascii="Arial" w:hAnsi="Arial" w:cs="Arial"/>
          <w:sz w:val="22"/>
          <w:szCs w:val="22"/>
        </w:rPr>
        <w:t>2</w:t>
      </w:r>
      <w:r w:rsidR="00437A83" w:rsidRPr="00040AA9">
        <w:rPr>
          <w:rFonts w:ascii="Arial" w:hAnsi="Arial" w:cs="Arial"/>
          <w:sz w:val="22"/>
          <w:szCs w:val="22"/>
        </w:rPr>
        <w:t xml:space="preserve"> </w:t>
      </w:r>
      <w:r w:rsidR="00437A83">
        <w:rPr>
          <w:rFonts w:ascii="Arial" w:hAnsi="Arial" w:cs="Arial"/>
          <w:sz w:val="22"/>
          <w:szCs w:val="22"/>
        </w:rPr>
        <w:t>i</w:t>
      </w:r>
      <w:r w:rsidR="00680F22" w:rsidRPr="00040AA9">
        <w:rPr>
          <w:rFonts w:ascii="Arial" w:hAnsi="Arial" w:cs="Arial"/>
          <w:sz w:val="22"/>
          <w:szCs w:val="22"/>
        </w:rPr>
        <w:t xml:space="preserve">mpacts, </w:t>
      </w:r>
      <w:r w:rsidRPr="00040AA9">
        <w:rPr>
          <w:rFonts w:ascii="Arial" w:hAnsi="Arial" w:cs="Arial"/>
          <w:sz w:val="22"/>
          <w:szCs w:val="22"/>
        </w:rPr>
        <w:t xml:space="preserve">19 </w:t>
      </w:r>
      <w:r w:rsidR="00437A83">
        <w:rPr>
          <w:rFonts w:ascii="Arial" w:hAnsi="Arial" w:cs="Arial"/>
          <w:sz w:val="22"/>
          <w:szCs w:val="22"/>
        </w:rPr>
        <w:t>o</w:t>
      </w:r>
      <w:r w:rsidRPr="00040AA9">
        <w:rPr>
          <w:rFonts w:ascii="Arial" w:hAnsi="Arial" w:cs="Arial"/>
          <w:sz w:val="22"/>
          <w:szCs w:val="22"/>
        </w:rPr>
        <w:t>utcomes</w:t>
      </w:r>
      <w:r w:rsidR="0067446B" w:rsidRPr="00040AA9">
        <w:rPr>
          <w:rFonts w:ascii="Arial" w:hAnsi="Arial" w:cs="Arial"/>
          <w:sz w:val="22"/>
          <w:szCs w:val="22"/>
        </w:rPr>
        <w:t xml:space="preserve"> </w:t>
      </w:r>
      <w:r w:rsidR="00680F22" w:rsidRPr="00040AA9">
        <w:rPr>
          <w:rFonts w:ascii="Arial" w:hAnsi="Arial" w:cs="Arial"/>
          <w:sz w:val="22"/>
          <w:szCs w:val="22"/>
        </w:rPr>
        <w:t xml:space="preserve">and 23 </w:t>
      </w:r>
      <w:r w:rsidR="00437A83">
        <w:rPr>
          <w:rFonts w:ascii="Arial" w:hAnsi="Arial" w:cs="Arial"/>
          <w:sz w:val="22"/>
          <w:szCs w:val="22"/>
        </w:rPr>
        <w:t>o</w:t>
      </w:r>
      <w:r w:rsidR="00680F22" w:rsidRPr="00040AA9">
        <w:rPr>
          <w:rFonts w:ascii="Arial" w:hAnsi="Arial" w:cs="Arial"/>
          <w:sz w:val="22"/>
          <w:szCs w:val="22"/>
        </w:rPr>
        <w:t>utputs</w:t>
      </w:r>
      <w:r w:rsidR="0067446B" w:rsidRPr="00040AA9">
        <w:rPr>
          <w:rFonts w:ascii="Arial" w:hAnsi="Arial" w:cs="Arial"/>
          <w:sz w:val="22"/>
          <w:szCs w:val="22"/>
        </w:rPr>
        <w:t xml:space="preserve"> </w:t>
      </w:r>
      <w:r w:rsidRPr="00040AA9">
        <w:rPr>
          <w:rFonts w:ascii="Arial" w:hAnsi="Arial" w:cs="Arial"/>
          <w:sz w:val="22"/>
          <w:szCs w:val="22"/>
        </w:rPr>
        <w:t xml:space="preserve">are </w:t>
      </w:r>
      <w:r w:rsidR="00613B46" w:rsidRPr="00040AA9">
        <w:rPr>
          <w:rFonts w:ascii="Arial" w:hAnsi="Arial" w:cs="Arial"/>
          <w:sz w:val="22"/>
          <w:szCs w:val="22"/>
        </w:rPr>
        <w:t xml:space="preserve">respectively </w:t>
      </w:r>
      <w:r w:rsidRPr="00040AA9">
        <w:rPr>
          <w:rFonts w:ascii="Arial" w:hAnsi="Arial" w:cs="Arial"/>
          <w:sz w:val="22"/>
          <w:szCs w:val="22"/>
        </w:rPr>
        <w:t xml:space="preserve">measured by </w:t>
      </w:r>
      <w:r w:rsidR="00680F22" w:rsidRPr="00040AA9">
        <w:rPr>
          <w:rFonts w:ascii="Arial" w:hAnsi="Arial" w:cs="Arial"/>
          <w:sz w:val="22"/>
          <w:szCs w:val="22"/>
        </w:rPr>
        <w:t xml:space="preserve">2, </w:t>
      </w:r>
      <w:r w:rsidRPr="00040AA9">
        <w:rPr>
          <w:rFonts w:ascii="Arial" w:hAnsi="Arial" w:cs="Arial"/>
          <w:sz w:val="22"/>
          <w:szCs w:val="22"/>
        </w:rPr>
        <w:t>25</w:t>
      </w:r>
      <w:r w:rsidR="00613B46" w:rsidRPr="00040AA9">
        <w:rPr>
          <w:rFonts w:ascii="Arial" w:hAnsi="Arial" w:cs="Arial"/>
          <w:sz w:val="22"/>
          <w:szCs w:val="22"/>
        </w:rPr>
        <w:t>,</w:t>
      </w:r>
      <w:r w:rsidR="00680F22" w:rsidRPr="00040AA9">
        <w:rPr>
          <w:rFonts w:ascii="Arial" w:hAnsi="Arial" w:cs="Arial"/>
          <w:sz w:val="22"/>
          <w:szCs w:val="22"/>
        </w:rPr>
        <w:t xml:space="preserve"> and 53</w:t>
      </w:r>
      <w:r w:rsidRPr="00040AA9">
        <w:rPr>
          <w:rFonts w:ascii="Arial" w:hAnsi="Arial" w:cs="Arial"/>
          <w:sz w:val="22"/>
          <w:szCs w:val="22"/>
        </w:rPr>
        <w:t xml:space="preserve"> indicators</w:t>
      </w:r>
      <w:r w:rsidR="00CF4666" w:rsidRPr="00040AA9">
        <w:rPr>
          <w:rFonts w:ascii="Arial" w:hAnsi="Arial" w:cs="Arial"/>
          <w:sz w:val="22"/>
          <w:szCs w:val="22"/>
        </w:rPr>
        <w:t>.</w:t>
      </w:r>
      <w:r w:rsidRPr="00040AA9">
        <w:rPr>
          <w:rFonts w:ascii="Arial" w:hAnsi="Arial" w:cs="Arial"/>
          <w:sz w:val="22"/>
          <w:szCs w:val="22"/>
        </w:rPr>
        <w:t xml:space="preserve"> </w:t>
      </w:r>
    </w:p>
    <w:p w14:paraId="53601565" w14:textId="4572FFEC" w:rsidR="00436449" w:rsidRPr="00040AA9" w:rsidRDefault="00DD34B5"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 xml:space="preserve">Table </w:t>
      </w:r>
      <w:r w:rsidR="00D95A2D">
        <w:rPr>
          <w:rFonts w:ascii="Arial" w:hAnsi="Arial" w:cs="Arial"/>
          <w:sz w:val="22"/>
          <w:szCs w:val="22"/>
        </w:rPr>
        <w:t>C</w:t>
      </w:r>
      <w:r w:rsidRPr="00040AA9">
        <w:rPr>
          <w:rFonts w:ascii="Arial" w:hAnsi="Arial" w:cs="Arial"/>
          <w:sz w:val="22"/>
          <w:szCs w:val="22"/>
        </w:rPr>
        <w:t xml:space="preserve"> </w:t>
      </w:r>
      <w:r w:rsidR="00B434DB" w:rsidRPr="00040AA9">
        <w:rPr>
          <w:rFonts w:ascii="Arial" w:hAnsi="Arial" w:cs="Arial"/>
          <w:sz w:val="22"/>
          <w:szCs w:val="22"/>
        </w:rPr>
        <w:t>tallies</w:t>
      </w:r>
      <w:r w:rsidRPr="00040AA9">
        <w:rPr>
          <w:rFonts w:ascii="Arial" w:hAnsi="Arial" w:cs="Arial"/>
          <w:sz w:val="22"/>
          <w:szCs w:val="22"/>
        </w:rPr>
        <w:t xml:space="preserve"> the performance of </w:t>
      </w:r>
      <w:r w:rsidR="00AF6571" w:rsidRPr="00040AA9">
        <w:rPr>
          <w:rFonts w:ascii="Arial" w:hAnsi="Arial" w:cs="Arial"/>
          <w:sz w:val="22"/>
          <w:szCs w:val="22"/>
        </w:rPr>
        <w:t xml:space="preserve">each of </w:t>
      </w:r>
      <w:r w:rsidR="00B434DB" w:rsidRPr="00040AA9">
        <w:rPr>
          <w:rFonts w:ascii="Arial" w:hAnsi="Arial" w:cs="Arial"/>
          <w:sz w:val="22"/>
          <w:szCs w:val="22"/>
        </w:rPr>
        <w:t xml:space="preserve">these </w:t>
      </w:r>
      <w:r w:rsidRPr="00040AA9">
        <w:rPr>
          <w:rFonts w:ascii="Arial" w:hAnsi="Arial" w:cs="Arial"/>
          <w:sz w:val="22"/>
          <w:szCs w:val="22"/>
        </w:rPr>
        <w:t>indicators</w:t>
      </w:r>
      <w:r w:rsidR="009F061C" w:rsidRPr="00040AA9">
        <w:rPr>
          <w:rFonts w:ascii="Arial" w:hAnsi="Arial" w:cs="Arial"/>
          <w:sz w:val="22"/>
          <w:szCs w:val="22"/>
        </w:rPr>
        <w:t xml:space="preserve"> according to whether </w:t>
      </w:r>
      <w:r w:rsidR="00AF6571" w:rsidRPr="00040AA9">
        <w:rPr>
          <w:rFonts w:ascii="Arial" w:hAnsi="Arial" w:cs="Arial"/>
          <w:sz w:val="22"/>
          <w:szCs w:val="22"/>
        </w:rPr>
        <w:t>it</w:t>
      </w:r>
      <w:r w:rsidR="009F061C" w:rsidRPr="00040AA9">
        <w:rPr>
          <w:rFonts w:ascii="Arial" w:hAnsi="Arial" w:cs="Arial"/>
          <w:sz w:val="22"/>
          <w:szCs w:val="22"/>
        </w:rPr>
        <w:t xml:space="preserve"> met or exceeded its target, fell short of its target</w:t>
      </w:r>
      <w:r w:rsidR="00370D73" w:rsidRPr="00040AA9">
        <w:rPr>
          <w:rFonts w:ascii="Arial" w:hAnsi="Arial" w:cs="Arial"/>
          <w:sz w:val="22"/>
          <w:szCs w:val="22"/>
        </w:rPr>
        <w:t xml:space="preserve"> </w:t>
      </w:r>
      <w:r w:rsidR="009F061C" w:rsidRPr="00040AA9">
        <w:rPr>
          <w:rFonts w:ascii="Arial" w:hAnsi="Arial" w:cs="Arial"/>
          <w:sz w:val="22"/>
          <w:szCs w:val="22"/>
        </w:rPr>
        <w:t>or could not be measured at the end of the program</w:t>
      </w:r>
      <w:r w:rsidR="00A80524" w:rsidRPr="00040AA9">
        <w:rPr>
          <w:rFonts w:ascii="Arial" w:hAnsi="Arial" w:cs="Arial"/>
          <w:sz w:val="22"/>
          <w:szCs w:val="22"/>
        </w:rPr>
        <w:t>.</w:t>
      </w:r>
      <w:r w:rsidR="00FB007D" w:rsidRPr="00040AA9">
        <w:rPr>
          <w:rFonts w:ascii="Arial" w:hAnsi="Arial" w:cs="Arial"/>
          <w:sz w:val="22"/>
          <w:szCs w:val="22"/>
        </w:rPr>
        <w:t xml:space="preserve"> N</w:t>
      </w:r>
      <w:r w:rsidR="00B434DB" w:rsidRPr="00040AA9">
        <w:rPr>
          <w:rFonts w:ascii="Arial" w:hAnsi="Arial" w:cs="Arial"/>
          <w:sz w:val="22"/>
          <w:szCs w:val="22"/>
        </w:rPr>
        <w:t xml:space="preserve">otable among the findings are </w:t>
      </w:r>
      <w:r w:rsidR="00FB007D" w:rsidRPr="00040AA9">
        <w:rPr>
          <w:rFonts w:ascii="Arial" w:hAnsi="Arial" w:cs="Arial"/>
          <w:sz w:val="22"/>
          <w:szCs w:val="22"/>
        </w:rPr>
        <w:t>the</w:t>
      </w:r>
      <w:r w:rsidR="00B434DB" w:rsidRPr="00040AA9">
        <w:rPr>
          <w:rFonts w:ascii="Arial" w:hAnsi="Arial" w:cs="Arial"/>
          <w:sz w:val="22"/>
          <w:szCs w:val="22"/>
        </w:rPr>
        <w:t xml:space="preserve"> </w:t>
      </w:r>
      <w:r w:rsidR="00B81D82" w:rsidRPr="00040AA9">
        <w:rPr>
          <w:rFonts w:ascii="Arial" w:hAnsi="Arial" w:cs="Arial"/>
          <w:sz w:val="22"/>
          <w:szCs w:val="22"/>
        </w:rPr>
        <w:t>65</w:t>
      </w:r>
      <w:r w:rsidR="00B434DB" w:rsidRPr="00040AA9">
        <w:rPr>
          <w:rFonts w:ascii="Arial" w:hAnsi="Arial" w:cs="Arial"/>
          <w:sz w:val="22"/>
          <w:szCs w:val="22"/>
        </w:rPr>
        <w:t xml:space="preserve"> </w:t>
      </w:r>
      <w:r w:rsidR="009F061C" w:rsidRPr="00040AA9">
        <w:rPr>
          <w:rFonts w:ascii="Arial" w:hAnsi="Arial" w:cs="Arial"/>
          <w:sz w:val="22"/>
          <w:szCs w:val="22"/>
        </w:rPr>
        <w:t xml:space="preserve">indicators </w:t>
      </w:r>
      <w:r w:rsidR="00FB007D" w:rsidRPr="00040AA9">
        <w:rPr>
          <w:rFonts w:ascii="Arial" w:hAnsi="Arial" w:cs="Arial"/>
          <w:sz w:val="22"/>
          <w:szCs w:val="22"/>
        </w:rPr>
        <w:t>that</w:t>
      </w:r>
      <w:r w:rsidR="00B434DB" w:rsidRPr="00040AA9">
        <w:rPr>
          <w:rFonts w:ascii="Arial" w:hAnsi="Arial" w:cs="Arial"/>
          <w:sz w:val="22"/>
          <w:szCs w:val="22"/>
        </w:rPr>
        <w:t xml:space="preserve"> met or exceeded their targets, </w:t>
      </w:r>
      <w:r w:rsidR="00944A4D" w:rsidRPr="00040AA9">
        <w:rPr>
          <w:rFonts w:ascii="Arial" w:hAnsi="Arial" w:cs="Arial"/>
          <w:sz w:val="22"/>
          <w:szCs w:val="22"/>
        </w:rPr>
        <w:t xml:space="preserve">while </w:t>
      </w:r>
      <w:r w:rsidR="00B81D82" w:rsidRPr="00040AA9">
        <w:rPr>
          <w:rFonts w:ascii="Arial" w:hAnsi="Arial" w:cs="Arial"/>
          <w:sz w:val="22"/>
          <w:szCs w:val="22"/>
        </w:rPr>
        <w:t xml:space="preserve">6 </w:t>
      </w:r>
      <w:r w:rsidR="00944A4D" w:rsidRPr="00040AA9">
        <w:rPr>
          <w:rFonts w:ascii="Arial" w:hAnsi="Arial" w:cs="Arial"/>
          <w:sz w:val="22"/>
          <w:szCs w:val="22"/>
        </w:rPr>
        <w:t>fell short</w:t>
      </w:r>
      <w:r w:rsidR="00DC3FEA" w:rsidRPr="00040AA9">
        <w:rPr>
          <w:rFonts w:ascii="Arial" w:hAnsi="Arial" w:cs="Arial"/>
          <w:sz w:val="22"/>
          <w:szCs w:val="22"/>
        </w:rPr>
        <w:t xml:space="preserve">, 2 had to be zero rated and </w:t>
      </w:r>
      <w:r w:rsidR="00DC3FEA" w:rsidRPr="00DB2891">
        <w:rPr>
          <w:rFonts w:ascii="Arial" w:hAnsi="Arial" w:cs="Arial"/>
          <w:sz w:val="22"/>
          <w:szCs w:val="22"/>
        </w:rPr>
        <w:t>7 deactivated</w:t>
      </w:r>
      <w:r w:rsidR="00944A4D" w:rsidRPr="00DB2891">
        <w:rPr>
          <w:rFonts w:ascii="Arial" w:hAnsi="Arial" w:cs="Arial"/>
          <w:sz w:val="22"/>
          <w:szCs w:val="22"/>
        </w:rPr>
        <w:t xml:space="preserve"> because they could not be measured at the end of the program</w:t>
      </w:r>
      <w:r w:rsidR="00944A4D" w:rsidRPr="008A7E97">
        <w:rPr>
          <w:rFonts w:ascii="Arial" w:hAnsi="Arial" w:cs="Arial"/>
          <w:sz w:val="22"/>
          <w:szCs w:val="22"/>
        </w:rPr>
        <w:t>.</w:t>
      </w:r>
      <w:r w:rsidR="00436449" w:rsidRPr="00040AA9">
        <w:rPr>
          <w:rFonts w:ascii="Arial" w:hAnsi="Arial" w:cs="Arial"/>
          <w:sz w:val="22"/>
          <w:szCs w:val="22"/>
        </w:rPr>
        <w:t xml:space="preserve"> </w:t>
      </w:r>
      <w:r w:rsidR="00FB007D" w:rsidRPr="00040AA9">
        <w:rPr>
          <w:rFonts w:ascii="Arial" w:hAnsi="Arial" w:cs="Arial"/>
          <w:sz w:val="22"/>
          <w:szCs w:val="22"/>
        </w:rPr>
        <w:t xml:space="preserve">Disaggregating </w:t>
      </w:r>
      <w:r w:rsidR="00436449" w:rsidRPr="00040AA9">
        <w:rPr>
          <w:rFonts w:ascii="Arial" w:hAnsi="Arial" w:cs="Arial"/>
          <w:sz w:val="22"/>
          <w:szCs w:val="22"/>
        </w:rPr>
        <w:t xml:space="preserve">performance by program component, </w:t>
      </w:r>
      <w:r w:rsidR="00FB007D" w:rsidRPr="00040AA9">
        <w:rPr>
          <w:rFonts w:ascii="Arial" w:hAnsi="Arial" w:cs="Arial"/>
          <w:sz w:val="22"/>
          <w:szCs w:val="22"/>
        </w:rPr>
        <w:t>it is clear that Component</w:t>
      </w:r>
      <w:r w:rsidR="00487538">
        <w:rPr>
          <w:rFonts w:ascii="Arial" w:hAnsi="Arial" w:cs="Arial"/>
          <w:sz w:val="22"/>
          <w:szCs w:val="22"/>
        </w:rPr>
        <w:t> </w:t>
      </w:r>
      <w:r w:rsidR="00FB007D" w:rsidRPr="00040AA9">
        <w:rPr>
          <w:rFonts w:ascii="Arial" w:hAnsi="Arial" w:cs="Arial"/>
          <w:sz w:val="22"/>
          <w:szCs w:val="22"/>
        </w:rPr>
        <w:t>II, s</w:t>
      </w:r>
      <w:r w:rsidR="00436449" w:rsidRPr="00040AA9">
        <w:rPr>
          <w:rFonts w:ascii="Arial" w:hAnsi="Arial" w:cs="Arial"/>
          <w:sz w:val="22"/>
          <w:szCs w:val="22"/>
        </w:rPr>
        <w:t xml:space="preserve">trengthening tax policy and administration, was </w:t>
      </w:r>
      <w:r w:rsidR="002243BC" w:rsidRPr="00040AA9">
        <w:rPr>
          <w:rFonts w:ascii="Arial" w:hAnsi="Arial" w:cs="Arial"/>
          <w:sz w:val="22"/>
          <w:szCs w:val="22"/>
        </w:rPr>
        <w:t xml:space="preserve">the </w:t>
      </w:r>
      <w:r w:rsidR="00436449" w:rsidRPr="00040AA9">
        <w:rPr>
          <w:rFonts w:ascii="Arial" w:hAnsi="Arial" w:cs="Arial"/>
          <w:sz w:val="22"/>
          <w:szCs w:val="22"/>
        </w:rPr>
        <w:t>most successful</w:t>
      </w:r>
      <w:r w:rsidR="002243BC" w:rsidRPr="00040AA9">
        <w:rPr>
          <w:rFonts w:ascii="Arial" w:hAnsi="Arial" w:cs="Arial"/>
          <w:sz w:val="22"/>
          <w:szCs w:val="22"/>
        </w:rPr>
        <w:t>,</w:t>
      </w:r>
      <w:r w:rsidR="00436449" w:rsidRPr="00040AA9">
        <w:rPr>
          <w:rFonts w:ascii="Arial" w:hAnsi="Arial" w:cs="Arial"/>
          <w:sz w:val="22"/>
          <w:szCs w:val="22"/>
        </w:rPr>
        <w:t xml:space="preserve"> with two thirds (</w:t>
      </w:r>
      <w:r w:rsidR="003B3EA8" w:rsidRPr="00040AA9">
        <w:rPr>
          <w:rFonts w:ascii="Arial" w:hAnsi="Arial" w:cs="Arial"/>
          <w:sz w:val="22"/>
          <w:szCs w:val="22"/>
        </w:rPr>
        <w:t>10 out of 15) of the</w:t>
      </w:r>
      <w:r w:rsidR="000703A2" w:rsidRPr="00040AA9">
        <w:rPr>
          <w:rFonts w:ascii="Arial" w:hAnsi="Arial" w:cs="Arial"/>
          <w:sz w:val="22"/>
          <w:szCs w:val="22"/>
        </w:rPr>
        <w:t xml:space="preserve"> </w:t>
      </w:r>
      <w:r w:rsidR="00487538">
        <w:rPr>
          <w:rFonts w:ascii="Arial" w:hAnsi="Arial" w:cs="Arial"/>
          <w:sz w:val="22"/>
          <w:szCs w:val="22"/>
        </w:rPr>
        <w:t>o</w:t>
      </w:r>
      <w:r w:rsidR="000703A2" w:rsidRPr="00040AA9">
        <w:rPr>
          <w:rFonts w:ascii="Arial" w:hAnsi="Arial" w:cs="Arial"/>
          <w:sz w:val="22"/>
          <w:szCs w:val="22"/>
        </w:rPr>
        <w:t xml:space="preserve">utcome </w:t>
      </w:r>
      <w:r w:rsidR="003B3EA8" w:rsidRPr="00040AA9">
        <w:rPr>
          <w:rFonts w:ascii="Arial" w:hAnsi="Arial" w:cs="Arial"/>
          <w:sz w:val="22"/>
          <w:szCs w:val="22"/>
        </w:rPr>
        <w:t xml:space="preserve">indicators </w:t>
      </w:r>
      <w:r w:rsidR="00CA1FDE" w:rsidRPr="00040AA9">
        <w:rPr>
          <w:rFonts w:ascii="Arial" w:hAnsi="Arial" w:cs="Arial"/>
          <w:sz w:val="22"/>
          <w:szCs w:val="22"/>
        </w:rPr>
        <w:t xml:space="preserve">and </w:t>
      </w:r>
      <w:r w:rsidR="00DC3FEA" w:rsidRPr="00040AA9">
        <w:rPr>
          <w:rFonts w:ascii="Arial" w:hAnsi="Arial" w:cs="Arial"/>
          <w:sz w:val="22"/>
          <w:szCs w:val="22"/>
        </w:rPr>
        <w:t xml:space="preserve">all </w:t>
      </w:r>
      <w:r w:rsidR="00CA1FDE" w:rsidRPr="00040AA9">
        <w:rPr>
          <w:rFonts w:ascii="Arial" w:hAnsi="Arial" w:cs="Arial"/>
          <w:sz w:val="22"/>
          <w:szCs w:val="22"/>
        </w:rPr>
        <w:t xml:space="preserve">29 </w:t>
      </w:r>
      <w:r w:rsidR="00487538">
        <w:rPr>
          <w:rFonts w:ascii="Arial" w:hAnsi="Arial" w:cs="Arial"/>
          <w:sz w:val="22"/>
          <w:szCs w:val="22"/>
        </w:rPr>
        <w:t>o</w:t>
      </w:r>
      <w:r w:rsidR="00CA1FDE" w:rsidRPr="00040AA9">
        <w:rPr>
          <w:rFonts w:ascii="Arial" w:hAnsi="Arial" w:cs="Arial"/>
          <w:sz w:val="22"/>
          <w:szCs w:val="22"/>
        </w:rPr>
        <w:t xml:space="preserve">utput indicators </w:t>
      </w:r>
      <w:r w:rsidR="003B3EA8" w:rsidRPr="00040AA9">
        <w:rPr>
          <w:rFonts w:ascii="Arial" w:hAnsi="Arial" w:cs="Arial"/>
          <w:sz w:val="22"/>
          <w:szCs w:val="22"/>
        </w:rPr>
        <w:t>meeting or exceeding their targets</w:t>
      </w:r>
      <w:r w:rsidR="00652DC8">
        <w:rPr>
          <w:rFonts w:ascii="Arial" w:hAnsi="Arial" w:cs="Arial"/>
          <w:sz w:val="22"/>
          <w:szCs w:val="22"/>
        </w:rPr>
        <w:t>.</w:t>
      </w:r>
      <w:r w:rsidR="00436449" w:rsidRPr="00040AA9">
        <w:rPr>
          <w:rFonts w:ascii="Arial" w:hAnsi="Arial" w:cs="Arial"/>
          <w:sz w:val="22"/>
          <w:szCs w:val="22"/>
        </w:rPr>
        <w:t xml:space="preserve"> </w:t>
      </w:r>
      <w:r w:rsidR="00652DC8">
        <w:rPr>
          <w:rFonts w:ascii="Arial" w:hAnsi="Arial" w:cs="Arial"/>
          <w:sz w:val="22"/>
          <w:szCs w:val="22"/>
        </w:rPr>
        <w:t>B</w:t>
      </w:r>
      <w:r w:rsidR="00437A83" w:rsidRPr="009C40BB">
        <w:rPr>
          <w:rFonts w:ascii="Arial" w:hAnsi="Arial" w:cs="Arial"/>
          <w:sz w:val="22"/>
          <w:szCs w:val="22"/>
        </w:rPr>
        <w:t>y</w:t>
      </w:r>
      <w:r w:rsidR="00785A17" w:rsidRPr="00040AA9">
        <w:rPr>
          <w:rFonts w:ascii="Arial" w:hAnsi="Arial" w:cs="Arial"/>
          <w:sz w:val="22"/>
          <w:szCs w:val="22"/>
        </w:rPr>
        <w:t xml:space="preserve"> way of comparison </w:t>
      </w:r>
      <w:r w:rsidR="00CA1FDE" w:rsidRPr="00040AA9">
        <w:rPr>
          <w:rFonts w:ascii="Arial" w:hAnsi="Arial" w:cs="Arial"/>
          <w:sz w:val="22"/>
          <w:szCs w:val="22"/>
        </w:rPr>
        <w:t xml:space="preserve">components III </w:t>
      </w:r>
      <w:r w:rsidR="005553A0" w:rsidRPr="00040AA9">
        <w:rPr>
          <w:rFonts w:ascii="Arial" w:hAnsi="Arial" w:cs="Arial"/>
          <w:sz w:val="22"/>
          <w:szCs w:val="22"/>
        </w:rPr>
        <w:t>had one</w:t>
      </w:r>
      <w:r w:rsidR="00A274D4" w:rsidRPr="00040AA9">
        <w:rPr>
          <w:rFonts w:ascii="Arial" w:hAnsi="Arial" w:cs="Arial"/>
          <w:sz w:val="22"/>
          <w:szCs w:val="22"/>
        </w:rPr>
        <w:t xml:space="preserve"> </w:t>
      </w:r>
      <w:r w:rsidR="00487538">
        <w:rPr>
          <w:rFonts w:ascii="Arial" w:hAnsi="Arial" w:cs="Arial"/>
          <w:sz w:val="22"/>
          <w:szCs w:val="22"/>
        </w:rPr>
        <w:t>o</w:t>
      </w:r>
      <w:r w:rsidR="00A274D4" w:rsidRPr="00040AA9">
        <w:rPr>
          <w:rFonts w:ascii="Arial" w:hAnsi="Arial" w:cs="Arial"/>
          <w:sz w:val="22"/>
          <w:szCs w:val="22"/>
        </w:rPr>
        <w:t>utcome</w:t>
      </w:r>
      <w:r w:rsidR="00785A17" w:rsidRPr="00040AA9">
        <w:rPr>
          <w:rFonts w:ascii="Arial" w:hAnsi="Arial" w:cs="Arial"/>
          <w:sz w:val="22"/>
          <w:szCs w:val="22"/>
        </w:rPr>
        <w:t xml:space="preserve"> indicator</w:t>
      </w:r>
      <w:r w:rsidR="00785A17" w:rsidRPr="00C455BB">
        <w:rPr>
          <w:rFonts w:ascii="Arial" w:hAnsi="Arial" w:cs="Arial"/>
          <w:sz w:val="22"/>
          <w:szCs w:val="22"/>
        </w:rPr>
        <w:t>,</w:t>
      </w:r>
      <w:r w:rsidR="00CA1FDE" w:rsidRPr="00C455BB">
        <w:rPr>
          <w:rFonts w:ascii="Arial" w:hAnsi="Arial" w:cs="Arial"/>
          <w:sz w:val="22"/>
          <w:szCs w:val="22"/>
        </w:rPr>
        <w:t xml:space="preserve"> </w:t>
      </w:r>
      <w:r w:rsidR="00437A83" w:rsidRPr="00DB2891">
        <w:rPr>
          <w:rStyle w:val="SubtleEmphasis"/>
          <w:rFonts w:ascii="Arial" w:hAnsi="Arial" w:cs="Arial"/>
          <w:i w:val="0"/>
          <w:color w:val="auto"/>
          <w:sz w:val="22"/>
          <w:szCs w:val="22"/>
        </w:rPr>
        <w:t>C</w:t>
      </w:r>
      <w:r w:rsidR="00785A17" w:rsidRPr="00DB2891">
        <w:rPr>
          <w:rStyle w:val="SubtleEmphasis"/>
          <w:rFonts w:ascii="Arial" w:hAnsi="Arial" w:cs="Arial"/>
          <w:i w:val="0"/>
          <w:color w:val="auto"/>
          <w:sz w:val="22"/>
          <w:szCs w:val="22"/>
        </w:rPr>
        <w:t>omponent</w:t>
      </w:r>
      <w:r w:rsidR="00785A17" w:rsidRPr="00C455BB">
        <w:rPr>
          <w:rFonts w:ascii="Arial" w:hAnsi="Arial" w:cs="Arial"/>
          <w:sz w:val="22"/>
          <w:szCs w:val="22"/>
        </w:rPr>
        <w:t xml:space="preserve"> </w:t>
      </w:r>
      <w:r w:rsidR="00CA1FDE" w:rsidRPr="00040AA9">
        <w:rPr>
          <w:rFonts w:ascii="Arial" w:hAnsi="Arial" w:cs="Arial"/>
          <w:sz w:val="22"/>
          <w:szCs w:val="22"/>
        </w:rPr>
        <w:t>IV had no</w:t>
      </w:r>
      <w:r w:rsidR="00A274D4" w:rsidRPr="00040AA9">
        <w:rPr>
          <w:rFonts w:ascii="Arial" w:hAnsi="Arial" w:cs="Arial"/>
          <w:sz w:val="22"/>
          <w:szCs w:val="22"/>
        </w:rPr>
        <w:t>ne,</w:t>
      </w:r>
      <w:r w:rsidR="00CA1FDE" w:rsidRPr="00040AA9">
        <w:rPr>
          <w:rFonts w:ascii="Arial" w:hAnsi="Arial" w:cs="Arial"/>
          <w:sz w:val="22"/>
          <w:szCs w:val="22"/>
        </w:rPr>
        <w:t xml:space="preserve"> </w:t>
      </w:r>
      <w:r w:rsidR="00436449" w:rsidRPr="00040AA9">
        <w:rPr>
          <w:rFonts w:ascii="Arial" w:hAnsi="Arial" w:cs="Arial"/>
          <w:sz w:val="22"/>
          <w:szCs w:val="22"/>
        </w:rPr>
        <w:t xml:space="preserve">and </w:t>
      </w:r>
      <w:r w:rsidR="00437A83">
        <w:rPr>
          <w:rFonts w:ascii="Arial" w:hAnsi="Arial" w:cs="Arial"/>
          <w:sz w:val="22"/>
          <w:szCs w:val="22"/>
        </w:rPr>
        <w:t>C</w:t>
      </w:r>
      <w:r w:rsidR="00436449" w:rsidRPr="00040AA9">
        <w:rPr>
          <w:rFonts w:ascii="Arial" w:hAnsi="Arial" w:cs="Arial"/>
          <w:sz w:val="22"/>
          <w:szCs w:val="22"/>
        </w:rPr>
        <w:t>omponent V had one</w:t>
      </w:r>
      <w:r w:rsidR="00A274D4" w:rsidRPr="00040AA9">
        <w:rPr>
          <w:rFonts w:ascii="Arial" w:hAnsi="Arial" w:cs="Arial"/>
          <w:sz w:val="22"/>
          <w:szCs w:val="22"/>
        </w:rPr>
        <w:t xml:space="preserve"> that met or exceeded its target</w:t>
      </w:r>
      <w:r w:rsidR="00436449" w:rsidRPr="00040AA9">
        <w:rPr>
          <w:rFonts w:ascii="Arial" w:hAnsi="Arial" w:cs="Arial"/>
          <w:sz w:val="22"/>
          <w:szCs w:val="22"/>
        </w:rPr>
        <w:t xml:space="preserve">. These results reflect the </w:t>
      </w:r>
      <w:r w:rsidR="00F527FB" w:rsidRPr="00040AA9">
        <w:rPr>
          <w:rFonts w:ascii="Arial" w:hAnsi="Arial" w:cs="Arial"/>
          <w:sz w:val="22"/>
          <w:szCs w:val="22"/>
        </w:rPr>
        <w:t xml:space="preserve">program’s </w:t>
      </w:r>
      <w:r w:rsidR="00753B34" w:rsidRPr="00040AA9">
        <w:rPr>
          <w:rFonts w:ascii="Arial" w:hAnsi="Arial" w:cs="Arial"/>
          <w:sz w:val="22"/>
          <w:szCs w:val="22"/>
        </w:rPr>
        <w:t xml:space="preserve">primary </w:t>
      </w:r>
      <w:r w:rsidR="00F527FB" w:rsidRPr="00040AA9">
        <w:rPr>
          <w:rFonts w:ascii="Arial" w:hAnsi="Arial" w:cs="Arial"/>
          <w:sz w:val="22"/>
          <w:szCs w:val="22"/>
        </w:rPr>
        <w:t xml:space="preserve">focus on tax reform </w:t>
      </w:r>
      <w:r w:rsidR="00436449" w:rsidRPr="00040AA9">
        <w:rPr>
          <w:rFonts w:ascii="Arial" w:hAnsi="Arial" w:cs="Arial"/>
          <w:sz w:val="22"/>
          <w:szCs w:val="22"/>
        </w:rPr>
        <w:t xml:space="preserve">as compared to the fiscal expenditure components of the program, particularly </w:t>
      </w:r>
      <w:r w:rsidR="00437A83">
        <w:rPr>
          <w:rFonts w:ascii="Arial" w:hAnsi="Arial" w:cs="Arial"/>
          <w:sz w:val="22"/>
          <w:szCs w:val="22"/>
        </w:rPr>
        <w:t>C</w:t>
      </w:r>
      <w:r w:rsidR="00436449" w:rsidRPr="00040AA9">
        <w:rPr>
          <w:rFonts w:ascii="Arial" w:hAnsi="Arial" w:cs="Arial"/>
          <w:sz w:val="22"/>
          <w:szCs w:val="22"/>
        </w:rPr>
        <w:t>omponents III and IV.</w:t>
      </w:r>
    </w:p>
    <w:p w14:paraId="4E25B361" w14:textId="650BE78D" w:rsidR="00F339DF" w:rsidRPr="00040AA9" w:rsidRDefault="0016162A"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 xml:space="preserve">Aggregating </w:t>
      </w:r>
      <w:r w:rsidR="00F126D7" w:rsidRPr="00040AA9">
        <w:rPr>
          <w:rFonts w:ascii="Arial" w:hAnsi="Arial" w:cs="Arial"/>
          <w:sz w:val="22"/>
          <w:szCs w:val="22"/>
        </w:rPr>
        <w:t>the performance of all t</w:t>
      </w:r>
      <w:r w:rsidRPr="00040AA9">
        <w:rPr>
          <w:rFonts w:ascii="Arial" w:hAnsi="Arial" w:cs="Arial"/>
          <w:sz w:val="22"/>
          <w:szCs w:val="22"/>
        </w:rPr>
        <w:t xml:space="preserve">hese indicators into </w:t>
      </w:r>
      <w:r w:rsidR="00690F8D" w:rsidRPr="00040AA9">
        <w:rPr>
          <w:rFonts w:ascii="Arial" w:hAnsi="Arial" w:cs="Arial"/>
          <w:sz w:val="22"/>
          <w:szCs w:val="22"/>
        </w:rPr>
        <w:t xml:space="preserve">the </w:t>
      </w:r>
      <w:r w:rsidRPr="00040AA9">
        <w:rPr>
          <w:rFonts w:ascii="Arial" w:hAnsi="Arial" w:cs="Arial"/>
          <w:sz w:val="22"/>
          <w:szCs w:val="22"/>
        </w:rPr>
        <w:t xml:space="preserve">single measure </w:t>
      </w:r>
      <w:r w:rsidR="008F196B" w:rsidRPr="00040AA9">
        <w:rPr>
          <w:rFonts w:ascii="Arial" w:hAnsi="Arial" w:cs="Arial"/>
          <w:sz w:val="22"/>
          <w:szCs w:val="22"/>
        </w:rPr>
        <w:t>of</w:t>
      </w:r>
      <w:r w:rsidR="00AF1A79" w:rsidRPr="00040AA9">
        <w:rPr>
          <w:rFonts w:ascii="Arial" w:hAnsi="Arial" w:cs="Arial"/>
          <w:sz w:val="22"/>
          <w:szCs w:val="22"/>
        </w:rPr>
        <w:t xml:space="preserve"> Development E</w:t>
      </w:r>
      <w:r w:rsidR="00F339DF" w:rsidRPr="00040AA9">
        <w:rPr>
          <w:rFonts w:ascii="Arial" w:hAnsi="Arial" w:cs="Arial"/>
          <w:sz w:val="22"/>
          <w:szCs w:val="22"/>
        </w:rPr>
        <w:t>ffectiveness</w:t>
      </w:r>
      <w:r w:rsidR="005C587C" w:rsidRPr="00040AA9">
        <w:rPr>
          <w:rFonts w:ascii="Arial" w:hAnsi="Arial" w:cs="Arial"/>
          <w:sz w:val="22"/>
          <w:szCs w:val="22"/>
        </w:rPr>
        <w:t xml:space="preserve"> - Core Criteria</w:t>
      </w:r>
      <w:r w:rsidR="008F196B" w:rsidRPr="00040AA9">
        <w:rPr>
          <w:rFonts w:ascii="Arial" w:hAnsi="Arial" w:cs="Arial"/>
          <w:sz w:val="22"/>
          <w:szCs w:val="22"/>
        </w:rPr>
        <w:t xml:space="preserve">, as is done by the PCR Checklist, </w:t>
      </w:r>
      <w:r w:rsidR="00AF1A79" w:rsidRPr="00040AA9">
        <w:rPr>
          <w:rFonts w:ascii="Arial" w:hAnsi="Arial" w:cs="Arial"/>
          <w:sz w:val="22"/>
          <w:szCs w:val="22"/>
        </w:rPr>
        <w:t xml:space="preserve">the program is </w:t>
      </w:r>
      <w:r w:rsidR="00DC07A5" w:rsidRPr="00040AA9">
        <w:rPr>
          <w:rFonts w:ascii="Arial" w:hAnsi="Arial" w:cs="Arial"/>
          <w:sz w:val="22"/>
          <w:szCs w:val="22"/>
        </w:rPr>
        <w:t>rated</w:t>
      </w:r>
      <w:r w:rsidR="00AF1A79" w:rsidRPr="00040AA9">
        <w:rPr>
          <w:rFonts w:ascii="Arial" w:hAnsi="Arial" w:cs="Arial"/>
          <w:sz w:val="22"/>
          <w:szCs w:val="22"/>
        </w:rPr>
        <w:t xml:space="preserve"> </w:t>
      </w:r>
      <w:r w:rsidR="00F339DF" w:rsidRPr="00040AA9">
        <w:rPr>
          <w:rFonts w:ascii="Arial" w:hAnsi="Arial" w:cs="Arial"/>
          <w:sz w:val="22"/>
          <w:szCs w:val="22"/>
        </w:rPr>
        <w:t>Highly Successful</w:t>
      </w:r>
      <w:r w:rsidR="00CC50C4" w:rsidRPr="00040AA9">
        <w:rPr>
          <w:rFonts w:ascii="Arial" w:hAnsi="Arial" w:cs="Arial"/>
          <w:sz w:val="22"/>
          <w:szCs w:val="22"/>
        </w:rPr>
        <w:t xml:space="preserve"> </w:t>
      </w:r>
      <w:r w:rsidR="00166A9B" w:rsidRPr="003D0C9D">
        <w:rPr>
          <w:rFonts w:ascii="Arial" w:hAnsi="Arial" w:cs="Arial"/>
          <w:sz w:val="22"/>
          <w:szCs w:val="22"/>
        </w:rPr>
        <w:t>(</w:t>
      </w:r>
      <w:hyperlink r:id="rId26" w:history="1">
        <w:r w:rsidR="003D0C9D" w:rsidRPr="003D0C9D">
          <w:rPr>
            <w:rStyle w:val="Hyperlink"/>
            <w:rFonts w:ascii="Arial" w:hAnsi="Arial" w:cs="Arial"/>
            <w:sz w:val="22"/>
            <w:szCs w:val="22"/>
          </w:rPr>
          <w:t>PCR Checklist</w:t>
        </w:r>
      </w:hyperlink>
      <w:r w:rsidR="00166A9B" w:rsidRPr="003D0C9D">
        <w:rPr>
          <w:rFonts w:ascii="Arial" w:hAnsi="Arial" w:cs="Arial"/>
          <w:sz w:val="22"/>
          <w:szCs w:val="22"/>
        </w:rPr>
        <w:t>)</w:t>
      </w:r>
    </w:p>
    <w:p w14:paraId="2821B06A" w14:textId="7C485E3A" w:rsidR="00436449" w:rsidRPr="00040AA9" w:rsidRDefault="00436449"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The results directly related to each of the five specific program objectives</w:t>
      </w:r>
      <w:r w:rsidR="0069143A" w:rsidRPr="00040AA9">
        <w:rPr>
          <w:rFonts w:ascii="Arial" w:hAnsi="Arial" w:cs="Arial"/>
          <w:sz w:val="22"/>
          <w:szCs w:val="22"/>
        </w:rPr>
        <w:t xml:space="preserve"> </w:t>
      </w:r>
      <w:r w:rsidR="00CF1AEE" w:rsidRPr="00040AA9">
        <w:rPr>
          <w:rFonts w:ascii="Arial" w:hAnsi="Arial" w:cs="Arial"/>
          <w:sz w:val="22"/>
          <w:szCs w:val="22"/>
        </w:rPr>
        <w:t xml:space="preserve">(as </w:t>
      </w:r>
      <w:r w:rsidR="0069143A" w:rsidRPr="00040AA9">
        <w:rPr>
          <w:rFonts w:ascii="Arial" w:hAnsi="Arial" w:cs="Arial"/>
          <w:sz w:val="22"/>
          <w:szCs w:val="22"/>
        </w:rPr>
        <w:t xml:space="preserve">listed in the </w:t>
      </w:r>
      <w:r w:rsidR="00FB5ABE" w:rsidRPr="00040AA9">
        <w:rPr>
          <w:rFonts w:ascii="Arial" w:hAnsi="Arial" w:cs="Arial"/>
          <w:sz w:val="22"/>
          <w:szCs w:val="22"/>
        </w:rPr>
        <w:t xml:space="preserve">Statement </w:t>
      </w:r>
      <w:r w:rsidR="00AF1A79" w:rsidRPr="00040AA9">
        <w:rPr>
          <w:rFonts w:ascii="Arial" w:hAnsi="Arial" w:cs="Arial"/>
          <w:sz w:val="22"/>
          <w:szCs w:val="22"/>
        </w:rPr>
        <w:t>of t</w:t>
      </w:r>
      <w:r w:rsidR="00C552F5" w:rsidRPr="00040AA9">
        <w:rPr>
          <w:rFonts w:ascii="Arial" w:hAnsi="Arial" w:cs="Arial"/>
          <w:sz w:val="22"/>
          <w:szCs w:val="22"/>
        </w:rPr>
        <w:t xml:space="preserve">he </w:t>
      </w:r>
      <w:r w:rsidR="00FB5ABE" w:rsidRPr="00040AA9">
        <w:rPr>
          <w:rFonts w:ascii="Arial" w:hAnsi="Arial" w:cs="Arial"/>
          <w:sz w:val="22"/>
          <w:szCs w:val="22"/>
        </w:rPr>
        <w:t xml:space="preserve">Development Objectives </w:t>
      </w:r>
      <w:r w:rsidR="00C552F5" w:rsidRPr="00040AA9">
        <w:rPr>
          <w:rFonts w:ascii="Arial" w:hAnsi="Arial" w:cs="Arial"/>
          <w:sz w:val="22"/>
          <w:szCs w:val="22"/>
        </w:rPr>
        <w:t xml:space="preserve">of the </w:t>
      </w:r>
      <w:r w:rsidR="00FB5ABE" w:rsidRPr="00040AA9">
        <w:rPr>
          <w:rFonts w:ascii="Arial" w:hAnsi="Arial" w:cs="Arial"/>
          <w:sz w:val="22"/>
          <w:szCs w:val="22"/>
        </w:rPr>
        <w:t>Project</w:t>
      </w:r>
      <w:r w:rsidR="00C552F5" w:rsidRPr="00040AA9">
        <w:rPr>
          <w:rFonts w:ascii="Arial" w:hAnsi="Arial" w:cs="Arial"/>
          <w:sz w:val="22"/>
          <w:szCs w:val="22"/>
        </w:rPr>
        <w:t>/</w:t>
      </w:r>
      <w:r w:rsidR="00FB5ABE" w:rsidRPr="00040AA9">
        <w:rPr>
          <w:rFonts w:ascii="Arial" w:hAnsi="Arial" w:cs="Arial"/>
          <w:sz w:val="22"/>
          <w:szCs w:val="22"/>
        </w:rPr>
        <w:t>Program</w:t>
      </w:r>
      <w:r w:rsidR="00CF1AEE" w:rsidRPr="00040AA9">
        <w:rPr>
          <w:rFonts w:ascii="Arial" w:hAnsi="Arial" w:cs="Arial"/>
          <w:sz w:val="22"/>
          <w:szCs w:val="22"/>
        </w:rPr>
        <w:t xml:space="preserve">) </w:t>
      </w:r>
      <w:r w:rsidRPr="00040AA9">
        <w:rPr>
          <w:rFonts w:ascii="Arial" w:hAnsi="Arial" w:cs="Arial"/>
          <w:sz w:val="22"/>
          <w:szCs w:val="22"/>
        </w:rPr>
        <w:t xml:space="preserve">are </w:t>
      </w:r>
      <w:r w:rsidR="00C552F5" w:rsidRPr="00040AA9">
        <w:rPr>
          <w:rFonts w:ascii="Arial" w:hAnsi="Arial" w:cs="Arial"/>
          <w:sz w:val="22"/>
          <w:szCs w:val="22"/>
        </w:rPr>
        <w:t>presented</w:t>
      </w:r>
      <w:r w:rsidR="00CF1AEE" w:rsidRPr="00040AA9">
        <w:rPr>
          <w:rFonts w:ascii="Arial" w:hAnsi="Arial" w:cs="Arial"/>
          <w:sz w:val="22"/>
          <w:szCs w:val="22"/>
        </w:rPr>
        <w:t xml:space="preserve"> </w:t>
      </w:r>
      <w:r w:rsidRPr="00040AA9">
        <w:rPr>
          <w:rFonts w:ascii="Arial" w:hAnsi="Arial" w:cs="Arial"/>
          <w:sz w:val="22"/>
          <w:szCs w:val="22"/>
        </w:rPr>
        <w:t xml:space="preserve">in </w:t>
      </w:r>
      <w:r w:rsidR="0007246F">
        <w:rPr>
          <w:rFonts w:ascii="Arial" w:hAnsi="Arial" w:cs="Arial"/>
          <w:sz w:val="22"/>
          <w:szCs w:val="22"/>
        </w:rPr>
        <w:t>T</w:t>
      </w:r>
      <w:r w:rsidRPr="00040AA9">
        <w:rPr>
          <w:rFonts w:ascii="Arial" w:hAnsi="Arial" w:cs="Arial"/>
          <w:sz w:val="22"/>
          <w:szCs w:val="22"/>
        </w:rPr>
        <w:t xml:space="preserve">able </w:t>
      </w:r>
      <w:r w:rsidR="00B6556F">
        <w:rPr>
          <w:rFonts w:ascii="Arial" w:hAnsi="Arial" w:cs="Arial"/>
          <w:sz w:val="22"/>
          <w:szCs w:val="22"/>
        </w:rPr>
        <w:t>A</w:t>
      </w:r>
      <w:r w:rsidR="00B6556F" w:rsidRPr="00040AA9">
        <w:rPr>
          <w:rFonts w:ascii="Arial" w:hAnsi="Arial" w:cs="Arial"/>
          <w:sz w:val="22"/>
          <w:szCs w:val="22"/>
        </w:rPr>
        <w:t xml:space="preserve"> </w:t>
      </w:r>
      <w:r w:rsidRPr="00040AA9">
        <w:rPr>
          <w:rFonts w:ascii="Arial" w:hAnsi="Arial" w:cs="Arial"/>
          <w:sz w:val="22"/>
          <w:szCs w:val="22"/>
        </w:rPr>
        <w:t>and may be summarized as follows:</w:t>
      </w:r>
    </w:p>
    <w:p w14:paraId="2F799B7D" w14:textId="48C9775F" w:rsidR="00436449" w:rsidRPr="00040AA9" w:rsidRDefault="00436449" w:rsidP="00040AA9">
      <w:pPr>
        <w:suppressAutoHyphens/>
        <w:spacing w:before="120" w:after="120"/>
        <w:ind w:left="450" w:hanging="450"/>
        <w:jc w:val="both"/>
        <w:rPr>
          <w:rFonts w:ascii="Arial" w:hAnsi="Arial" w:cs="Arial"/>
          <w:iCs/>
          <w:color w:val="222222"/>
          <w:sz w:val="22"/>
          <w:szCs w:val="22"/>
        </w:rPr>
      </w:pPr>
      <w:r w:rsidRPr="00040AA9">
        <w:rPr>
          <w:rFonts w:ascii="Arial" w:hAnsi="Arial" w:cs="Arial"/>
          <w:iCs/>
          <w:color w:val="222222"/>
          <w:sz w:val="22"/>
          <w:szCs w:val="22"/>
        </w:rPr>
        <w:t>(</w:t>
      </w:r>
      <w:proofErr w:type="spellStart"/>
      <w:r w:rsidRPr="00040AA9">
        <w:rPr>
          <w:rFonts w:ascii="Arial" w:hAnsi="Arial" w:cs="Arial"/>
          <w:iCs/>
          <w:color w:val="222222"/>
          <w:sz w:val="22"/>
          <w:szCs w:val="22"/>
        </w:rPr>
        <w:t>i</w:t>
      </w:r>
      <w:proofErr w:type="spellEnd"/>
      <w:r w:rsidRPr="00040AA9">
        <w:rPr>
          <w:rFonts w:ascii="Arial" w:hAnsi="Arial" w:cs="Arial"/>
          <w:iCs/>
          <w:color w:val="222222"/>
          <w:sz w:val="22"/>
          <w:szCs w:val="22"/>
        </w:rPr>
        <w:t>)</w:t>
      </w:r>
      <w:r w:rsidR="004D3282">
        <w:rPr>
          <w:rFonts w:ascii="Arial" w:hAnsi="Arial" w:cs="Arial"/>
          <w:iCs/>
          <w:color w:val="222222"/>
          <w:sz w:val="22"/>
          <w:szCs w:val="22"/>
        </w:rPr>
        <w:tab/>
      </w:r>
      <w:r w:rsidRPr="00040AA9">
        <w:rPr>
          <w:rFonts w:ascii="Arial" w:hAnsi="Arial" w:cs="Arial"/>
          <w:iCs/>
          <w:color w:val="222222"/>
          <w:sz w:val="22"/>
          <w:szCs w:val="22"/>
        </w:rPr>
        <w:t>Reducing tax distortions which hinder private investment, employment and competitiveness</w:t>
      </w:r>
      <w:r w:rsidR="004D3282">
        <w:rPr>
          <w:rFonts w:ascii="Arial" w:hAnsi="Arial" w:cs="Arial"/>
          <w:iCs/>
          <w:color w:val="222222"/>
          <w:sz w:val="22"/>
          <w:szCs w:val="22"/>
        </w:rPr>
        <w:t>:</w:t>
      </w:r>
      <w:r w:rsidR="00445456">
        <w:rPr>
          <w:rStyle w:val="FootnoteReference"/>
          <w:rFonts w:ascii="Arial" w:hAnsi="Arial" w:cs="Arial"/>
          <w:iCs/>
          <w:color w:val="222222"/>
          <w:sz w:val="22"/>
          <w:szCs w:val="22"/>
        </w:rPr>
        <w:footnoteReference w:id="1"/>
      </w:r>
    </w:p>
    <w:p w14:paraId="674EE11A" w14:textId="7FC3C44B" w:rsidR="00436449" w:rsidRPr="00040AA9" w:rsidRDefault="00436449" w:rsidP="00040AA9">
      <w:pPr>
        <w:suppressAutoHyphens/>
        <w:spacing w:before="120" w:after="120"/>
        <w:ind w:left="810" w:hanging="360"/>
        <w:jc w:val="both"/>
        <w:rPr>
          <w:rFonts w:ascii="Arial" w:hAnsi="Arial" w:cs="Arial"/>
          <w:iCs/>
          <w:color w:val="222222"/>
          <w:sz w:val="22"/>
          <w:szCs w:val="22"/>
        </w:rPr>
      </w:pPr>
      <w:r w:rsidRPr="00040AA9">
        <w:rPr>
          <w:rFonts w:ascii="Arial" w:hAnsi="Arial" w:cs="Arial"/>
          <w:iCs/>
          <w:color w:val="222222"/>
          <w:sz w:val="22"/>
          <w:szCs w:val="22"/>
        </w:rPr>
        <w:t>a.</w:t>
      </w:r>
      <w:r w:rsidR="004D3282">
        <w:rPr>
          <w:rFonts w:ascii="Arial" w:hAnsi="Arial" w:cs="Arial"/>
          <w:iCs/>
          <w:color w:val="222222"/>
          <w:sz w:val="22"/>
          <w:szCs w:val="22"/>
        </w:rPr>
        <w:tab/>
      </w:r>
      <w:r w:rsidR="008B4494">
        <w:rPr>
          <w:rFonts w:ascii="Arial" w:hAnsi="Arial" w:cs="Arial"/>
          <w:iCs/>
          <w:color w:val="222222"/>
          <w:sz w:val="22"/>
          <w:szCs w:val="22"/>
        </w:rPr>
        <w:t>C</w:t>
      </w:r>
      <w:r w:rsidRPr="00040AA9">
        <w:rPr>
          <w:rFonts w:ascii="Arial" w:hAnsi="Arial" w:cs="Arial"/>
          <w:iCs/>
          <w:color w:val="222222"/>
          <w:sz w:val="22"/>
          <w:szCs w:val="22"/>
        </w:rPr>
        <w:t xml:space="preserve">orporate </w:t>
      </w:r>
      <w:r w:rsidR="008B4494">
        <w:rPr>
          <w:rFonts w:ascii="Arial" w:hAnsi="Arial" w:cs="Arial"/>
          <w:iCs/>
          <w:color w:val="222222"/>
          <w:sz w:val="22"/>
          <w:szCs w:val="22"/>
        </w:rPr>
        <w:t>I</w:t>
      </w:r>
      <w:r w:rsidRPr="00040AA9">
        <w:rPr>
          <w:rFonts w:ascii="Arial" w:hAnsi="Arial" w:cs="Arial"/>
          <w:iCs/>
          <w:color w:val="222222"/>
          <w:sz w:val="22"/>
          <w:szCs w:val="22"/>
        </w:rPr>
        <w:t xml:space="preserve">ncome </w:t>
      </w:r>
      <w:r w:rsidR="008B4494">
        <w:rPr>
          <w:rFonts w:ascii="Arial" w:hAnsi="Arial" w:cs="Arial"/>
          <w:iCs/>
          <w:color w:val="222222"/>
          <w:sz w:val="22"/>
          <w:szCs w:val="22"/>
        </w:rPr>
        <w:t>T</w:t>
      </w:r>
      <w:r w:rsidRPr="00040AA9">
        <w:rPr>
          <w:rFonts w:ascii="Arial" w:hAnsi="Arial" w:cs="Arial"/>
          <w:iCs/>
          <w:color w:val="222222"/>
          <w:sz w:val="22"/>
          <w:szCs w:val="22"/>
        </w:rPr>
        <w:t xml:space="preserve">ax </w:t>
      </w:r>
      <w:r w:rsidR="008B4494">
        <w:rPr>
          <w:rFonts w:ascii="Arial" w:hAnsi="Arial" w:cs="Arial"/>
          <w:iCs/>
          <w:color w:val="222222"/>
          <w:sz w:val="22"/>
          <w:szCs w:val="22"/>
        </w:rPr>
        <w:t xml:space="preserve">(CIT) </w:t>
      </w:r>
      <w:r w:rsidRPr="00040AA9">
        <w:rPr>
          <w:rFonts w:ascii="Arial" w:hAnsi="Arial" w:cs="Arial"/>
          <w:iCs/>
          <w:color w:val="222222"/>
          <w:sz w:val="22"/>
          <w:szCs w:val="22"/>
        </w:rPr>
        <w:t xml:space="preserve">was successfully reduced </w:t>
      </w:r>
      <w:r w:rsidR="005A62FC" w:rsidRPr="00040AA9">
        <w:rPr>
          <w:rFonts w:ascii="Arial" w:hAnsi="Arial" w:cs="Arial"/>
          <w:iCs/>
          <w:color w:val="222222"/>
          <w:sz w:val="22"/>
          <w:szCs w:val="22"/>
        </w:rPr>
        <w:t>leading</w:t>
      </w:r>
      <w:r w:rsidRPr="00040AA9">
        <w:rPr>
          <w:rFonts w:ascii="Arial" w:hAnsi="Arial" w:cs="Arial"/>
          <w:iCs/>
          <w:color w:val="222222"/>
          <w:sz w:val="22"/>
          <w:szCs w:val="22"/>
        </w:rPr>
        <w:t xml:space="preserve"> to a greater than expected level of revenue due to better collections and a stronger economy</w:t>
      </w:r>
      <w:r w:rsidR="0007246F">
        <w:rPr>
          <w:rFonts w:ascii="Arial" w:hAnsi="Arial" w:cs="Arial"/>
          <w:iCs/>
          <w:color w:val="222222"/>
          <w:sz w:val="22"/>
          <w:szCs w:val="22"/>
        </w:rPr>
        <w:t>;</w:t>
      </w:r>
      <w:r w:rsidRPr="00040AA9">
        <w:rPr>
          <w:rFonts w:ascii="Arial" w:hAnsi="Arial" w:cs="Arial"/>
          <w:iCs/>
          <w:color w:val="222222"/>
          <w:sz w:val="22"/>
          <w:szCs w:val="22"/>
        </w:rPr>
        <w:t xml:space="preserve"> </w:t>
      </w:r>
    </w:p>
    <w:p w14:paraId="581E825A" w14:textId="344293F0" w:rsidR="00436449" w:rsidRPr="00040AA9" w:rsidRDefault="00436449" w:rsidP="00040AA9">
      <w:pPr>
        <w:suppressAutoHyphens/>
        <w:spacing w:before="120" w:after="120"/>
        <w:ind w:left="810" w:hanging="360"/>
        <w:jc w:val="both"/>
        <w:rPr>
          <w:rFonts w:ascii="Arial" w:hAnsi="Arial" w:cs="Arial"/>
          <w:iCs/>
          <w:color w:val="222222"/>
          <w:sz w:val="22"/>
          <w:szCs w:val="22"/>
        </w:rPr>
      </w:pPr>
      <w:r w:rsidRPr="00040AA9">
        <w:rPr>
          <w:rFonts w:ascii="Arial" w:hAnsi="Arial" w:cs="Arial"/>
          <w:iCs/>
          <w:color w:val="222222"/>
          <w:sz w:val="22"/>
          <w:szCs w:val="22"/>
        </w:rPr>
        <w:t>b.</w:t>
      </w:r>
      <w:r w:rsidR="004D3282">
        <w:rPr>
          <w:rFonts w:ascii="Arial" w:hAnsi="Arial" w:cs="Arial"/>
          <w:iCs/>
          <w:color w:val="222222"/>
          <w:sz w:val="22"/>
          <w:szCs w:val="22"/>
        </w:rPr>
        <w:tab/>
      </w:r>
      <w:r w:rsidR="0007246F">
        <w:rPr>
          <w:rFonts w:ascii="Arial" w:hAnsi="Arial" w:cs="Arial"/>
          <w:iCs/>
          <w:color w:val="222222"/>
          <w:sz w:val="22"/>
          <w:szCs w:val="22"/>
        </w:rPr>
        <w:t>i</w:t>
      </w:r>
      <w:r w:rsidRPr="00040AA9">
        <w:rPr>
          <w:rFonts w:ascii="Arial" w:hAnsi="Arial" w:cs="Arial"/>
          <w:iCs/>
          <w:color w:val="222222"/>
          <w:sz w:val="22"/>
          <w:szCs w:val="22"/>
        </w:rPr>
        <w:t xml:space="preserve">ntroduction of the Employment Tax Credit </w:t>
      </w:r>
      <w:r w:rsidR="0007246F">
        <w:rPr>
          <w:rFonts w:ascii="Arial" w:hAnsi="Arial" w:cs="Arial"/>
          <w:iCs/>
          <w:color w:val="222222"/>
          <w:sz w:val="22"/>
          <w:szCs w:val="22"/>
        </w:rPr>
        <w:t xml:space="preserve">(ETC) </w:t>
      </w:r>
      <w:r w:rsidRPr="00040AA9">
        <w:rPr>
          <w:rFonts w:ascii="Arial" w:hAnsi="Arial" w:cs="Arial"/>
          <w:iCs/>
          <w:color w:val="222222"/>
          <w:sz w:val="22"/>
          <w:szCs w:val="22"/>
        </w:rPr>
        <w:t>was successful and savings to emplo</w:t>
      </w:r>
      <w:r w:rsidR="005A62FC" w:rsidRPr="00040AA9">
        <w:rPr>
          <w:rFonts w:ascii="Arial" w:hAnsi="Arial" w:cs="Arial"/>
          <w:iCs/>
          <w:color w:val="222222"/>
          <w:sz w:val="22"/>
          <w:szCs w:val="22"/>
        </w:rPr>
        <w:t>yers were greater than expected</w:t>
      </w:r>
      <w:r w:rsidR="0007246F">
        <w:rPr>
          <w:rFonts w:ascii="Arial" w:hAnsi="Arial" w:cs="Arial"/>
          <w:iCs/>
          <w:color w:val="222222"/>
          <w:sz w:val="22"/>
          <w:szCs w:val="22"/>
        </w:rPr>
        <w:t>;</w:t>
      </w:r>
      <w:r w:rsidRPr="00040AA9">
        <w:rPr>
          <w:rFonts w:ascii="Arial" w:hAnsi="Arial" w:cs="Arial"/>
          <w:iCs/>
          <w:color w:val="222222"/>
          <w:sz w:val="22"/>
          <w:szCs w:val="22"/>
        </w:rPr>
        <w:t xml:space="preserve"> </w:t>
      </w:r>
    </w:p>
    <w:p w14:paraId="257BA3B8" w14:textId="466F82BF" w:rsidR="00436449" w:rsidRPr="00040AA9" w:rsidRDefault="00436449" w:rsidP="00040AA9">
      <w:pPr>
        <w:suppressAutoHyphens/>
        <w:spacing w:before="120" w:after="120"/>
        <w:ind w:left="810" w:hanging="360"/>
        <w:jc w:val="both"/>
        <w:rPr>
          <w:rFonts w:ascii="Arial" w:hAnsi="Arial" w:cs="Arial"/>
          <w:iCs/>
          <w:color w:val="222222"/>
          <w:sz w:val="22"/>
          <w:szCs w:val="22"/>
        </w:rPr>
      </w:pPr>
      <w:r w:rsidRPr="00040AA9">
        <w:rPr>
          <w:rFonts w:ascii="Arial" w:hAnsi="Arial" w:cs="Arial"/>
          <w:iCs/>
          <w:color w:val="222222"/>
          <w:sz w:val="22"/>
          <w:szCs w:val="22"/>
        </w:rPr>
        <w:t>c.</w:t>
      </w:r>
      <w:r w:rsidR="004D3282">
        <w:rPr>
          <w:rFonts w:ascii="Arial" w:hAnsi="Arial" w:cs="Arial"/>
          <w:iCs/>
          <w:color w:val="222222"/>
          <w:sz w:val="22"/>
          <w:szCs w:val="22"/>
        </w:rPr>
        <w:tab/>
      </w:r>
      <w:r w:rsidR="0007246F">
        <w:rPr>
          <w:rFonts w:ascii="Arial" w:hAnsi="Arial" w:cs="Arial"/>
          <w:iCs/>
          <w:color w:val="222222"/>
          <w:sz w:val="22"/>
          <w:szCs w:val="22"/>
        </w:rPr>
        <w:t>n</w:t>
      </w:r>
      <w:r w:rsidRPr="00040AA9">
        <w:rPr>
          <w:rFonts w:ascii="Arial" w:hAnsi="Arial" w:cs="Arial"/>
          <w:iCs/>
          <w:color w:val="222222"/>
          <w:sz w:val="22"/>
          <w:szCs w:val="22"/>
        </w:rPr>
        <w:t>ew discretionary waivers were eliminated</w:t>
      </w:r>
      <w:r w:rsidR="008707D1">
        <w:rPr>
          <w:rFonts w:ascii="Arial" w:hAnsi="Arial" w:cs="Arial"/>
          <w:iCs/>
          <w:color w:val="222222"/>
          <w:sz w:val="22"/>
          <w:szCs w:val="22"/>
        </w:rPr>
        <w:t>,</w:t>
      </w:r>
      <w:r w:rsidRPr="00040AA9">
        <w:rPr>
          <w:rFonts w:ascii="Arial" w:hAnsi="Arial" w:cs="Arial"/>
          <w:iCs/>
          <w:color w:val="222222"/>
          <w:sz w:val="22"/>
          <w:szCs w:val="22"/>
        </w:rPr>
        <w:t xml:space="preserve"> and other tax expenditure categories capped leading to reduced tax expenditures, although not by as much as had been anticipated. </w:t>
      </w:r>
    </w:p>
    <w:p w14:paraId="472F1173" w14:textId="4CCB1026" w:rsidR="00436449" w:rsidRPr="00040AA9" w:rsidRDefault="004D3282" w:rsidP="00040AA9">
      <w:pPr>
        <w:suppressAutoHyphens/>
        <w:spacing w:before="120" w:after="120"/>
        <w:ind w:left="450" w:hanging="450"/>
        <w:jc w:val="both"/>
        <w:rPr>
          <w:rFonts w:ascii="Arial" w:hAnsi="Arial" w:cs="Arial"/>
          <w:sz w:val="22"/>
          <w:szCs w:val="22"/>
        </w:rPr>
      </w:pPr>
      <w:r w:rsidRPr="00040AA9">
        <w:rPr>
          <w:rFonts w:ascii="Arial" w:hAnsi="Arial" w:cs="Arial"/>
          <w:sz w:val="22"/>
          <w:szCs w:val="22"/>
        </w:rPr>
        <w:t>(</w:t>
      </w:r>
      <w:r w:rsidR="00436449" w:rsidRPr="00040AA9">
        <w:rPr>
          <w:rFonts w:ascii="Arial" w:hAnsi="Arial" w:cs="Arial"/>
          <w:sz w:val="22"/>
          <w:szCs w:val="22"/>
        </w:rPr>
        <w:t>ii)</w:t>
      </w:r>
      <w:r>
        <w:rPr>
          <w:rFonts w:ascii="Arial" w:hAnsi="Arial" w:cs="Arial"/>
          <w:sz w:val="22"/>
          <w:szCs w:val="22"/>
        </w:rPr>
        <w:tab/>
      </w:r>
      <w:r w:rsidR="00436449" w:rsidRPr="00040AA9">
        <w:rPr>
          <w:rFonts w:ascii="Arial" w:hAnsi="Arial" w:cs="Arial"/>
          <w:sz w:val="22"/>
          <w:szCs w:val="22"/>
        </w:rPr>
        <w:t>Strengthening revenue collection through broadening tax bases and reducing tax rates</w:t>
      </w:r>
      <w:r w:rsidR="00037888">
        <w:rPr>
          <w:rFonts w:ascii="Arial" w:hAnsi="Arial" w:cs="Arial"/>
          <w:sz w:val="22"/>
          <w:szCs w:val="22"/>
        </w:rPr>
        <w:t>:</w:t>
      </w:r>
    </w:p>
    <w:p w14:paraId="73BD4A2E" w14:textId="43A8E0AC" w:rsidR="00436449" w:rsidRPr="00040AA9" w:rsidRDefault="00436449" w:rsidP="00040AA9">
      <w:pPr>
        <w:suppressAutoHyphens/>
        <w:spacing w:before="120" w:after="120"/>
        <w:ind w:left="810" w:hanging="378"/>
        <w:jc w:val="both"/>
        <w:rPr>
          <w:rFonts w:ascii="Arial" w:eastAsia="Times New Roman" w:hAnsi="Arial" w:cs="Arial"/>
          <w:sz w:val="22"/>
          <w:szCs w:val="22"/>
        </w:rPr>
      </w:pPr>
      <w:r w:rsidRPr="00040AA9">
        <w:rPr>
          <w:rFonts w:ascii="Arial" w:hAnsi="Arial" w:cs="Arial"/>
          <w:sz w:val="22"/>
          <w:szCs w:val="22"/>
        </w:rPr>
        <w:t>a.</w:t>
      </w:r>
      <w:r w:rsidR="00037888">
        <w:rPr>
          <w:rFonts w:ascii="Arial" w:hAnsi="Arial" w:cs="Arial"/>
          <w:sz w:val="22"/>
          <w:szCs w:val="22"/>
        </w:rPr>
        <w:tab/>
      </w:r>
      <w:r w:rsidR="0007246F">
        <w:rPr>
          <w:rFonts w:ascii="Arial" w:hAnsi="Arial" w:cs="Arial"/>
          <w:sz w:val="22"/>
          <w:szCs w:val="22"/>
        </w:rPr>
        <w:t>t</w:t>
      </w:r>
      <w:r w:rsidRPr="00040AA9">
        <w:rPr>
          <w:rFonts w:ascii="Arial" w:hAnsi="Arial" w:cs="Arial"/>
          <w:sz w:val="22"/>
          <w:szCs w:val="22"/>
        </w:rPr>
        <w:t xml:space="preserve">ax revenue as a percent of </w:t>
      </w:r>
      <w:r w:rsidR="0007246F">
        <w:rPr>
          <w:rFonts w:ascii="Arial" w:hAnsi="Arial" w:cs="Arial"/>
          <w:sz w:val="22"/>
          <w:szCs w:val="22"/>
        </w:rPr>
        <w:t>Gross Domestic Product (</w:t>
      </w:r>
      <w:r w:rsidRPr="00040AA9">
        <w:rPr>
          <w:rFonts w:ascii="Arial" w:hAnsi="Arial" w:cs="Arial"/>
          <w:sz w:val="22"/>
          <w:szCs w:val="22"/>
        </w:rPr>
        <w:t>GDP</w:t>
      </w:r>
      <w:r w:rsidR="0007246F">
        <w:rPr>
          <w:rFonts w:ascii="Arial" w:hAnsi="Arial" w:cs="Arial"/>
          <w:sz w:val="22"/>
          <w:szCs w:val="22"/>
        </w:rPr>
        <w:t>)</w:t>
      </w:r>
      <w:r w:rsidRPr="00040AA9">
        <w:rPr>
          <w:rFonts w:ascii="Arial" w:hAnsi="Arial" w:cs="Arial"/>
          <w:sz w:val="22"/>
          <w:szCs w:val="22"/>
        </w:rPr>
        <w:t xml:space="preserve"> increased</w:t>
      </w:r>
      <w:r w:rsidRPr="00040AA9">
        <w:rPr>
          <w:rFonts w:ascii="Arial" w:eastAsia="Times New Roman" w:hAnsi="Arial" w:cs="Arial"/>
          <w:sz w:val="22"/>
          <w:szCs w:val="22"/>
        </w:rPr>
        <w:t xml:space="preserve"> from 23.5% at the beginning of 2013 to 25.6% at the end of </w:t>
      </w:r>
      <w:r w:rsidR="00800B2A">
        <w:rPr>
          <w:rFonts w:ascii="Arial" w:eastAsia="Times New Roman" w:hAnsi="Arial" w:cs="Arial"/>
          <w:sz w:val="22"/>
          <w:szCs w:val="22"/>
        </w:rPr>
        <w:t>Fiscal Year (</w:t>
      </w:r>
      <w:r w:rsidRPr="00040AA9">
        <w:rPr>
          <w:rFonts w:ascii="Arial" w:eastAsia="Times New Roman" w:hAnsi="Arial" w:cs="Arial"/>
          <w:sz w:val="22"/>
          <w:szCs w:val="22"/>
        </w:rPr>
        <w:t>FY</w:t>
      </w:r>
      <w:r w:rsidR="00800B2A">
        <w:rPr>
          <w:rFonts w:ascii="Arial" w:eastAsia="Times New Roman" w:hAnsi="Arial" w:cs="Arial"/>
          <w:sz w:val="22"/>
          <w:szCs w:val="22"/>
        </w:rPr>
        <w:t>)</w:t>
      </w:r>
      <w:r w:rsidRPr="00040AA9">
        <w:rPr>
          <w:rFonts w:ascii="Arial" w:eastAsia="Times New Roman" w:hAnsi="Arial" w:cs="Arial"/>
          <w:sz w:val="22"/>
          <w:szCs w:val="22"/>
        </w:rPr>
        <w:t xml:space="preserve"> 2016/17</w:t>
      </w:r>
      <w:r w:rsidR="006D6F8A">
        <w:rPr>
          <w:rStyle w:val="FootnoteReference"/>
          <w:rFonts w:ascii="Arial" w:eastAsia="Times New Roman" w:hAnsi="Arial" w:cs="Arial"/>
          <w:sz w:val="22"/>
          <w:szCs w:val="22"/>
        </w:rPr>
        <w:footnoteReference w:id="2"/>
      </w:r>
      <w:r w:rsidRPr="00040AA9">
        <w:rPr>
          <w:rFonts w:ascii="Arial" w:eastAsia="Times New Roman" w:hAnsi="Arial" w:cs="Arial"/>
          <w:sz w:val="22"/>
          <w:szCs w:val="22"/>
        </w:rPr>
        <w:t xml:space="preserve"> and, while slightly less than expected, was aided by the establishment of a minimum business tax and a cap on claims for deduction of tax losses carried forward</w:t>
      </w:r>
      <w:r w:rsidR="0007246F">
        <w:rPr>
          <w:rFonts w:ascii="Arial" w:eastAsia="Times New Roman" w:hAnsi="Arial" w:cs="Arial"/>
          <w:sz w:val="22"/>
          <w:szCs w:val="22"/>
        </w:rPr>
        <w:t>;</w:t>
      </w:r>
      <w:r w:rsidRPr="00040AA9">
        <w:rPr>
          <w:rFonts w:ascii="Arial" w:eastAsia="Times New Roman" w:hAnsi="Arial" w:cs="Arial"/>
          <w:sz w:val="22"/>
          <w:szCs w:val="22"/>
        </w:rPr>
        <w:t xml:space="preserve"> </w:t>
      </w:r>
    </w:p>
    <w:p w14:paraId="55233E31" w14:textId="72D5415C" w:rsidR="00797F4C" w:rsidRPr="00040AA9" w:rsidRDefault="00436449" w:rsidP="00040AA9">
      <w:pPr>
        <w:suppressAutoHyphens/>
        <w:spacing w:before="120" w:after="120"/>
        <w:ind w:left="810" w:hanging="378"/>
        <w:jc w:val="both"/>
        <w:rPr>
          <w:rFonts w:ascii="Arial" w:hAnsi="Arial" w:cs="Arial"/>
          <w:sz w:val="22"/>
          <w:szCs w:val="22"/>
        </w:rPr>
      </w:pPr>
      <w:r w:rsidRPr="00040AA9">
        <w:rPr>
          <w:rFonts w:ascii="Arial" w:hAnsi="Arial" w:cs="Arial"/>
          <w:sz w:val="22"/>
          <w:szCs w:val="22"/>
        </w:rPr>
        <w:t>b.</w:t>
      </w:r>
      <w:r w:rsidR="00037888">
        <w:rPr>
          <w:rFonts w:ascii="Arial" w:hAnsi="Arial" w:cs="Arial"/>
          <w:sz w:val="22"/>
          <w:szCs w:val="22"/>
        </w:rPr>
        <w:tab/>
      </w:r>
      <w:r w:rsidR="0007246F">
        <w:rPr>
          <w:rFonts w:ascii="Arial" w:hAnsi="Arial" w:cs="Arial"/>
          <w:sz w:val="22"/>
          <w:szCs w:val="22"/>
        </w:rPr>
        <w:t>t</w:t>
      </w:r>
      <w:r w:rsidRPr="00040AA9">
        <w:rPr>
          <w:rFonts w:ascii="Arial" w:hAnsi="Arial" w:cs="Arial"/>
          <w:sz w:val="22"/>
          <w:szCs w:val="22"/>
        </w:rPr>
        <w:t xml:space="preserve">he application of the General Consumption Tax </w:t>
      </w:r>
      <w:r w:rsidR="0007246F">
        <w:rPr>
          <w:rFonts w:ascii="Arial" w:hAnsi="Arial" w:cs="Arial"/>
          <w:sz w:val="22"/>
          <w:szCs w:val="22"/>
        </w:rPr>
        <w:t xml:space="preserve">(GCT) </w:t>
      </w:r>
      <w:r w:rsidRPr="00040AA9">
        <w:rPr>
          <w:rFonts w:ascii="Arial" w:hAnsi="Arial" w:cs="Arial"/>
          <w:sz w:val="22"/>
          <w:szCs w:val="22"/>
        </w:rPr>
        <w:t>to government purchases was highly successful and raised more than twice the expected revenues</w:t>
      </w:r>
      <w:r w:rsidR="0007246F" w:rsidRPr="00040AA9">
        <w:rPr>
          <w:rFonts w:ascii="Arial" w:hAnsi="Arial" w:cs="Arial"/>
          <w:sz w:val="22"/>
          <w:szCs w:val="22"/>
        </w:rPr>
        <w:t>;</w:t>
      </w:r>
    </w:p>
    <w:p w14:paraId="3FD3CC02" w14:textId="36C47675" w:rsidR="00436449" w:rsidRPr="00040AA9" w:rsidRDefault="00797F4C" w:rsidP="00040AA9">
      <w:pPr>
        <w:suppressAutoHyphens/>
        <w:spacing w:before="120" w:after="120"/>
        <w:ind w:left="810" w:hanging="378"/>
        <w:jc w:val="both"/>
        <w:rPr>
          <w:rFonts w:ascii="Arial" w:hAnsi="Arial" w:cs="Arial"/>
          <w:i/>
          <w:sz w:val="22"/>
          <w:szCs w:val="22"/>
        </w:rPr>
      </w:pPr>
      <w:r w:rsidRPr="00040AA9">
        <w:rPr>
          <w:rFonts w:ascii="Arial" w:hAnsi="Arial" w:cs="Arial"/>
          <w:sz w:val="22"/>
          <w:szCs w:val="22"/>
        </w:rPr>
        <w:t>c.</w:t>
      </w:r>
      <w:r w:rsidR="00037888">
        <w:rPr>
          <w:rFonts w:ascii="Arial" w:hAnsi="Arial" w:cs="Arial"/>
          <w:sz w:val="22"/>
          <w:szCs w:val="22"/>
        </w:rPr>
        <w:tab/>
      </w:r>
      <w:r w:rsidR="0007246F">
        <w:rPr>
          <w:rFonts w:ascii="Arial" w:hAnsi="Arial" w:cs="Arial"/>
          <w:sz w:val="22"/>
          <w:szCs w:val="22"/>
        </w:rPr>
        <w:t>r</w:t>
      </w:r>
      <w:r w:rsidR="005F14D9" w:rsidRPr="00040AA9">
        <w:rPr>
          <w:rFonts w:ascii="Arial" w:hAnsi="Arial" w:cs="Arial"/>
          <w:sz w:val="22"/>
          <w:szCs w:val="22"/>
        </w:rPr>
        <w:t>aising</w:t>
      </w:r>
      <w:r w:rsidRPr="00040AA9">
        <w:rPr>
          <w:rFonts w:ascii="Arial" w:hAnsi="Arial" w:cs="Arial"/>
          <w:sz w:val="22"/>
          <w:szCs w:val="22"/>
        </w:rPr>
        <w:t xml:space="preserve"> the number of</w:t>
      </w:r>
      <w:r w:rsidR="005F14D9" w:rsidRPr="00040AA9">
        <w:rPr>
          <w:rFonts w:ascii="Arial" w:hAnsi="Arial" w:cs="Arial"/>
          <w:sz w:val="22"/>
          <w:szCs w:val="22"/>
        </w:rPr>
        <w:t xml:space="preserve"> qualified professional auditors in the medium and large taxpayer office led to major increases in audits performed, substantially exceeding expectations.</w:t>
      </w:r>
    </w:p>
    <w:p w14:paraId="12437D0A" w14:textId="0D41FF51" w:rsidR="00436449" w:rsidRPr="00040AA9" w:rsidRDefault="00436449" w:rsidP="00040AA9">
      <w:pPr>
        <w:suppressAutoHyphens/>
        <w:spacing w:before="120" w:after="120"/>
        <w:ind w:left="540" w:hanging="540"/>
        <w:jc w:val="both"/>
        <w:rPr>
          <w:rFonts w:ascii="Arial" w:hAnsi="Arial" w:cs="Arial"/>
          <w:iCs/>
          <w:color w:val="222222"/>
          <w:sz w:val="22"/>
          <w:szCs w:val="22"/>
        </w:rPr>
      </w:pPr>
      <w:r w:rsidRPr="00040AA9">
        <w:rPr>
          <w:rFonts w:ascii="Arial" w:hAnsi="Arial" w:cs="Arial"/>
          <w:sz w:val="22"/>
          <w:szCs w:val="22"/>
        </w:rPr>
        <w:t>(iii)</w:t>
      </w:r>
      <w:r w:rsidR="00037888">
        <w:rPr>
          <w:rFonts w:ascii="Arial" w:hAnsi="Arial" w:cs="Arial"/>
          <w:sz w:val="22"/>
          <w:szCs w:val="22"/>
        </w:rPr>
        <w:tab/>
      </w:r>
      <w:r w:rsidRPr="00040AA9">
        <w:rPr>
          <w:rFonts w:ascii="Arial" w:hAnsi="Arial" w:cs="Arial"/>
          <w:sz w:val="22"/>
          <w:szCs w:val="22"/>
        </w:rPr>
        <w:t>Enhancing the control over budgetary expenditure</w:t>
      </w:r>
      <w:r w:rsidR="00037888">
        <w:rPr>
          <w:rFonts w:ascii="Arial" w:hAnsi="Arial" w:cs="Arial"/>
          <w:sz w:val="22"/>
          <w:szCs w:val="22"/>
        </w:rPr>
        <w:t>:</w:t>
      </w:r>
    </w:p>
    <w:p w14:paraId="4220A5D9" w14:textId="659A05AE" w:rsidR="00436449" w:rsidRPr="00040AA9" w:rsidRDefault="00436449" w:rsidP="00040AA9">
      <w:pPr>
        <w:suppressAutoHyphens/>
        <w:spacing w:before="120" w:after="120"/>
        <w:ind w:left="810" w:hanging="378"/>
        <w:jc w:val="both"/>
        <w:rPr>
          <w:rFonts w:ascii="Arial" w:hAnsi="Arial" w:cs="Arial"/>
          <w:iCs/>
          <w:color w:val="222222"/>
          <w:sz w:val="22"/>
          <w:szCs w:val="22"/>
        </w:rPr>
      </w:pPr>
      <w:r w:rsidRPr="00040AA9">
        <w:rPr>
          <w:rFonts w:ascii="Arial" w:hAnsi="Arial" w:cs="Arial"/>
          <w:iCs/>
          <w:color w:val="222222"/>
          <w:sz w:val="22"/>
          <w:szCs w:val="22"/>
        </w:rPr>
        <w:t>a.</w:t>
      </w:r>
      <w:r w:rsidR="00037888">
        <w:rPr>
          <w:rFonts w:ascii="Arial" w:hAnsi="Arial" w:cs="Arial"/>
          <w:iCs/>
          <w:color w:val="222222"/>
          <w:sz w:val="22"/>
          <w:szCs w:val="22"/>
        </w:rPr>
        <w:tab/>
      </w:r>
      <w:r w:rsidR="00E63A13">
        <w:rPr>
          <w:rFonts w:ascii="Arial" w:hAnsi="Arial" w:cs="Arial"/>
          <w:iCs/>
          <w:color w:val="222222"/>
          <w:sz w:val="22"/>
          <w:szCs w:val="22"/>
        </w:rPr>
        <w:t>T</w:t>
      </w:r>
      <w:r w:rsidRPr="00040AA9">
        <w:rPr>
          <w:rFonts w:ascii="Arial" w:hAnsi="Arial" w:cs="Arial"/>
          <w:iCs/>
          <w:color w:val="222222"/>
          <w:sz w:val="22"/>
          <w:szCs w:val="22"/>
        </w:rPr>
        <w:t>he central government’s wage bill</w:t>
      </w:r>
      <w:r w:rsidR="00325DA9">
        <w:rPr>
          <w:rFonts w:ascii="Arial" w:hAnsi="Arial" w:cs="Arial"/>
          <w:iCs/>
          <w:color w:val="222222"/>
          <w:sz w:val="22"/>
          <w:szCs w:val="22"/>
        </w:rPr>
        <w:t xml:space="preserve"> (i.e. Compensation of Employees)</w:t>
      </w:r>
      <w:r w:rsidRPr="00040AA9">
        <w:rPr>
          <w:rFonts w:ascii="Arial" w:hAnsi="Arial" w:cs="Arial"/>
          <w:iCs/>
          <w:color w:val="222222"/>
          <w:sz w:val="22"/>
          <w:szCs w:val="22"/>
        </w:rPr>
        <w:t xml:space="preserve"> as a percent of GDP was reduced from 11% in FY</w:t>
      </w:r>
      <w:r w:rsidR="0007246F">
        <w:rPr>
          <w:rFonts w:ascii="Arial" w:hAnsi="Arial" w:cs="Arial"/>
          <w:iCs/>
          <w:color w:val="222222"/>
          <w:sz w:val="22"/>
          <w:szCs w:val="22"/>
        </w:rPr>
        <w:t> </w:t>
      </w:r>
      <w:r w:rsidRPr="00040AA9">
        <w:rPr>
          <w:rFonts w:ascii="Arial" w:hAnsi="Arial" w:cs="Arial"/>
          <w:iCs/>
          <w:color w:val="222222"/>
          <w:sz w:val="22"/>
          <w:szCs w:val="22"/>
        </w:rPr>
        <w:t>2012/</w:t>
      </w:r>
      <w:r w:rsidR="0007246F">
        <w:rPr>
          <w:rFonts w:ascii="Arial" w:hAnsi="Arial" w:cs="Arial"/>
          <w:iCs/>
          <w:color w:val="222222"/>
          <w:sz w:val="22"/>
          <w:szCs w:val="22"/>
        </w:rPr>
        <w:t>20</w:t>
      </w:r>
      <w:r w:rsidRPr="00040AA9">
        <w:rPr>
          <w:rFonts w:ascii="Arial" w:hAnsi="Arial" w:cs="Arial"/>
          <w:iCs/>
          <w:color w:val="222222"/>
          <w:sz w:val="22"/>
          <w:szCs w:val="22"/>
        </w:rPr>
        <w:t>13 to 10.2% in 2016/</w:t>
      </w:r>
      <w:r w:rsidR="0007246F">
        <w:rPr>
          <w:rFonts w:ascii="Arial" w:hAnsi="Arial" w:cs="Arial"/>
          <w:iCs/>
          <w:color w:val="222222"/>
          <w:sz w:val="22"/>
          <w:szCs w:val="22"/>
        </w:rPr>
        <w:t>20</w:t>
      </w:r>
      <w:r w:rsidRPr="00040AA9">
        <w:rPr>
          <w:rFonts w:ascii="Arial" w:hAnsi="Arial" w:cs="Arial"/>
          <w:iCs/>
          <w:color w:val="222222"/>
          <w:sz w:val="22"/>
          <w:szCs w:val="22"/>
        </w:rPr>
        <w:t>17</w:t>
      </w:r>
      <w:r w:rsidR="00325DA9">
        <w:rPr>
          <w:rStyle w:val="FootnoteReference"/>
          <w:rFonts w:ascii="Arial" w:hAnsi="Arial" w:cs="Arial"/>
          <w:iCs/>
          <w:color w:val="222222"/>
          <w:sz w:val="22"/>
          <w:szCs w:val="22"/>
        </w:rPr>
        <w:footnoteReference w:id="3"/>
      </w:r>
      <w:r w:rsidRPr="00040AA9">
        <w:rPr>
          <w:rFonts w:ascii="Arial" w:hAnsi="Arial" w:cs="Arial"/>
          <w:iCs/>
          <w:color w:val="222222"/>
          <w:sz w:val="22"/>
          <w:szCs w:val="22"/>
        </w:rPr>
        <w:t xml:space="preserve"> after a policy of no central government salary increases was adopted.</w:t>
      </w:r>
    </w:p>
    <w:p w14:paraId="79875F07" w14:textId="0DC03F0F" w:rsidR="00436449" w:rsidRPr="00040AA9" w:rsidRDefault="00436449" w:rsidP="00040AA9">
      <w:pPr>
        <w:suppressAutoHyphens/>
        <w:spacing w:before="120" w:after="120"/>
        <w:ind w:left="810" w:hanging="378"/>
        <w:jc w:val="both"/>
        <w:rPr>
          <w:rFonts w:ascii="Arial" w:hAnsi="Arial" w:cs="Arial"/>
          <w:iCs/>
          <w:color w:val="222222"/>
          <w:sz w:val="22"/>
          <w:szCs w:val="22"/>
        </w:rPr>
      </w:pPr>
      <w:r w:rsidRPr="00040AA9">
        <w:rPr>
          <w:rFonts w:ascii="Arial" w:hAnsi="Arial" w:cs="Arial"/>
          <w:iCs/>
          <w:color w:val="222222"/>
          <w:sz w:val="22"/>
          <w:szCs w:val="22"/>
        </w:rPr>
        <w:t>b.</w:t>
      </w:r>
      <w:r w:rsidR="00037888">
        <w:rPr>
          <w:rFonts w:ascii="Arial" w:hAnsi="Arial" w:cs="Arial"/>
          <w:iCs/>
          <w:color w:val="222222"/>
          <w:sz w:val="22"/>
          <w:szCs w:val="22"/>
        </w:rPr>
        <w:tab/>
      </w:r>
      <w:r w:rsidRPr="00040AA9">
        <w:rPr>
          <w:rFonts w:ascii="Arial" w:hAnsi="Arial" w:cs="Arial"/>
          <w:iCs/>
          <w:color w:val="222222"/>
          <w:sz w:val="22"/>
          <w:szCs w:val="22"/>
        </w:rPr>
        <w:t xml:space="preserve">The number of </w:t>
      </w:r>
      <w:r w:rsidR="00652DC8">
        <w:rPr>
          <w:rFonts w:ascii="Arial" w:hAnsi="Arial" w:cs="Arial"/>
          <w:iCs/>
          <w:color w:val="222222"/>
          <w:sz w:val="22"/>
          <w:szCs w:val="22"/>
        </w:rPr>
        <w:t>S</w:t>
      </w:r>
      <w:r w:rsidRPr="00040AA9">
        <w:rPr>
          <w:rFonts w:ascii="Arial" w:hAnsi="Arial" w:cs="Arial"/>
          <w:iCs/>
          <w:color w:val="222222"/>
          <w:sz w:val="22"/>
          <w:szCs w:val="22"/>
        </w:rPr>
        <w:t>elf-</w:t>
      </w:r>
      <w:r w:rsidR="00652DC8">
        <w:rPr>
          <w:rFonts w:ascii="Arial" w:hAnsi="Arial" w:cs="Arial"/>
          <w:iCs/>
          <w:color w:val="222222"/>
          <w:sz w:val="22"/>
          <w:szCs w:val="22"/>
        </w:rPr>
        <w:t>f</w:t>
      </w:r>
      <w:r w:rsidRPr="00040AA9">
        <w:rPr>
          <w:rFonts w:ascii="Arial" w:hAnsi="Arial" w:cs="Arial"/>
          <w:iCs/>
          <w:color w:val="222222"/>
          <w:sz w:val="22"/>
          <w:szCs w:val="22"/>
        </w:rPr>
        <w:t xml:space="preserve">inancing </w:t>
      </w:r>
      <w:r w:rsidR="00800B2A">
        <w:rPr>
          <w:rFonts w:ascii="Arial" w:hAnsi="Arial" w:cs="Arial"/>
          <w:iCs/>
          <w:color w:val="222222"/>
          <w:sz w:val="22"/>
          <w:szCs w:val="22"/>
        </w:rPr>
        <w:t>P</w:t>
      </w:r>
      <w:r w:rsidRPr="00040AA9">
        <w:rPr>
          <w:rFonts w:ascii="Arial" w:hAnsi="Arial" w:cs="Arial"/>
          <w:iCs/>
          <w:color w:val="222222"/>
          <w:sz w:val="22"/>
          <w:szCs w:val="22"/>
        </w:rPr>
        <w:t xml:space="preserve">ublic </w:t>
      </w:r>
      <w:r w:rsidR="00800B2A">
        <w:rPr>
          <w:rFonts w:ascii="Arial" w:hAnsi="Arial" w:cs="Arial"/>
          <w:iCs/>
          <w:color w:val="222222"/>
          <w:sz w:val="22"/>
          <w:szCs w:val="22"/>
        </w:rPr>
        <w:t>B</w:t>
      </w:r>
      <w:r w:rsidRPr="00040AA9">
        <w:rPr>
          <w:rFonts w:ascii="Arial" w:hAnsi="Arial" w:cs="Arial"/>
          <w:iCs/>
          <w:color w:val="222222"/>
          <w:sz w:val="22"/>
          <w:szCs w:val="22"/>
        </w:rPr>
        <w:t>od</w:t>
      </w:r>
      <w:r w:rsidR="00652DC8">
        <w:rPr>
          <w:rFonts w:ascii="Arial" w:hAnsi="Arial" w:cs="Arial"/>
          <w:iCs/>
          <w:color w:val="222222"/>
          <w:sz w:val="22"/>
          <w:szCs w:val="22"/>
        </w:rPr>
        <w:t>ies</w:t>
      </w:r>
      <w:r w:rsidRPr="00040AA9">
        <w:rPr>
          <w:rFonts w:ascii="Arial" w:hAnsi="Arial" w:cs="Arial"/>
          <w:iCs/>
          <w:color w:val="222222"/>
          <w:sz w:val="22"/>
          <w:szCs w:val="22"/>
        </w:rPr>
        <w:t xml:space="preserve"> </w:t>
      </w:r>
      <w:r w:rsidR="00800B2A">
        <w:rPr>
          <w:rFonts w:ascii="Arial" w:hAnsi="Arial" w:cs="Arial"/>
          <w:iCs/>
          <w:color w:val="222222"/>
          <w:sz w:val="22"/>
          <w:szCs w:val="22"/>
        </w:rPr>
        <w:t>(</w:t>
      </w:r>
      <w:r w:rsidR="00652DC8">
        <w:rPr>
          <w:rFonts w:ascii="Arial" w:hAnsi="Arial" w:cs="Arial"/>
          <w:iCs/>
          <w:color w:val="222222"/>
          <w:sz w:val="22"/>
          <w:szCs w:val="22"/>
        </w:rPr>
        <w:t>SF</w:t>
      </w:r>
      <w:r w:rsidR="00800B2A">
        <w:rPr>
          <w:rFonts w:ascii="Arial" w:hAnsi="Arial" w:cs="Arial"/>
          <w:iCs/>
          <w:color w:val="222222"/>
          <w:sz w:val="22"/>
          <w:szCs w:val="22"/>
        </w:rPr>
        <w:t>PB</w:t>
      </w:r>
      <w:r w:rsidR="00652DC8">
        <w:rPr>
          <w:rFonts w:ascii="Arial" w:hAnsi="Arial" w:cs="Arial"/>
          <w:iCs/>
          <w:color w:val="222222"/>
          <w:sz w:val="22"/>
          <w:szCs w:val="22"/>
        </w:rPr>
        <w:t>s</w:t>
      </w:r>
      <w:r w:rsidR="00800B2A">
        <w:rPr>
          <w:rFonts w:ascii="Arial" w:hAnsi="Arial" w:cs="Arial"/>
          <w:iCs/>
          <w:color w:val="222222"/>
          <w:sz w:val="22"/>
          <w:szCs w:val="22"/>
        </w:rPr>
        <w:t xml:space="preserve">) </w:t>
      </w:r>
      <w:r w:rsidRPr="00040AA9">
        <w:rPr>
          <w:rFonts w:ascii="Arial" w:hAnsi="Arial" w:cs="Arial"/>
          <w:iCs/>
          <w:color w:val="222222"/>
          <w:sz w:val="22"/>
          <w:szCs w:val="22"/>
        </w:rPr>
        <w:t>reporting on time to the</w:t>
      </w:r>
      <w:r w:rsidR="00BB4BB7">
        <w:rPr>
          <w:rFonts w:ascii="Arial" w:hAnsi="Arial" w:cs="Arial"/>
          <w:iCs/>
          <w:color w:val="222222"/>
          <w:sz w:val="22"/>
          <w:szCs w:val="22"/>
        </w:rPr>
        <w:t>ir Portfolio Ministries and to the</w:t>
      </w:r>
      <w:r w:rsidRPr="00040AA9">
        <w:rPr>
          <w:rFonts w:ascii="Arial" w:hAnsi="Arial" w:cs="Arial"/>
          <w:iCs/>
          <w:color w:val="222222"/>
          <w:sz w:val="22"/>
          <w:szCs w:val="22"/>
        </w:rPr>
        <w:t xml:space="preserve"> Ministry of Finance </w:t>
      </w:r>
      <w:r w:rsidR="0007246F">
        <w:rPr>
          <w:rFonts w:ascii="Arial" w:hAnsi="Arial" w:cs="Arial"/>
          <w:iCs/>
          <w:color w:val="222222"/>
          <w:sz w:val="22"/>
          <w:szCs w:val="22"/>
        </w:rPr>
        <w:t>(</w:t>
      </w:r>
      <w:proofErr w:type="spellStart"/>
      <w:r w:rsidR="0007246F">
        <w:rPr>
          <w:rFonts w:ascii="Arial" w:hAnsi="Arial" w:cs="Arial"/>
          <w:iCs/>
          <w:color w:val="222222"/>
          <w:sz w:val="22"/>
          <w:szCs w:val="22"/>
        </w:rPr>
        <w:t>MoF</w:t>
      </w:r>
      <w:proofErr w:type="spellEnd"/>
      <w:r w:rsidR="0007246F">
        <w:rPr>
          <w:rFonts w:ascii="Arial" w:hAnsi="Arial" w:cs="Arial"/>
          <w:iCs/>
          <w:color w:val="222222"/>
          <w:sz w:val="22"/>
          <w:szCs w:val="22"/>
        </w:rPr>
        <w:t>)</w:t>
      </w:r>
      <w:r w:rsidR="00BB4BB7">
        <w:rPr>
          <w:rFonts w:ascii="Arial" w:hAnsi="Arial" w:cs="Arial"/>
          <w:iCs/>
          <w:color w:val="222222"/>
          <w:sz w:val="22"/>
          <w:szCs w:val="22"/>
        </w:rPr>
        <w:t xml:space="preserve"> on time (i.e. within the agreed 6-month</w:t>
      </w:r>
      <w:r w:rsidR="00D94F7C">
        <w:rPr>
          <w:rFonts w:ascii="Arial" w:hAnsi="Arial" w:cs="Arial"/>
          <w:iCs/>
          <w:color w:val="222222"/>
          <w:sz w:val="22"/>
          <w:szCs w:val="22"/>
        </w:rPr>
        <w:t>s after end of fiscal year)</w:t>
      </w:r>
      <w:r w:rsidR="0007246F">
        <w:rPr>
          <w:rFonts w:ascii="Arial" w:hAnsi="Arial" w:cs="Arial"/>
          <w:iCs/>
          <w:color w:val="222222"/>
          <w:sz w:val="22"/>
          <w:szCs w:val="22"/>
        </w:rPr>
        <w:t xml:space="preserve"> </w:t>
      </w:r>
      <w:r w:rsidRPr="00040AA9">
        <w:rPr>
          <w:rFonts w:ascii="Arial" w:hAnsi="Arial" w:cs="Arial"/>
          <w:iCs/>
          <w:color w:val="222222"/>
          <w:sz w:val="22"/>
          <w:szCs w:val="22"/>
        </w:rPr>
        <w:t xml:space="preserve">increased dramatically from an albeit very low base, although not as much as had been expected. The performance of </w:t>
      </w:r>
      <w:r w:rsidR="00652DC8">
        <w:rPr>
          <w:rFonts w:ascii="Arial" w:hAnsi="Arial" w:cs="Arial"/>
          <w:iCs/>
          <w:color w:val="222222"/>
          <w:sz w:val="22"/>
          <w:szCs w:val="22"/>
        </w:rPr>
        <w:t>N</w:t>
      </w:r>
      <w:r w:rsidRPr="00040AA9">
        <w:rPr>
          <w:rFonts w:ascii="Arial" w:hAnsi="Arial" w:cs="Arial"/>
          <w:iCs/>
          <w:color w:val="222222"/>
          <w:sz w:val="22"/>
          <w:szCs w:val="22"/>
        </w:rPr>
        <w:t>on-</w:t>
      </w:r>
      <w:r w:rsidR="00652DC8">
        <w:rPr>
          <w:rFonts w:ascii="Arial" w:hAnsi="Arial" w:cs="Arial"/>
          <w:iCs/>
          <w:color w:val="222222"/>
          <w:sz w:val="22"/>
          <w:szCs w:val="22"/>
        </w:rPr>
        <w:t>S</w:t>
      </w:r>
      <w:r w:rsidRPr="00040AA9">
        <w:rPr>
          <w:rFonts w:ascii="Arial" w:hAnsi="Arial" w:cs="Arial"/>
          <w:iCs/>
          <w:color w:val="222222"/>
          <w:sz w:val="22"/>
          <w:szCs w:val="22"/>
        </w:rPr>
        <w:t>elf-</w:t>
      </w:r>
      <w:r w:rsidR="00652DC8">
        <w:rPr>
          <w:rFonts w:ascii="Arial" w:hAnsi="Arial" w:cs="Arial"/>
          <w:iCs/>
          <w:color w:val="222222"/>
          <w:sz w:val="22"/>
          <w:szCs w:val="22"/>
        </w:rPr>
        <w:t>F</w:t>
      </w:r>
      <w:r w:rsidRPr="00040AA9">
        <w:rPr>
          <w:rFonts w:ascii="Arial" w:hAnsi="Arial" w:cs="Arial"/>
          <w:iCs/>
          <w:color w:val="222222"/>
          <w:sz w:val="22"/>
          <w:szCs w:val="22"/>
        </w:rPr>
        <w:t xml:space="preserve">inancing </w:t>
      </w:r>
      <w:r w:rsidR="00800B2A">
        <w:rPr>
          <w:rFonts w:ascii="Arial" w:hAnsi="Arial" w:cs="Arial"/>
          <w:iCs/>
          <w:color w:val="222222"/>
          <w:sz w:val="22"/>
          <w:szCs w:val="22"/>
        </w:rPr>
        <w:t>P</w:t>
      </w:r>
      <w:r w:rsidR="00652DC8">
        <w:rPr>
          <w:rFonts w:ascii="Arial" w:hAnsi="Arial" w:cs="Arial"/>
          <w:iCs/>
          <w:color w:val="222222"/>
          <w:sz w:val="22"/>
          <w:szCs w:val="22"/>
        </w:rPr>
        <w:t xml:space="preserve">ublic </w:t>
      </w:r>
      <w:r w:rsidR="00800B2A">
        <w:rPr>
          <w:rFonts w:ascii="Arial" w:hAnsi="Arial" w:cs="Arial"/>
          <w:iCs/>
          <w:color w:val="222222"/>
          <w:sz w:val="22"/>
          <w:szCs w:val="22"/>
        </w:rPr>
        <w:t>B</w:t>
      </w:r>
      <w:r w:rsidR="00652DC8">
        <w:rPr>
          <w:rFonts w:ascii="Arial" w:hAnsi="Arial" w:cs="Arial"/>
          <w:iCs/>
          <w:color w:val="222222"/>
          <w:sz w:val="22"/>
          <w:szCs w:val="22"/>
        </w:rPr>
        <w:t>odie</w:t>
      </w:r>
      <w:r w:rsidR="00800B2A">
        <w:rPr>
          <w:rFonts w:ascii="Arial" w:hAnsi="Arial" w:cs="Arial"/>
          <w:iCs/>
          <w:color w:val="222222"/>
          <w:sz w:val="22"/>
          <w:szCs w:val="22"/>
        </w:rPr>
        <w:t>s</w:t>
      </w:r>
      <w:r w:rsidR="00652DC8">
        <w:rPr>
          <w:rFonts w:ascii="Arial" w:hAnsi="Arial" w:cs="Arial"/>
          <w:iCs/>
          <w:color w:val="222222"/>
          <w:sz w:val="22"/>
          <w:szCs w:val="22"/>
        </w:rPr>
        <w:t xml:space="preserve"> (NSFPBs)</w:t>
      </w:r>
      <w:r w:rsidRPr="00040AA9">
        <w:rPr>
          <w:rFonts w:ascii="Arial" w:hAnsi="Arial" w:cs="Arial"/>
          <w:iCs/>
          <w:color w:val="222222"/>
          <w:sz w:val="22"/>
          <w:szCs w:val="22"/>
        </w:rPr>
        <w:t xml:space="preserve"> remained abysmal, with very spotty reporting </w:t>
      </w:r>
      <w:r w:rsidR="00B65869" w:rsidRPr="00040AA9">
        <w:rPr>
          <w:rFonts w:ascii="Arial" w:hAnsi="Arial" w:cs="Arial"/>
          <w:iCs/>
          <w:color w:val="222222"/>
          <w:sz w:val="22"/>
          <w:szCs w:val="22"/>
        </w:rPr>
        <w:t>in many cases</w:t>
      </w:r>
      <w:r w:rsidRPr="00040AA9">
        <w:rPr>
          <w:rFonts w:ascii="Arial" w:hAnsi="Arial" w:cs="Arial"/>
          <w:iCs/>
          <w:color w:val="222222"/>
          <w:sz w:val="22"/>
          <w:szCs w:val="22"/>
        </w:rPr>
        <w:t xml:space="preserve">. </w:t>
      </w:r>
    </w:p>
    <w:p w14:paraId="429AE295" w14:textId="01A34CD4" w:rsidR="00436449" w:rsidRPr="00040AA9" w:rsidRDefault="00436449" w:rsidP="00040AA9">
      <w:pPr>
        <w:suppressAutoHyphens/>
        <w:spacing w:before="120" w:after="120"/>
        <w:ind w:left="540" w:hanging="540"/>
        <w:jc w:val="both"/>
        <w:rPr>
          <w:rFonts w:ascii="Arial" w:hAnsi="Arial" w:cs="Arial"/>
          <w:sz w:val="22"/>
          <w:szCs w:val="22"/>
        </w:rPr>
      </w:pPr>
      <w:r w:rsidRPr="00040AA9">
        <w:rPr>
          <w:rFonts w:ascii="Arial" w:hAnsi="Arial" w:cs="Arial"/>
          <w:sz w:val="22"/>
          <w:szCs w:val="22"/>
        </w:rPr>
        <w:t>(iv)</w:t>
      </w:r>
      <w:r w:rsidR="00037888">
        <w:rPr>
          <w:rFonts w:ascii="Arial" w:hAnsi="Arial" w:cs="Arial"/>
          <w:sz w:val="22"/>
          <w:szCs w:val="22"/>
        </w:rPr>
        <w:tab/>
      </w:r>
      <w:r w:rsidRPr="00040AA9">
        <w:rPr>
          <w:rFonts w:ascii="Arial" w:hAnsi="Arial" w:cs="Arial"/>
          <w:sz w:val="22"/>
          <w:szCs w:val="22"/>
        </w:rPr>
        <w:t>Improving the fiscal sustainability of the National Insurance Scheme (NIS)</w:t>
      </w:r>
      <w:r w:rsidR="00037888">
        <w:rPr>
          <w:rFonts w:ascii="Arial" w:hAnsi="Arial" w:cs="Arial"/>
          <w:sz w:val="22"/>
          <w:szCs w:val="22"/>
        </w:rPr>
        <w:t>:</w:t>
      </w:r>
    </w:p>
    <w:p w14:paraId="4AF34366" w14:textId="70C7002F" w:rsidR="00436449" w:rsidRPr="00040AA9" w:rsidRDefault="00436449" w:rsidP="00040AA9">
      <w:pPr>
        <w:pStyle w:val="ListParagraph"/>
        <w:numPr>
          <w:ilvl w:val="0"/>
          <w:numId w:val="19"/>
        </w:numPr>
        <w:suppressAutoHyphens/>
        <w:spacing w:before="120" w:after="120"/>
        <w:ind w:left="810"/>
        <w:jc w:val="both"/>
        <w:rPr>
          <w:rFonts w:cs="Arial"/>
          <w:iCs/>
          <w:color w:val="222222"/>
        </w:rPr>
      </w:pPr>
      <w:r w:rsidRPr="00040AA9">
        <w:rPr>
          <w:rFonts w:cs="Arial"/>
        </w:rPr>
        <w:t xml:space="preserve">Although the position paper for reform of the NIS was approved, the main target of decreasing the actuarial deficit of the NIS could not be assessed, as the updated actuarial analysis stipulated as a condition of FISPEG III has yet to be carried out. </w:t>
      </w:r>
    </w:p>
    <w:p w14:paraId="0E3AEB44" w14:textId="5FBC9D0C" w:rsidR="00436449" w:rsidRPr="00040AA9" w:rsidRDefault="00436449" w:rsidP="00040AA9">
      <w:pPr>
        <w:suppressAutoHyphens/>
        <w:spacing w:before="120" w:after="120"/>
        <w:ind w:left="540" w:hanging="540"/>
        <w:jc w:val="both"/>
        <w:rPr>
          <w:rFonts w:ascii="Arial" w:hAnsi="Arial" w:cs="Arial"/>
          <w:sz w:val="22"/>
          <w:szCs w:val="22"/>
        </w:rPr>
      </w:pPr>
      <w:r w:rsidRPr="00040AA9">
        <w:rPr>
          <w:rFonts w:ascii="Arial" w:hAnsi="Arial" w:cs="Arial"/>
          <w:sz w:val="22"/>
          <w:szCs w:val="22"/>
        </w:rPr>
        <w:t>(v)</w:t>
      </w:r>
      <w:r w:rsidR="00037888">
        <w:rPr>
          <w:rFonts w:ascii="Arial" w:hAnsi="Arial" w:cs="Arial"/>
          <w:sz w:val="22"/>
          <w:szCs w:val="22"/>
        </w:rPr>
        <w:tab/>
      </w:r>
      <w:r w:rsidRPr="00040AA9">
        <w:rPr>
          <w:rFonts w:ascii="Arial" w:hAnsi="Arial" w:cs="Arial"/>
          <w:sz w:val="22"/>
          <w:szCs w:val="22"/>
        </w:rPr>
        <w:t xml:space="preserve">Strengthening the </w:t>
      </w:r>
      <w:r w:rsidR="00E63A13">
        <w:rPr>
          <w:rFonts w:ascii="Arial" w:hAnsi="Arial" w:cs="Arial"/>
          <w:sz w:val="22"/>
          <w:szCs w:val="22"/>
        </w:rPr>
        <w:t>FRF</w:t>
      </w:r>
      <w:r w:rsidR="00037888">
        <w:rPr>
          <w:rFonts w:ascii="Arial" w:hAnsi="Arial" w:cs="Arial"/>
          <w:sz w:val="22"/>
          <w:szCs w:val="22"/>
        </w:rPr>
        <w:t>:</w:t>
      </w:r>
    </w:p>
    <w:p w14:paraId="05604714" w14:textId="2B38DB9F" w:rsidR="00436449" w:rsidRPr="00040AA9" w:rsidRDefault="00436449" w:rsidP="00040AA9">
      <w:pPr>
        <w:suppressAutoHyphens/>
        <w:spacing w:before="120" w:after="120"/>
        <w:ind w:left="810" w:hanging="360"/>
        <w:jc w:val="both"/>
        <w:rPr>
          <w:rFonts w:ascii="Arial" w:hAnsi="Arial" w:cs="Arial"/>
          <w:sz w:val="22"/>
          <w:szCs w:val="22"/>
        </w:rPr>
      </w:pPr>
      <w:r w:rsidRPr="00040AA9">
        <w:rPr>
          <w:rFonts w:ascii="Arial" w:hAnsi="Arial" w:cs="Arial"/>
          <w:sz w:val="22"/>
          <w:szCs w:val="22"/>
        </w:rPr>
        <w:t>a.</w:t>
      </w:r>
      <w:r w:rsidR="00037888">
        <w:rPr>
          <w:rFonts w:ascii="Arial" w:hAnsi="Arial" w:cs="Arial"/>
          <w:sz w:val="22"/>
          <w:szCs w:val="22"/>
        </w:rPr>
        <w:tab/>
      </w:r>
      <w:r w:rsidRPr="00040AA9">
        <w:rPr>
          <w:rFonts w:ascii="Arial" w:hAnsi="Arial" w:cs="Arial"/>
          <w:sz w:val="22"/>
          <w:szCs w:val="22"/>
        </w:rPr>
        <w:t xml:space="preserve">The </w:t>
      </w:r>
      <w:r w:rsidR="00037888">
        <w:rPr>
          <w:rFonts w:ascii="Arial" w:hAnsi="Arial" w:cs="Arial"/>
          <w:sz w:val="22"/>
          <w:szCs w:val="22"/>
        </w:rPr>
        <w:t>g</w:t>
      </w:r>
      <w:r w:rsidRPr="00040AA9">
        <w:rPr>
          <w:rFonts w:ascii="Arial" w:hAnsi="Arial" w:cs="Arial"/>
          <w:sz w:val="22"/>
          <w:szCs w:val="22"/>
        </w:rPr>
        <w:t xml:space="preserve">overnment approved the legal framework and regulations for the Fiscal Rule including the provision to reduce to approximately one month the time required to take corrective measures in the event of unanticipated budget deviations. </w:t>
      </w:r>
    </w:p>
    <w:p w14:paraId="08D6581B" w14:textId="77777777" w:rsidR="00B15740" w:rsidRPr="00040AA9" w:rsidRDefault="00B15740" w:rsidP="00040AA9">
      <w:pPr>
        <w:suppressAutoHyphens/>
        <w:spacing w:before="120" w:after="120"/>
        <w:ind w:left="288" w:hanging="288"/>
        <w:jc w:val="both"/>
        <w:rPr>
          <w:rFonts w:ascii="Arial" w:hAnsi="Arial" w:cs="Arial"/>
          <w:b/>
          <w:iCs/>
          <w:color w:val="222222"/>
          <w:sz w:val="22"/>
          <w:szCs w:val="22"/>
        </w:rPr>
      </w:pPr>
      <w:r w:rsidRPr="00040AA9">
        <w:rPr>
          <w:rFonts w:ascii="Arial" w:hAnsi="Arial" w:cs="Arial"/>
          <w:b/>
          <w:iCs/>
          <w:color w:val="222222"/>
          <w:sz w:val="22"/>
          <w:szCs w:val="22"/>
        </w:rPr>
        <w:t>Analysis of the Results</w:t>
      </w:r>
    </w:p>
    <w:p w14:paraId="0BA1C44F" w14:textId="04EAEDF8" w:rsidR="00436449" w:rsidRPr="00040AA9" w:rsidRDefault="00B15740" w:rsidP="00040AA9">
      <w:pPr>
        <w:suppressAutoHyphens/>
        <w:spacing w:before="120" w:after="120"/>
        <w:jc w:val="both"/>
        <w:rPr>
          <w:rFonts w:ascii="Arial" w:hAnsi="Arial" w:cs="Arial"/>
          <w:iCs/>
          <w:color w:val="222222"/>
          <w:sz w:val="22"/>
          <w:szCs w:val="22"/>
        </w:rPr>
      </w:pPr>
      <w:r w:rsidRPr="00040AA9">
        <w:rPr>
          <w:rFonts w:ascii="Arial" w:hAnsi="Arial" w:cs="Arial"/>
          <w:iCs/>
          <w:color w:val="222222"/>
          <w:sz w:val="22"/>
          <w:szCs w:val="22"/>
        </w:rPr>
        <w:t>A</w:t>
      </w:r>
      <w:r w:rsidR="00436449" w:rsidRPr="00040AA9">
        <w:rPr>
          <w:rFonts w:ascii="Arial" w:hAnsi="Arial" w:cs="Arial"/>
          <w:iCs/>
          <w:color w:val="222222"/>
          <w:sz w:val="22"/>
          <w:szCs w:val="22"/>
        </w:rPr>
        <w:t xml:space="preserve"> counterfactual analysis </w:t>
      </w:r>
      <w:r w:rsidRPr="00040AA9">
        <w:rPr>
          <w:rFonts w:ascii="Arial" w:hAnsi="Arial" w:cs="Arial"/>
          <w:iCs/>
          <w:color w:val="222222"/>
          <w:sz w:val="22"/>
          <w:szCs w:val="22"/>
        </w:rPr>
        <w:t xml:space="preserve">carried out </w:t>
      </w:r>
      <w:r w:rsidR="00804BFE" w:rsidRPr="00040AA9">
        <w:rPr>
          <w:rFonts w:ascii="Arial" w:hAnsi="Arial" w:cs="Arial"/>
          <w:iCs/>
          <w:color w:val="222222"/>
          <w:sz w:val="22"/>
          <w:szCs w:val="22"/>
        </w:rPr>
        <w:t>to assess the results of FISPEG</w:t>
      </w:r>
      <w:r w:rsidR="00E76AF9" w:rsidRPr="00040AA9">
        <w:rPr>
          <w:rFonts w:ascii="Arial" w:hAnsi="Arial" w:cs="Arial"/>
          <w:iCs/>
          <w:color w:val="222222"/>
          <w:sz w:val="22"/>
          <w:szCs w:val="22"/>
        </w:rPr>
        <w:t xml:space="preserve"> (</w:t>
      </w:r>
      <w:hyperlink r:id="rId27" w:history="1">
        <w:r w:rsidR="00E76AF9" w:rsidRPr="003D0C9D">
          <w:rPr>
            <w:rStyle w:val="Hyperlink"/>
            <w:rFonts w:ascii="Arial" w:hAnsi="Arial" w:cs="Arial"/>
            <w:iCs/>
            <w:sz w:val="22"/>
            <w:szCs w:val="22"/>
          </w:rPr>
          <w:t>Annex III</w:t>
        </w:r>
      </w:hyperlink>
      <w:r w:rsidR="00E76AF9" w:rsidRPr="00040AA9">
        <w:rPr>
          <w:rFonts w:ascii="Arial" w:hAnsi="Arial" w:cs="Arial"/>
          <w:iCs/>
          <w:color w:val="222222"/>
          <w:sz w:val="22"/>
          <w:szCs w:val="22"/>
        </w:rPr>
        <w:t>)</w:t>
      </w:r>
      <w:r w:rsidR="00804BFE" w:rsidRPr="00040AA9">
        <w:rPr>
          <w:rFonts w:ascii="Arial" w:hAnsi="Arial" w:cs="Arial"/>
          <w:iCs/>
          <w:color w:val="222222"/>
          <w:sz w:val="22"/>
          <w:szCs w:val="22"/>
        </w:rPr>
        <w:t xml:space="preserve"> </w:t>
      </w:r>
      <w:r w:rsidR="0031750F" w:rsidRPr="00040AA9">
        <w:rPr>
          <w:rFonts w:ascii="Arial" w:hAnsi="Arial" w:cs="Arial"/>
          <w:iCs/>
          <w:color w:val="222222"/>
          <w:sz w:val="22"/>
          <w:szCs w:val="22"/>
        </w:rPr>
        <w:t>arrived at the following findings and conclusions</w:t>
      </w:r>
      <w:r w:rsidR="00436449" w:rsidRPr="00040AA9">
        <w:rPr>
          <w:rFonts w:ascii="Arial" w:hAnsi="Arial" w:cs="Arial"/>
          <w:iCs/>
          <w:color w:val="222222"/>
          <w:sz w:val="22"/>
          <w:szCs w:val="22"/>
        </w:rPr>
        <w:t xml:space="preserve">: </w:t>
      </w:r>
    </w:p>
    <w:p w14:paraId="44AA86C8" w14:textId="3F4E3170" w:rsidR="00BF44B7" w:rsidRPr="00040AA9" w:rsidRDefault="00BF44B7" w:rsidP="00040AA9">
      <w:pPr>
        <w:pStyle w:val="ListParagraph"/>
        <w:numPr>
          <w:ilvl w:val="0"/>
          <w:numId w:val="16"/>
        </w:numPr>
        <w:suppressAutoHyphens/>
        <w:spacing w:before="120" w:after="120" w:line="276" w:lineRule="auto"/>
        <w:jc w:val="both"/>
        <w:rPr>
          <w:rFonts w:cs="Arial"/>
        </w:rPr>
      </w:pPr>
      <w:r w:rsidRPr="00040AA9">
        <w:rPr>
          <w:rFonts w:eastAsia="Times New Roman" w:cs="Arial"/>
        </w:rPr>
        <w:t>The main objectives of the tax reform, reduction of tax expenditures and broadening of the tax base have been achieved.</w:t>
      </w:r>
    </w:p>
    <w:p w14:paraId="57F4C60B" w14:textId="5D017328" w:rsidR="00436449" w:rsidRPr="00040AA9" w:rsidRDefault="00436449" w:rsidP="00040AA9">
      <w:pPr>
        <w:pStyle w:val="ListParagraph"/>
        <w:numPr>
          <w:ilvl w:val="0"/>
          <w:numId w:val="16"/>
        </w:numPr>
        <w:suppressAutoHyphens/>
        <w:spacing w:before="120" w:after="120" w:line="276" w:lineRule="auto"/>
        <w:jc w:val="both"/>
        <w:rPr>
          <w:rFonts w:cs="Arial"/>
        </w:rPr>
      </w:pPr>
      <w:r w:rsidRPr="00040AA9">
        <w:rPr>
          <w:rFonts w:eastAsia="SimSun" w:cs="Arial"/>
          <w:color w:val="000000"/>
        </w:rPr>
        <w:t>The overall indication of the simulation exercise is that GDP real growth would have been lower by 0.94% per year if no tax policy and tax expenditure measures had taken place.</w:t>
      </w:r>
    </w:p>
    <w:p w14:paraId="645E6870" w14:textId="35CB64E3" w:rsidR="00436449" w:rsidRPr="00040AA9" w:rsidRDefault="00436449" w:rsidP="00040AA9">
      <w:pPr>
        <w:pStyle w:val="ListParagraph"/>
        <w:numPr>
          <w:ilvl w:val="0"/>
          <w:numId w:val="16"/>
        </w:numPr>
        <w:suppressAutoHyphens/>
        <w:spacing w:before="120" w:after="120" w:line="276" w:lineRule="auto"/>
        <w:jc w:val="both"/>
        <w:rPr>
          <w:rFonts w:cs="Arial"/>
        </w:rPr>
      </w:pPr>
      <w:r w:rsidRPr="00040AA9">
        <w:rPr>
          <w:rFonts w:eastAsia="SimSun" w:cs="Arial"/>
        </w:rPr>
        <w:t>Unemployment levels in the counterfactual [without program] are higher in relation to the baseline [with program] scenario</w:t>
      </w:r>
      <w:r w:rsidR="00E63A13">
        <w:rPr>
          <w:rFonts w:eastAsia="SimSun" w:cs="Arial"/>
        </w:rPr>
        <w:t>. Re</w:t>
      </w:r>
      <w:r w:rsidRPr="00040AA9">
        <w:rPr>
          <w:rFonts w:eastAsia="SimSun" w:cs="Arial"/>
        </w:rPr>
        <w:t>moval of biased structure of tax expenditures tends to favor higher growth rates in the primary sector.</w:t>
      </w:r>
    </w:p>
    <w:p w14:paraId="0F414830" w14:textId="71900C65" w:rsidR="00590FFE" w:rsidRPr="00040AA9" w:rsidRDefault="00590FFE" w:rsidP="00040AA9">
      <w:pPr>
        <w:pStyle w:val="ListParagraph"/>
        <w:numPr>
          <w:ilvl w:val="0"/>
          <w:numId w:val="16"/>
        </w:numPr>
        <w:suppressAutoHyphens/>
        <w:spacing w:before="120" w:after="120" w:line="276" w:lineRule="auto"/>
        <w:jc w:val="both"/>
        <w:rPr>
          <w:rFonts w:cs="Arial"/>
        </w:rPr>
      </w:pPr>
      <w:r w:rsidRPr="00040AA9">
        <w:rPr>
          <w:rFonts w:eastAsia="Times New Roman" w:cs="Arial"/>
        </w:rPr>
        <w:t xml:space="preserve">The direct and indirect impacts of the tax reform are positive overall. Notwithstanding delays in implementation of tax policy measures and of the action plans on tax and customs administration, the progressive nature of the tax reform </w:t>
      </w:r>
      <w:r w:rsidR="00037888" w:rsidRPr="009C40BB">
        <w:rPr>
          <w:rFonts w:eastAsia="Times New Roman" w:cs="Arial"/>
        </w:rPr>
        <w:t>has</w:t>
      </w:r>
      <w:r w:rsidRPr="00040AA9">
        <w:rPr>
          <w:rFonts w:eastAsia="Times New Roman" w:cs="Arial"/>
        </w:rPr>
        <w:t xml:space="preserve"> resulted in a positive impact on the average Jamaican household</w:t>
      </w:r>
      <w:r w:rsidR="00BF44B7" w:rsidRPr="00040AA9">
        <w:rPr>
          <w:rFonts w:eastAsia="Times New Roman" w:cs="Arial"/>
        </w:rPr>
        <w:t>.</w:t>
      </w:r>
    </w:p>
    <w:p w14:paraId="490D25CB" w14:textId="10241106" w:rsidR="00590FFE" w:rsidRPr="00040AA9" w:rsidRDefault="00590FFE" w:rsidP="00040AA9">
      <w:pPr>
        <w:suppressAutoHyphens/>
        <w:spacing w:before="120" w:after="120" w:line="276" w:lineRule="auto"/>
        <w:jc w:val="both"/>
        <w:rPr>
          <w:rFonts w:ascii="Arial" w:hAnsi="Arial" w:cs="Arial"/>
          <w:b/>
          <w:sz w:val="22"/>
          <w:szCs w:val="22"/>
        </w:rPr>
      </w:pPr>
      <w:r w:rsidRPr="00040AA9">
        <w:rPr>
          <w:rFonts w:ascii="Arial" w:hAnsi="Arial" w:cs="Arial"/>
          <w:b/>
          <w:sz w:val="22"/>
          <w:szCs w:val="22"/>
        </w:rPr>
        <w:t>Efficiency</w:t>
      </w:r>
    </w:p>
    <w:p w14:paraId="2034EAD3" w14:textId="616F28BE" w:rsidR="005F5263" w:rsidRPr="00040AA9" w:rsidRDefault="005F5263"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An</w:t>
      </w:r>
      <w:r w:rsidR="00841682" w:rsidRPr="00040AA9">
        <w:rPr>
          <w:rFonts w:ascii="Arial" w:hAnsi="Arial" w:cs="Arial"/>
          <w:sz w:val="22"/>
          <w:szCs w:val="22"/>
        </w:rPr>
        <w:t xml:space="preserve"> analysis of </w:t>
      </w:r>
      <w:r w:rsidR="00344A57" w:rsidRPr="00040AA9">
        <w:rPr>
          <w:rFonts w:ascii="Arial" w:hAnsi="Arial" w:cs="Arial"/>
          <w:sz w:val="22"/>
          <w:szCs w:val="22"/>
        </w:rPr>
        <w:t xml:space="preserve">the </w:t>
      </w:r>
      <w:r w:rsidR="00CF1B3D" w:rsidRPr="00040AA9">
        <w:rPr>
          <w:rFonts w:ascii="Arial" w:hAnsi="Arial" w:cs="Arial"/>
          <w:sz w:val="22"/>
          <w:szCs w:val="22"/>
        </w:rPr>
        <w:t xml:space="preserve">present values of the </w:t>
      </w:r>
      <w:r w:rsidRPr="00040AA9">
        <w:rPr>
          <w:rFonts w:ascii="Arial" w:hAnsi="Arial" w:cs="Arial"/>
          <w:sz w:val="22"/>
          <w:szCs w:val="22"/>
        </w:rPr>
        <w:t xml:space="preserve">benefits and costs </w:t>
      </w:r>
      <w:r w:rsidR="00344A57" w:rsidRPr="00040AA9">
        <w:rPr>
          <w:rFonts w:ascii="Arial" w:hAnsi="Arial" w:cs="Arial"/>
          <w:sz w:val="22"/>
          <w:szCs w:val="22"/>
        </w:rPr>
        <w:t xml:space="preserve">of the program’s tax reform component </w:t>
      </w:r>
      <w:r w:rsidR="00E76AF9" w:rsidRPr="00040AA9">
        <w:rPr>
          <w:rFonts w:ascii="Arial" w:hAnsi="Arial" w:cs="Arial"/>
          <w:sz w:val="22"/>
          <w:szCs w:val="22"/>
        </w:rPr>
        <w:t>(</w:t>
      </w:r>
      <w:hyperlink r:id="rId28" w:history="1">
        <w:r w:rsidR="00E76AF9" w:rsidRPr="003D0C9D">
          <w:rPr>
            <w:rStyle w:val="Hyperlink"/>
            <w:rFonts w:ascii="Arial" w:hAnsi="Arial" w:cs="Arial"/>
            <w:sz w:val="22"/>
            <w:szCs w:val="22"/>
          </w:rPr>
          <w:t>Annex IV</w:t>
        </w:r>
      </w:hyperlink>
      <w:r w:rsidR="00E76AF9" w:rsidRPr="00040AA9">
        <w:rPr>
          <w:rFonts w:ascii="Arial" w:hAnsi="Arial" w:cs="Arial"/>
          <w:sz w:val="22"/>
          <w:szCs w:val="22"/>
        </w:rPr>
        <w:t xml:space="preserve">) </w:t>
      </w:r>
      <w:r w:rsidRPr="00040AA9">
        <w:rPr>
          <w:rFonts w:ascii="Arial" w:hAnsi="Arial" w:cs="Arial"/>
          <w:sz w:val="22"/>
          <w:szCs w:val="22"/>
        </w:rPr>
        <w:t xml:space="preserve">demonstrates that </w:t>
      </w:r>
      <w:r w:rsidR="00CF1B3D" w:rsidRPr="00040AA9">
        <w:rPr>
          <w:rFonts w:ascii="Arial" w:hAnsi="Arial" w:cs="Arial"/>
          <w:sz w:val="22"/>
          <w:szCs w:val="22"/>
        </w:rPr>
        <w:t xml:space="preserve">the </w:t>
      </w:r>
      <w:r w:rsidR="00344A57" w:rsidRPr="00040AA9">
        <w:rPr>
          <w:rFonts w:ascii="Arial" w:hAnsi="Arial" w:cs="Arial"/>
          <w:sz w:val="22"/>
          <w:szCs w:val="22"/>
        </w:rPr>
        <w:t>benefits</w:t>
      </w:r>
      <w:r w:rsidRPr="00040AA9">
        <w:rPr>
          <w:rFonts w:ascii="Arial" w:hAnsi="Arial" w:cs="Arial"/>
          <w:sz w:val="22"/>
          <w:szCs w:val="22"/>
        </w:rPr>
        <w:t xml:space="preserve"> </w:t>
      </w:r>
      <w:r w:rsidR="0090047C" w:rsidRPr="00040AA9">
        <w:rPr>
          <w:rFonts w:ascii="Arial" w:hAnsi="Arial" w:cs="Arial"/>
          <w:sz w:val="22"/>
          <w:szCs w:val="22"/>
        </w:rPr>
        <w:t xml:space="preserve">of these reforms </w:t>
      </w:r>
      <w:r w:rsidR="005B794F" w:rsidRPr="00040AA9">
        <w:rPr>
          <w:rFonts w:ascii="Arial" w:hAnsi="Arial" w:cs="Arial"/>
          <w:sz w:val="22"/>
          <w:szCs w:val="22"/>
        </w:rPr>
        <w:t xml:space="preserve">exceed </w:t>
      </w:r>
      <w:r w:rsidR="005519DA" w:rsidRPr="00040AA9">
        <w:rPr>
          <w:rFonts w:ascii="Arial" w:hAnsi="Arial" w:cs="Arial"/>
          <w:sz w:val="22"/>
          <w:szCs w:val="22"/>
        </w:rPr>
        <w:t>corresponding</w:t>
      </w:r>
      <w:r w:rsidR="0090047C" w:rsidRPr="00040AA9">
        <w:rPr>
          <w:rFonts w:ascii="Arial" w:hAnsi="Arial" w:cs="Arial"/>
          <w:sz w:val="22"/>
          <w:szCs w:val="22"/>
        </w:rPr>
        <w:t xml:space="preserve"> </w:t>
      </w:r>
      <w:r w:rsidR="00EE1E53" w:rsidRPr="00040AA9">
        <w:rPr>
          <w:rFonts w:ascii="Arial" w:hAnsi="Arial" w:cs="Arial"/>
          <w:sz w:val="22"/>
          <w:szCs w:val="22"/>
        </w:rPr>
        <w:t>FISPEG</w:t>
      </w:r>
      <w:r w:rsidRPr="00040AA9">
        <w:rPr>
          <w:rFonts w:ascii="Arial" w:hAnsi="Arial" w:cs="Arial"/>
          <w:sz w:val="22"/>
          <w:szCs w:val="22"/>
        </w:rPr>
        <w:t xml:space="preserve"> </w:t>
      </w:r>
      <w:r w:rsidR="0090047C" w:rsidRPr="00040AA9">
        <w:rPr>
          <w:rFonts w:ascii="Arial" w:hAnsi="Arial" w:cs="Arial"/>
          <w:sz w:val="22"/>
          <w:szCs w:val="22"/>
        </w:rPr>
        <w:t xml:space="preserve">costs </w:t>
      </w:r>
      <w:r w:rsidRPr="00040AA9">
        <w:rPr>
          <w:rFonts w:ascii="Arial" w:hAnsi="Arial" w:cs="Arial"/>
          <w:sz w:val="22"/>
          <w:szCs w:val="22"/>
        </w:rPr>
        <w:t xml:space="preserve">by </w:t>
      </w:r>
      <w:r w:rsidR="00845110" w:rsidRPr="00040AA9">
        <w:rPr>
          <w:rFonts w:ascii="Arial" w:hAnsi="Arial" w:cs="Arial"/>
          <w:sz w:val="22"/>
          <w:szCs w:val="22"/>
        </w:rPr>
        <w:t xml:space="preserve">a factor of </w:t>
      </w:r>
      <w:r w:rsidR="00B4092C" w:rsidRPr="00040AA9">
        <w:rPr>
          <w:rFonts w:ascii="Arial" w:hAnsi="Arial" w:cs="Arial"/>
          <w:sz w:val="22"/>
          <w:szCs w:val="22"/>
        </w:rPr>
        <w:t>three to four times</w:t>
      </w:r>
      <w:r w:rsidR="0090047C" w:rsidRPr="00040AA9">
        <w:rPr>
          <w:rFonts w:ascii="Arial" w:hAnsi="Arial" w:cs="Arial"/>
          <w:sz w:val="22"/>
          <w:szCs w:val="22"/>
        </w:rPr>
        <w:t xml:space="preserve">. </w:t>
      </w:r>
      <w:r w:rsidR="00EE1E53" w:rsidRPr="00040AA9">
        <w:rPr>
          <w:rFonts w:ascii="Arial" w:hAnsi="Arial" w:cs="Arial"/>
          <w:sz w:val="22"/>
          <w:szCs w:val="22"/>
        </w:rPr>
        <w:t xml:space="preserve">More broadly </w:t>
      </w:r>
      <w:r w:rsidR="002B3619" w:rsidRPr="00040AA9">
        <w:rPr>
          <w:rFonts w:ascii="Arial" w:hAnsi="Arial" w:cs="Arial"/>
          <w:sz w:val="22"/>
          <w:szCs w:val="22"/>
        </w:rPr>
        <w:t xml:space="preserve">when the benefits of the </w:t>
      </w:r>
      <w:r w:rsidR="00037888" w:rsidRPr="009C40BB">
        <w:rPr>
          <w:rFonts w:ascii="Arial" w:hAnsi="Arial" w:cs="Arial"/>
          <w:sz w:val="22"/>
          <w:szCs w:val="22"/>
        </w:rPr>
        <w:t>complete set</w:t>
      </w:r>
      <w:r w:rsidR="002B3619" w:rsidRPr="00040AA9">
        <w:rPr>
          <w:rFonts w:ascii="Arial" w:hAnsi="Arial" w:cs="Arial"/>
          <w:sz w:val="22"/>
          <w:szCs w:val="22"/>
        </w:rPr>
        <w:t xml:space="preserve"> of Bank interventions </w:t>
      </w:r>
      <w:r w:rsidR="00CC566A">
        <w:rPr>
          <w:rFonts w:ascii="Arial" w:hAnsi="Arial" w:cs="Arial"/>
          <w:sz w:val="22"/>
          <w:szCs w:val="22"/>
        </w:rPr>
        <w:t>are</w:t>
      </w:r>
      <w:r w:rsidR="00CC566A" w:rsidRPr="00040AA9">
        <w:rPr>
          <w:rFonts w:ascii="Arial" w:hAnsi="Arial" w:cs="Arial"/>
          <w:sz w:val="22"/>
          <w:szCs w:val="22"/>
        </w:rPr>
        <w:t xml:space="preserve"> </w:t>
      </w:r>
      <w:r w:rsidR="00037888" w:rsidRPr="009C40BB">
        <w:rPr>
          <w:rFonts w:ascii="Arial" w:hAnsi="Arial" w:cs="Arial"/>
          <w:sz w:val="22"/>
          <w:szCs w:val="22"/>
        </w:rPr>
        <w:t>considered</w:t>
      </w:r>
      <w:r w:rsidR="002B3619" w:rsidRPr="00040AA9">
        <w:rPr>
          <w:rFonts w:ascii="Arial" w:hAnsi="Arial" w:cs="Arial"/>
          <w:sz w:val="22"/>
          <w:szCs w:val="22"/>
        </w:rPr>
        <w:t>, including the prior FCP operation and parallel technical assistance</w:t>
      </w:r>
      <w:r w:rsidR="00CF1B3D" w:rsidRPr="00040AA9">
        <w:rPr>
          <w:rFonts w:ascii="Arial" w:hAnsi="Arial" w:cs="Arial"/>
          <w:sz w:val="22"/>
          <w:szCs w:val="22"/>
        </w:rPr>
        <w:t>, and</w:t>
      </w:r>
      <w:r w:rsidR="005519DA" w:rsidRPr="00040AA9">
        <w:rPr>
          <w:rFonts w:ascii="Arial" w:hAnsi="Arial" w:cs="Arial"/>
          <w:sz w:val="22"/>
          <w:szCs w:val="22"/>
        </w:rPr>
        <w:t xml:space="preserve"> these benefits </w:t>
      </w:r>
      <w:r w:rsidR="00845110" w:rsidRPr="00040AA9">
        <w:rPr>
          <w:rFonts w:ascii="Arial" w:hAnsi="Arial" w:cs="Arial"/>
          <w:sz w:val="22"/>
          <w:szCs w:val="22"/>
        </w:rPr>
        <w:t xml:space="preserve">are </w:t>
      </w:r>
      <w:r w:rsidR="00CF1B3D" w:rsidRPr="00040AA9">
        <w:rPr>
          <w:rFonts w:ascii="Arial" w:hAnsi="Arial" w:cs="Arial"/>
          <w:sz w:val="22"/>
          <w:szCs w:val="22"/>
        </w:rPr>
        <w:t xml:space="preserve">compared to </w:t>
      </w:r>
      <w:r w:rsidR="00845110" w:rsidRPr="00040AA9">
        <w:rPr>
          <w:rFonts w:ascii="Arial" w:hAnsi="Arial" w:cs="Arial"/>
          <w:sz w:val="22"/>
          <w:szCs w:val="22"/>
        </w:rPr>
        <w:t xml:space="preserve">estimates of the corresponding costs, the former exceed the latter </w:t>
      </w:r>
      <w:r w:rsidR="00B4092C" w:rsidRPr="00040AA9">
        <w:rPr>
          <w:rFonts w:ascii="Arial" w:hAnsi="Arial" w:cs="Arial"/>
          <w:sz w:val="22"/>
          <w:szCs w:val="22"/>
        </w:rPr>
        <w:t xml:space="preserve">by roughly four to five times. </w:t>
      </w:r>
      <w:r w:rsidR="00037888" w:rsidRPr="009C40BB">
        <w:rPr>
          <w:rFonts w:ascii="Arial" w:hAnsi="Arial" w:cs="Arial"/>
          <w:sz w:val="22"/>
          <w:szCs w:val="22"/>
        </w:rPr>
        <w:t>Thus,</w:t>
      </w:r>
      <w:r w:rsidR="005519DA" w:rsidRPr="00040AA9">
        <w:rPr>
          <w:rFonts w:ascii="Arial" w:hAnsi="Arial" w:cs="Arial"/>
          <w:sz w:val="22"/>
          <w:szCs w:val="22"/>
        </w:rPr>
        <w:t xml:space="preserve"> the program was clearly justified </w:t>
      </w:r>
      <w:r w:rsidR="00055A43" w:rsidRPr="00040AA9">
        <w:rPr>
          <w:rFonts w:ascii="Arial" w:hAnsi="Arial" w:cs="Arial"/>
          <w:sz w:val="22"/>
          <w:szCs w:val="22"/>
        </w:rPr>
        <w:t xml:space="preserve">in terms of </w:t>
      </w:r>
      <w:r w:rsidR="00ED279D" w:rsidRPr="00040AA9">
        <w:rPr>
          <w:rFonts w:ascii="Arial" w:hAnsi="Arial" w:cs="Arial"/>
          <w:sz w:val="22"/>
          <w:szCs w:val="22"/>
        </w:rPr>
        <w:t>even rough estimates of the net benefits accruing to Jamaica.</w:t>
      </w:r>
    </w:p>
    <w:p w14:paraId="22E14D1B" w14:textId="3857B8F6" w:rsidR="0036563E" w:rsidRPr="00040AA9" w:rsidRDefault="0036563E" w:rsidP="00040AA9">
      <w:pPr>
        <w:suppressAutoHyphens/>
        <w:spacing w:before="120" w:after="120" w:line="276" w:lineRule="auto"/>
        <w:jc w:val="both"/>
        <w:rPr>
          <w:rFonts w:ascii="Arial" w:hAnsi="Arial" w:cs="Arial"/>
          <w:b/>
          <w:sz w:val="22"/>
          <w:szCs w:val="22"/>
        </w:rPr>
      </w:pPr>
      <w:r w:rsidRPr="00040AA9">
        <w:rPr>
          <w:rFonts w:ascii="Arial" w:hAnsi="Arial" w:cs="Arial"/>
          <w:b/>
          <w:sz w:val="22"/>
          <w:szCs w:val="22"/>
        </w:rPr>
        <w:t>Sustainability</w:t>
      </w:r>
    </w:p>
    <w:p w14:paraId="5632CC9A" w14:textId="56E075CA" w:rsidR="007B1A36" w:rsidRDefault="00BE2854" w:rsidP="00040AA9">
      <w:pPr>
        <w:suppressAutoHyphens/>
        <w:spacing w:before="120" w:after="120" w:line="276" w:lineRule="auto"/>
        <w:jc w:val="both"/>
        <w:rPr>
          <w:rFonts w:ascii="Arial" w:hAnsi="Arial" w:cs="Arial"/>
          <w:sz w:val="22"/>
          <w:szCs w:val="22"/>
        </w:rPr>
      </w:pPr>
      <w:r w:rsidRPr="00040AA9">
        <w:rPr>
          <w:rFonts w:ascii="Arial" w:hAnsi="Arial" w:cs="Arial"/>
          <w:sz w:val="22"/>
          <w:szCs w:val="22"/>
        </w:rPr>
        <w:t xml:space="preserve">Building upon the earlier FCP initiatives, the FISPEG operation in conjunction with the parallel FAMP investment program has achieved numerous beneficial results particularly in the tax reform area. </w:t>
      </w:r>
      <w:r w:rsidR="00A726B6" w:rsidRPr="00040AA9">
        <w:rPr>
          <w:rFonts w:ascii="Arial" w:hAnsi="Arial" w:cs="Arial"/>
          <w:sz w:val="22"/>
          <w:szCs w:val="22"/>
        </w:rPr>
        <w:t xml:space="preserve">These results are broadly sustainable </w:t>
      </w:r>
      <w:r w:rsidR="00037888" w:rsidRPr="009C40BB">
        <w:rPr>
          <w:rFonts w:ascii="Arial" w:hAnsi="Arial" w:cs="Arial"/>
          <w:sz w:val="22"/>
          <w:szCs w:val="22"/>
        </w:rPr>
        <w:t>by</w:t>
      </w:r>
      <w:r w:rsidR="00A726B6" w:rsidRPr="00040AA9">
        <w:rPr>
          <w:rFonts w:ascii="Arial" w:hAnsi="Arial" w:cs="Arial"/>
          <w:sz w:val="22"/>
          <w:szCs w:val="22"/>
        </w:rPr>
        <w:t xml:space="preserve"> having widespread support and a </w:t>
      </w:r>
      <w:r w:rsidR="00566ACD" w:rsidRPr="00040AA9">
        <w:rPr>
          <w:rFonts w:ascii="Arial" w:hAnsi="Arial" w:cs="Arial"/>
          <w:sz w:val="22"/>
          <w:szCs w:val="22"/>
        </w:rPr>
        <w:t xml:space="preserve">growing institutional capacity to assure their continued implementation and further </w:t>
      </w:r>
      <w:r w:rsidR="00E61A2C" w:rsidRPr="00040AA9">
        <w:rPr>
          <w:rFonts w:ascii="Arial" w:hAnsi="Arial" w:cs="Arial"/>
          <w:sz w:val="22"/>
          <w:szCs w:val="22"/>
        </w:rPr>
        <w:t>improvement</w:t>
      </w:r>
      <w:r w:rsidR="00566ACD" w:rsidRPr="00040AA9">
        <w:rPr>
          <w:rFonts w:ascii="Arial" w:hAnsi="Arial" w:cs="Arial"/>
          <w:sz w:val="22"/>
          <w:szCs w:val="22"/>
        </w:rPr>
        <w:t>.</w:t>
      </w:r>
      <w:r w:rsidR="00A726B6" w:rsidRPr="00040AA9">
        <w:rPr>
          <w:rFonts w:ascii="Arial" w:hAnsi="Arial" w:cs="Arial"/>
          <w:sz w:val="22"/>
          <w:szCs w:val="22"/>
        </w:rPr>
        <w:t xml:space="preserve"> </w:t>
      </w:r>
    </w:p>
    <w:p w14:paraId="732F896E" w14:textId="4E33FC26" w:rsidR="007A32EF" w:rsidRPr="00040AA9" w:rsidRDefault="007A32EF" w:rsidP="00040AA9">
      <w:pPr>
        <w:suppressAutoHyphens/>
        <w:spacing w:before="120" w:after="120" w:line="276" w:lineRule="auto"/>
        <w:jc w:val="both"/>
        <w:rPr>
          <w:rFonts w:ascii="Arial" w:hAnsi="Arial" w:cs="Arial"/>
          <w:sz w:val="22"/>
          <w:szCs w:val="22"/>
        </w:rPr>
      </w:pPr>
    </w:p>
    <w:p w14:paraId="75E007AF" w14:textId="13BE5636" w:rsidR="00E845E5" w:rsidRPr="00040AA9" w:rsidRDefault="00E845E5" w:rsidP="00040AA9">
      <w:pPr>
        <w:pStyle w:val="Heading1"/>
        <w:keepNext w:val="0"/>
        <w:keepLines w:val="0"/>
        <w:suppressAutoHyphens/>
        <w:jc w:val="both"/>
        <w:rPr>
          <w:rFonts w:cs="Arial"/>
          <w:i/>
          <w:color w:val="A6A6A6" w:themeColor="background1" w:themeShade="A6"/>
          <w:szCs w:val="22"/>
        </w:rPr>
      </w:pPr>
      <w:bookmarkStart w:id="6" w:name="_Toc469493891"/>
      <w:r w:rsidRPr="00040AA9">
        <w:rPr>
          <w:rFonts w:cs="Arial"/>
          <w:smallCaps/>
          <w:szCs w:val="22"/>
        </w:rPr>
        <w:t>Introduction</w:t>
      </w:r>
      <w:bookmarkEnd w:id="6"/>
    </w:p>
    <w:p w14:paraId="74390BE6" w14:textId="472397E8" w:rsidR="00E845E5" w:rsidRPr="00040AA9" w:rsidRDefault="0044480E" w:rsidP="00040AA9">
      <w:pPr>
        <w:suppressAutoHyphens/>
        <w:spacing w:before="120" w:after="120"/>
        <w:jc w:val="both"/>
        <w:rPr>
          <w:rFonts w:ascii="Arial" w:hAnsi="Arial" w:cs="Arial"/>
          <w:sz w:val="22"/>
          <w:szCs w:val="22"/>
        </w:rPr>
      </w:pPr>
      <w:r w:rsidRPr="00040AA9">
        <w:rPr>
          <w:rFonts w:ascii="Arial" w:hAnsi="Arial" w:cs="Arial"/>
          <w:sz w:val="22"/>
          <w:szCs w:val="22"/>
        </w:rPr>
        <w:t>This P</w:t>
      </w:r>
      <w:r w:rsidR="00E63A13">
        <w:rPr>
          <w:rFonts w:ascii="Arial" w:hAnsi="Arial" w:cs="Arial"/>
          <w:sz w:val="22"/>
          <w:szCs w:val="22"/>
        </w:rPr>
        <w:t>CR</w:t>
      </w:r>
      <w:r w:rsidRPr="00040AA9">
        <w:rPr>
          <w:rFonts w:ascii="Arial" w:hAnsi="Arial" w:cs="Arial"/>
          <w:sz w:val="22"/>
          <w:szCs w:val="22"/>
        </w:rPr>
        <w:t xml:space="preserve"> covers the execution of three sequential operations for the </w:t>
      </w:r>
      <w:r w:rsidR="00C601A7" w:rsidRPr="00040AA9">
        <w:rPr>
          <w:rFonts w:ascii="Arial" w:hAnsi="Arial" w:cs="Arial"/>
          <w:sz w:val="22"/>
          <w:szCs w:val="22"/>
        </w:rPr>
        <w:t xml:space="preserve">FISPEG </w:t>
      </w:r>
      <w:r w:rsidR="00DA0A5E" w:rsidRPr="00040AA9">
        <w:rPr>
          <w:rFonts w:ascii="Arial" w:hAnsi="Arial" w:cs="Arial"/>
          <w:sz w:val="22"/>
          <w:szCs w:val="22"/>
        </w:rPr>
        <w:t xml:space="preserve">in Jamaica approved in 2014, 2015 and 2016 respectively under a </w:t>
      </w:r>
      <w:r w:rsidR="009A2E2F" w:rsidRPr="00040AA9">
        <w:rPr>
          <w:rFonts w:ascii="Arial" w:hAnsi="Arial" w:cs="Arial"/>
          <w:sz w:val="22"/>
          <w:szCs w:val="22"/>
        </w:rPr>
        <w:t>P</w:t>
      </w:r>
      <w:r w:rsidR="00DA0A5E" w:rsidRPr="00040AA9">
        <w:rPr>
          <w:rFonts w:ascii="Arial" w:hAnsi="Arial" w:cs="Arial"/>
          <w:sz w:val="22"/>
          <w:szCs w:val="22"/>
        </w:rPr>
        <w:t>olicy-</w:t>
      </w:r>
      <w:r w:rsidR="009A2E2F" w:rsidRPr="00040AA9">
        <w:rPr>
          <w:rFonts w:ascii="Arial" w:hAnsi="Arial" w:cs="Arial"/>
          <w:sz w:val="22"/>
          <w:szCs w:val="22"/>
        </w:rPr>
        <w:t>B</w:t>
      </w:r>
      <w:r w:rsidR="00DA0A5E" w:rsidRPr="00040AA9">
        <w:rPr>
          <w:rFonts w:ascii="Arial" w:hAnsi="Arial" w:cs="Arial"/>
          <w:sz w:val="22"/>
          <w:szCs w:val="22"/>
        </w:rPr>
        <w:t xml:space="preserve">ased </w:t>
      </w:r>
      <w:r w:rsidR="009A2E2F" w:rsidRPr="00040AA9">
        <w:rPr>
          <w:rFonts w:ascii="Arial" w:hAnsi="Arial" w:cs="Arial"/>
          <w:sz w:val="22"/>
          <w:szCs w:val="22"/>
        </w:rPr>
        <w:t>P</w:t>
      </w:r>
      <w:r w:rsidR="00DA0A5E" w:rsidRPr="00040AA9">
        <w:rPr>
          <w:rFonts w:ascii="Arial" w:hAnsi="Arial" w:cs="Arial"/>
          <w:sz w:val="22"/>
          <w:szCs w:val="22"/>
        </w:rPr>
        <w:t xml:space="preserve">rogrammatic (PBP) approach. All three were financed with single disbursement </w:t>
      </w:r>
      <w:r w:rsidR="00E63A13">
        <w:rPr>
          <w:rFonts w:ascii="Arial" w:hAnsi="Arial" w:cs="Arial"/>
          <w:sz w:val="22"/>
          <w:szCs w:val="22"/>
        </w:rPr>
        <w:t>P</w:t>
      </w:r>
      <w:r w:rsidR="00DA0A5E" w:rsidRPr="00040AA9">
        <w:rPr>
          <w:rFonts w:ascii="Arial" w:hAnsi="Arial" w:cs="Arial"/>
          <w:sz w:val="22"/>
          <w:szCs w:val="22"/>
        </w:rPr>
        <w:t>olicy-</w:t>
      </w:r>
      <w:r w:rsidR="00E63A13">
        <w:rPr>
          <w:rFonts w:ascii="Arial" w:hAnsi="Arial" w:cs="Arial"/>
          <w:sz w:val="22"/>
          <w:szCs w:val="22"/>
        </w:rPr>
        <w:t>B</w:t>
      </w:r>
      <w:r w:rsidR="00DA0A5E" w:rsidRPr="00040AA9">
        <w:rPr>
          <w:rFonts w:ascii="Arial" w:hAnsi="Arial" w:cs="Arial"/>
          <w:sz w:val="22"/>
          <w:szCs w:val="22"/>
        </w:rPr>
        <w:t xml:space="preserve">ased </w:t>
      </w:r>
      <w:r w:rsidR="00E63A13">
        <w:rPr>
          <w:rFonts w:ascii="Arial" w:hAnsi="Arial" w:cs="Arial"/>
          <w:sz w:val="22"/>
          <w:szCs w:val="22"/>
        </w:rPr>
        <w:t>L</w:t>
      </w:r>
      <w:r w:rsidR="00DA0A5E" w:rsidRPr="00040AA9">
        <w:rPr>
          <w:rFonts w:ascii="Arial" w:hAnsi="Arial" w:cs="Arial"/>
          <w:sz w:val="22"/>
          <w:szCs w:val="22"/>
        </w:rPr>
        <w:t>oan (PBL) in the</w:t>
      </w:r>
      <w:r w:rsidR="00C601A7" w:rsidRPr="00040AA9">
        <w:rPr>
          <w:rFonts w:ascii="Arial" w:hAnsi="Arial" w:cs="Arial"/>
          <w:sz w:val="22"/>
          <w:szCs w:val="22"/>
        </w:rPr>
        <w:t xml:space="preserve"> </w:t>
      </w:r>
      <w:r w:rsidR="00DA0A5E" w:rsidRPr="00040AA9">
        <w:rPr>
          <w:rFonts w:ascii="Arial" w:hAnsi="Arial" w:cs="Arial"/>
          <w:sz w:val="22"/>
          <w:szCs w:val="22"/>
        </w:rPr>
        <w:t xml:space="preserve">amounts of US$80, </w:t>
      </w:r>
      <w:r w:rsidR="008A2405">
        <w:rPr>
          <w:rFonts w:ascii="Arial" w:hAnsi="Arial" w:cs="Arial"/>
          <w:sz w:val="22"/>
          <w:szCs w:val="22"/>
        </w:rPr>
        <w:t>US</w:t>
      </w:r>
      <w:r w:rsidR="00DA0A5E" w:rsidRPr="00040AA9">
        <w:rPr>
          <w:rFonts w:ascii="Arial" w:hAnsi="Arial" w:cs="Arial"/>
          <w:sz w:val="22"/>
          <w:szCs w:val="22"/>
        </w:rPr>
        <w:t>$</w:t>
      </w:r>
      <w:r w:rsidR="00C601A7" w:rsidRPr="00040AA9">
        <w:rPr>
          <w:rFonts w:ascii="Arial" w:hAnsi="Arial" w:cs="Arial"/>
          <w:sz w:val="22"/>
          <w:szCs w:val="22"/>
        </w:rPr>
        <w:t xml:space="preserve">130 and </w:t>
      </w:r>
      <w:r w:rsidR="008A2405">
        <w:rPr>
          <w:rFonts w:ascii="Arial" w:hAnsi="Arial" w:cs="Arial"/>
          <w:sz w:val="22"/>
          <w:szCs w:val="22"/>
        </w:rPr>
        <w:t>US</w:t>
      </w:r>
      <w:r w:rsidR="00C601A7" w:rsidRPr="00040AA9">
        <w:rPr>
          <w:rFonts w:ascii="Arial" w:hAnsi="Arial" w:cs="Arial"/>
          <w:sz w:val="22"/>
          <w:szCs w:val="22"/>
        </w:rPr>
        <w:t>$50 million</w:t>
      </w:r>
      <w:r w:rsidR="00C4156C" w:rsidRPr="00040AA9">
        <w:rPr>
          <w:rFonts w:ascii="Arial" w:hAnsi="Arial" w:cs="Arial"/>
          <w:sz w:val="22"/>
          <w:szCs w:val="22"/>
        </w:rPr>
        <w:t xml:space="preserve"> respectively</w:t>
      </w:r>
      <w:r w:rsidR="00C601A7" w:rsidRPr="00040AA9">
        <w:rPr>
          <w:rFonts w:ascii="Arial" w:hAnsi="Arial" w:cs="Arial"/>
          <w:sz w:val="22"/>
          <w:szCs w:val="22"/>
        </w:rPr>
        <w:t xml:space="preserve">. </w:t>
      </w:r>
      <w:r w:rsidR="0012180F" w:rsidRPr="00040AA9">
        <w:rPr>
          <w:rFonts w:ascii="Arial" w:hAnsi="Arial" w:cs="Arial"/>
          <w:sz w:val="22"/>
          <w:szCs w:val="22"/>
        </w:rPr>
        <w:t>These PBLs were accompanied by</w:t>
      </w:r>
      <w:r w:rsidR="00C063CE" w:rsidRPr="00040AA9">
        <w:rPr>
          <w:rFonts w:ascii="Arial" w:hAnsi="Arial" w:cs="Arial"/>
          <w:sz w:val="22"/>
          <w:szCs w:val="22"/>
        </w:rPr>
        <w:t xml:space="preserve"> parallel TC</w:t>
      </w:r>
      <w:r w:rsidR="0012180F" w:rsidRPr="00040AA9">
        <w:rPr>
          <w:rFonts w:ascii="Arial" w:hAnsi="Arial" w:cs="Arial"/>
          <w:sz w:val="22"/>
          <w:szCs w:val="22"/>
        </w:rPr>
        <w:t xml:space="preserve">s </w:t>
      </w:r>
      <w:r w:rsidR="008A2405" w:rsidRPr="009C40BB">
        <w:rPr>
          <w:rFonts w:ascii="Arial" w:hAnsi="Arial" w:cs="Arial"/>
          <w:sz w:val="22"/>
          <w:szCs w:val="22"/>
        </w:rPr>
        <w:t>and an</w:t>
      </w:r>
      <w:r w:rsidR="0012180F" w:rsidRPr="00040AA9">
        <w:rPr>
          <w:rFonts w:ascii="Arial" w:hAnsi="Arial" w:cs="Arial"/>
          <w:sz w:val="22"/>
          <w:szCs w:val="22"/>
        </w:rPr>
        <w:t xml:space="preserve"> investment program as discussed below.</w:t>
      </w:r>
    </w:p>
    <w:p w14:paraId="03AB1C1C" w14:textId="699DB1F9" w:rsidR="00BD50DF" w:rsidRPr="00040AA9" w:rsidRDefault="00C601A7" w:rsidP="00040AA9">
      <w:pPr>
        <w:suppressAutoHyphens/>
        <w:spacing w:before="120" w:after="120"/>
        <w:jc w:val="both"/>
        <w:rPr>
          <w:rFonts w:ascii="Arial" w:hAnsi="Arial" w:cs="Arial"/>
          <w:sz w:val="22"/>
          <w:szCs w:val="22"/>
        </w:rPr>
      </w:pPr>
      <w:r w:rsidRPr="00040AA9">
        <w:rPr>
          <w:rFonts w:ascii="Arial" w:hAnsi="Arial" w:cs="Arial"/>
          <w:sz w:val="22"/>
          <w:szCs w:val="22"/>
        </w:rPr>
        <w:t xml:space="preserve">The FISPEG series followed </w:t>
      </w:r>
      <w:r w:rsidR="003916A4" w:rsidRPr="00040AA9">
        <w:rPr>
          <w:rFonts w:ascii="Arial" w:hAnsi="Arial" w:cs="Arial"/>
          <w:sz w:val="22"/>
          <w:szCs w:val="22"/>
        </w:rPr>
        <w:t xml:space="preserve">on </w:t>
      </w:r>
      <w:r w:rsidRPr="00040AA9">
        <w:rPr>
          <w:rFonts w:ascii="Arial" w:hAnsi="Arial" w:cs="Arial"/>
          <w:sz w:val="22"/>
          <w:szCs w:val="22"/>
        </w:rPr>
        <w:t xml:space="preserve">the previous Bank-sponsored FCP </w:t>
      </w:r>
      <w:r w:rsidR="00E5788F" w:rsidRPr="00040AA9">
        <w:rPr>
          <w:rFonts w:ascii="Arial" w:hAnsi="Arial" w:cs="Arial"/>
          <w:sz w:val="22"/>
          <w:szCs w:val="22"/>
        </w:rPr>
        <w:t xml:space="preserve">that was </w:t>
      </w:r>
      <w:r w:rsidRPr="00040AA9">
        <w:rPr>
          <w:rFonts w:ascii="Arial" w:hAnsi="Arial" w:cs="Arial"/>
          <w:sz w:val="22"/>
          <w:szCs w:val="22"/>
        </w:rPr>
        <w:t>initiated in 2010 and designed as a sequence of three PBL-funded operations.</w:t>
      </w:r>
      <w:r w:rsidR="00125AAD" w:rsidRPr="00040AA9">
        <w:rPr>
          <w:rStyle w:val="FootnoteReference"/>
          <w:rFonts w:ascii="Arial" w:hAnsi="Arial" w:cs="Arial"/>
          <w:sz w:val="22"/>
          <w:szCs w:val="22"/>
        </w:rPr>
        <w:footnoteReference w:id="4"/>
      </w:r>
      <w:r w:rsidRPr="00040AA9">
        <w:rPr>
          <w:rFonts w:ascii="Arial" w:hAnsi="Arial" w:cs="Arial"/>
          <w:sz w:val="22"/>
          <w:szCs w:val="22"/>
        </w:rPr>
        <w:t xml:space="preserve"> Howev</w:t>
      </w:r>
      <w:r w:rsidR="00F71D1D" w:rsidRPr="00040AA9">
        <w:rPr>
          <w:rFonts w:ascii="Arial" w:hAnsi="Arial" w:cs="Arial"/>
          <w:sz w:val="22"/>
          <w:szCs w:val="22"/>
        </w:rPr>
        <w:t>er the FCP</w:t>
      </w:r>
      <w:r w:rsidRPr="00040AA9">
        <w:rPr>
          <w:rFonts w:ascii="Arial" w:hAnsi="Arial" w:cs="Arial"/>
          <w:sz w:val="22"/>
          <w:szCs w:val="22"/>
        </w:rPr>
        <w:t xml:space="preserve"> was terminated in </w:t>
      </w:r>
      <w:r w:rsidR="00A04AE6" w:rsidRPr="009C40BB">
        <w:rPr>
          <w:rFonts w:ascii="Arial" w:hAnsi="Arial" w:cs="Arial"/>
          <w:sz w:val="22"/>
          <w:szCs w:val="22"/>
        </w:rPr>
        <w:t>mid-2012</w:t>
      </w:r>
      <w:r w:rsidRPr="00040AA9">
        <w:rPr>
          <w:rFonts w:ascii="Arial" w:hAnsi="Arial" w:cs="Arial"/>
          <w:sz w:val="22"/>
          <w:szCs w:val="22"/>
        </w:rPr>
        <w:t xml:space="preserve"> after disbursement of the second PBL due to a deteriorating macro-</w:t>
      </w:r>
      <w:r w:rsidR="006F082D" w:rsidRPr="00040AA9">
        <w:rPr>
          <w:rFonts w:ascii="Arial" w:hAnsi="Arial" w:cs="Arial"/>
          <w:sz w:val="22"/>
          <w:szCs w:val="22"/>
        </w:rPr>
        <w:t xml:space="preserve">fiscal </w:t>
      </w:r>
      <w:r w:rsidRPr="00040AA9">
        <w:rPr>
          <w:rFonts w:ascii="Arial" w:hAnsi="Arial" w:cs="Arial"/>
          <w:sz w:val="22"/>
          <w:szCs w:val="22"/>
        </w:rPr>
        <w:t xml:space="preserve">environment, as discussed in the following sections. </w:t>
      </w:r>
      <w:r w:rsidR="00BD50DF" w:rsidRPr="00040AA9">
        <w:rPr>
          <w:rFonts w:ascii="Arial" w:hAnsi="Arial" w:cs="Arial"/>
          <w:sz w:val="22"/>
          <w:szCs w:val="22"/>
        </w:rPr>
        <w:t>T</w:t>
      </w:r>
      <w:r w:rsidR="007D5CB3" w:rsidRPr="00040AA9">
        <w:rPr>
          <w:rFonts w:ascii="Arial" w:hAnsi="Arial" w:cs="Arial"/>
          <w:sz w:val="22"/>
          <w:szCs w:val="22"/>
        </w:rPr>
        <w:t>he FISPEG operation</w:t>
      </w:r>
      <w:r w:rsidR="00051115" w:rsidRPr="00040AA9">
        <w:rPr>
          <w:rFonts w:ascii="Arial" w:hAnsi="Arial" w:cs="Arial"/>
          <w:sz w:val="22"/>
          <w:szCs w:val="22"/>
        </w:rPr>
        <w:t xml:space="preserve"> represented a continuation and further deepening of the reforms</w:t>
      </w:r>
      <w:r w:rsidR="00BD50DF" w:rsidRPr="00040AA9">
        <w:rPr>
          <w:rFonts w:ascii="Arial" w:hAnsi="Arial" w:cs="Arial"/>
          <w:sz w:val="22"/>
          <w:szCs w:val="22"/>
        </w:rPr>
        <w:t xml:space="preserve"> started under the FCP series, and </w:t>
      </w:r>
      <w:r w:rsidR="00267622" w:rsidRPr="00040AA9">
        <w:rPr>
          <w:rFonts w:ascii="Arial" w:hAnsi="Arial" w:cs="Arial"/>
          <w:sz w:val="22"/>
          <w:szCs w:val="22"/>
        </w:rPr>
        <w:t>in fact</w:t>
      </w:r>
      <w:r w:rsidR="00BD50DF" w:rsidRPr="00040AA9">
        <w:rPr>
          <w:rFonts w:ascii="Arial" w:hAnsi="Arial" w:cs="Arial"/>
          <w:sz w:val="22"/>
          <w:szCs w:val="22"/>
        </w:rPr>
        <w:t xml:space="preserve"> the two PBP series need to be seen as </w:t>
      </w:r>
      <w:r w:rsidR="00B76507" w:rsidRPr="00040AA9">
        <w:rPr>
          <w:rFonts w:ascii="Arial" w:hAnsi="Arial" w:cs="Arial"/>
          <w:sz w:val="22"/>
          <w:szCs w:val="22"/>
        </w:rPr>
        <w:t>the</w:t>
      </w:r>
      <w:r w:rsidR="00B31EFB" w:rsidRPr="00040AA9">
        <w:rPr>
          <w:rFonts w:ascii="Arial" w:hAnsi="Arial" w:cs="Arial"/>
          <w:sz w:val="22"/>
          <w:szCs w:val="22"/>
        </w:rPr>
        <w:t xml:space="preserve"> </w:t>
      </w:r>
      <w:r w:rsidR="00BD50DF" w:rsidRPr="00040AA9">
        <w:rPr>
          <w:rFonts w:ascii="Arial" w:hAnsi="Arial" w:cs="Arial"/>
          <w:sz w:val="22"/>
          <w:szCs w:val="22"/>
        </w:rPr>
        <w:t xml:space="preserve">seamless evolution of Bank involvement </w:t>
      </w:r>
      <w:r w:rsidR="008D1302" w:rsidRPr="00040AA9">
        <w:rPr>
          <w:rFonts w:ascii="Arial" w:hAnsi="Arial" w:cs="Arial"/>
          <w:sz w:val="22"/>
          <w:szCs w:val="22"/>
        </w:rPr>
        <w:t>with</w:t>
      </w:r>
      <w:r w:rsidR="005D60F7" w:rsidRPr="00040AA9">
        <w:rPr>
          <w:rFonts w:ascii="Arial" w:hAnsi="Arial" w:cs="Arial"/>
          <w:sz w:val="22"/>
          <w:szCs w:val="22"/>
        </w:rPr>
        <w:t>,</w:t>
      </w:r>
      <w:r w:rsidR="008D1302" w:rsidRPr="00040AA9">
        <w:rPr>
          <w:rFonts w:ascii="Arial" w:hAnsi="Arial" w:cs="Arial"/>
          <w:sz w:val="22"/>
          <w:szCs w:val="22"/>
        </w:rPr>
        <w:t xml:space="preserve"> </w:t>
      </w:r>
      <w:r w:rsidR="00BD50DF" w:rsidRPr="00040AA9">
        <w:rPr>
          <w:rFonts w:ascii="Arial" w:hAnsi="Arial" w:cs="Arial"/>
          <w:sz w:val="22"/>
          <w:szCs w:val="22"/>
        </w:rPr>
        <w:t xml:space="preserve">and borrower </w:t>
      </w:r>
      <w:r w:rsidR="008D1302" w:rsidRPr="00040AA9">
        <w:rPr>
          <w:rFonts w:ascii="Arial" w:hAnsi="Arial" w:cs="Arial"/>
          <w:sz w:val="22"/>
          <w:szCs w:val="22"/>
        </w:rPr>
        <w:t>endorsement of</w:t>
      </w:r>
      <w:r w:rsidR="005D60F7" w:rsidRPr="00040AA9">
        <w:rPr>
          <w:rFonts w:ascii="Arial" w:hAnsi="Arial" w:cs="Arial"/>
          <w:sz w:val="22"/>
          <w:szCs w:val="22"/>
        </w:rPr>
        <w:t>,</w:t>
      </w:r>
      <w:r w:rsidR="008D1302" w:rsidRPr="00040AA9">
        <w:rPr>
          <w:rFonts w:ascii="Arial" w:hAnsi="Arial" w:cs="Arial"/>
          <w:sz w:val="22"/>
          <w:szCs w:val="22"/>
        </w:rPr>
        <w:t xml:space="preserve"> critically needed fiscal reforms in Jamaica. </w:t>
      </w:r>
    </w:p>
    <w:p w14:paraId="24E20933" w14:textId="303FA9F5" w:rsidR="00FB5DBF" w:rsidRPr="00040AA9" w:rsidRDefault="00C331BD" w:rsidP="00040AA9">
      <w:pPr>
        <w:suppressAutoHyphens/>
        <w:spacing w:before="120" w:after="120"/>
        <w:jc w:val="both"/>
        <w:rPr>
          <w:rFonts w:ascii="Arial" w:hAnsi="Arial" w:cs="Arial"/>
          <w:sz w:val="22"/>
          <w:szCs w:val="22"/>
        </w:rPr>
      </w:pPr>
      <w:r w:rsidRPr="00040AA9">
        <w:rPr>
          <w:rFonts w:ascii="Arial" w:hAnsi="Arial" w:cs="Arial"/>
          <w:b/>
          <w:sz w:val="22"/>
          <w:szCs w:val="22"/>
        </w:rPr>
        <w:t>Collaboration with the IMF and parallel technical assistance</w:t>
      </w:r>
      <w:r w:rsidRPr="00040AA9">
        <w:rPr>
          <w:rFonts w:ascii="Arial" w:hAnsi="Arial" w:cs="Arial"/>
          <w:sz w:val="22"/>
          <w:szCs w:val="22"/>
        </w:rPr>
        <w:t xml:space="preserve">: </w:t>
      </w:r>
      <w:r w:rsidR="006D1A95" w:rsidRPr="00040AA9">
        <w:rPr>
          <w:rFonts w:ascii="Arial" w:hAnsi="Arial" w:cs="Arial"/>
          <w:sz w:val="22"/>
          <w:szCs w:val="22"/>
        </w:rPr>
        <w:t xml:space="preserve">During the 2010 to 2017 period the IMF undertook </w:t>
      </w:r>
      <w:r w:rsidR="003A1024" w:rsidRPr="00040AA9">
        <w:rPr>
          <w:rFonts w:ascii="Arial" w:hAnsi="Arial" w:cs="Arial"/>
          <w:sz w:val="22"/>
          <w:szCs w:val="22"/>
        </w:rPr>
        <w:t>two programs that were closely coordinated with and mutually complementary to the IDB’s FCP and FISPEG operations</w:t>
      </w:r>
      <w:r w:rsidR="00203B2E" w:rsidRPr="00040AA9">
        <w:rPr>
          <w:rFonts w:ascii="Arial" w:hAnsi="Arial" w:cs="Arial"/>
          <w:sz w:val="22"/>
          <w:szCs w:val="22"/>
        </w:rPr>
        <w:t xml:space="preserve">. </w:t>
      </w:r>
      <w:r w:rsidR="00B91608" w:rsidRPr="00040AA9">
        <w:rPr>
          <w:rFonts w:ascii="Arial" w:hAnsi="Arial" w:cs="Arial"/>
          <w:sz w:val="22"/>
          <w:szCs w:val="22"/>
        </w:rPr>
        <w:t xml:space="preserve">The Fund approved a </w:t>
      </w:r>
      <w:r w:rsidR="00A04AE6">
        <w:rPr>
          <w:rFonts w:ascii="Arial" w:hAnsi="Arial" w:cs="Arial"/>
          <w:sz w:val="22"/>
          <w:szCs w:val="22"/>
        </w:rPr>
        <w:t>S</w:t>
      </w:r>
      <w:r w:rsidR="00B91608" w:rsidRPr="00040AA9">
        <w:rPr>
          <w:rFonts w:ascii="Arial" w:hAnsi="Arial" w:cs="Arial"/>
          <w:sz w:val="22"/>
          <w:szCs w:val="22"/>
        </w:rPr>
        <w:t xml:space="preserve">BA in February 2010 </w:t>
      </w:r>
      <w:r w:rsidR="00196F9F" w:rsidRPr="00040AA9">
        <w:rPr>
          <w:rFonts w:ascii="Arial" w:hAnsi="Arial" w:cs="Arial"/>
          <w:sz w:val="22"/>
          <w:szCs w:val="22"/>
        </w:rPr>
        <w:t xml:space="preserve">which included tax revenue enhancing and expenditure containment measures, </w:t>
      </w:r>
      <w:r w:rsidR="00A50CE7" w:rsidRPr="00040AA9">
        <w:rPr>
          <w:rFonts w:ascii="Arial" w:hAnsi="Arial" w:cs="Arial"/>
          <w:sz w:val="22"/>
          <w:szCs w:val="22"/>
        </w:rPr>
        <w:t xml:space="preserve">structural reforms in the areas of fiscal responsibility legislation, a Central Treasury Management System, tax administration and the rationalization of public employment and public enterprises (known in Jamaica as </w:t>
      </w:r>
      <w:r w:rsidR="00800B2A">
        <w:rPr>
          <w:rFonts w:ascii="Arial" w:hAnsi="Arial" w:cs="Arial"/>
          <w:sz w:val="22"/>
          <w:szCs w:val="22"/>
        </w:rPr>
        <w:t>PBs</w:t>
      </w:r>
      <w:r w:rsidR="00A50CE7" w:rsidRPr="00040AA9">
        <w:rPr>
          <w:rFonts w:ascii="Arial" w:hAnsi="Arial" w:cs="Arial"/>
          <w:sz w:val="22"/>
          <w:szCs w:val="22"/>
        </w:rPr>
        <w:t>)</w:t>
      </w:r>
      <w:r w:rsidR="00BC4935" w:rsidRPr="00040AA9">
        <w:rPr>
          <w:rFonts w:ascii="Arial" w:hAnsi="Arial" w:cs="Arial"/>
          <w:sz w:val="22"/>
          <w:szCs w:val="22"/>
        </w:rPr>
        <w:t>.</w:t>
      </w:r>
      <w:r w:rsidR="00BC4935" w:rsidRPr="00040AA9">
        <w:rPr>
          <w:rStyle w:val="FootnoteReference"/>
          <w:rFonts w:ascii="Arial" w:hAnsi="Arial" w:cs="Arial"/>
          <w:sz w:val="22"/>
          <w:szCs w:val="22"/>
        </w:rPr>
        <w:footnoteReference w:id="5"/>
      </w:r>
      <w:r w:rsidR="00BC4935" w:rsidRPr="00040AA9">
        <w:rPr>
          <w:rFonts w:ascii="Arial" w:hAnsi="Arial" w:cs="Arial"/>
          <w:sz w:val="22"/>
          <w:szCs w:val="22"/>
        </w:rPr>
        <w:t xml:space="preserve"> </w:t>
      </w:r>
      <w:r w:rsidR="002A7FA3" w:rsidRPr="00040AA9">
        <w:rPr>
          <w:rFonts w:ascii="Arial" w:hAnsi="Arial" w:cs="Arial"/>
          <w:sz w:val="22"/>
          <w:szCs w:val="22"/>
        </w:rPr>
        <w:t>The Bank approved the</w:t>
      </w:r>
      <w:r w:rsidR="00BC4935" w:rsidRPr="00040AA9">
        <w:rPr>
          <w:rFonts w:ascii="Arial" w:hAnsi="Arial" w:cs="Arial"/>
          <w:sz w:val="22"/>
          <w:szCs w:val="22"/>
        </w:rPr>
        <w:t xml:space="preserve"> </w:t>
      </w:r>
      <w:r w:rsidR="002A7FA3" w:rsidRPr="00040AA9">
        <w:rPr>
          <w:rFonts w:ascii="Arial" w:hAnsi="Arial" w:cs="Arial"/>
          <w:sz w:val="22"/>
          <w:szCs w:val="22"/>
        </w:rPr>
        <w:t xml:space="preserve">first </w:t>
      </w:r>
      <w:r w:rsidR="00BC4935" w:rsidRPr="00040AA9">
        <w:rPr>
          <w:rFonts w:ascii="Arial" w:hAnsi="Arial" w:cs="Arial"/>
          <w:sz w:val="22"/>
          <w:szCs w:val="22"/>
        </w:rPr>
        <w:t>FCP</w:t>
      </w:r>
      <w:r w:rsidR="00C60E08" w:rsidRPr="00040AA9">
        <w:rPr>
          <w:rFonts w:ascii="Arial" w:hAnsi="Arial" w:cs="Arial"/>
          <w:sz w:val="22"/>
          <w:szCs w:val="22"/>
        </w:rPr>
        <w:t xml:space="preserve"> </w:t>
      </w:r>
      <w:r w:rsidR="002A7FA3" w:rsidRPr="00040AA9">
        <w:rPr>
          <w:rFonts w:ascii="Arial" w:hAnsi="Arial" w:cs="Arial"/>
          <w:sz w:val="22"/>
          <w:szCs w:val="22"/>
        </w:rPr>
        <w:t xml:space="preserve">operation </w:t>
      </w:r>
      <w:r w:rsidR="00C60E08" w:rsidRPr="00040AA9">
        <w:rPr>
          <w:rFonts w:ascii="Arial" w:hAnsi="Arial" w:cs="Arial"/>
          <w:sz w:val="22"/>
          <w:szCs w:val="22"/>
        </w:rPr>
        <w:t xml:space="preserve">in </w:t>
      </w:r>
      <w:r w:rsidR="00441686" w:rsidRPr="00040AA9">
        <w:rPr>
          <w:rFonts w:ascii="Arial" w:hAnsi="Arial" w:cs="Arial"/>
          <w:sz w:val="22"/>
          <w:szCs w:val="22"/>
        </w:rPr>
        <w:t>August 2010</w:t>
      </w:r>
      <w:r w:rsidR="002A7FA3" w:rsidRPr="00040AA9">
        <w:rPr>
          <w:rFonts w:ascii="Arial" w:hAnsi="Arial" w:cs="Arial"/>
          <w:sz w:val="22"/>
          <w:szCs w:val="22"/>
        </w:rPr>
        <w:t xml:space="preserve"> and as observed in the PCR for that program</w:t>
      </w:r>
      <w:r w:rsidR="00441686" w:rsidRPr="00040AA9">
        <w:rPr>
          <w:rFonts w:ascii="Arial" w:hAnsi="Arial" w:cs="Arial"/>
          <w:sz w:val="22"/>
          <w:szCs w:val="22"/>
        </w:rPr>
        <w:t>,</w:t>
      </w:r>
      <w:r w:rsidR="002A7FA3" w:rsidRPr="00040AA9">
        <w:rPr>
          <w:rFonts w:ascii="Arial" w:hAnsi="Arial" w:cs="Arial"/>
          <w:sz w:val="22"/>
          <w:szCs w:val="22"/>
        </w:rPr>
        <w:t xml:space="preserve"> “The conditionality of the first operation (JA-L1032) followed the collaboratively developed IMF &amp; IDB analysis very closely. It was prepared rapidly to respond to the immediate need for a large support program from a multilateral development bank that would complement the IMF Stand-By Arrangement</w:t>
      </w:r>
      <w:r w:rsidR="0091444E" w:rsidRPr="00040AA9">
        <w:rPr>
          <w:rFonts w:ascii="Arial" w:hAnsi="Arial" w:cs="Arial"/>
          <w:sz w:val="22"/>
          <w:szCs w:val="22"/>
        </w:rPr>
        <w:t>..</w:t>
      </w:r>
      <w:r w:rsidR="002A7FA3" w:rsidRPr="00040AA9">
        <w:rPr>
          <w:rFonts w:ascii="Arial" w:hAnsi="Arial" w:cs="Arial"/>
          <w:sz w:val="22"/>
          <w:szCs w:val="22"/>
        </w:rPr>
        <w:t>.</w:t>
      </w:r>
      <w:r w:rsidR="000E06BC" w:rsidRPr="00040AA9">
        <w:rPr>
          <w:rFonts w:ascii="Arial" w:hAnsi="Arial" w:cs="Arial"/>
          <w:sz w:val="22"/>
          <w:szCs w:val="22"/>
        </w:rPr>
        <w:t>”</w:t>
      </w:r>
      <w:r w:rsidR="000E06BC" w:rsidRPr="00040AA9">
        <w:rPr>
          <w:rStyle w:val="FootnoteReference"/>
          <w:rFonts w:ascii="Arial" w:hAnsi="Arial" w:cs="Arial"/>
          <w:sz w:val="22"/>
          <w:szCs w:val="22"/>
        </w:rPr>
        <w:footnoteReference w:id="6"/>
      </w:r>
    </w:p>
    <w:p w14:paraId="1CC36044" w14:textId="696B08AE" w:rsidR="006D1A95" w:rsidRPr="00040AA9" w:rsidRDefault="007B1005" w:rsidP="00040AA9">
      <w:pPr>
        <w:suppressAutoHyphens/>
        <w:spacing w:before="120" w:after="120"/>
        <w:jc w:val="both"/>
        <w:rPr>
          <w:rFonts w:ascii="Arial" w:hAnsi="Arial" w:cs="Arial"/>
          <w:sz w:val="22"/>
          <w:szCs w:val="22"/>
        </w:rPr>
      </w:pPr>
      <w:r w:rsidRPr="00040AA9">
        <w:rPr>
          <w:rFonts w:ascii="Arial" w:hAnsi="Arial" w:cs="Arial"/>
          <w:sz w:val="22"/>
          <w:szCs w:val="22"/>
        </w:rPr>
        <w:t xml:space="preserve">Aware of the need for greater analytical depth </w:t>
      </w:r>
      <w:r w:rsidR="00DD16F8" w:rsidRPr="00040AA9">
        <w:rPr>
          <w:rFonts w:ascii="Arial" w:hAnsi="Arial" w:cs="Arial"/>
          <w:sz w:val="22"/>
          <w:szCs w:val="22"/>
        </w:rPr>
        <w:t>the project team developed a large (US$900</w:t>
      </w:r>
      <w:r w:rsidR="00665D39" w:rsidRPr="00040AA9">
        <w:rPr>
          <w:rFonts w:ascii="Arial" w:hAnsi="Arial" w:cs="Arial"/>
          <w:sz w:val="22"/>
          <w:szCs w:val="22"/>
        </w:rPr>
        <w:t>,000</w:t>
      </w:r>
      <w:r w:rsidR="00DD16F8" w:rsidRPr="00040AA9">
        <w:rPr>
          <w:rFonts w:ascii="Arial" w:hAnsi="Arial" w:cs="Arial"/>
          <w:sz w:val="22"/>
          <w:szCs w:val="22"/>
        </w:rPr>
        <w:t xml:space="preserve">) parallel </w:t>
      </w:r>
      <w:r w:rsidR="008707D1">
        <w:rPr>
          <w:rFonts w:ascii="Arial" w:hAnsi="Arial" w:cs="Arial"/>
          <w:sz w:val="22"/>
          <w:szCs w:val="22"/>
        </w:rPr>
        <w:t>Operation Implementation Technical Cooperation (</w:t>
      </w:r>
      <w:r w:rsidR="008707D1" w:rsidRPr="00040AA9">
        <w:rPr>
          <w:rFonts w:ascii="Arial" w:hAnsi="Arial" w:cs="Arial"/>
          <w:sz w:val="22"/>
          <w:szCs w:val="22"/>
        </w:rPr>
        <w:t>OI</w:t>
      </w:r>
      <w:r w:rsidR="008707D1">
        <w:rPr>
          <w:rFonts w:ascii="Arial" w:hAnsi="Arial" w:cs="Arial"/>
          <w:sz w:val="22"/>
          <w:szCs w:val="22"/>
        </w:rPr>
        <w:t>/</w:t>
      </w:r>
      <w:r w:rsidR="008707D1" w:rsidRPr="00040AA9">
        <w:rPr>
          <w:rFonts w:ascii="Arial" w:hAnsi="Arial" w:cs="Arial"/>
          <w:sz w:val="22"/>
          <w:szCs w:val="22"/>
        </w:rPr>
        <w:t>TC</w:t>
      </w:r>
      <w:r w:rsidR="008707D1">
        <w:rPr>
          <w:rFonts w:ascii="Arial" w:hAnsi="Arial" w:cs="Arial"/>
          <w:sz w:val="22"/>
          <w:szCs w:val="22"/>
        </w:rPr>
        <w:t>)</w:t>
      </w:r>
      <w:r w:rsidR="008707D1" w:rsidRPr="00040AA9">
        <w:rPr>
          <w:rFonts w:ascii="Arial" w:hAnsi="Arial" w:cs="Arial"/>
          <w:sz w:val="22"/>
          <w:szCs w:val="22"/>
        </w:rPr>
        <w:t xml:space="preserve"> </w:t>
      </w:r>
      <w:r w:rsidR="00CA3EE8" w:rsidRPr="00040AA9">
        <w:rPr>
          <w:rFonts w:ascii="Arial" w:hAnsi="Arial" w:cs="Arial"/>
          <w:sz w:val="22"/>
          <w:szCs w:val="22"/>
        </w:rPr>
        <w:t>agreement (JA-T1066)</w:t>
      </w:r>
      <w:r w:rsidR="00DD16F8" w:rsidRPr="00040AA9">
        <w:rPr>
          <w:rFonts w:ascii="Arial" w:hAnsi="Arial" w:cs="Arial"/>
          <w:sz w:val="22"/>
          <w:szCs w:val="22"/>
        </w:rPr>
        <w:t xml:space="preserve"> </w:t>
      </w:r>
      <w:r w:rsidR="00C83B72" w:rsidRPr="00040AA9">
        <w:rPr>
          <w:rFonts w:ascii="Arial" w:hAnsi="Arial" w:cs="Arial"/>
          <w:sz w:val="22"/>
          <w:szCs w:val="22"/>
        </w:rPr>
        <w:t xml:space="preserve">which was approved </w:t>
      </w:r>
      <w:r w:rsidR="00BD3467" w:rsidRPr="00040AA9">
        <w:rPr>
          <w:rFonts w:ascii="Arial" w:hAnsi="Arial" w:cs="Arial"/>
          <w:sz w:val="22"/>
          <w:szCs w:val="22"/>
        </w:rPr>
        <w:t>b</w:t>
      </w:r>
      <w:r w:rsidR="00B65C13" w:rsidRPr="00040AA9">
        <w:rPr>
          <w:rFonts w:ascii="Arial" w:hAnsi="Arial" w:cs="Arial"/>
          <w:sz w:val="22"/>
          <w:szCs w:val="22"/>
        </w:rPr>
        <w:t>y the time the FCP II operation</w:t>
      </w:r>
      <w:r w:rsidR="00BD3467" w:rsidRPr="00040AA9">
        <w:rPr>
          <w:rFonts w:ascii="Arial" w:hAnsi="Arial" w:cs="Arial"/>
          <w:sz w:val="22"/>
          <w:szCs w:val="22"/>
        </w:rPr>
        <w:t xml:space="preserve"> </w:t>
      </w:r>
      <w:r w:rsidR="00B65C13" w:rsidRPr="00040AA9">
        <w:rPr>
          <w:rFonts w:ascii="Arial" w:hAnsi="Arial" w:cs="Arial"/>
          <w:sz w:val="22"/>
          <w:szCs w:val="22"/>
        </w:rPr>
        <w:t>was presented to the Board</w:t>
      </w:r>
      <w:r w:rsidR="00BD3467" w:rsidRPr="00040AA9">
        <w:rPr>
          <w:rFonts w:ascii="Arial" w:hAnsi="Arial" w:cs="Arial"/>
          <w:sz w:val="22"/>
          <w:szCs w:val="22"/>
        </w:rPr>
        <w:t xml:space="preserve"> in December 2010</w:t>
      </w:r>
      <w:r w:rsidR="00DD16F8" w:rsidRPr="00040AA9">
        <w:rPr>
          <w:rFonts w:ascii="Arial" w:hAnsi="Arial" w:cs="Arial"/>
          <w:sz w:val="22"/>
          <w:szCs w:val="22"/>
        </w:rPr>
        <w:t xml:space="preserve">. This OI </w:t>
      </w:r>
      <w:r w:rsidR="00BD3467" w:rsidRPr="00040AA9">
        <w:rPr>
          <w:rFonts w:ascii="Arial" w:hAnsi="Arial" w:cs="Arial"/>
          <w:sz w:val="22"/>
          <w:szCs w:val="22"/>
        </w:rPr>
        <w:t xml:space="preserve">provided </w:t>
      </w:r>
      <w:r w:rsidR="00B65C13" w:rsidRPr="00040AA9">
        <w:rPr>
          <w:rFonts w:ascii="Arial" w:hAnsi="Arial" w:cs="Arial"/>
          <w:sz w:val="22"/>
          <w:szCs w:val="22"/>
        </w:rPr>
        <w:t xml:space="preserve">support in </w:t>
      </w:r>
      <w:r w:rsidR="00BD3467" w:rsidRPr="00040AA9">
        <w:rPr>
          <w:rFonts w:ascii="Arial" w:hAnsi="Arial" w:cs="Arial"/>
          <w:sz w:val="22"/>
          <w:szCs w:val="22"/>
        </w:rPr>
        <w:t xml:space="preserve">the </w:t>
      </w:r>
      <w:r w:rsidR="00B65C13" w:rsidRPr="00040AA9">
        <w:rPr>
          <w:rFonts w:ascii="Arial" w:hAnsi="Arial" w:cs="Arial"/>
          <w:sz w:val="22"/>
          <w:szCs w:val="22"/>
        </w:rPr>
        <w:t>areas</w:t>
      </w:r>
      <w:r w:rsidR="008A2405">
        <w:rPr>
          <w:rFonts w:ascii="Arial" w:hAnsi="Arial" w:cs="Arial"/>
          <w:sz w:val="22"/>
          <w:szCs w:val="22"/>
        </w:rPr>
        <w:t>:</w:t>
      </w:r>
      <w:r w:rsidR="00BD3467" w:rsidRPr="00040AA9">
        <w:rPr>
          <w:rFonts w:ascii="Arial" w:hAnsi="Arial" w:cs="Arial"/>
          <w:sz w:val="22"/>
          <w:szCs w:val="22"/>
        </w:rPr>
        <w:t xml:space="preserve"> (</w:t>
      </w:r>
      <w:proofErr w:type="spellStart"/>
      <w:r w:rsidR="008A2405">
        <w:rPr>
          <w:rFonts w:ascii="Arial" w:hAnsi="Arial" w:cs="Arial"/>
          <w:sz w:val="22"/>
          <w:szCs w:val="22"/>
        </w:rPr>
        <w:t>i</w:t>
      </w:r>
      <w:proofErr w:type="spellEnd"/>
      <w:r w:rsidR="00E82776" w:rsidRPr="00040AA9">
        <w:rPr>
          <w:rFonts w:ascii="Arial" w:hAnsi="Arial" w:cs="Arial"/>
          <w:sz w:val="22"/>
          <w:szCs w:val="22"/>
        </w:rPr>
        <w:t>) tax policy design and modernization of the tax and customs administrations</w:t>
      </w:r>
      <w:r w:rsidR="008A2405">
        <w:rPr>
          <w:rFonts w:ascii="Arial" w:hAnsi="Arial" w:cs="Arial"/>
          <w:sz w:val="22"/>
          <w:szCs w:val="22"/>
        </w:rPr>
        <w:t>;</w:t>
      </w:r>
      <w:r w:rsidR="00E82776" w:rsidRPr="00040AA9">
        <w:rPr>
          <w:rFonts w:ascii="Arial" w:hAnsi="Arial" w:cs="Arial"/>
          <w:sz w:val="22"/>
          <w:szCs w:val="22"/>
        </w:rPr>
        <w:t xml:space="preserve"> (</w:t>
      </w:r>
      <w:r w:rsidR="008A2405">
        <w:rPr>
          <w:rFonts w:ascii="Arial" w:hAnsi="Arial" w:cs="Arial"/>
          <w:sz w:val="22"/>
          <w:szCs w:val="22"/>
        </w:rPr>
        <w:t>ii</w:t>
      </w:r>
      <w:r w:rsidR="008A2405" w:rsidRPr="009C40BB">
        <w:rPr>
          <w:rFonts w:ascii="Arial" w:hAnsi="Arial" w:cs="Arial"/>
          <w:sz w:val="22"/>
          <w:szCs w:val="22"/>
        </w:rPr>
        <w:t>) public</w:t>
      </w:r>
      <w:r w:rsidR="00E82776" w:rsidRPr="00040AA9">
        <w:rPr>
          <w:rFonts w:ascii="Arial" w:hAnsi="Arial" w:cs="Arial"/>
          <w:sz w:val="22"/>
          <w:szCs w:val="22"/>
        </w:rPr>
        <w:t xml:space="preserve"> debt sustainability and management</w:t>
      </w:r>
      <w:r w:rsidR="008A2405">
        <w:rPr>
          <w:rFonts w:ascii="Arial" w:hAnsi="Arial" w:cs="Arial"/>
          <w:sz w:val="22"/>
          <w:szCs w:val="22"/>
        </w:rPr>
        <w:t>;</w:t>
      </w:r>
      <w:r w:rsidR="00E82776" w:rsidRPr="00040AA9">
        <w:rPr>
          <w:rFonts w:ascii="Arial" w:hAnsi="Arial" w:cs="Arial"/>
          <w:sz w:val="22"/>
          <w:szCs w:val="22"/>
        </w:rPr>
        <w:t xml:space="preserve"> (</w:t>
      </w:r>
      <w:r w:rsidR="008A2405">
        <w:rPr>
          <w:rFonts w:ascii="Arial" w:hAnsi="Arial" w:cs="Arial"/>
          <w:sz w:val="22"/>
          <w:szCs w:val="22"/>
        </w:rPr>
        <w:t>iii</w:t>
      </w:r>
      <w:r w:rsidR="00E82776" w:rsidRPr="00040AA9">
        <w:rPr>
          <w:rFonts w:ascii="Arial" w:hAnsi="Arial" w:cs="Arial"/>
          <w:sz w:val="22"/>
          <w:szCs w:val="22"/>
        </w:rPr>
        <w:t>) central treasury management system</w:t>
      </w:r>
      <w:r w:rsidR="008A2405">
        <w:rPr>
          <w:rFonts w:ascii="Arial" w:hAnsi="Arial" w:cs="Arial"/>
          <w:sz w:val="22"/>
          <w:szCs w:val="22"/>
        </w:rPr>
        <w:t>;</w:t>
      </w:r>
      <w:r w:rsidR="00E82776" w:rsidRPr="00040AA9">
        <w:rPr>
          <w:rFonts w:ascii="Arial" w:hAnsi="Arial" w:cs="Arial"/>
          <w:sz w:val="22"/>
          <w:szCs w:val="22"/>
        </w:rPr>
        <w:t xml:space="preserve"> and</w:t>
      </w:r>
      <w:r w:rsidR="00371BFC" w:rsidRPr="00040AA9">
        <w:rPr>
          <w:rFonts w:ascii="Arial" w:hAnsi="Arial" w:cs="Arial"/>
          <w:sz w:val="22"/>
          <w:szCs w:val="22"/>
        </w:rPr>
        <w:t xml:space="preserve"> (</w:t>
      </w:r>
      <w:r w:rsidR="008A2405">
        <w:rPr>
          <w:rFonts w:ascii="Arial" w:hAnsi="Arial" w:cs="Arial"/>
          <w:sz w:val="22"/>
          <w:szCs w:val="22"/>
        </w:rPr>
        <w:t>iv</w:t>
      </w:r>
      <w:r w:rsidR="00371BFC" w:rsidRPr="00040AA9">
        <w:rPr>
          <w:rFonts w:ascii="Arial" w:hAnsi="Arial" w:cs="Arial"/>
          <w:sz w:val="22"/>
          <w:szCs w:val="22"/>
        </w:rPr>
        <w:t>) public relations campaign.</w:t>
      </w:r>
    </w:p>
    <w:p w14:paraId="3FC2157A" w14:textId="2BA916F2" w:rsidR="00371BFC" w:rsidRPr="00040AA9" w:rsidRDefault="00A04AE6" w:rsidP="00040AA9">
      <w:pPr>
        <w:pStyle w:val="p1"/>
        <w:suppressAutoHyphens/>
        <w:spacing w:before="120" w:after="120"/>
        <w:jc w:val="both"/>
        <w:rPr>
          <w:rFonts w:ascii="Arial" w:hAnsi="Arial" w:cs="Arial"/>
          <w:sz w:val="22"/>
          <w:szCs w:val="22"/>
        </w:rPr>
      </w:pPr>
      <w:r w:rsidRPr="009C40BB">
        <w:rPr>
          <w:rFonts w:ascii="Arial" w:hAnsi="Arial" w:cs="Arial"/>
          <w:sz w:val="22"/>
          <w:szCs w:val="22"/>
        </w:rPr>
        <w:t>After</w:t>
      </w:r>
      <w:r w:rsidR="00C83B72" w:rsidRPr="00040AA9">
        <w:rPr>
          <w:rFonts w:ascii="Arial" w:hAnsi="Arial" w:cs="Arial"/>
          <w:sz w:val="22"/>
          <w:szCs w:val="22"/>
        </w:rPr>
        <w:t xml:space="preserve"> disbursement of the FCP II operation </w:t>
      </w:r>
      <w:r w:rsidR="00DA66A7" w:rsidRPr="00040AA9">
        <w:rPr>
          <w:rFonts w:ascii="Arial" w:hAnsi="Arial" w:cs="Arial"/>
          <w:sz w:val="22"/>
          <w:szCs w:val="22"/>
        </w:rPr>
        <w:t xml:space="preserve">in </w:t>
      </w:r>
      <w:r w:rsidR="00815D1C" w:rsidRPr="00040AA9">
        <w:rPr>
          <w:rFonts w:ascii="Arial" w:hAnsi="Arial" w:cs="Arial"/>
          <w:sz w:val="22"/>
          <w:szCs w:val="22"/>
        </w:rPr>
        <w:t xml:space="preserve">December </w:t>
      </w:r>
      <w:r w:rsidR="00DA66A7" w:rsidRPr="00040AA9">
        <w:rPr>
          <w:rFonts w:ascii="Arial" w:hAnsi="Arial" w:cs="Arial"/>
          <w:sz w:val="22"/>
          <w:szCs w:val="22"/>
        </w:rPr>
        <w:t xml:space="preserve">2010 </w:t>
      </w:r>
      <w:r w:rsidR="008031CF" w:rsidRPr="00040AA9">
        <w:rPr>
          <w:rFonts w:ascii="Arial" w:hAnsi="Arial" w:cs="Arial"/>
          <w:sz w:val="22"/>
          <w:szCs w:val="22"/>
        </w:rPr>
        <w:t>the macro</w:t>
      </w:r>
      <w:r w:rsidR="003D23FE" w:rsidRPr="00040AA9">
        <w:rPr>
          <w:rFonts w:ascii="Arial" w:hAnsi="Arial" w:cs="Arial"/>
          <w:sz w:val="22"/>
          <w:szCs w:val="22"/>
        </w:rPr>
        <w:t>-fiscal</w:t>
      </w:r>
      <w:r w:rsidR="008031CF" w:rsidRPr="00040AA9">
        <w:rPr>
          <w:rFonts w:ascii="Arial" w:hAnsi="Arial" w:cs="Arial"/>
          <w:sz w:val="22"/>
          <w:szCs w:val="22"/>
        </w:rPr>
        <w:t xml:space="preserve"> situation deteriorated in Jamaica leading to the cessation of</w:t>
      </w:r>
      <w:r w:rsidR="00371BFC" w:rsidRPr="00040AA9">
        <w:rPr>
          <w:rFonts w:ascii="Arial" w:hAnsi="Arial" w:cs="Arial"/>
          <w:sz w:val="22"/>
          <w:szCs w:val="22"/>
        </w:rPr>
        <w:t xml:space="preserve"> both the IMF</w:t>
      </w:r>
      <w:r w:rsidR="008031CF" w:rsidRPr="00040AA9">
        <w:rPr>
          <w:rFonts w:ascii="Arial" w:hAnsi="Arial" w:cs="Arial"/>
          <w:sz w:val="22"/>
          <w:szCs w:val="22"/>
        </w:rPr>
        <w:t>’s SBA and the Bank’s FCP operations</w:t>
      </w:r>
      <w:r w:rsidR="00DA66A7" w:rsidRPr="00040AA9">
        <w:rPr>
          <w:rFonts w:ascii="Arial" w:hAnsi="Arial" w:cs="Arial"/>
          <w:sz w:val="22"/>
          <w:szCs w:val="22"/>
        </w:rPr>
        <w:t xml:space="preserve"> in late 2011</w:t>
      </w:r>
      <w:r w:rsidR="00C70C85" w:rsidRPr="00040AA9">
        <w:rPr>
          <w:rFonts w:ascii="Arial" w:hAnsi="Arial" w:cs="Arial"/>
          <w:sz w:val="22"/>
          <w:szCs w:val="22"/>
        </w:rPr>
        <w:t xml:space="preserve"> / early 2012</w:t>
      </w:r>
      <w:r w:rsidR="00C63E05" w:rsidRPr="00040AA9">
        <w:rPr>
          <w:rFonts w:ascii="Arial" w:hAnsi="Arial" w:cs="Arial"/>
          <w:sz w:val="22"/>
          <w:szCs w:val="22"/>
        </w:rPr>
        <w:t>,</w:t>
      </w:r>
      <w:r w:rsidR="00815D1C" w:rsidRPr="00040AA9">
        <w:rPr>
          <w:rFonts w:ascii="Arial" w:hAnsi="Arial" w:cs="Arial"/>
          <w:sz w:val="22"/>
          <w:szCs w:val="22"/>
        </w:rPr>
        <w:t xml:space="preserve"> as discussed at length in the PCR for the FCP.</w:t>
      </w:r>
      <w:r w:rsidR="00D62F2A" w:rsidRPr="00040AA9">
        <w:rPr>
          <w:rStyle w:val="FootnoteReference"/>
          <w:rFonts w:ascii="Arial" w:hAnsi="Arial" w:cs="Arial"/>
          <w:sz w:val="22"/>
          <w:szCs w:val="22"/>
        </w:rPr>
        <w:footnoteReference w:id="7"/>
      </w:r>
      <w:r w:rsidR="00815D1C" w:rsidRPr="00040AA9">
        <w:rPr>
          <w:rFonts w:ascii="Arial" w:hAnsi="Arial" w:cs="Arial"/>
          <w:sz w:val="22"/>
          <w:szCs w:val="22"/>
        </w:rPr>
        <w:t xml:space="preserve"> </w:t>
      </w:r>
      <w:r w:rsidR="008031CF" w:rsidRPr="00040AA9">
        <w:rPr>
          <w:rFonts w:ascii="Arial" w:hAnsi="Arial" w:cs="Arial"/>
          <w:sz w:val="22"/>
          <w:szCs w:val="22"/>
        </w:rPr>
        <w:t>However the technical assistance funded by the OI</w:t>
      </w:r>
      <w:r w:rsidR="009861AD" w:rsidRPr="00040AA9">
        <w:rPr>
          <w:rFonts w:ascii="Arial" w:hAnsi="Arial" w:cs="Arial"/>
          <w:sz w:val="22"/>
          <w:szCs w:val="22"/>
        </w:rPr>
        <w:t>/</w:t>
      </w:r>
      <w:r w:rsidR="008031CF" w:rsidRPr="00040AA9">
        <w:rPr>
          <w:rFonts w:ascii="Arial" w:hAnsi="Arial" w:cs="Arial"/>
          <w:sz w:val="22"/>
          <w:szCs w:val="22"/>
        </w:rPr>
        <w:t xml:space="preserve">TC </w:t>
      </w:r>
      <w:r w:rsidR="00815D1C" w:rsidRPr="00040AA9">
        <w:rPr>
          <w:rFonts w:ascii="Arial" w:hAnsi="Arial" w:cs="Arial"/>
          <w:sz w:val="22"/>
          <w:szCs w:val="22"/>
        </w:rPr>
        <w:t>continued</w:t>
      </w:r>
      <w:r w:rsidR="00FF40D4" w:rsidRPr="00040AA9">
        <w:rPr>
          <w:rFonts w:ascii="Arial" w:hAnsi="Arial" w:cs="Arial"/>
          <w:sz w:val="22"/>
          <w:szCs w:val="22"/>
        </w:rPr>
        <w:t xml:space="preserve">. </w:t>
      </w:r>
      <w:r w:rsidR="00A0577D" w:rsidRPr="00040AA9">
        <w:rPr>
          <w:rFonts w:ascii="Arial" w:hAnsi="Arial" w:cs="Arial"/>
          <w:sz w:val="22"/>
          <w:szCs w:val="22"/>
        </w:rPr>
        <w:t xml:space="preserve">It also </w:t>
      </w:r>
      <w:r w:rsidR="00C413D3" w:rsidRPr="00040AA9">
        <w:rPr>
          <w:rFonts w:ascii="Arial" w:hAnsi="Arial" w:cs="Arial"/>
          <w:sz w:val="22"/>
          <w:szCs w:val="22"/>
        </w:rPr>
        <w:t xml:space="preserve">contributed significantly to preparing the technical groundwork for the design and detailed elaboration of the FISPEG </w:t>
      </w:r>
      <w:r w:rsidR="00D511E0" w:rsidRPr="00040AA9">
        <w:rPr>
          <w:rFonts w:ascii="Arial" w:hAnsi="Arial" w:cs="Arial"/>
          <w:sz w:val="22"/>
          <w:szCs w:val="22"/>
        </w:rPr>
        <w:t xml:space="preserve">operation. </w:t>
      </w:r>
      <w:r w:rsidR="00A0577D" w:rsidRPr="00040AA9">
        <w:rPr>
          <w:rFonts w:ascii="Arial" w:hAnsi="Arial" w:cs="Arial"/>
          <w:sz w:val="22"/>
          <w:szCs w:val="22"/>
        </w:rPr>
        <w:t xml:space="preserve">Further </w:t>
      </w:r>
      <w:r w:rsidR="00D511E0" w:rsidRPr="00040AA9">
        <w:rPr>
          <w:rFonts w:ascii="Arial" w:hAnsi="Arial" w:cs="Arial"/>
          <w:sz w:val="22"/>
          <w:szCs w:val="22"/>
        </w:rPr>
        <w:t>contributing to the Bank’</w:t>
      </w:r>
      <w:r w:rsidR="000B786D" w:rsidRPr="00040AA9">
        <w:rPr>
          <w:rFonts w:ascii="Arial" w:hAnsi="Arial" w:cs="Arial"/>
          <w:sz w:val="22"/>
          <w:szCs w:val="22"/>
        </w:rPr>
        <w:t>s greater understanding</w:t>
      </w:r>
      <w:r w:rsidR="00BB4E2A" w:rsidRPr="00040AA9">
        <w:rPr>
          <w:rFonts w:ascii="Arial" w:hAnsi="Arial" w:cs="Arial"/>
          <w:sz w:val="22"/>
          <w:szCs w:val="22"/>
        </w:rPr>
        <w:t xml:space="preserve"> of</w:t>
      </w:r>
      <w:r w:rsidR="00D511E0" w:rsidRPr="00040AA9">
        <w:rPr>
          <w:rFonts w:ascii="Arial" w:hAnsi="Arial" w:cs="Arial"/>
          <w:sz w:val="22"/>
          <w:szCs w:val="22"/>
        </w:rPr>
        <w:t xml:space="preserve"> tax policy and administration </w:t>
      </w:r>
      <w:r w:rsidR="00BB4E2A" w:rsidRPr="00040AA9">
        <w:rPr>
          <w:rFonts w:ascii="Arial" w:hAnsi="Arial" w:cs="Arial"/>
          <w:sz w:val="22"/>
          <w:szCs w:val="22"/>
        </w:rPr>
        <w:t>deficiencies in Jamaica during this “interregnum” between the two PBLs was</w:t>
      </w:r>
      <w:r w:rsidR="008E3BC1" w:rsidRPr="00040AA9">
        <w:rPr>
          <w:rFonts w:ascii="Arial" w:hAnsi="Arial" w:cs="Arial"/>
          <w:sz w:val="22"/>
          <w:szCs w:val="22"/>
        </w:rPr>
        <w:t xml:space="preserve"> the</w:t>
      </w:r>
      <w:r w:rsidR="00BB4E2A" w:rsidRPr="00040AA9">
        <w:rPr>
          <w:rFonts w:ascii="Arial" w:hAnsi="Arial" w:cs="Arial"/>
          <w:sz w:val="22"/>
          <w:szCs w:val="22"/>
        </w:rPr>
        <w:t xml:space="preserve"> </w:t>
      </w:r>
      <w:r w:rsidR="006C1DA3" w:rsidRPr="00040AA9">
        <w:rPr>
          <w:rFonts w:ascii="Arial" w:hAnsi="Arial" w:cs="Arial"/>
          <w:sz w:val="22"/>
          <w:szCs w:val="22"/>
        </w:rPr>
        <w:t xml:space="preserve">preparation and </w:t>
      </w:r>
      <w:r w:rsidR="00BB4E2A" w:rsidRPr="00040AA9">
        <w:rPr>
          <w:rFonts w:ascii="Arial" w:hAnsi="Arial" w:cs="Arial"/>
          <w:sz w:val="22"/>
          <w:szCs w:val="22"/>
        </w:rPr>
        <w:t>approval</w:t>
      </w:r>
      <w:r w:rsidR="000B786D" w:rsidRPr="00040AA9">
        <w:rPr>
          <w:rFonts w:ascii="Arial" w:hAnsi="Arial" w:cs="Arial"/>
          <w:sz w:val="22"/>
          <w:szCs w:val="22"/>
        </w:rPr>
        <w:t xml:space="preserve"> in November 2011</w:t>
      </w:r>
      <w:r w:rsidR="00BB4E2A" w:rsidRPr="00040AA9">
        <w:rPr>
          <w:rFonts w:ascii="Arial" w:hAnsi="Arial" w:cs="Arial"/>
          <w:sz w:val="22"/>
          <w:szCs w:val="22"/>
        </w:rPr>
        <w:t xml:space="preserve"> of </w:t>
      </w:r>
      <w:r w:rsidR="008E3BC1" w:rsidRPr="00040AA9">
        <w:rPr>
          <w:rFonts w:ascii="Arial" w:hAnsi="Arial" w:cs="Arial"/>
          <w:sz w:val="22"/>
          <w:szCs w:val="22"/>
        </w:rPr>
        <w:t xml:space="preserve">the </w:t>
      </w:r>
      <w:r w:rsidR="008707D1" w:rsidRPr="00040AA9">
        <w:rPr>
          <w:rFonts w:ascii="Arial" w:eastAsia="Times New Roman" w:hAnsi="Arial" w:cs="Arial"/>
          <w:color w:val="000000"/>
          <w:sz w:val="22"/>
          <w:szCs w:val="22"/>
        </w:rPr>
        <w:t>Fiscal Administration Modernization Program</w:t>
      </w:r>
      <w:r w:rsidR="008707D1" w:rsidRPr="00040AA9">
        <w:rPr>
          <w:rFonts w:ascii="Arial" w:hAnsi="Arial" w:cs="Arial"/>
          <w:sz w:val="22"/>
          <w:szCs w:val="22"/>
        </w:rPr>
        <w:t xml:space="preserve"> </w:t>
      </w:r>
      <w:r w:rsidR="008707D1">
        <w:rPr>
          <w:rFonts w:ascii="Arial" w:hAnsi="Arial" w:cs="Arial"/>
          <w:sz w:val="22"/>
          <w:szCs w:val="22"/>
        </w:rPr>
        <w:t>(</w:t>
      </w:r>
      <w:r w:rsidR="000B786D" w:rsidRPr="00040AA9">
        <w:rPr>
          <w:rFonts w:ascii="Arial" w:hAnsi="Arial" w:cs="Arial"/>
          <w:sz w:val="22"/>
          <w:szCs w:val="22"/>
        </w:rPr>
        <w:t>F</w:t>
      </w:r>
      <w:r>
        <w:rPr>
          <w:rFonts w:ascii="Arial" w:hAnsi="Arial" w:cs="Arial"/>
          <w:sz w:val="22"/>
          <w:szCs w:val="22"/>
        </w:rPr>
        <w:t>AMP</w:t>
      </w:r>
      <w:r w:rsidR="008707D1">
        <w:rPr>
          <w:rFonts w:ascii="Arial" w:hAnsi="Arial" w:cs="Arial"/>
          <w:sz w:val="22"/>
          <w:szCs w:val="22"/>
        </w:rPr>
        <w:t>)</w:t>
      </w:r>
      <w:r w:rsidR="008E3BC1" w:rsidRPr="00040AA9">
        <w:rPr>
          <w:rFonts w:ascii="Arial" w:hAnsi="Arial" w:cs="Arial"/>
          <w:sz w:val="22"/>
          <w:szCs w:val="22"/>
        </w:rPr>
        <w:t>, funded by a large scale (US$</w:t>
      </w:r>
      <w:r w:rsidR="00815D1C" w:rsidRPr="00040AA9">
        <w:rPr>
          <w:rFonts w:ascii="Arial" w:hAnsi="Arial" w:cs="Arial"/>
          <w:sz w:val="22"/>
          <w:szCs w:val="22"/>
        </w:rPr>
        <w:t>65</w:t>
      </w:r>
      <w:r w:rsidR="00A0577D" w:rsidRPr="00040AA9">
        <w:rPr>
          <w:rFonts w:ascii="Arial" w:hAnsi="Arial" w:cs="Arial"/>
          <w:sz w:val="22"/>
          <w:szCs w:val="22"/>
        </w:rPr>
        <w:t xml:space="preserve"> </w:t>
      </w:r>
      <w:r w:rsidR="00E814BE" w:rsidRPr="00040AA9">
        <w:rPr>
          <w:rFonts w:ascii="Arial" w:hAnsi="Arial" w:cs="Arial"/>
          <w:sz w:val="22"/>
          <w:szCs w:val="22"/>
        </w:rPr>
        <w:t>m</w:t>
      </w:r>
      <w:r w:rsidR="00A0577D" w:rsidRPr="00040AA9">
        <w:rPr>
          <w:rFonts w:ascii="Arial" w:hAnsi="Arial" w:cs="Arial"/>
          <w:sz w:val="22"/>
          <w:szCs w:val="22"/>
        </w:rPr>
        <w:t>illion</w:t>
      </w:r>
      <w:r w:rsidR="00813501">
        <w:rPr>
          <w:rStyle w:val="FootnoteReference"/>
          <w:rFonts w:ascii="Arial" w:hAnsi="Arial" w:cs="Arial"/>
          <w:sz w:val="22"/>
          <w:szCs w:val="22"/>
        </w:rPr>
        <w:footnoteReference w:id="8"/>
      </w:r>
      <w:r w:rsidR="00E814BE" w:rsidRPr="00040AA9">
        <w:rPr>
          <w:rFonts w:ascii="Arial" w:hAnsi="Arial" w:cs="Arial"/>
          <w:sz w:val="22"/>
          <w:szCs w:val="22"/>
        </w:rPr>
        <w:t xml:space="preserve">) </w:t>
      </w:r>
      <w:r>
        <w:rPr>
          <w:rFonts w:ascii="Arial" w:hAnsi="Arial" w:cs="Arial"/>
          <w:sz w:val="22"/>
          <w:szCs w:val="22"/>
        </w:rPr>
        <w:t>i</w:t>
      </w:r>
      <w:r w:rsidR="00E814BE" w:rsidRPr="00040AA9">
        <w:rPr>
          <w:rFonts w:ascii="Arial" w:hAnsi="Arial" w:cs="Arial"/>
          <w:sz w:val="22"/>
          <w:szCs w:val="22"/>
        </w:rPr>
        <w:t xml:space="preserve">nvestment </w:t>
      </w:r>
      <w:r>
        <w:rPr>
          <w:rFonts w:ascii="Arial" w:hAnsi="Arial" w:cs="Arial"/>
          <w:sz w:val="22"/>
          <w:szCs w:val="22"/>
        </w:rPr>
        <w:t>l</w:t>
      </w:r>
      <w:r w:rsidR="00E814BE" w:rsidRPr="00040AA9">
        <w:rPr>
          <w:rFonts w:ascii="Arial" w:hAnsi="Arial" w:cs="Arial"/>
          <w:sz w:val="22"/>
          <w:szCs w:val="22"/>
        </w:rPr>
        <w:t xml:space="preserve">oan </w:t>
      </w:r>
      <w:r w:rsidR="008A3AAF" w:rsidRPr="00040AA9">
        <w:rPr>
          <w:rFonts w:ascii="Arial" w:hAnsi="Arial" w:cs="Arial"/>
          <w:sz w:val="22"/>
          <w:szCs w:val="22"/>
        </w:rPr>
        <w:t>which provided support for</w:t>
      </w:r>
      <w:r>
        <w:rPr>
          <w:rFonts w:ascii="Arial" w:hAnsi="Arial" w:cs="Arial"/>
          <w:sz w:val="22"/>
          <w:szCs w:val="22"/>
        </w:rPr>
        <w:t>:</w:t>
      </w:r>
      <w:r w:rsidR="008A3AAF" w:rsidRPr="00040AA9">
        <w:rPr>
          <w:rFonts w:ascii="Arial" w:hAnsi="Arial" w:cs="Arial"/>
          <w:sz w:val="22"/>
          <w:szCs w:val="22"/>
        </w:rPr>
        <w:t xml:space="preserve"> (</w:t>
      </w:r>
      <w:proofErr w:type="spellStart"/>
      <w:r w:rsidR="008A3AAF" w:rsidRPr="00040AA9">
        <w:rPr>
          <w:rFonts w:ascii="Arial" w:hAnsi="Arial" w:cs="Arial"/>
          <w:sz w:val="22"/>
          <w:szCs w:val="22"/>
        </w:rPr>
        <w:t>i</w:t>
      </w:r>
      <w:proofErr w:type="spellEnd"/>
      <w:r w:rsidR="008A3AAF" w:rsidRPr="00040AA9">
        <w:rPr>
          <w:rFonts w:ascii="Arial" w:hAnsi="Arial" w:cs="Arial"/>
          <w:sz w:val="22"/>
          <w:szCs w:val="22"/>
        </w:rPr>
        <w:t>)</w:t>
      </w:r>
      <w:r w:rsidR="008A2405">
        <w:rPr>
          <w:rFonts w:ascii="Arial" w:hAnsi="Arial" w:cs="Arial"/>
          <w:sz w:val="22"/>
          <w:szCs w:val="22"/>
        </w:rPr>
        <w:t> </w:t>
      </w:r>
      <w:r w:rsidR="008A3AAF" w:rsidRPr="00040AA9">
        <w:rPr>
          <w:rFonts w:ascii="Arial" w:hAnsi="Arial" w:cs="Arial"/>
          <w:sz w:val="22"/>
          <w:szCs w:val="22"/>
        </w:rPr>
        <w:t>modernization of the tax administration; (ii) modernization of customs operations; (iii)</w:t>
      </w:r>
      <w:r>
        <w:rPr>
          <w:rFonts w:ascii="Arial" w:hAnsi="Arial" w:cs="Arial"/>
          <w:sz w:val="22"/>
          <w:szCs w:val="22"/>
        </w:rPr>
        <w:t xml:space="preserve"> </w:t>
      </w:r>
      <w:r w:rsidR="008A3AAF" w:rsidRPr="00040AA9">
        <w:rPr>
          <w:rFonts w:ascii="Arial" w:hAnsi="Arial" w:cs="Arial"/>
          <w:sz w:val="22"/>
          <w:szCs w:val="22"/>
        </w:rPr>
        <w:t>strengthening the debt management system; and (iv) strengthening the central treasury management system.</w:t>
      </w:r>
      <w:r w:rsidR="008E3BC1" w:rsidRPr="00040AA9">
        <w:rPr>
          <w:rFonts w:ascii="Arial" w:hAnsi="Arial" w:cs="Arial"/>
          <w:sz w:val="22"/>
          <w:szCs w:val="22"/>
        </w:rPr>
        <w:t xml:space="preserve"> Although conditions prior to first disbursement were not fully met until </w:t>
      </w:r>
      <w:r w:rsidR="004C13C2" w:rsidRPr="00040AA9">
        <w:rPr>
          <w:rFonts w:ascii="Arial" w:hAnsi="Arial" w:cs="Arial"/>
          <w:sz w:val="22"/>
          <w:szCs w:val="22"/>
        </w:rPr>
        <w:t>late in 2012</w:t>
      </w:r>
      <w:r w:rsidR="00815D1C" w:rsidRPr="00040AA9">
        <w:rPr>
          <w:rFonts w:ascii="Arial" w:hAnsi="Arial" w:cs="Arial"/>
          <w:sz w:val="22"/>
          <w:szCs w:val="22"/>
        </w:rPr>
        <w:t>, the</w:t>
      </w:r>
      <w:r w:rsidR="004C13C2" w:rsidRPr="00040AA9">
        <w:rPr>
          <w:rFonts w:ascii="Arial" w:hAnsi="Arial" w:cs="Arial"/>
          <w:sz w:val="22"/>
          <w:szCs w:val="22"/>
        </w:rPr>
        <w:t xml:space="preserve"> FAMP has not only provided invaluable stand-alone support for reforms at the two major revenue collection agencies but </w:t>
      </w:r>
      <w:r w:rsidR="002263DA" w:rsidRPr="00040AA9">
        <w:rPr>
          <w:rFonts w:ascii="Arial" w:hAnsi="Arial" w:cs="Arial"/>
          <w:sz w:val="22"/>
          <w:szCs w:val="22"/>
        </w:rPr>
        <w:t xml:space="preserve">has </w:t>
      </w:r>
      <w:r w:rsidR="004C13C2" w:rsidRPr="00040AA9">
        <w:rPr>
          <w:rFonts w:ascii="Arial" w:hAnsi="Arial" w:cs="Arial"/>
          <w:sz w:val="22"/>
          <w:szCs w:val="22"/>
        </w:rPr>
        <w:t xml:space="preserve">also informed the design and </w:t>
      </w:r>
      <w:r w:rsidR="002263DA" w:rsidRPr="00040AA9">
        <w:rPr>
          <w:rFonts w:ascii="Arial" w:hAnsi="Arial" w:cs="Arial"/>
          <w:sz w:val="22"/>
          <w:szCs w:val="22"/>
        </w:rPr>
        <w:t>implementation of FISPEG.</w:t>
      </w:r>
    </w:p>
    <w:p w14:paraId="736BAF00" w14:textId="0DC9B018" w:rsidR="00EA6E79" w:rsidRPr="00040AA9" w:rsidRDefault="00D86B20" w:rsidP="00040AA9">
      <w:pPr>
        <w:pStyle w:val="p1"/>
        <w:suppressAutoHyphens/>
        <w:spacing w:before="120" w:after="120"/>
        <w:jc w:val="both"/>
        <w:rPr>
          <w:rFonts w:ascii="Arial" w:hAnsi="Arial" w:cs="Arial"/>
          <w:sz w:val="22"/>
          <w:szCs w:val="22"/>
        </w:rPr>
      </w:pPr>
      <w:r w:rsidRPr="00040AA9">
        <w:rPr>
          <w:rFonts w:ascii="Arial" w:hAnsi="Arial" w:cs="Arial"/>
          <w:sz w:val="22"/>
          <w:szCs w:val="22"/>
        </w:rPr>
        <w:t xml:space="preserve">The Bank and the IMF again collaborated on the </w:t>
      </w:r>
      <w:r w:rsidR="007F7E0F" w:rsidRPr="00040AA9">
        <w:rPr>
          <w:rFonts w:ascii="Arial" w:hAnsi="Arial" w:cs="Arial"/>
          <w:sz w:val="22"/>
          <w:szCs w:val="22"/>
        </w:rPr>
        <w:t xml:space="preserve">preparation of their respective follow-on operations in </w:t>
      </w:r>
      <w:r w:rsidR="008210B5" w:rsidRPr="00040AA9">
        <w:rPr>
          <w:rFonts w:ascii="Arial" w:hAnsi="Arial" w:cs="Arial"/>
          <w:sz w:val="22"/>
          <w:szCs w:val="22"/>
        </w:rPr>
        <w:t>2013. T</w:t>
      </w:r>
      <w:r w:rsidR="0025717F" w:rsidRPr="00040AA9">
        <w:rPr>
          <w:rFonts w:ascii="Arial" w:hAnsi="Arial" w:cs="Arial"/>
          <w:sz w:val="22"/>
          <w:szCs w:val="22"/>
        </w:rPr>
        <w:t>he Fund approved an Extended Arrangement und</w:t>
      </w:r>
      <w:r w:rsidR="006F3D92" w:rsidRPr="00040AA9">
        <w:rPr>
          <w:rFonts w:ascii="Arial" w:hAnsi="Arial" w:cs="Arial"/>
          <w:sz w:val="22"/>
          <w:szCs w:val="22"/>
        </w:rPr>
        <w:t xml:space="preserve">er the </w:t>
      </w:r>
      <w:r w:rsidR="00A04AE6">
        <w:rPr>
          <w:rFonts w:ascii="Arial" w:hAnsi="Arial" w:cs="Arial"/>
          <w:sz w:val="22"/>
          <w:szCs w:val="22"/>
        </w:rPr>
        <w:t xml:space="preserve">EFF </w:t>
      </w:r>
      <w:r w:rsidR="0025717F" w:rsidRPr="00040AA9">
        <w:rPr>
          <w:rFonts w:ascii="Arial" w:hAnsi="Arial" w:cs="Arial"/>
          <w:sz w:val="22"/>
          <w:szCs w:val="22"/>
        </w:rPr>
        <w:t>in May 2013 in which they noted “To guide the reform process, an action plan has been prepared in consultation with Inter-American Development Bank (IDB) and Fund staff</w:t>
      </w:r>
      <w:r w:rsidR="00E96DC2" w:rsidRPr="00040AA9">
        <w:rPr>
          <w:rFonts w:ascii="Arial" w:hAnsi="Arial" w:cs="Arial"/>
          <w:sz w:val="22"/>
          <w:szCs w:val="22"/>
        </w:rPr>
        <w:t>”.</w:t>
      </w:r>
      <w:r w:rsidR="00E96DC2" w:rsidRPr="00040AA9">
        <w:rPr>
          <w:rStyle w:val="FootnoteReference"/>
          <w:rFonts w:ascii="Arial" w:hAnsi="Arial" w:cs="Arial"/>
          <w:sz w:val="22"/>
          <w:szCs w:val="22"/>
        </w:rPr>
        <w:footnoteReference w:id="9"/>
      </w:r>
      <w:r w:rsidR="00E96DC2" w:rsidRPr="00040AA9">
        <w:rPr>
          <w:rFonts w:ascii="Arial" w:hAnsi="Arial" w:cs="Arial"/>
          <w:sz w:val="22"/>
          <w:szCs w:val="22"/>
        </w:rPr>
        <w:t xml:space="preserve"> Consistent with this action plan the Bank </w:t>
      </w:r>
      <w:r w:rsidR="0032347A" w:rsidRPr="00040AA9">
        <w:rPr>
          <w:rFonts w:ascii="Arial" w:hAnsi="Arial" w:cs="Arial"/>
          <w:sz w:val="22"/>
          <w:szCs w:val="22"/>
        </w:rPr>
        <w:t xml:space="preserve">approved the first of the FISPEG operation in January 2014. </w:t>
      </w:r>
      <w:r w:rsidR="00031DF2" w:rsidRPr="00040AA9">
        <w:rPr>
          <w:rFonts w:ascii="Arial" w:hAnsi="Arial" w:cs="Arial"/>
          <w:sz w:val="22"/>
          <w:szCs w:val="22"/>
        </w:rPr>
        <w:t xml:space="preserve">As a </w:t>
      </w:r>
      <w:r w:rsidR="008A2405" w:rsidRPr="009C40BB">
        <w:rPr>
          <w:rFonts w:ascii="Arial" w:hAnsi="Arial" w:cs="Arial"/>
          <w:sz w:val="22"/>
          <w:szCs w:val="22"/>
        </w:rPr>
        <w:t>result,</w:t>
      </w:r>
      <w:r w:rsidR="00031DF2" w:rsidRPr="00040AA9">
        <w:rPr>
          <w:rFonts w:ascii="Arial" w:hAnsi="Arial" w:cs="Arial"/>
          <w:sz w:val="22"/>
          <w:szCs w:val="22"/>
        </w:rPr>
        <w:t xml:space="preserve"> the EFF and FISPEG operations shared several mutually reinforcing components</w:t>
      </w:r>
      <w:r w:rsidR="008B43B8" w:rsidRPr="00040AA9">
        <w:rPr>
          <w:rFonts w:ascii="Arial" w:hAnsi="Arial" w:cs="Arial"/>
          <w:sz w:val="22"/>
          <w:szCs w:val="22"/>
        </w:rPr>
        <w:t xml:space="preserve">, as is evident in a comparison of the </w:t>
      </w:r>
      <w:r w:rsidR="0032347A" w:rsidRPr="00040AA9">
        <w:rPr>
          <w:rFonts w:ascii="Arial" w:hAnsi="Arial" w:cs="Arial"/>
          <w:sz w:val="22"/>
          <w:szCs w:val="22"/>
        </w:rPr>
        <w:t xml:space="preserve">FISPEG </w:t>
      </w:r>
      <w:r w:rsidR="00EB772D" w:rsidRPr="00040AA9">
        <w:rPr>
          <w:rFonts w:ascii="Arial" w:hAnsi="Arial" w:cs="Arial"/>
          <w:sz w:val="22"/>
          <w:szCs w:val="22"/>
        </w:rPr>
        <w:t xml:space="preserve">policy matrix and the </w:t>
      </w:r>
      <w:r w:rsidR="0032347A" w:rsidRPr="00040AA9">
        <w:rPr>
          <w:rFonts w:ascii="Arial" w:hAnsi="Arial" w:cs="Arial"/>
          <w:sz w:val="22"/>
          <w:szCs w:val="22"/>
        </w:rPr>
        <w:t xml:space="preserve">and EFF </w:t>
      </w:r>
      <w:r w:rsidR="00EB772D" w:rsidRPr="00040AA9">
        <w:rPr>
          <w:rFonts w:ascii="Arial" w:hAnsi="Arial" w:cs="Arial"/>
          <w:sz w:val="22"/>
          <w:szCs w:val="22"/>
        </w:rPr>
        <w:t>“</w:t>
      </w:r>
      <w:r w:rsidR="00031DF2" w:rsidRPr="00040AA9">
        <w:rPr>
          <w:rFonts w:ascii="Arial" w:hAnsi="Arial" w:cs="Arial"/>
          <w:sz w:val="22"/>
          <w:szCs w:val="22"/>
        </w:rPr>
        <w:t>structural program conditions and benchmarks”</w:t>
      </w:r>
      <w:r w:rsidR="008B43B8" w:rsidRPr="00040AA9">
        <w:rPr>
          <w:rFonts w:ascii="Arial" w:hAnsi="Arial" w:cs="Arial"/>
          <w:sz w:val="22"/>
          <w:szCs w:val="22"/>
        </w:rPr>
        <w:t xml:space="preserve">. </w:t>
      </w:r>
      <w:r w:rsidR="00764899" w:rsidRPr="00040AA9">
        <w:rPr>
          <w:rFonts w:ascii="Arial" w:hAnsi="Arial" w:cs="Arial"/>
          <w:sz w:val="22"/>
          <w:szCs w:val="22"/>
        </w:rPr>
        <w:t xml:space="preserve">Particularly close collaboration was carried out </w:t>
      </w:r>
      <w:r w:rsidR="00F742EF" w:rsidRPr="009C40BB">
        <w:rPr>
          <w:rFonts w:ascii="Arial" w:hAnsi="Arial" w:cs="Arial"/>
          <w:sz w:val="22"/>
          <w:szCs w:val="22"/>
        </w:rPr>
        <w:t>in</w:t>
      </w:r>
      <w:r w:rsidR="00452E4B" w:rsidRPr="00040AA9">
        <w:rPr>
          <w:rFonts w:ascii="Arial" w:hAnsi="Arial" w:cs="Arial"/>
          <w:sz w:val="22"/>
          <w:szCs w:val="22"/>
        </w:rPr>
        <w:t xml:space="preserve"> identifying and quantifying tax expenditures and</w:t>
      </w:r>
      <w:r w:rsidR="00E90FA0" w:rsidRPr="00040AA9">
        <w:rPr>
          <w:rFonts w:ascii="Arial" w:hAnsi="Arial" w:cs="Arial"/>
          <w:sz w:val="22"/>
          <w:szCs w:val="22"/>
        </w:rPr>
        <w:t xml:space="preserve"> then</w:t>
      </w:r>
      <w:r w:rsidR="00452E4B" w:rsidRPr="00040AA9">
        <w:rPr>
          <w:rFonts w:ascii="Arial" w:hAnsi="Arial" w:cs="Arial"/>
          <w:sz w:val="22"/>
          <w:szCs w:val="22"/>
        </w:rPr>
        <w:t xml:space="preserve"> working </w:t>
      </w:r>
      <w:r w:rsidR="00E90FA0" w:rsidRPr="00040AA9">
        <w:rPr>
          <w:rFonts w:ascii="Arial" w:hAnsi="Arial" w:cs="Arial"/>
          <w:sz w:val="22"/>
          <w:szCs w:val="22"/>
        </w:rPr>
        <w:t xml:space="preserve">jointly </w:t>
      </w:r>
      <w:r w:rsidR="00452E4B" w:rsidRPr="00040AA9">
        <w:rPr>
          <w:rFonts w:ascii="Arial" w:hAnsi="Arial" w:cs="Arial"/>
          <w:sz w:val="22"/>
          <w:szCs w:val="22"/>
        </w:rPr>
        <w:t xml:space="preserve">with the authorities to agree and implement measures to </w:t>
      </w:r>
      <w:r w:rsidR="00DA1B78" w:rsidRPr="00040AA9">
        <w:rPr>
          <w:rFonts w:ascii="Arial" w:hAnsi="Arial" w:cs="Arial"/>
          <w:sz w:val="22"/>
          <w:szCs w:val="22"/>
        </w:rPr>
        <w:t xml:space="preserve">reduce their impact on tax revenues. </w:t>
      </w:r>
      <w:r w:rsidR="00305BB8" w:rsidRPr="00040AA9">
        <w:rPr>
          <w:rFonts w:ascii="Arial" w:hAnsi="Arial" w:cs="Arial"/>
          <w:sz w:val="22"/>
          <w:szCs w:val="22"/>
        </w:rPr>
        <w:t xml:space="preserve">For example, </w:t>
      </w:r>
      <w:r w:rsidR="00DB7B30" w:rsidRPr="00040AA9">
        <w:rPr>
          <w:rFonts w:ascii="Arial" w:hAnsi="Arial" w:cs="Arial"/>
          <w:sz w:val="22"/>
          <w:szCs w:val="22"/>
        </w:rPr>
        <w:t xml:space="preserve">EFF benchmark 9.a called </w:t>
      </w:r>
      <w:r w:rsidR="00305BB8" w:rsidRPr="00040AA9">
        <w:rPr>
          <w:rFonts w:ascii="Arial" w:hAnsi="Arial" w:cs="Arial"/>
          <w:sz w:val="22"/>
          <w:szCs w:val="22"/>
        </w:rPr>
        <w:t xml:space="preserve">for </w:t>
      </w:r>
      <w:r w:rsidR="00DA1B78" w:rsidRPr="00040AA9">
        <w:rPr>
          <w:rFonts w:ascii="Arial" w:hAnsi="Arial" w:cs="Arial"/>
          <w:sz w:val="22"/>
          <w:szCs w:val="22"/>
        </w:rPr>
        <w:t>“</w:t>
      </w:r>
      <w:r w:rsidR="00DB7B30" w:rsidRPr="00040AA9">
        <w:rPr>
          <w:rFonts w:ascii="Arial" w:hAnsi="Arial" w:cs="Arial"/>
          <w:sz w:val="22"/>
          <w:szCs w:val="22"/>
        </w:rPr>
        <w:t xml:space="preserve">Government to table Omnibus Tax Incentive Act in the House of Representatives, guided by TA provided by the </w:t>
      </w:r>
      <w:r w:rsidR="00FD2034">
        <w:rPr>
          <w:rFonts w:ascii="Arial" w:hAnsi="Arial" w:cs="Arial"/>
          <w:sz w:val="22"/>
          <w:szCs w:val="22"/>
        </w:rPr>
        <w:t>Bank</w:t>
      </w:r>
      <w:r w:rsidR="00FD2034" w:rsidRPr="00040AA9">
        <w:rPr>
          <w:rFonts w:ascii="Arial" w:hAnsi="Arial" w:cs="Arial"/>
          <w:sz w:val="22"/>
          <w:szCs w:val="22"/>
        </w:rPr>
        <w:t xml:space="preserve"> </w:t>
      </w:r>
      <w:r w:rsidR="00DB7B30" w:rsidRPr="00040AA9">
        <w:rPr>
          <w:rFonts w:ascii="Arial" w:hAnsi="Arial" w:cs="Arial"/>
          <w:sz w:val="22"/>
          <w:szCs w:val="22"/>
        </w:rPr>
        <w:t xml:space="preserve">and in consultation with </w:t>
      </w:r>
      <w:r w:rsidR="00FD2034">
        <w:rPr>
          <w:rFonts w:ascii="Arial" w:hAnsi="Arial" w:cs="Arial"/>
          <w:sz w:val="22"/>
          <w:szCs w:val="22"/>
        </w:rPr>
        <w:t>IMF</w:t>
      </w:r>
      <w:r w:rsidR="00FD2034" w:rsidRPr="00040AA9">
        <w:rPr>
          <w:rFonts w:ascii="Arial" w:hAnsi="Arial" w:cs="Arial"/>
          <w:sz w:val="22"/>
          <w:szCs w:val="22"/>
        </w:rPr>
        <w:t xml:space="preserve"> </w:t>
      </w:r>
      <w:r w:rsidR="00DB7B30" w:rsidRPr="00040AA9">
        <w:rPr>
          <w:rFonts w:ascii="Arial" w:hAnsi="Arial" w:cs="Arial"/>
          <w:sz w:val="22"/>
          <w:szCs w:val="22"/>
        </w:rPr>
        <w:t>staff, to eliminate ministerial discretionary powers to grant or validate any tax relief, and put in place a transparent regime for limited tax incentives.</w:t>
      </w:r>
      <w:r w:rsidR="00E937DA" w:rsidRPr="00040AA9">
        <w:rPr>
          <w:rFonts w:ascii="Arial" w:hAnsi="Arial" w:cs="Arial"/>
          <w:sz w:val="22"/>
          <w:szCs w:val="22"/>
        </w:rPr>
        <w:t>”</w:t>
      </w:r>
      <w:r w:rsidR="00305BB8" w:rsidRPr="00040AA9">
        <w:rPr>
          <w:rFonts w:ascii="Arial" w:hAnsi="Arial" w:cs="Arial"/>
          <w:sz w:val="22"/>
          <w:szCs w:val="22"/>
        </w:rPr>
        <w:t xml:space="preserve"> </w:t>
      </w:r>
      <w:r w:rsidR="00C2209B" w:rsidRPr="00040AA9">
        <w:rPr>
          <w:rFonts w:ascii="Arial" w:hAnsi="Arial" w:cs="Arial"/>
          <w:sz w:val="22"/>
          <w:szCs w:val="22"/>
        </w:rPr>
        <w:t xml:space="preserve">This was to be done </w:t>
      </w:r>
      <w:r w:rsidR="00305BB8" w:rsidRPr="00040AA9">
        <w:rPr>
          <w:rFonts w:ascii="Arial" w:hAnsi="Arial" w:cs="Arial"/>
          <w:sz w:val="22"/>
          <w:szCs w:val="22"/>
        </w:rPr>
        <w:t xml:space="preserve">by September 30, 2013, i.e. prior to </w:t>
      </w:r>
      <w:r w:rsidR="0004212A" w:rsidRPr="00040AA9">
        <w:rPr>
          <w:rFonts w:ascii="Arial" w:hAnsi="Arial" w:cs="Arial"/>
          <w:sz w:val="22"/>
          <w:szCs w:val="22"/>
        </w:rPr>
        <w:t xml:space="preserve">Bank approval of the first FISPEG operation. </w:t>
      </w:r>
      <w:r w:rsidR="00E937DA" w:rsidRPr="00040AA9">
        <w:rPr>
          <w:rFonts w:ascii="Arial" w:hAnsi="Arial" w:cs="Arial"/>
          <w:sz w:val="22"/>
          <w:szCs w:val="22"/>
        </w:rPr>
        <w:t xml:space="preserve">The Bank and </w:t>
      </w:r>
      <w:r w:rsidR="00FD2034">
        <w:rPr>
          <w:rFonts w:ascii="Arial" w:hAnsi="Arial" w:cs="Arial"/>
          <w:sz w:val="22"/>
          <w:szCs w:val="22"/>
        </w:rPr>
        <w:t>IMF</w:t>
      </w:r>
      <w:r w:rsidR="00FD2034" w:rsidRPr="00040AA9">
        <w:rPr>
          <w:rFonts w:ascii="Arial" w:hAnsi="Arial" w:cs="Arial"/>
          <w:sz w:val="22"/>
          <w:szCs w:val="22"/>
        </w:rPr>
        <w:t xml:space="preserve"> </w:t>
      </w:r>
      <w:r w:rsidR="00E937DA" w:rsidRPr="00040AA9">
        <w:rPr>
          <w:rFonts w:ascii="Arial" w:hAnsi="Arial" w:cs="Arial"/>
          <w:sz w:val="22"/>
          <w:szCs w:val="22"/>
        </w:rPr>
        <w:t>also collaborated in setting tax administration targets, such as increasing the number of of</w:t>
      </w:r>
      <w:r w:rsidR="00445ADF" w:rsidRPr="00040AA9">
        <w:rPr>
          <w:rFonts w:ascii="Arial" w:hAnsi="Arial" w:cs="Arial"/>
          <w:sz w:val="22"/>
          <w:szCs w:val="22"/>
        </w:rPr>
        <w:t>f</w:t>
      </w:r>
      <w:r w:rsidR="00E937DA" w:rsidRPr="00040AA9">
        <w:rPr>
          <w:rFonts w:ascii="Arial" w:hAnsi="Arial" w:cs="Arial"/>
          <w:sz w:val="22"/>
          <w:szCs w:val="22"/>
        </w:rPr>
        <w:t>icials in the Large</w:t>
      </w:r>
      <w:r w:rsidR="00445ADF" w:rsidRPr="00040AA9">
        <w:rPr>
          <w:rFonts w:ascii="Arial" w:hAnsi="Arial" w:cs="Arial"/>
          <w:sz w:val="22"/>
          <w:szCs w:val="22"/>
        </w:rPr>
        <w:t xml:space="preserve"> Taxpayer Office (LTO)</w:t>
      </w:r>
      <w:r w:rsidR="004E1A54" w:rsidRPr="00040AA9">
        <w:rPr>
          <w:rFonts w:ascii="Arial" w:hAnsi="Arial" w:cs="Arial"/>
          <w:sz w:val="22"/>
          <w:szCs w:val="22"/>
        </w:rPr>
        <w:t xml:space="preserve"> and</w:t>
      </w:r>
      <w:r w:rsidR="00445ADF" w:rsidRPr="00040AA9">
        <w:rPr>
          <w:rFonts w:ascii="Arial" w:hAnsi="Arial" w:cs="Arial"/>
          <w:sz w:val="22"/>
          <w:szCs w:val="22"/>
        </w:rPr>
        <w:t xml:space="preserve"> </w:t>
      </w:r>
      <w:r w:rsidR="004E1A54" w:rsidRPr="00040AA9">
        <w:rPr>
          <w:rFonts w:ascii="Arial" w:hAnsi="Arial" w:cs="Arial"/>
          <w:sz w:val="22"/>
          <w:szCs w:val="22"/>
        </w:rPr>
        <w:t xml:space="preserve">requiring mandatory e-filing of tax returns. In other areas the Bank reinforced measures in which the </w:t>
      </w:r>
      <w:r w:rsidR="00FD2034">
        <w:rPr>
          <w:rFonts w:ascii="Arial" w:hAnsi="Arial" w:cs="Arial"/>
          <w:sz w:val="22"/>
          <w:szCs w:val="22"/>
        </w:rPr>
        <w:t>IMF</w:t>
      </w:r>
      <w:r w:rsidR="00FD2034" w:rsidRPr="00040AA9">
        <w:rPr>
          <w:rFonts w:ascii="Arial" w:hAnsi="Arial" w:cs="Arial"/>
          <w:sz w:val="22"/>
          <w:szCs w:val="22"/>
        </w:rPr>
        <w:t xml:space="preserve"> </w:t>
      </w:r>
      <w:r w:rsidR="004E1A54" w:rsidRPr="00040AA9">
        <w:rPr>
          <w:rFonts w:ascii="Arial" w:hAnsi="Arial" w:cs="Arial"/>
          <w:sz w:val="22"/>
          <w:szCs w:val="22"/>
        </w:rPr>
        <w:t>had taken the lead</w:t>
      </w:r>
      <w:r w:rsidR="00DD762F" w:rsidRPr="00040AA9">
        <w:rPr>
          <w:rFonts w:ascii="Arial" w:hAnsi="Arial" w:cs="Arial"/>
          <w:sz w:val="22"/>
          <w:szCs w:val="22"/>
        </w:rPr>
        <w:t>, e.g. placing limits on public sector wages and the design and implementation of a legally binding fiscal rule.</w:t>
      </w:r>
      <w:r w:rsidR="00C2209B" w:rsidRPr="00040AA9">
        <w:rPr>
          <w:rStyle w:val="FootnoteReference"/>
          <w:rFonts w:ascii="Arial" w:hAnsi="Arial" w:cs="Arial"/>
          <w:sz w:val="22"/>
          <w:szCs w:val="22"/>
        </w:rPr>
        <w:footnoteReference w:id="10"/>
      </w:r>
    </w:p>
    <w:p w14:paraId="4B8A6E97" w14:textId="7603FF82" w:rsidR="009B4D7A" w:rsidRPr="00040AA9" w:rsidRDefault="006F6C48" w:rsidP="00040AA9">
      <w:pPr>
        <w:pStyle w:val="Heading1"/>
        <w:suppressAutoHyphens/>
        <w:spacing w:before="240"/>
        <w:jc w:val="both"/>
        <w:rPr>
          <w:rFonts w:cs="Arial"/>
          <w:i/>
          <w:color w:val="A6A6A6" w:themeColor="background1" w:themeShade="A6"/>
          <w:szCs w:val="22"/>
        </w:rPr>
      </w:pPr>
      <w:bookmarkStart w:id="7" w:name="_Toc469493892"/>
      <w:r w:rsidRPr="00040AA9">
        <w:rPr>
          <w:rFonts w:cs="Arial"/>
          <w:smallCaps/>
          <w:szCs w:val="22"/>
        </w:rPr>
        <w:t xml:space="preserve">Core criteria. </w:t>
      </w:r>
      <w:r w:rsidR="009B4D7A" w:rsidRPr="00040AA9">
        <w:rPr>
          <w:rFonts w:cs="Arial"/>
          <w:smallCaps/>
          <w:szCs w:val="22"/>
        </w:rPr>
        <w:t>Project performance</w:t>
      </w:r>
      <w:bookmarkEnd w:id="7"/>
    </w:p>
    <w:p w14:paraId="5001AEDA" w14:textId="77777777" w:rsidR="009B4D7A" w:rsidRPr="00040AA9" w:rsidRDefault="009B4D7A" w:rsidP="00040AA9">
      <w:pPr>
        <w:pStyle w:val="Heading2"/>
        <w:numPr>
          <w:ilvl w:val="1"/>
          <w:numId w:val="1"/>
        </w:numPr>
        <w:suppressAutoHyphens/>
        <w:jc w:val="both"/>
        <w:rPr>
          <w:rFonts w:cs="Arial"/>
          <w:szCs w:val="22"/>
        </w:rPr>
      </w:pPr>
      <w:bookmarkStart w:id="8" w:name="_Toc469493893"/>
      <w:r w:rsidRPr="00040AA9">
        <w:rPr>
          <w:rFonts w:cs="Arial"/>
          <w:szCs w:val="22"/>
        </w:rPr>
        <w:t>Relevance</w:t>
      </w:r>
      <w:bookmarkEnd w:id="8"/>
    </w:p>
    <w:p w14:paraId="26B0E656" w14:textId="30A0625A" w:rsidR="00553EC7" w:rsidRPr="00040AA9" w:rsidRDefault="00553EC7" w:rsidP="00040AA9">
      <w:pPr>
        <w:pStyle w:val="Heading3"/>
        <w:numPr>
          <w:ilvl w:val="0"/>
          <w:numId w:val="0"/>
        </w:numPr>
        <w:suppressAutoHyphens/>
        <w:spacing w:before="120" w:after="120"/>
        <w:ind w:left="1440"/>
        <w:jc w:val="both"/>
        <w:rPr>
          <w:szCs w:val="22"/>
        </w:rPr>
      </w:pPr>
      <w:bookmarkStart w:id="9" w:name="_Toc469493894"/>
      <w:r w:rsidRPr="00040AA9">
        <w:rPr>
          <w:szCs w:val="22"/>
        </w:rPr>
        <w:t xml:space="preserve">Macro-economic and fiscal circumstances </w:t>
      </w:r>
      <w:r w:rsidR="008D4B64" w:rsidRPr="00040AA9">
        <w:rPr>
          <w:szCs w:val="22"/>
        </w:rPr>
        <w:t xml:space="preserve">during </w:t>
      </w:r>
      <w:r w:rsidR="002E0DE6" w:rsidRPr="00040AA9">
        <w:rPr>
          <w:szCs w:val="22"/>
        </w:rPr>
        <w:t>program design and execution (</w:t>
      </w:r>
      <w:r w:rsidRPr="00040AA9">
        <w:rPr>
          <w:szCs w:val="22"/>
        </w:rPr>
        <w:t>2014</w:t>
      </w:r>
      <w:r w:rsidR="002E0DE6" w:rsidRPr="00040AA9">
        <w:rPr>
          <w:szCs w:val="22"/>
        </w:rPr>
        <w:t xml:space="preserve"> - 2016</w:t>
      </w:r>
      <w:r w:rsidRPr="00040AA9">
        <w:rPr>
          <w:szCs w:val="22"/>
        </w:rPr>
        <w:t>)</w:t>
      </w:r>
      <w:r w:rsidR="00C34D38" w:rsidRPr="00040AA9">
        <w:rPr>
          <w:rStyle w:val="FootnoteReference"/>
          <w:b w:val="0"/>
          <w:szCs w:val="22"/>
        </w:rPr>
        <w:footnoteReference w:id="11"/>
      </w:r>
    </w:p>
    <w:p w14:paraId="12DC7DB8" w14:textId="5C2DD428" w:rsidR="00385A50" w:rsidRPr="00040AA9" w:rsidRDefault="000B1E2F" w:rsidP="00040AA9">
      <w:pPr>
        <w:suppressAutoHyphens/>
        <w:spacing w:before="120" w:after="120"/>
        <w:jc w:val="both"/>
        <w:rPr>
          <w:rFonts w:ascii="Arial" w:hAnsi="Arial" w:cs="Arial"/>
          <w:sz w:val="22"/>
          <w:szCs w:val="22"/>
        </w:rPr>
      </w:pPr>
      <w:r>
        <w:rPr>
          <w:rFonts w:ascii="Arial" w:hAnsi="Arial" w:cs="Arial"/>
          <w:b/>
          <w:sz w:val="22"/>
          <w:szCs w:val="22"/>
        </w:rPr>
        <w:t>Program preparation</w:t>
      </w:r>
      <w:r w:rsidR="002E0DE6" w:rsidRPr="00040AA9">
        <w:rPr>
          <w:rFonts w:ascii="Arial" w:hAnsi="Arial" w:cs="Arial"/>
          <w:b/>
          <w:sz w:val="22"/>
          <w:szCs w:val="22"/>
        </w:rPr>
        <w:t xml:space="preserve"> (2013-14)</w:t>
      </w:r>
    </w:p>
    <w:p w14:paraId="30F147D6" w14:textId="3A67E6B0" w:rsidR="00553EC7" w:rsidRPr="00040AA9" w:rsidRDefault="00D94F7C" w:rsidP="00040AA9">
      <w:pPr>
        <w:suppressAutoHyphens/>
        <w:spacing w:before="120" w:after="120"/>
        <w:jc w:val="both"/>
        <w:rPr>
          <w:rFonts w:ascii="Arial" w:hAnsi="Arial" w:cs="Arial"/>
          <w:sz w:val="22"/>
          <w:szCs w:val="22"/>
        </w:rPr>
      </w:pPr>
      <w:r w:rsidRPr="00472226">
        <w:rPr>
          <w:rFonts w:ascii="Arial" w:hAnsi="Arial" w:cs="Arial"/>
          <w:sz w:val="22"/>
          <w:szCs w:val="22"/>
        </w:rPr>
        <w:t xml:space="preserve">Since the mid 1990’s </w:t>
      </w:r>
      <w:r w:rsidR="00D2487D" w:rsidRPr="00D94F7C">
        <w:rPr>
          <w:rFonts w:ascii="Arial" w:hAnsi="Arial" w:cs="Arial"/>
          <w:sz w:val="22"/>
          <w:szCs w:val="22"/>
        </w:rPr>
        <w:t>Jamaica</w:t>
      </w:r>
      <w:r w:rsidR="00534E0B" w:rsidRPr="00040AA9">
        <w:rPr>
          <w:rFonts w:ascii="Arial" w:hAnsi="Arial" w:cs="Arial"/>
          <w:sz w:val="22"/>
          <w:szCs w:val="22"/>
        </w:rPr>
        <w:t xml:space="preserve"> has</w:t>
      </w:r>
      <w:r w:rsidR="00D2487D" w:rsidRPr="00040AA9">
        <w:rPr>
          <w:rFonts w:ascii="Arial" w:hAnsi="Arial" w:cs="Arial"/>
          <w:sz w:val="22"/>
          <w:szCs w:val="22"/>
        </w:rPr>
        <w:t xml:space="preserve"> experienced disappointing macroeconomic performance characterized by low real growth rates, </w:t>
      </w:r>
      <w:r w:rsidR="00283233" w:rsidRPr="00040AA9">
        <w:rPr>
          <w:rFonts w:ascii="Arial" w:hAnsi="Arial" w:cs="Arial"/>
          <w:sz w:val="22"/>
          <w:szCs w:val="22"/>
        </w:rPr>
        <w:t xml:space="preserve">high inflation (peaking at </w:t>
      </w:r>
      <w:r w:rsidR="00B55BEC">
        <w:rPr>
          <w:rFonts w:ascii="Arial" w:hAnsi="Arial" w:cs="Arial"/>
          <w:sz w:val="22"/>
          <w:szCs w:val="22"/>
        </w:rPr>
        <w:t>26.5</w:t>
      </w:r>
      <w:r w:rsidR="00283233" w:rsidRPr="00040AA9">
        <w:rPr>
          <w:rFonts w:ascii="Arial" w:hAnsi="Arial" w:cs="Arial"/>
          <w:sz w:val="22"/>
          <w:szCs w:val="22"/>
        </w:rPr>
        <w:t xml:space="preserve">% in </w:t>
      </w:r>
      <w:r w:rsidR="006D6F8A">
        <w:rPr>
          <w:rFonts w:ascii="Arial" w:hAnsi="Arial" w:cs="Arial"/>
          <w:sz w:val="22"/>
          <w:szCs w:val="22"/>
        </w:rPr>
        <w:t>August 2008</w:t>
      </w:r>
      <w:r w:rsidR="00672404" w:rsidRPr="00040AA9">
        <w:rPr>
          <w:rStyle w:val="FootnoteReference"/>
          <w:rFonts w:ascii="Arial" w:hAnsi="Arial" w:cs="Arial"/>
          <w:sz w:val="22"/>
          <w:szCs w:val="22"/>
        </w:rPr>
        <w:footnoteReference w:id="12"/>
      </w:r>
      <w:r w:rsidR="00283233" w:rsidRPr="00040AA9">
        <w:rPr>
          <w:rFonts w:ascii="Arial" w:hAnsi="Arial" w:cs="Arial"/>
          <w:sz w:val="22"/>
          <w:szCs w:val="22"/>
        </w:rPr>
        <w:t xml:space="preserve">), </w:t>
      </w:r>
      <w:r w:rsidR="0072423D" w:rsidRPr="00040AA9">
        <w:rPr>
          <w:rFonts w:ascii="Arial" w:hAnsi="Arial" w:cs="Arial"/>
          <w:sz w:val="22"/>
          <w:szCs w:val="22"/>
        </w:rPr>
        <w:t>chronic government deficits due to anemic tax collections, plagued by multiple “loopholes”</w:t>
      </w:r>
      <w:r w:rsidR="003B1344" w:rsidRPr="00040AA9">
        <w:rPr>
          <w:rFonts w:ascii="Arial" w:hAnsi="Arial" w:cs="Arial"/>
          <w:sz w:val="22"/>
          <w:szCs w:val="22"/>
        </w:rPr>
        <w:t xml:space="preserve"> -- t</w:t>
      </w:r>
      <w:r w:rsidR="00A403C6" w:rsidRPr="00040AA9">
        <w:rPr>
          <w:rFonts w:ascii="Arial" w:hAnsi="Arial" w:cs="Arial"/>
          <w:sz w:val="22"/>
          <w:szCs w:val="22"/>
        </w:rPr>
        <w:t xml:space="preserve">ax expenditures exceeded </w:t>
      </w:r>
      <w:r w:rsidR="00337D87" w:rsidRPr="00040AA9">
        <w:rPr>
          <w:rFonts w:ascii="Arial" w:hAnsi="Arial" w:cs="Arial"/>
          <w:sz w:val="22"/>
          <w:szCs w:val="22"/>
        </w:rPr>
        <w:t>7</w:t>
      </w:r>
      <w:r w:rsidR="0072423D" w:rsidRPr="00040AA9">
        <w:rPr>
          <w:rFonts w:ascii="Arial" w:hAnsi="Arial" w:cs="Arial"/>
          <w:sz w:val="22"/>
          <w:szCs w:val="22"/>
        </w:rPr>
        <w:t>% of GDP in 20</w:t>
      </w:r>
      <w:r w:rsidR="00337D87" w:rsidRPr="00040AA9">
        <w:rPr>
          <w:rFonts w:ascii="Arial" w:hAnsi="Arial" w:cs="Arial"/>
          <w:sz w:val="22"/>
          <w:szCs w:val="22"/>
        </w:rPr>
        <w:t>06-</w:t>
      </w:r>
      <w:r w:rsidR="00FD2034">
        <w:rPr>
          <w:rFonts w:ascii="Arial" w:hAnsi="Arial" w:cs="Arial"/>
          <w:sz w:val="22"/>
          <w:szCs w:val="22"/>
        </w:rPr>
        <w:t>20</w:t>
      </w:r>
      <w:r w:rsidR="00337D87" w:rsidRPr="00040AA9">
        <w:rPr>
          <w:rFonts w:ascii="Arial" w:hAnsi="Arial" w:cs="Arial"/>
          <w:sz w:val="22"/>
          <w:szCs w:val="22"/>
        </w:rPr>
        <w:t>09</w:t>
      </w:r>
      <w:r w:rsidR="003B1344" w:rsidRPr="00040AA9">
        <w:rPr>
          <w:rFonts w:ascii="Arial" w:hAnsi="Arial" w:cs="Arial"/>
          <w:sz w:val="22"/>
          <w:szCs w:val="22"/>
        </w:rPr>
        <w:t xml:space="preserve"> --</w:t>
      </w:r>
      <w:r w:rsidR="0072423D" w:rsidRPr="00040AA9">
        <w:rPr>
          <w:rFonts w:ascii="Arial" w:hAnsi="Arial" w:cs="Arial"/>
          <w:sz w:val="22"/>
          <w:szCs w:val="22"/>
        </w:rPr>
        <w:t xml:space="preserve"> and poor collection rates. On the </w:t>
      </w:r>
      <w:r w:rsidR="007660D1" w:rsidRPr="00040AA9">
        <w:rPr>
          <w:rFonts w:ascii="Arial" w:hAnsi="Arial" w:cs="Arial"/>
          <w:sz w:val="22"/>
          <w:szCs w:val="22"/>
        </w:rPr>
        <w:t xml:space="preserve">government </w:t>
      </w:r>
      <w:r w:rsidR="0072423D" w:rsidRPr="00040AA9">
        <w:rPr>
          <w:rFonts w:ascii="Arial" w:hAnsi="Arial" w:cs="Arial"/>
          <w:sz w:val="22"/>
          <w:szCs w:val="22"/>
        </w:rPr>
        <w:t xml:space="preserve">expenditure </w:t>
      </w:r>
      <w:r w:rsidR="008A2405" w:rsidRPr="008A2405">
        <w:rPr>
          <w:rFonts w:ascii="Arial" w:hAnsi="Arial" w:cs="Arial"/>
          <w:sz w:val="22"/>
          <w:szCs w:val="22"/>
        </w:rPr>
        <w:t>side,</w:t>
      </w:r>
      <w:r w:rsidR="0072423D" w:rsidRPr="00040AA9">
        <w:rPr>
          <w:rFonts w:ascii="Arial" w:hAnsi="Arial" w:cs="Arial"/>
          <w:sz w:val="22"/>
          <w:szCs w:val="22"/>
        </w:rPr>
        <w:t xml:space="preserve"> the </w:t>
      </w:r>
      <w:proofErr w:type="spellStart"/>
      <w:r w:rsidR="007660D1" w:rsidRPr="00040AA9">
        <w:rPr>
          <w:rFonts w:ascii="Arial" w:hAnsi="Arial" w:cs="Arial"/>
          <w:sz w:val="22"/>
          <w:szCs w:val="22"/>
        </w:rPr>
        <w:t>GoJ</w:t>
      </w:r>
      <w:proofErr w:type="spellEnd"/>
      <w:r w:rsidR="00D2487D" w:rsidRPr="00040AA9">
        <w:rPr>
          <w:rFonts w:ascii="Arial" w:hAnsi="Arial" w:cs="Arial"/>
          <w:sz w:val="22"/>
          <w:szCs w:val="22"/>
        </w:rPr>
        <w:t xml:space="preserve"> </w:t>
      </w:r>
      <w:r w:rsidR="0072423D" w:rsidRPr="00040AA9">
        <w:rPr>
          <w:rFonts w:ascii="Arial" w:hAnsi="Arial" w:cs="Arial"/>
          <w:sz w:val="22"/>
          <w:szCs w:val="22"/>
        </w:rPr>
        <w:t xml:space="preserve">faced </w:t>
      </w:r>
      <w:r w:rsidR="00D2487D" w:rsidRPr="00040AA9">
        <w:rPr>
          <w:rFonts w:ascii="Arial" w:hAnsi="Arial" w:cs="Arial"/>
          <w:sz w:val="22"/>
          <w:szCs w:val="22"/>
        </w:rPr>
        <w:t>increa</w:t>
      </w:r>
      <w:r w:rsidR="0072423D" w:rsidRPr="00040AA9">
        <w:rPr>
          <w:rFonts w:ascii="Arial" w:hAnsi="Arial" w:cs="Arial"/>
          <w:sz w:val="22"/>
          <w:szCs w:val="22"/>
        </w:rPr>
        <w:t xml:space="preserve">sing debt service costs, amounting to as much as 60% of revenues, </w:t>
      </w:r>
      <w:r w:rsidR="003D7290" w:rsidRPr="00040AA9">
        <w:rPr>
          <w:rFonts w:ascii="Arial" w:hAnsi="Arial" w:cs="Arial"/>
          <w:sz w:val="22"/>
          <w:szCs w:val="22"/>
        </w:rPr>
        <w:t>on</w:t>
      </w:r>
      <w:r w:rsidR="00D2487D" w:rsidRPr="00040AA9">
        <w:rPr>
          <w:rFonts w:ascii="Arial" w:hAnsi="Arial" w:cs="Arial"/>
          <w:sz w:val="22"/>
          <w:szCs w:val="22"/>
        </w:rPr>
        <w:t xml:space="preserve"> the very high public debt (</w:t>
      </w:r>
      <w:r w:rsidR="00F57E7C">
        <w:rPr>
          <w:rFonts w:ascii="Arial" w:hAnsi="Arial" w:cs="Arial"/>
          <w:sz w:val="22"/>
          <w:szCs w:val="22"/>
        </w:rPr>
        <w:t>Over 130</w:t>
      </w:r>
      <w:r w:rsidR="00D2487D" w:rsidRPr="00040AA9">
        <w:rPr>
          <w:rFonts w:ascii="Arial" w:hAnsi="Arial" w:cs="Arial"/>
          <w:sz w:val="22"/>
          <w:szCs w:val="22"/>
        </w:rPr>
        <w:t xml:space="preserve">% of GDP in </w:t>
      </w:r>
      <w:r w:rsidR="00435263" w:rsidRPr="00040AA9">
        <w:rPr>
          <w:rFonts w:ascii="Arial" w:hAnsi="Arial" w:cs="Arial"/>
          <w:sz w:val="22"/>
          <w:szCs w:val="22"/>
        </w:rPr>
        <w:t>FY2009/10</w:t>
      </w:r>
      <w:r w:rsidR="00F57E7C">
        <w:rPr>
          <w:rStyle w:val="FootnoteReference"/>
          <w:rFonts w:ascii="Arial" w:hAnsi="Arial" w:cs="Arial"/>
          <w:sz w:val="22"/>
          <w:szCs w:val="22"/>
        </w:rPr>
        <w:footnoteReference w:id="13"/>
      </w:r>
      <w:r w:rsidR="00D2487D" w:rsidRPr="00040AA9">
        <w:rPr>
          <w:rFonts w:ascii="Arial" w:hAnsi="Arial" w:cs="Arial"/>
          <w:sz w:val="22"/>
          <w:szCs w:val="22"/>
        </w:rPr>
        <w:t>)</w:t>
      </w:r>
      <w:r w:rsidR="0072423D" w:rsidRPr="00040AA9">
        <w:rPr>
          <w:rFonts w:ascii="Arial" w:hAnsi="Arial" w:cs="Arial"/>
          <w:sz w:val="22"/>
          <w:szCs w:val="22"/>
        </w:rPr>
        <w:t xml:space="preserve">. Also contributing to expenditures were </w:t>
      </w:r>
      <w:r w:rsidR="00385A50" w:rsidRPr="00040AA9">
        <w:rPr>
          <w:rFonts w:ascii="Arial" w:hAnsi="Arial" w:cs="Arial"/>
          <w:sz w:val="22"/>
          <w:szCs w:val="22"/>
        </w:rPr>
        <w:t>the public-</w:t>
      </w:r>
      <w:r w:rsidR="003D7290" w:rsidRPr="00040AA9">
        <w:rPr>
          <w:rFonts w:ascii="Arial" w:hAnsi="Arial" w:cs="Arial"/>
          <w:sz w:val="22"/>
          <w:szCs w:val="22"/>
        </w:rPr>
        <w:t>sector wage bill and subsidies for inefficient state</w:t>
      </w:r>
      <w:r w:rsidR="00FD2034">
        <w:rPr>
          <w:rFonts w:ascii="Arial" w:hAnsi="Arial" w:cs="Arial"/>
          <w:sz w:val="22"/>
          <w:szCs w:val="22"/>
        </w:rPr>
        <w:noBreakHyphen/>
      </w:r>
      <w:r w:rsidR="003D7290" w:rsidRPr="00040AA9">
        <w:rPr>
          <w:rFonts w:ascii="Arial" w:hAnsi="Arial" w:cs="Arial"/>
          <w:sz w:val="22"/>
          <w:szCs w:val="22"/>
        </w:rPr>
        <w:t>owned e</w:t>
      </w:r>
      <w:r w:rsidR="00A62C7B" w:rsidRPr="00040AA9">
        <w:rPr>
          <w:rFonts w:ascii="Arial" w:hAnsi="Arial" w:cs="Arial"/>
          <w:sz w:val="22"/>
          <w:szCs w:val="22"/>
        </w:rPr>
        <w:t>nterprises</w:t>
      </w:r>
      <w:r w:rsidR="00BA4C89" w:rsidRPr="00040AA9">
        <w:rPr>
          <w:rFonts w:ascii="Arial" w:hAnsi="Arial" w:cs="Arial"/>
          <w:sz w:val="22"/>
          <w:szCs w:val="22"/>
        </w:rPr>
        <w:t xml:space="preserve">. </w:t>
      </w:r>
      <w:r w:rsidR="00672404" w:rsidRPr="00040AA9">
        <w:rPr>
          <w:rFonts w:ascii="Arial" w:hAnsi="Arial" w:cs="Arial"/>
          <w:sz w:val="22"/>
          <w:szCs w:val="22"/>
        </w:rPr>
        <w:t>The economy was particularly vulnerable to the global financial crisis of 2007</w:t>
      </w:r>
      <w:r w:rsidR="00FD2034">
        <w:rPr>
          <w:rFonts w:ascii="Arial" w:hAnsi="Arial" w:cs="Arial"/>
          <w:sz w:val="22"/>
          <w:szCs w:val="22"/>
        </w:rPr>
        <w:noBreakHyphen/>
        <w:t>20</w:t>
      </w:r>
      <w:r w:rsidR="00672404" w:rsidRPr="00040AA9">
        <w:rPr>
          <w:rFonts w:ascii="Arial" w:hAnsi="Arial" w:cs="Arial"/>
          <w:sz w:val="22"/>
          <w:szCs w:val="22"/>
        </w:rPr>
        <w:t>08 and was one of the few countries in the hemisphere to experience negative real rates of</w:t>
      </w:r>
      <w:r w:rsidR="00385A50" w:rsidRPr="00040AA9">
        <w:rPr>
          <w:rFonts w:ascii="Arial" w:hAnsi="Arial" w:cs="Arial"/>
          <w:sz w:val="22"/>
          <w:szCs w:val="22"/>
        </w:rPr>
        <w:t xml:space="preserve"> growth in output in the latter </w:t>
      </w:r>
      <w:r w:rsidR="00672404" w:rsidRPr="00040AA9">
        <w:rPr>
          <w:rFonts w:ascii="Arial" w:hAnsi="Arial" w:cs="Arial"/>
          <w:sz w:val="22"/>
          <w:szCs w:val="22"/>
        </w:rPr>
        <w:t>half of the first decade (</w:t>
      </w:r>
      <w:r w:rsidR="00FD2034">
        <w:rPr>
          <w:rFonts w:ascii="Arial" w:hAnsi="Arial" w:cs="Arial"/>
          <w:sz w:val="22"/>
          <w:szCs w:val="22"/>
        </w:rPr>
        <w:t>-</w:t>
      </w:r>
      <w:r w:rsidR="00672404" w:rsidRPr="00040AA9">
        <w:rPr>
          <w:rFonts w:ascii="Arial" w:hAnsi="Arial" w:cs="Arial"/>
          <w:sz w:val="22"/>
          <w:szCs w:val="22"/>
        </w:rPr>
        <w:t xml:space="preserve"> 1.7% and </w:t>
      </w:r>
      <w:r w:rsidR="00FD2034">
        <w:rPr>
          <w:rFonts w:ascii="Arial" w:hAnsi="Arial" w:cs="Arial"/>
          <w:sz w:val="22"/>
          <w:szCs w:val="22"/>
        </w:rPr>
        <w:t>-</w:t>
      </w:r>
      <w:r w:rsidR="00672404" w:rsidRPr="00040AA9">
        <w:rPr>
          <w:rFonts w:ascii="Arial" w:hAnsi="Arial" w:cs="Arial"/>
          <w:sz w:val="22"/>
          <w:szCs w:val="22"/>
        </w:rPr>
        <w:t xml:space="preserve"> 2.6% in FY2008/</w:t>
      </w:r>
      <w:r w:rsidR="00FD2034">
        <w:rPr>
          <w:rFonts w:ascii="Arial" w:hAnsi="Arial" w:cs="Arial"/>
          <w:sz w:val="22"/>
          <w:szCs w:val="22"/>
        </w:rPr>
        <w:t>20</w:t>
      </w:r>
      <w:r w:rsidR="00672404" w:rsidRPr="00040AA9">
        <w:rPr>
          <w:rFonts w:ascii="Arial" w:hAnsi="Arial" w:cs="Arial"/>
          <w:sz w:val="22"/>
          <w:szCs w:val="22"/>
        </w:rPr>
        <w:t>09 and 2009/</w:t>
      </w:r>
      <w:r w:rsidR="00FD2034">
        <w:rPr>
          <w:rFonts w:ascii="Arial" w:hAnsi="Arial" w:cs="Arial"/>
          <w:sz w:val="22"/>
          <w:szCs w:val="22"/>
        </w:rPr>
        <w:t>20</w:t>
      </w:r>
      <w:r w:rsidR="00672404" w:rsidRPr="00040AA9">
        <w:rPr>
          <w:rFonts w:ascii="Arial" w:hAnsi="Arial" w:cs="Arial"/>
          <w:sz w:val="22"/>
          <w:szCs w:val="22"/>
        </w:rPr>
        <w:t>10</w:t>
      </w:r>
      <w:r w:rsidR="00255376" w:rsidRPr="00040AA9">
        <w:rPr>
          <w:rFonts w:ascii="Arial" w:hAnsi="Arial" w:cs="Arial"/>
          <w:sz w:val="22"/>
          <w:szCs w:val="22"/>
        </w:rPr>
        <w:t xml:space="preserve"> respectively</w:t>
      </w:r>
      <w:r w:rsidR="00D25B23">
        <w:rPr>
          <w:rStyle w:val="FootnoteReference"/>
          <w:rFonts w:ascii="Arial" w:hAnsi="Arial" w:cs="Arial"/>
          <w:sz w:val="22"/>
          <w:szCs w:val="22"/>
        </w:rPr>
        <w:footnoteReference w:id="14"/>
      </w:r>
      <w:r w:rsidR="00255376" w:rsidRPr="00040AA9">
        <w:rPr>
          <w:rFonts w:ascii="Arial" w:hAnsi="Arial" w:cs="Arial"/>
          <w:sz w:val="22"/>
          <w:szCs w:val="22"/>
        </w:rPr>
        <w:t>).</w:t>
      </w:r>
    </w:p>
    <w:p w14:paraId="335DA32D" w14:textId="63EEBF6B" w:rsidR="00553EC7" w:rsidRPr="00040AA9" w:rsidRDefault="00385A50" w:rsidP="00040AA9">
      <w:pPr>
        <w:suppressAutoHyphens/>
        <w:spacing w:before="120" w:after="120"/>
        <w:jc w:val="both"/>
        <w:rPr>
          <w:rFonts w:ascii="Arial" w:hAnsi="Arial" w:cs="Arial"/>
          <w:sz w:val="22"/>
          <w:szCs w:val="22"/>
        </w:rPr>
      </w:pPr>
      <w:r w:rsidRPr="00040AA9">
        <w:rPr>
          <w:rFonts w:ascii="Arial" w:hAnsi="Arial" w:cs="Arial"/>
          <w:b/>
          <w:sz w:val="22"/>
          <w:szCs w:val="22"/>
        </w:rPr>
        <w:t xml:space="preserve">Developments </w:t>
      </w:r>
      <w:r w:rsidR="001E1BFA" w:rsidRPr="00040AA9">
        <w:rPr>
          <w:rFonts w:ascii="Arial" w:hAnsi="Arial" w:cs="Arial"/>
          <w:b/>
          <w:sz w:val="22"/>
          <w:szCs w:val="22"/>
        </w:rPr>
        <w:t>during</w:t>
      </w:r>
      <w:r w:rsidRPr="00040AA9">
        <w:rPr>
          <w:rFonts w:ascii="Arial" w:hAnsi="Arial" w:cs="Arial"/>
          <w:b/>
          <w:sz w:val="22"/>
          <w:szCs w:val="22"/>
        </w:rPr>
        <w:t xml:space="preserve"> </w:t>
      </w:r>
      <w:r w:rsidR="001E1BFA" w:rsidRPr="00040AA9">
        <w:rPr>
          <w:rFonts w:ascii="Arial" w:hAnsi="Arial" w:cs="Arial"/>
          <w:b/>
          <w:sz w:val="22"/>
          <w:szCs w:val="22"/>
        </w:rPr>
        <w:t xml:space="preserve">the </w:t>
      </w:r>
      <w:r w:rsidRPr="00040AA9">
        <w:rPr>
          <w:rFonts w:ascii="Arial" w:hAnsi="Arial" w:cs="Arial"/>
          <w:b/>
          <w:sz w:val="22"/>
          <w:szCs w:val="22"/>
        </w:rPr>
        <w:t>course of program</w:t>
      </w:r>
      <w:r w:rsidR="00EB7C91" w:rsidRPr="00040AA9">
        <w:rPr>
          <w:rFonts w:ascii="Arial" w:hAnsi="Arial" w:cs="Arial"/>
          <w:b/>
          <w:sz w:val="22"/>
          <w:szCs w:val="22"/>
        </w:rPr>
        <w:t xml:space="preserve"> (2014 – 2016/</w:t>
      </w:r>
      <w:r w:rsidR="00FD2034">
        <w:rPr>
          <w:rFonts w:ascii="Arial" w:hAnsi="Arial" w:cs="Arial"/>
          <w:b/>
          <w:sz w:val="22"/>
          <w:szCs w:val="22"/>
        </w:rPr>
        <w:t>20</w:t>
      </w:r>
      <w:r w:rsidR="00EB7C91" w:rsidRPr="00040AA9">
        <w:rPr>
          <w:rFonts w:ascii="Arial" w:hAnsi="Arial" w:cs="Arial"/>
          <w:b/>
          <w:sz w:val="22"/>
          <w:szCs w:val="22"/>
        </w:rPr>
        <w:t>17)</w:t>
      </w:r>
    </w:p>
    <w:p w14:paraId="5363E4DA" w14:textId="476AE354" w:rsidR="00385A50" w:rsidRPr="00040AA9" w:rsidRDefault="00F80C14" w:rsidP="00040AA9">
      <w:pPr>
        <w:suppressAutoHyphens/>
        <w:spacing w:before="120" w:after="120"/>
        <w:jc w:val="both"/>
        <w:rPr>
          <w:rFonts w:ascii="Arial" w:hAnsi="Arial" w:cs="Arial"/>
          <w:sz w:val="22"/>
          <w:szCs w:val="22"/>
          <w:lang w:val="en-GB"/>
        </w:rPr>
      </w:pPr>
      <w:r w:rsidRPr="00040AA9">
        <w:rPr>
          <w:rFonts w:ascii="Arial" w:hAnsi="Arial" w:cs="Arial"/>
          <w:sz w:val="22"/>
          <w:szCs w:val="22"/>
          <w:lang w:val="en-GB"/>
        </w:rPr>
        <w:t>After</w:t>
      </w:r>
      <w:r w:rsidR="00FE3F9D" w:rsidRPr="00040AA9">
        <w:rPr>
          <w:rFonts w:ascii="Arial" w:hAnsi="Arial" w:cs="Arial"/>
          <w:sz w:val="22"/>
          <w:szCs w:val="22"/>
          <w:lang w:val="en-GB"/>
        </w:rPr>
        <w:t xml:space="preserve"> signing the EFF with the IMF in May 2013</w:t>
      </w:r>
      <w:r w:rsidRPr="00040AA9">
        <w:rPr>
          <w:rFonts w:ascii="Arial" w:hAnsi="Arial" w:cs="Arial"/>
          <w:sz w:val="22"/>
          <w:szCs w:val="22"/>
          <w:lang w:val="en-GB"/>
        </w:rPr>
        <w:t>, Jamaica began to recover</w:t>
      </w:r>
      <w:r w:rsidR="00FE3F9D" w:rsidRPr="00040AA9">
        <w:rPr>
          <w:rFonts w:ascii="Arial" w:hAnsi="Arial" w:cs="Arial"/>
          <w:sz w:val="22"/>
          <w:szCs w:val="22"/>
          <w:lang w:val="en-GB"/>
        </w:rPr>
        <w:t xml:space="preserve"> from the economic conditions that </w:t>
      </w:r>
      <w:r w:rsidRPr="00040AA9">
        <w:rPr>
          <w:rFonts w:ascii="Arial" w:hAnsi="Arial" w:cs="Arial"/>
          <w:sz w:val="22"/>
          <w:szCs w:val="22"/>
          <w:lang w:val="en-GB"/>
        </w:rPr>
        <w:t xml:space="preserve">had </w:t>
      </w:r>
      <w:r w:rsidR="00FE3F9D" w:rsidRPr="00040AA9">
        <w:rPr>
          <w:rFonts w:ascii="Arial" w:hAnsi="Arial" w:cs="Arial"/>
          <w:sz w:val="22"/>
          <w:szCs w:val="22"/>
          <w:lang w:val="en-GB"/>
        </w:rPr>
        <w:t xml:space="preserve">led to the increasingly unsustainable fiscal deficit that prevailed at that time. Over the thirteen </w:t>
      </w:r>
      <w:r w:rsidR="00EB7C91" w:rsidRPr="00040AA9">
        <w:rPr>
          <w:rFonts w:ascii="Arial" w:hAnsi="Arial" w:cs="Arial"/>
          <w:sz w:val="22"/>
          <w:szCs w:val="22"/>
          <w:lang w:val="en-GB"/>
        </w:rPr>
        <w:t xml:space="preserve">EFF </w:t>
      </w:r>
      <w:r w:rsidR="00FE3F9D" w:rsidRPr="00040AA9">
        <w:rPr>
          <w:rFonts w:ascii="Arial" w:hAnsi="Arial" w:cs="Arial"/>
          <w:sz w:val="22"/>
          <w:szCs w:val="22"/>
          <w:lang w:val="en-GB"/>
        </w:rPr>
        <w:t xml:space="preserve">reviews, the </w:t>
      </w:r>
      <w:r w:rsidR="00EB7C91" w:rsidRPr="00040AA9">
        <w:rPr>
          <w:rFonts w:ascii="Arial" w:hAnsi="Arial" w:cs="Arial"/>
          <w:sz w:val="22"/>
          <w:szCs w:val="22"/>
          <w:lang w:val="en-GB"/>
        </w:rPr>
        <w:t xml:space="preserve">country’s reform </w:t>
      </w:r>
      <w:r w:rsidR="00FE3F9D" w:rsidRPr="00040AA9">
        <w:rPr>
          <w:rFonts w:ascii="Arial" w:hAnsi="Arial" w:cs="Arial"/>
          <w:sz w:val="22"/>
          <w:szCs w:val="22"/>
          <w:lang w:val="en-GB"/>
        </w:rPr>
        <w:t xml:space="preserve">programme complied with all structural benchmark indicators and all quantitative quarterly targets and therefore it </w:t>
      </w:r>
      <w:r w:rsidR="00A62C7B" w:rsidRPr="00040AA9">
        <w:rPr>
          <w:rFonts w:ascii="Arial" w:hAnsi="Arial" w:cs="Arial"/>
          <w:sz w:val="22"/>
          <w:szCs w:val="22"/>
          <w:lang w:val="en-GB"/>
        </w:rPr>
        <w:t xml:space="preserve">has </w:t>
      </w:r>
      <w:r w:rsidR="00EB7C91" w:rsidRPr="00040AA9">
        <w:rPr>
          <w:rFonts w:ascii="Arial" w:hAnsi="Arial" w:cs="Arial"/>
          <w:sz w:val="22"/>
          <w:szCs w:val="22"/>
          <w:lang w:val="en-GB"/>
        </w:rPr>
        <w:t xml:space="preserve">remained </w:t>
      </w:r>
      <w:r w:rsidR="00FE3F9D" w:rsidRPr="00040AA9">
        <w:rPr>
          <w:rFonts w:ascii="Arial" w:hAnsi="Arial" w:cs="Arial"/>
          <w:sz w:val="22"/>
          <w:szCs w:val="22"/>
          <w:lang w:val="en-GB"/>
        </w:rPr>
        <w:t>on track since the outset. In parallel, the autho</w:t>
      </w:r>
      <w:r w:rsidR="00DA0A4C" w:rsidRPr="00040AA9">
        <w:rPr>
          <w:rFonts w:ascii="Arial" w:hAnsi="Arial" w:cs="Arial"/>
          <w:sz w:val="22"/>
          <w:szCs w:val="22"/>
          <w:lang w:val="en-GB"/>
        </w:rPr>
        <w:t xml:space="preserve">rities </w:t>
      </w:r>
      <w:r w:rsidR="00FE3F9D" w:rsidRPr="00040AA9">
        <w:rPr>
          <w:rFonts w:ascii="Arial" w:hAnsi="Arial" w:cs="Arial"/>
          <w:sz w:val="22"/>
          <w:szCs w:val="22"/>
          <w:lang w:val="en-GB"/>
        </w:rPr>
        <w:t xml:space="preserve">successfully complied with all the structural reform conditions under the PBLs signed with the Bank. </w:t>
      </w:r>
    </w:p>
    <w:p w14:paraId="3A4F507E" w14:textId="3F09CCA6" w:rsidR="00385A50" w:rsidRPr="00040AA9" w:rsidRDefault="00F80C14" w:rsidP="00040AA9">
      <w:pPr>
        <w:suppressAutoHyphens/>
        <w:spacing w:before="120" w:after="120"/>
        <w:jc w:val="both"/>
        <w:rPr>
          <w:rFonts w:ascii="Arial" w:hAnsi="Arial" w:cs="Arial"/>
          <w:sz w:val="22"/>
          <w:szCs w:val="22"/>
        </w:rPr>
      </w:pPr>
      <w:r w:rsidRPr="00040AA9">
        <w:rPr>
          <w:rFonts w:ascii="Arial" w:hAnsi="Arial" w:cs="Arial"/>
          <w:sz w:val="22"/>
          <w:szCs w:val="22"/>
          <w:lang w:val="en-GB"/>
        </w:rPr>
        <w:t>O</w:t>
      </w:r>
      <w:r w:rsidR="00EB7C91" w:rsidRPr="00040AA9">
        <w:rPr>
          <w:rFonts w:ascii="Arial" w:hAnsi="Arial" w:cs="Arial"/>
          <w:sz w:val="22"/>
          <w:szCs w:val="22"/>
          <w:lang w:val="en-GB"/>
        </w:rPr>
        <w:t xml:space="preserve">ver the </w:t>
      </w:r>
      <w:r w:rsidRPr="00040AA9">
        <w:rPr>
          <w:rFonts w:ascii="Arial" w:hAnsi="Arial" w:cs="Arial"/>
          <w:sz w:val="22"/>
          <w:szCs w:val="22"/>
          <w:lang w:val="en-GB"/>
        </w:rPr>
        <w:t xml:space="preserve">three </w:t>
      </w:r>
      <w:r w:rsidR="00800B2A">
        <w:rPr>
          <w:rFonts w:ascii="Arial" w:hAnsi="Arial" w:cs="Arial"/>
          <w:sz w:val="22"/>
          <w:szCs w:val="22"/>
          <w:lang w:val="en-GB"/>
        </w:rPr>
        <w:t>FY</w:t>
      </w:r>
      <w:r w:rsidRPr="00040AA9">
        <w:rPr>
          <w:rFonts w:ascii="Arial" w:hAnsi="Arial" w:cs="Arial"/>
          <w:sz w:val="22"/>
          <w:szCs w:val="22"/>
          <w:lang w:val="en-GB"/>
        </w:rPr>
        <w:t>s (2013/</w:t>
      </w:r>
      <w:r w:rsidR="00FD2034">
        <w:rPr>
          <w:rFonts w:ascii="Arial" w:hAnsi="Arial" w:cs="Arial"/>
          <w:sz w:val="22"/>
          <w:szCs w:val="22"/>
          <w:lang w:val="en-GB"/>
        </w:rPr>
        <w:t>20</w:t>
      </w:r>
      <w:r w:rsidRPr="00040AA9">
        <w:rPr>
          <w:rFonts w:ascii="Arial" w:hAnsi="Arial" w:cs="Arial"/>
          <w:sz w:val="22"/>
          <w:szCs w:val="22"/>
          <w:lang w:val="en-GB"/>
        </w:rPr>
        <w:t>14-2015/</w:t>
      </w:r>
      <w:r w:rsidR="00FD2034">
        <w:rPr>
          <w:rFonts w:ascii="Arial" w:hAnsi="Arial" w:cs="Arial"/>
          <w:sz w:val="22"/>
          <w:szCs w:val="22"/>
          <w:lang w:val="en-GB"/>
        </w:rPr>
        <w:t>20</w:t>
      </w:r>
      <w:r w:rsidRPr="00040AA9">
        <w:rPr>
          <w:rFonts w:ascii="Arial" w:hAnsi="Arial" w:cs="Arial"/>
          <w:sz w:val="22"/>
          <w:szCs w:val="22"/>
          <w:lang w:val="en-GB"/>
        </w:rPr>
        <w:t xml:space="preserve">16), the Jamaican economy recorded an average annual growth rate of around 0.7% in real terms, </w:t>
      </w:r>
      <w:r w:rsidRPr="00040AA9">
        <w:rPr>
          <w:rFonts w:ascii="Arial" w:hAnsi="Arial" w:cs="Arial"/>
          <w:sz w:val="22"/>
          <w:szCs w:val="22"/>
        </w:rPr>
        <w:t xml:space="preserve">in line with its historically low growth of around 1%, </w:t>
      </w:r>
      <w:r w:rsidR="005F5C00" w:rsidRPr="00040AA9">
        <w:rPr>
          <w:rFonts w:ascii="Arial" w:hAnsi="Arial" w:cs="Arial"/>
          <w:sz w:val="22"/>
          <w:szCs w:val="22"/>
        </w:rPr>
        <w:t xml:space="preserve">which was even lower than other countries in </w:t>
      </w:r>
      <w:r w:rsidRPr="00040AA9">
        <w:rPr>
          <w:rFonts w:ascii="Arial" w:hAnsi="Arial" w:cs="Arial"/>
          <w:sz w:val="22"/>
          <w:szCs w:val="22"/>
        </w:rPr>
        <w:t>the Latin America and Caribbean (LAC) region</w:t>
      </w:r>
      <w:r w:rsidRPr="00040AA9">
        <w:rPr>
          <w:rFonts w:ascii="Arial" w:hAnsi="Arial" w:cs="Arial"/>
          <w:sz w:val="22"/>
          <w:szCs w:val="22"/>
          <w:lang w:val="en-GB"/>
        </w:rPr>
        <w:t xml:space="preserve">. On the positive side, inflation </w:t>
      </w:r>
      <w:r w:rsidR="005F5C00" w:rsidRPr="00040AA9">
        <w:rPr>
          <w:rFonts w:ascii="Arial" w:hAnsi="Arial" w:cs="Arial"/>
          <w:sz w:val="22"/>
          <w:szCs w:val="22"/>
          <w:lang w:val="en-GB"/>
        </w:rPr>
        <w:t xml:space="preserve">was </w:t>
      </w:r>
      <w:r w:rsidR="000B1E2F" w:rsidRPr="00040AA9">
        <w:rPr>
          <w:rFonts w:ascii="Arial" w:hAnsi="Arial" w:cs="Arial"/>
          <w:sz w:val="22"/>
          <w:szCs w:val="22"/>
          <w:lang w:val="en-GB"/>
        </w:rPr>
        <w:t>receding,</w:t>
      </w:r>
      <w:r w:rsidR="005F5C00" w:rsidRPr="00040AA9">
        <w:rPr>
          <w:rFonts w:ascii="Arial" w:hAnsi="Arial" w:cs="Arial"/>
          <w:sz w:val="22"/>
          <w:szCs w:val="22"/>
          <w:lang w:val="en-GB"/>
        </w:rPr>
        <w:t xml:space="preserve"> and reserves were</w:t>
      </w:r>
      <w:r w:rsidRPr="00040AA9">
        <w:rPr>
          <w:rFonts w:ascii="Arial" w:hAnsi="Arial" w:cs="Arial"/>
          <w:sz w:val="22"/>
          <w:szCs w:val="22"/>
          <w:lang w:val="en-GB"/>
        </w:rPr>
        <w:t xml:space="preserve"> increasing, tax revenues </w:t>
      </w:r>
      <w:r w:rsidR="00DF43D4" w:rsidRPr="00040AA9">
        <w:rPr>
          <w:rFonts w:ascii="Arial" w:hAnsi="Arial" w:cs="Arial"/>
          <w:sz w:val="22"/>
          <w:szCs w:val="22"/>
          <w:lang w:val="en-GB"/>
        </w:rPr>
        <w:t>increased</w:t>
      </w:r>
      <w:r w:rsidRPr="00040AA9">
        <w:rPr>
          <w:rFonts w:ascii="Arial" w:hAnsi="Arial" w:cs="Arial"/>
          <w:sz w:val="22"/>
          <w:szCs w:val="22"/>
          <w:lang w:val="en-GB"/>
        </w:rPr>
        <w:t xml:space="preserve"> from 23.5% to 24%, the overall deficit decreased from 6.4% to 0.5% of GDP and public debt declined from 140.5% to 120% of GDP. </w:t>
      </w:r>
      <w:r w:rsidR="00DF43D4" w:rsidRPr="00040AA9">
        <w:rPr>
          <w:rFonts w:ascii="Arial" w:hAnsi="Arial" w:cs="Arial"/>
          <w:sz w:val="22"/>
          <w:szCs w:val="22"/>
          <w:lang w:val="en-GB"/>
        </w:rPr>
        <w:t>In short w</w:t>
      </w:r>
      <w:r w:rsidRPr="00040AA9">
        <w:rPr>
          <w:rFonts w:ascii="Arial" w:hAnsi="Arial" w:cs="Arial"/>
          <w:sz w:val="22"/>
          <w:szCs w:val="22"/>
          <w:lang w:val="en-GB"/>
        </w:rPr>
        <w:t xml:space="preserve">hile some </w:t>
      </w:r>
      <w:r w:rsidR="00DF43D4" w:rsidRPr="00040AA9">
        <w:rPr>
          <w:rFonts w:ascii="Arial" w:hAnsi="Arial" w:cs="Arial"/>
          <w:sz w:val="22"/>
          <w:szCs w:val="22"/>
          <w:lang w:val="en-GB"/>
        </w:rPr>
        <w:t>reservations</w:t>
      </w:r>
      <w:r w:rsidRPr="00040AA9">
        <w:rPr>
          <w:rFonts w:ascii="Arial" w:hAnsi="Arial" w:cs="Arial"/>
          <w:sz w:val="22"/>
          <w:szCs w:val="22"/>
          <w:lang w:val="en-GB"/>
        </w:rPr>
        <w:t xml:space="preserve"> remain</w:t>
      </w:r>
      <w:r w:rsidR="00DF43D4" w:rsidRPr="00040AA9">
        <w:rPr>
          <w:rFonts w:ascii="Arial" w:hAnsi="Arial" w:cs="Arial"/>
          <w:sz w:val="22"/>
          <w:szCs w:val="22"/>
          <w:lang w:val="en-GB"/>
        </w:rPr>
        <w:t>ed</w:t>
      </w:r>
      <w:r w:rsidRPr="00040AA9">
        <w:rPr>
          <w:rFonts w:ascii="Arial" w:hAnsi="Arial" w:cs="Arial"/>
          <w:sz w:val="22"/>
          <w:szCs w:val="22"/>
          <w:lang w:val="en-GB"/>
        </w:rPr>
        <w:t xml:space="preserve"> due to Jamaica’s track record implementing fiscal adjustment programmes and </w:t>
      </w:r>
      <w:r w:rsidR="00C34D38" w:rsidRPr="00040AA9">
        <w:rPr>
          <w:rFonts w:ascii="Arial" w:hAnsi="Arial" w:cs="Arial"/>
          <w:sz w:val="22"/>
          <w:szCs w:val="22"/>
          <w:lang w:val="en-GB"/>
        </w:rPr>
        <w:t>it</w:t>
      </w:r>
      <w:r w:rsidR="00A95978">
        <w:rPr>
          <w:rFonts w:ascii="Arial" w:hAnsi="Arial" w:cs="Arial"/>
          <w:sz w:val="22"/>
          <w:szCs w:val="22"/>
          <w:lang w:val="en-GB"/>
        </w:rPr>
        <w:t>’</w:t>
      </w:r>
      <w:r w:rsidR="00C34D38" w:rsidRPr="00040AA9">
        <w:rPr>
          <w:rFonts w:ascii="Arial" w:hAnsi="Arial" w:cs="Arial"/>
          <w:sz w:val="22"/>
          <w:szCs w:val="22"/>
          <w:lang w:val="en-GB"/>
        </w:rPr>
        <w:t>s</w:t>
      </w:r>
      <w:r w:rsidR="00DF43D4" w:rsidRPr="00040AA9">
        <w:rPr>
          <w:rFonts w:ascii="Arial" w:hAnsi="Arial" w:cs="Arial"/>
          <w:sz w:val="22"/>
          <w:szCs w:val="22"/>
          <w:lang w:val="en-GB"/>
        </w:rPr>
        <w:t xml:space="preserve"> </w:t>
      </w:r>
      <w:r w:rsidRPr="00040AA9">
        <w:rPr>
          <w:rFonts w:ascii="Arial" w:hAnsi="Arial" w:cs="Arial"/>
          <w:sz w:val="22"/>
          <w:szCs w:val="22"/>
          <w:lang w:val="en-GB"/>
        </w:rPr>
        <w:t xml:space="preserve">still </w:t>
      </w:r>
      <w:r w:rsidR="00991BBE" w:rsidRPr="009C40BB">
        <w:rPr>
          <w:rFonts w:ascii="Arial" w:hAnsi="Arial" w:cs="Arial"/>
          <w:sz w:val="22"/>
          <w:szCs w:val="22"/>
          <w:lang w:val="en-GB"/>
        </w:rPr>
        <w:t>elevated level</w:t>
      </w:r>
      <w:r w:rsidRPr="00040AA9">
        <w:rPr>
          <w:rFonts w:ascii="Arial" w:hAnsi="Arial" w:cs="Arial"/>
          <w:sz w:val="22"/>
          <w:szCs w:val="22"/>
          <w:lang w:val="en-GB"/>
        </w:rPr>
        <w:t xml:space="preserve"> of debt and low growth, the multilateral and bilateral organizations </w:t>
      </w:r>
      <w:r w:rsidR="00C34D38" w:rsidRPr="00040AA9">
        <w:rPr>
          <w:rFonts w:ascii="Arial" w:hAnsi="Arial" w:cs="Arial"/>
          <w:sz w:val="22"/>
          <w:szCs w:val="22"/>
          <w:lang w:val="en-GB"/>
        </w:rPr>
        <w:t xml:space="preserve">recognized </w:t>
      </w:r>
      <w:r w:rsidRPr="00040AA9">
        <w:rPr>
          <w:rFonts w:ascii="Arial" w:hAnsi="Arial" w:cs="Arial"/>
          <w:sz w:val="22"/>
          <w:szCs w:val="22"/>
          <w:lang w:val="en-GB"/>
        </w:rPr>
        <w:t xml:space="preserve">that this time around, Jamaica </w:t>
      </w:r>
      <w:r w:rsidR="00C34D38" w:rsidRPr="00040AA9">
        <w:rPr>
          <w:rFonts w:ascii="Arial" w:hAnsi="Arial" w:cs="Arial"/>
          <w:sz w:val="22"/>
          <w:szCs w:val="22"/>
          <w:lang w:val="en-GB"/>
        </w:rPr>
        <w:t>was taking</w:t>
      </w:r>
      <w:r w:rsidRPr="00040AA9">
        <w:rPr>
          <w:rFonts w:ascii="Arial" w:hAnsi="Arial" w:cs="Arial"/>
          <w:sz w:val="22"/>
          <w:szCs w:val="22"/>
          <w:lang w:val="en-GB"/>
        </w:rPr>
        <w:t xml:space="preserve"> the right steps towards securing a sustainable fiscal path and higher growth rates.</w:t>
      </w:r>
      <w:r w:rsidR="00C34D38" w:rsidRPr="00040AA9">
        <w:rPr>
          <w:rFonts w:ascii="Arial" w:hAnsi="Arial" w:cs="Arial"/>
          <w:sz w:val="22"/>
          <w:szCs w:val="22"/>
        </w:rPr>
        <w:t xml:space="preserve"> </w:t>
      </w:r>
    </w:p>
    <w:p w14:paraId="1F843E45" w14:textId="77777777" w:rsidR="00E52E4C" w:rsidRPr="00040AA9" w:rsidRDefault="00E52E4C" w:rsidP="00040AA9">
      <w:pPr>
        <w:pStyle w:val="Heading3"/>
        <w:keepNext w:val="0"/>
        <w:keepLines w:val="0"/>
        <w:suppressAutoHyphens/>
        <w:spacing w:before="120" w:after="120"/>
        <w:jc w:val="both"/>
        <w:rPr>
          <w:szCs w:val="22"/>
        </w:rPr>
      </w:pPr>
      <w:r w:rsidRPr="00040AA9">
        <w:rPr>
          <w:szCs w:val="22"/>
        </w:rPr>
        <w:t>Alignment with country development needs</w:t>
      </w:r>
      <w:bookmarkEnd w:id="9"/>
    </w:p>
    <w:p w14:paraId="0096F62C" w14:textId="558A6FBC" w:rsidR="00E52E4C" w:rsidRPr="00040AA9" w:rsidRDefault="00316B44" w:rsidP="00040AA9">
      <w:pPr>
        <w:suppressAutoHyphens/>
        <w:spacing w:before="120" w:after="120"/>
        <w:jc w:val="both"/>
        <w:rPr>
          <w:rFonts w:ascii="Arial" w:hAnsi="Arial" w:cs="Arial"/>
          <w:spacing w:val="-2"/>
          <w:sz w:val="22"/>
          <w:szCs w:val="22"/>
        </w:rPr>
      </w:pPr>
      <w:r w:rsidRPr="00040AA9">
        <w:rPr>
          <w:rFonts w:ascii="Arial" w:hAnsi="Arial" w:cs="Arial"/>
          <w:sz w:val="22"/>
          <w:szCs w:val="22"/>
        </w:rPr>
        <w:t xml:space="preserve">The </w:t>
      </w:r>
      <w:r w:rsidR="00233F8E">
        <w:rPr>
          <w:rFonts w:ascii="Arial" w:hAnsi="Arial" w:cs="Arial"/>
          <w:sz w:val="22"/>
          <w:szCs w:val="22"/>
        </w:rPr>
        <w:t>Bank</w:t>
      </w:r>
      <w:r w:rsidR="00233F8E" w:rsidRPr="00040AA9">
        <w:rPr>
          <w:rFonts w:ascii="Arial" w:hAnsi="Arial" w:cs="Arial"/>
          <w:sz w:val="22"/>
          <w:szCs w:val="22"/>
        </w:rPr>
        <w:t xml:space="preserve"> </w:t>
      </w:r>
      <w:r w:rsidR="00370906">
        <w:rPr>
          <w:rFonts w:ascii="Arial" w:hAnsi="Arial" w:cs="Arial"/>
          <w:sz w:val="22"/>
          <w:szCs w:val="22"/>
        </w:rPr>
        <w:t>Country Strategy (</w:t>
      </w:r>
      <w:r w:rsidR="00370906" w:rsidRPr="00040AA9">
        <w:rPr>
          <w:rFonts w:ascii="Arial" w:hAnsi="Arial" w:cs="Arial"/>
          <w:sz w:val="22"/>
          <w:szCs w:val="22"/>
        </w:rPr>
        <w:t>CS</w:t>
      </w:r>
      <w:r w:rsidR="00370906">
        <w:rPr>
          <w:rFonts w:ascii="Arial" w:hAnsi="Arial" w:cs="Arial"/>
          <w:sz w:val="22"/>
          <w:szCs w:val="22"/>
        </w:rPr>
        <w:t>)</w:t>
      </w:r>
      <w:r w:rsidRPr="00040AA9">
        <w:rPr>
          <w:rFonts w:ascii="Arial" w:hAnsi="Arial" w:cs="Arial"/>
          <w:sz w:val="22"/>
          <w:szCs w:val="22"/>
        </w:rPr>
        <w:t xml:space="preserve"> with Jamaica 2013-2014 highlights the deterioration in fiscal sustainability and the imbalance in the external account as drivers for the </w:t>
      </w:r>
      <w:r w:rsidR="00FD2034">
        <w:rPr>
          <w:rFonts w:ascii="Arial" w:hAnsi="Arial" w:cs="Arial"/>
          <w:sz w:val="22"/>
          <w:szCs w:val="22"/>
        </w:rPr>
        <w:t>g</w:t>
      </w:r>
      <w:r w:rsidRPr="00040AA9">
        <w:rPr>
          <w:rFonts w:ascii="Arial" w:hAnsi="Arial" w:cs="Arial"/>
          <w:sz w:val="22"/>
          <w:szCs w:val="22"/>
        </w:rPr>
        <w:t xml:space="preserve">overnment to take strong and immediate initiatives to put the economy on a path toward greater stability in the medium term. </w:t>
      </w:r>
      <w:r w:rsidR="00FB4019" w:rsidRPr="00040AA9">
        <w:rPr>
          <w:rFonts w:ascii="Arial" w:hAnsi="Arial" w:cs="Arial"/>
          <w:sz w:val="22"/>
          <w:szCs w:val="22"/>
        </w:rPr>
        <w:t>Among the</w:t>
      </w:r>
      <w:r w:rsidR="000C7A3E" w:rsidRPr="00040AA9">
        <w:rPr>
          <w:rFonts w:ascii="Arial" w:hAnsi="Arial" w:cs="Arial"/>
          <w:sz w:val="22"/>
          <w:szCs w:val="22"/>
        </w:rPr>
        <w:t xml:space="preserve"> key reforms</w:t>
      </w:r>
      <w:r w:rsidR="00FB4019" w:rsidRPr="00040AA9">
        <w:rPr>
          <w:rFonts w:ascii="Arial" w:hAnsi="Arial" w:cs="Arial"/>
          <w:sz w:val="22"/>
          <w:szCs w:val="22"/>
        </w:rPr>
        <w:t xml:space="preserve"> required to achieve this stability the CS</w:t>
      </w:r>
      <w:r w:rsidR="000C7A3E" w:rsidRPr="00040AA9">
        <w:rPr>
          <w:rFonts w:ascii="Arial" w:hAnsi="Arial" w:cs="Arial"/>
          <w:sz w:val="22"/>
          <w:szCs w:val="22"/>
        </w:rPr>
        <w:t xml:space="preserve"> </w:t>
      </w:r>
      <w:r w:rsidR="00042D6C" w:rsidRPr="00040AA9">
        <w:rPr>
          <w:rFonts w:ascii="Arial" w:hAnsi="Arial" w:cs="Arial"/>
          <w:sz w:val="22"/>
          <w:szCs w:val="22"/>
        </w:rPr>
        <w:t>identifies the areas of “</w:t>
      </w:r>
      <w:r w:rsidR="00085046" w:rsidRPr="00040AA9">
        <w:rPr>
          <w:rFonts w:ascii="Arial" w:hAnsi="Arial" w:cs="Arial"/>
          <w:sz w:val="22"/>
          <w:szCs w:val="22"/>
        </w:rPr>
        <w:t>…</w:t>
      </w:r>
      <w:r w:rsidR="00042D6C" w:rsidRPr="00040AA9">
        <w:rPr>
          <w:rFonts w:ascii="Arial" w:hAnsi="Arial" w:cs="Arial"/>
          <w:sz w:val="22"/>
          <w:szCs w:val="22"/>
        </w:rPr>
        <w:t xml:space="preserve">tax regime </w:t>
      </w:r>
      <w:r w:rsidR="00042D6C" w:rsidRPr="00040AA9">
        <w:rPr>
          <w:rFonts w:ascii="Arial" w:hAnsi="Arial" w:cs="Arial"/>
          <w:spacing w:val="-2"/>
          <w:sz w:val="22"/>
          <w:szCs w:val="22"/>
        </w:rPr>
        <w:t xml:space="preserve">(to reduce waivers, widen the tax net and increase compliance), public pensions (that are financed out of the annual budget); public sector rationalization (to reduce the expenditure on recurrent </w:t>
      </w:r>
      <w:r w:rsidR="00233F8E" w:rsidRPr="009C40BB">
        <w:rPr>
          <w:rFonts w:ascii="Arial" w:hAnsi="Arial" w:cs="Arial"/>
          <w:spacing w:val="-2"/>
          <w:sz w:val="22"/>
          <w:szCs w:val="22"/>
        </w:rPr>
        <w:t>costs) …</w:t>
      </w:r>
      <w:r w:rsidR="00042D6C" w:rsidRPr="00040AA9">
        <w:rPr>
          <w:rFonts w:ascii="Arial" w:hAnsi="Arial" w:cs="Arial"/>
          <w:spacing w:val="-2"/>
          <w:sz w:val="22"/>
          <w:szCs w:val="22"/>
        </w:rPr>
        <w:t>.”</w:t>
      </w:r>
      <w:r w:rsidR="00042D6C" w:rsidRPr="00040AA9">
        <w:rPr>
          <w:rStyle w:val="FootnoteReference"/>
          <w:rFonts w:ascii="Arial" w:hAnsi="Arial" w:cs="Arial"/>
          <w:spacing w:val="-2"/>
          <w:sz w:val="22"/>
          <w:szCs w:val="22"/>
        </w:rPr>
        <w:footnoteReference w:id="15"/>
      </w:r>
      <w:r w:rsidR="007223CC">
        <w:rPr>
          <w:rFonts w:ascii="Arial" w:hAnsi="Arial" w:cs="Arial"/>
          <w:spacing w:val="-2"/>
          <w:sz w:val="22"/>
          <w:szCs w:val="22"/>
        </w:rPr>
        <w:t>. The program was also aligned with</w:t>
      </w:r>
      <w:r w:rsidR="009908F9">
        <w:rPr>
          <w:rFonts w:ascii="Arial" w:hAnsi="Arial" w:cs="Arial"/>
          <w:spacing w:val="-2"/>
          <w:sz w:val="22"/>
          <w:szCs w:val="22"/>
        </w:rPr>
        <w:t xml:space="preserve"> one of the objectives stated in</w:t>
      </w:r>
      <w:r w:rsidR="007223CC">
        <w:rPr>
          <w:rFonts w:ascii="Arial" w:hAnsi="Arial" w:cs="Arial"/>
          <w:spacing w:val="-2"/>
          <w:sz w:val="22"/>
          <w:szCs w:val="22"/>
        </w:rPr>
        <w:t xml:space="preserve"> the Bank</w:t>
      </w:r>
      <w:r w:rsidR="00453903">
        <w:rPr>
          <w:rFonts w:ascii="Arial" w:hAnsi="Arial" w:cs="Arial"/>
          <w:spacing w:val="-2"/>
          <w:sz w:val="22"/>
          <w:szCs w:val="22"/>
        </w:rPr>
        <w:t>’s</w:t>
      </w:r>
      <w:r w:rsidR="007223CC">
        <w:rPr>
          <w:rFonts w:ascii="Arial" w:hAnsi="Arial" w:cs="Arial"/>
          <w:spacing w:val="-2"/>
          <w:sz w:val="22"/>
          <w:szCs w:val="22"/>
        </w:rPr>
        <w:t xml:space="preserve"> </w:t>
      </w:r>
      <w:r w:rsidR="00453903">
        <w:rPr>
          <w:rFonts w:ascii="Arial" w:hAnsi="Arial" w:cs="Arial"/>
          <w:spacing w:val="-2"/>
          <w:sz w:val="22"/>
          <w:szCs w:val="22"/>
        </w:rPr>
        <w:t xml:space="preserve">2016-2021 </w:t>
      </w:r>
      <w:r w:rsidR="007223CC">
        <w:rPr>
          <w:rFonts w:ascii="Arial" w:hAnsi="Arial" w:cs="Arial"/>
          <w:spacing w:val="-2"/>
          <w:sz w:val="22"/>
          <w:szCs w:val="22"/>
        </w:rPr>
        <w:t>CS with Jamaica</w:t>
      </w:r>
      <w:r w:rsidR="009908F9">
        <w:rPr>
          <w:rFonts w:ascii="Arial" w:hAnsi="Arial" w:cs="Arial"/>
          <w:spacing w:val="-2"/>
          <w:sz w:val="22"/>
          <w:szCs w:val="22"/>
        </w:rPr>
        <w:t>, namely;</w:t>
      </w:r>
      <w:r w:rsidR="007223CC">
        <w:rPr>
          <w:rFonts w:ascii="Arial" w:hAnsi="Arial" w:cs="Arial"/>
          <w:spacing w:val="-2"/>
          <w:sz w:val="22"/>
          <w:szCs w:val="22"/>
        </w:rPr>
        <w:t xml:space="preserve"> “Improve public sector management”. </w:t>
      </w:r>
    </w:p>
    <w:p w14:paraId="0F276215" w14:textId="50BCF827" w:rsidR="00C87E68" w:rsidRPr="00040AA9" w:rsidRDefault="00C163A8" w:rsidP="00040AA9">
      <w:pPr>
        <w:pStyle w:val="p1"/>
        <w:suppressAutoHyphens/>
        <w:spacing w:before="120" w:after="120"/>
        <w:jc w:val="both"/>
        <w:rPr>
          <w:rFonts w:ascii="Arial" w:hAnsi="Arial" w:cs="Arial"/>
          <w:sz w:val="22"/>
          <w:szCs w:val="22"/>
        </w:rPr>
      </w:pPr>
      <w:r w:rsidRPr="00040AA9">
        <w:rPr>
          <w:rFonts w:ascii="Arial" w:hAnsi="Arial" w:cs="Arial"/>
          <w:spacing w:val="-2"/>
          <w:sz w:val="22"/>
          <w:szCs w:val="22"/>
        </w:rPr>
        <w:t xml:space="preserve">The </w:t>
      </w:r>
      <w:proofErr w:type="spellStart"/>
      <w:r w:rsidRPr="00040AA9">
        <w:rPr>
          <w:rFonts w:ascii="Arial" w:hAnsi="Arial" w:cs="Arial"/>
          <w:spacing w:val="-2"/>
          <w:sz w:val="22"/>
          <w:szCs w:val="22"/>
        </w:rPr>
        <w:t>GoJ’s</w:t>
      </w:r>
      <w:proofErr w:type="spellEnd"/>
      <w:r w:rsidRPr="00040AA9">
        <w:rPr>
          <w:rFonts w:ascii="Arial" w:hAnsi="Arial" w:cs="Arial"/>
          <w:spacing w:val="-2"/>
          <w:sz w:val="22"/>
          <w:szCs w:val="22"/>
        </w:rPr>
        <w:t xml:space="preserve"> own Fiscal Policy Paper</w:t>
      </w:r>
      <w:r w:rsidR="00A060F6" w:rsidRPr="00040AA9">
        <w:rPr>
          <w:rFonts w:ascii="Arial" w:hAnsi="Arial" w:cs="Arial"/>
          <w:spacing w:val="-2"/>
          <w:sz w:val="22"/>
          <w:szCs w:val="22"/>
        </w:rPr>
        <w:t xml:space="preserve"> (FPP)</w:t>
      </w:r>
      <w:r w:rsidRPr="00040AA9">
        <w:rPr>
          <w:rFonts w:ascii="Arial" w:hAnsi="Arial" w:cs="Arial"/>
          <w:spacing w:val="-2"/>
          <w:sz w:val="22"/>
          <w:szCs w:val="22"/>
        </w:rPr>
        <w:t xml:space="preserve"> for FY 2013/14 identifies “…</w:t>
      </w:r>
      <w:r w:rsidRPr="00040AA9">
        <w:rPr>
          <w:rFonts w:ascii="Arial" w:hAnsi="Arial" w:cs="Arial"/>
          <w:sz w:val="22"/>
          <w:szCs w:val="22"/>
        </w:rPr>
        <w:t>the Government’s broad strategic priorities from FY 2013/14 and through the medium term are economic growth, price stability, job creation and poverty reduction, underpinned by tight expenditure management, tax reform, pension reform, public sector transformation and reduction in corruption and waste.”</w:t>
      </w:r>
      <w:r w:rsidRPr="00040AA9">
        <w:rPr>
          <w:rStyle w:val="FootnoteReference"/>
          <w:rFonts w:ascii="Arial" w:hAnsi="Arial" w:cs="Arial"/>
          <w:sz w:val="22"/>
          <w:szCs w:val="22"/>
        </w:rPr>
        <w:footnoteReference w:id="16"/>
      </w:r>
      <w:r w:rsidRPr="00040AA9">
        <w:rPr>
          <w:rFonts w:ascii="Arial" w:hAnsi="Arial" w:cs="Arial"/>
          <w:sz w:val="22"/>
          <w:szCs w:val="22"/>
        </w:rPr>
        <w:t xml:space="preserve"> </w:t>
      </w:r>
    </w:p>
    <w:p w14:paraId="24721FC6" w14:textId="079FB2F2" w:rsidR="007223CC" w:rsidRDefault="00C163A8" w:rsidP="00040AA9">
      <w:pPr>
        <w:pStyle w:val="p1"/>
        <w:suppressAutoHyphens/>
        <w:spacing w:before="120" w:after="120"/>
        <w:jc w:val="both"/>
        <w:rPr>
          <w:rFonts w:ascii="Arial" w:hAnsi="Arial" w:cs="Arial"/>
          <w:sz w:val="22"/>
          <w:szCs w:val="22"/>
        </w:rPr>
      </w:pPr>
      <w:r w:rsidRPr="00040AA9">
        <w:rPr>
          <w:rFonts w:ascii="Arial" w:hAnsi="Arial" w:cs="Arial"/>
          <w:sz w:val="22"/>
          <w:szCs w:val="22"/>
        </w:rPr>
        <w:t xml:space="preserve">The FISPEG operation was directly aligned with </w:t>
      </w:r>
      <w:r w:rsidR="007A214B" w:rsidRPr="00040AA9">
        <w:rPr>
          <w:rFonts w:ascii="Arial" w:hAnsi="Arial" w:cs="Arial"/>
          <w:sz w:val="22"/>
          <w:szCs w:val="22"/>
        </w:rPr>
        <w:t>the country’s development needs</w:t>
      </w:r>
      <w:r w:rsidR="00A060F6" w:rsidRPr="00040AA9">
        <w:rPr>
          <w:rFonts w:ascii="Arial" w:hAnsi="Arial" w:cs="Arial"/>
          <w:sz w:val="22"/>
          <w:szCs w:val="22"/>
        </w:rPr>
        <w:t xml:space="preserve"> as identified in both the CS and the FPP</w:t>
      </w:r>
      <w:r w:rsidR="007A214B" w:rsidRPr="00040AA9">
        <w:rPr>
          <w:rFonts w:ascii="Arial" w:hAnsi="Arial" w:cs="Arial"/>
          <w:sz w:val="22"/>
          <w:szCs w:val="22"/>
        </w:rPr>
        <w:t xml:space="preserve"> in the areas of tight expenditure management, tax reform, pension reform, and </w:t>
      </w:r>
      <w:r w:rsidR="00FD2034" w:rsidRPr="009C40BB">
        <w:rPr>
          <w:rFonts w:ascii="Arial" w:hAnsi="Arial" w:cs="Arial"/>
          <w:sz w:val="22"/>
          <w:szCs w:val="22"/>
        </w:rPr>
        <w:t>public-sector</w:t>
      </w:r>
      <w:r w:rsidR="007A214B" w:rsidRPr="00040AA9">
        <w:rPr>
          <w:rFonts w:ascii="Arial" w:hAnsi="Arial" w:cs="Arial"/>
          <w:sz w:val="22"/>
          <w:szCs w:val="22"/>
        </w:rPr>
        <w:t xml:space="preserve"> transformation as manifest</w:t>
      </w:r>
      <w:r w:rsidR="00A95978">
        <w:rPr>
          <w:rFonts w:ascii="Arial" w:hAnsi="Arial" w:cs="Arial"/>
          <w:sz w:val="22"/>
          <w:szCs w:val="22"/>
        </w:rPr>
        <w:t>ed</w:t>
      </w:r>
      <w:r w:rsidR="007A214B" w:rsidRPr="00040AA9">
        <w:rPr>
          <w:rFonts w:ascii="Arial" w:hAnsi="Arial" w:cs="Arial"/>
          <w:sz w:val="22"/>
          <w:szCs w:val="22"/>
        </w:rPr>
        <w:t xml:space="preserve"> </w:t>
      </w:r>
      <w:r w:rsidR="00A95978">
        <w:rPr>
          <w:rFonts w:ascii="Arial" w:hAnsi="Arial" w:cs="Arial"/>
          <w:sz w:val="22"/>
          <w:szCs w:val="22"/>
        </w:rPr>
        <w:t>by</w:t>
      </w:r>
      <w:r w:rsidR="007A214B" w:rsidRPr="00040AA9">
        <w:rPr>
          <w:rFonts w:ascii="Arial" w:hAnsi="Arial" w:cs="Arial"/>
          <w:sz w:val="22"/>
          <w:szCs w:val="22"/>
        </w:rPr>
        <w:t xml:space="preserve"> the administrative </w:t>
      </w:r>
      <w:r w:rsidR="00C87E68" w:rsidRPr="00040AA9">
        <w:rPr>
          <w:rFonts w:ascii="Arial" w:hAnsi="Arial" w:cs="Arial"/>
          <w:sz w:val="22"/>
          <w:szCs w:val="22"/>
        </w:rPr>
        <w:t>restructuring and strengthening of the agencies directly responsible for implementing these reforms</w:t>
      </w:r>
      <w:r w:rsidR="00C87E68" w:rsidRPr="009C40BB">
        <w:rPr>
          <w:rFonts w:ascii="Arial" w:hAnsi="Arial" w:cs="Arial"/>
          <w:sz w:val="22"/>
          <w:szCs w:val="22"/>
        </w:rPr>
        <w:t>.</w:t>
      </w:r>
    </w:p>
    <w:p w14:paraId="290375D5" w14:textId="503A047C" w:rsidR="00C163A8" w:rsidRPr="009C40BB" w:rsidRDefault="007223CC" w:rsidP="00040AA9">
      <w:pPr>
        <w:pStyle w:val="p1"/>
        <w:suppressAutoHyphens/>
        <w:spacing w:before="120" w:after="120"/>
        <w:jc w:val="both"/>
        <w:rPr>
          <w:rFonts w:ascii="Arial" w:hAnsi="Arial" w:cs="Arial"/>
          <w:sz w:val="22"/>
          <w:szCs w:val="22"/>
        </w:rPr>
      </w:pPr>
      <w:r>
        <w:rPr>
          <w:rFonts w:ascii="Arial" w:hAnsi="Arial" w:cs="Arial"/>
          <w:sz w:val="22"/>
          <w:szCs w:val="22"/>
        </w:rPr>
        <w:t>Strategic alignment is discussed in section 4.1.</w:t>
      </w:r>
      <w:r w:rsidR="00C87E68" w:rsidRPr="009C40BB">
        <w:rPr>
          <w:rFonts w:ascii="Arial" w:hAnsi="Arial" w:cs="Arial"/>
          <w:sz w:val="22"/>
          <w:szCs w:val="22"/>
        </w:rPr>
        <w:t xml:space="preserve">  </w:t>
      </w:r>
      <w:r w:rsidR="007A214B" w:rsidRPr="009C40BB">
        <w:rPr>
          <w:rFonts w:ascii="Arial" w:hAnsi="Arial" w:cs="Arial"/>
          <w:sz w:val="22"/>
          <w:szCs w:val="22"/>
        </w:rPr>
        <w:t xml:space="preserve"> </w:t>
      </w:r>
    </w:p>
    <w:p w14:paraId="3A6EA903" w14:textId="77777777" w:rsidR="00E52E4C" w:rsidRPr="00040AA9" w:rsidRDefault="00E52E4C" w:rsidP="00040AA9">
      <w:pPr>
        <w:pStyle w:val="Heading3"/>
        <w:suppressAutoHyphens/>
        <w:spacing w:before="120" w:after="120"/>
        <w:jc w:val="both"/>
        <w:rPr>
          <w:szCs w:val="22"/>
        </w:rPr>
      </w:pPr>
      <w:bookmarkStart w:id="10" w:name="_Toc469493895"/>
      <w:bookmarkStart w:id="11" w:name="_Hlk506377767"/>
      <w:r w:rsidRPr="00040AA9">
        <w:rPr>
          <w:szCs w:val="22"/>
        </w:rPr>
        <w:t>Vertical logic</w:t>
      </w:r>
      <w:bookmarkEnd w:id="10"/>
    </w:p>
    <w:p w14:paraId="08D7C19D" w14:textId="14A09362" w:rsidR="00401D3C" w:rsidRDefault="00917D04" w:rsidP="00401D3C">
      <w:pPr>
        <w:widowControl w:val="0"/>
        <w:suppressAutoHyphens/>
        <w:spacing w:before="120" w:after="120"/>
        <w:jc w:val="both"/>
        <w:rPr>
          <w:rFonts w:ascii="Arial" w:hAnsi="Arial" w:cs="Arial"/>
          <w:sz w:val="22"/>
          <w:szCs w:val="22"/>
        </w:rPr>
      </w:pPr>
      <w:r w:rsidRPr="00040AA9">
        <w:rPr>
          <w:rFonts w:ascii="Arial" w:hAnsi="Arial" w:cs="Arial"/>
          <w:sz w:val="22"/>
          <w:szCs w:val="22"/>
        </w:rPr>
        <w:t xml:space="preserve">The program was intended to have two broad impacts: </w:t>
      </w:r>
      <w:r w:rsidR="000005C3" w:rsidRPr="00040AA9">
        <w:rPr>
          <w:rFonts w:ascii="Arial" w:hAnsi="Arial" w:cs="Arial"/>
          <w:sz w:val="22"/>
          <w:szCs w:val="22"/>
        </w:rPr>
        <w:t>(</w:t>
      </w:r>
      <w:proofErr w:type="spellStart"/>
      <w:r w:rsidR="000005C3" w:rsidRPr="00040AA9">
        <w:rPr>
          <w:rFonts w:ascii="Arial" w:hAnsi="Arial" w:cs="Arial"/>
          <w:sz w:val="22"/>
          <w:szCs w:val="22"/>
        </w:rPr>
        <w:t>i</w:t>
      </w:r>
      <w:proofErr w:type="spellEnd"/>
      <w:r w:rsidR="000005C3" w:rsidRPr="00040AA9">
        <w:rPr>
          <w:rFonts w:ascii="Arial" w:hAnsi="Arial" w:cs="Arial"/>
          <w:sz w:val="22"/>
          <w:szCs w:val="22"/>
        </w:rPr>
        <w:t xml:space="preserve">) </w:t>
      </w:r>
      <w:r w:rsidRPr="00040AA9">
        <w:rPr>
          <w:rFonts w:ascii="Arial" w:hAnsi="Arial" w:cs="Arial"/>
          <w:sz w:val="22"/>
          <w:szCs w:val="22"/>
        </w:rPr>
        <w:t xml:space="preserve">improve the </w:t>
      </w:r>
      <w:r w:rsidR="00FD2034" w:rsidRPr="00233F8E">
        <w:rPr>
          <w:rFonts w:ascii="Arial" w:hAnsi="Arial" w:cs="Arial"/>
          <w:sz w:val="22"/>
          <w:szCs w:val="22"/>
        </w:rPr>
        <w:t>public-sector</w:t>
      </w:r>
      <w:r w:rsidRPr="00040AA9">
        <w:rPr>
          <w:rFonts w:ascii="Arial" w:hAnsi="Arial" w:cs="Arial"/>
          <w:sz w:val="22"/>
          <w:szCs w:val="22"/>
        </w:rPr>
        <w:t xml:space="preserve"> balance as a percent of GDP</w:t>
      </w:r>
      <w:r w:rsidR="00FD2034">
        <w:rPr>
          <w:rFonts w:ascii="Arial" w:hAnsi="Arial" w:cs="Arial"/>
          <w:sz w:val="22"/>
          <w:szCs w:val="22"/>
        </w:rPr>
        <w:t>;</w:t>
      </w:r>
      <w:r w:rsidRPr="00040AA9">
        <w:rPr>
          <w:rFonts w:ascii="Arial" w:hAnsi="Arial" w:cs="Arial"/>
          <w:sz w:val="22"/>
          <w:szCs w:val="22"/>
        </w:rPr>
        <w:t xml:space="preserve"> and </w:t>
      </w:r>
      <w:r w:rsidR="000005C3" w:rsidRPr="00040AA9">
        <w:rPr>
          <w:rFonts w:ascii="Arial" w:hAnsi="Arial" w:cs="Arial"/>
          <w:sz w:val="22"/>
          <w:szCs w:val="22"/>
        </w:rPr>
        <w:t xml:space="preserve">(ii) </w:t>
      </w:r>
      <w:r w:rsidRPr="00040AA9">
        <w:rPr>
          <w:rFonts w:ascii="Arial" w:hAnsi="Arial" w:cs="Arial"/>
          <w:sz w:val="22"/>
          <w:szCs w:val="22"/>
        </w:rPr>
        <w:t>contribute to increased economic growth. The bulk of the outcomes and corresponding outputs were focused on achieving the first of thes</w:t>
      </w:r>
      <w:r w:rsidR="002419C3" w:rsidRPr="00040AA9">
        <w:rPr>
          <w:rFonts w:ascii="Arial" w:hAnsi="Arial" w:cs="Arial"/>
          <w:sz w:val="22"/>
          <w:szCs w:val="22"/>
        </w:rPr>
        <w:t>e, given the fundamental fiscal</w:t>
      </w:r>
      <w:r w:rsidR="003606E2">
        <w:rPr>
          <w:rFonts w:ascii="Arial" w:hAnsi="Arial" w:cs="Arial"/>
          <w:sz w:val="22"/>
          <w:szCs w:val="22"/>
        </w:rPr>
        <w:noBreakHyphen/>
      </w:r>
      <w:r w:rsidRPr="00040AA9">
        <w:rPr>
          <w:rFonts w:ascii="Arial" w:hAnsi="Arial" w:cs="Arial"/>
          <w:sz w:val="22"/>
          <w:szCs w:val="22"/>
        </w:rPr>
        <w:t>reform thrust of the program</w:t>
      </w:r>
      <w:r w:rsidRPr="00014AB8">
        <w:rPr>
          <w:rFonts w:ascii="Arial" w:hAnsi="Arial" w:cs="Arial"/>
          <w:sz w:val="22"/>
          <w:szCs w:val="22"/>
        </w:rPr>
        <w:t xml:space="preserve">. </w:t>
      </w:r>
      <w:r w:rsidR="00952434" w:rsidRPr="00CB061A">
        <w:rPr>
          <w:rFonts w:ascii="Arial" w:hAnsi="Arial" w:cs="Arial"/>
          <w:sz w:val="22"/>
          <w:szCs w:val="22"/>
        </w:rPr>
        <w:t xml:space="preserve">Annex </w:t>
      </w:r>
      <w:r w:rsidR="001E1BFA" w:rsidRPr="00CB061A">
        <w:rPr>
          <w:rFonts w:ascii="Arial" w:hAnsi="Arial" w:cs="Arial"/>
          <w:sz w:val="22"/>
          <w:szCs w:val="22"/>
        </w:rPr>
        <w:t>I</w:t>
      </w:r>
      <w:r w:rsidR="001E1BFA" w:rsidRPr="00014AB8">
        <w:rPr>
          <w:rFonts w:ascii="Arial" w:hAnsi="Arial" w:cs="Arial"/>
          <w:sz w:val="22"/>
          <w:szCs w:val="22"/>
        </w:rPr>
        <w:t xml:space="preserve"> </w:t>
      </w:r>
      <w:r w:rsidRPr="00014AB8">
        <w:rPr>
          <w:rFonts w:ascii="Arial" w:hAnsi="Arial" w:cs="Arial"/>
          <w:sz w:val="22"/>
          <w:szCs w:val="22"/>
        </w:rPr>
        <w:t xml:space="preserve">links the three levels </w:t>
      </w:r>
      <w:r w:rsidR="00527841" w:rsidRPr="00014AB8">
        <w:rPr>
          <w:rFonts w:ascii="Arial" w:hAnsi="Arial" w:cs="Arial"/>
          <w:sz w:val="22"/>
          <w:szCs w:val="22"/>
        </w:rPr>
        <w:t>of impact, outcomes</w:t>
      </w:r>
      <w:r w:rsidR="00723A55">
        <w:rPr>
          <w:rFonts w:ascii="Arial" w:hAnsi="Arial" w:cs="Arial"/>
          <w:sz w:val="22"/>
          <w:szCs w:val="22"/>
        </w:rPr>
        <w:t>,</w:t>
      </w:r>
      <w:r w:rsidR="00527841" w:rsidRPr="00014AB8">
        <w:rPr>
          <w:rFonts w:ascii="Arial" w:hAnsi="Arial" w:cs="Arial"/>
          <w:sz w:val="22"/>
          <w:szCs w:val="22"/>
        </w:rPr>
        <w:t xml:space="preserve"> and outputs.</w:t>
      </w:r>
      <w:r w:rsidR="00F75088">
        <w:rPr>
          <w:rFonts w:ascii="Arial" w:hAnsi="Arial" w:cs="Arial"/>
          <w:sz w:val="22"/>
          <w:szCs w:val="22"/>
          <w:u w:val="single"/>
        </w:rPr>
        <w:t xml:space="preserve"> </w:t>
      </w:r>
      <w:r w:rsidR="0043527B" w:rsidRPr="00040AA9">
        <w:rPr>
          <w:rFonts w:ascii="Arial" w:hAnsi="Arial" w:cs="Arial"/>
          <w:sz w:val="22"/>
          <w:szCs w:val="22"/>
        </w:rPr>
        <w:t xml:space="preserve">The </w:t>
      </w:r>
      <w:r w:rsidR="00FD2034">
        <w:rPr>
          <w:rFonts w:ascii="Arial" w:hAnsi="Arial" w:cs="Arial"/>
          <w:sz w:val="22"/>
          <w:szCs w:val="22"/>
        </w:rPr>
        <w:t>a</w:t>
      </w:r>
      <w:r w:rsidR="0043527B" w:rsidRPr="00040AA9">
        <w:rPr>
          <w:rFonts w:ascii="Arial" w:hAnsi="Arial" w:cs="Arial"/>
          <w:sz w:val="22"/>
          <w:szCs w:val="22"/>
        </w:rPr>
        <w:t>nnex</w:t>
      </w:r>
      <w:r w:rsidR="00527841" w:rsidRPr="00040AA9">
        <w:rPr>
          <w:rFonts w:ascii="Arial" w:hAnsi="Arial" w:cs="Arial"/>
          <w:sz w:val="22"/>
          <w:szCs w:val="22"/>
        </w:rPr>
        <w:t xml:space="preserve"> </w:t>
      </w:r>
      <w:r w:rsidRPr="00040AA9">
        <w:rPr>
          <w:rFonts w:ascii="Arial" w:hAnsi="Arial" w:cs="Arial"/>
          <w:sz w:val="22"/>
          <w:szCs w:val="22"/>
        </w:rPr>
        <w:t>categorizes the 19 outcomes according to which of the two impact indicators they most pertain</w:t>
      </w:r>
      <w:r w:rsidR="00527841" w:rsidRPr="00040AA9">
        <w:rPr>
          <w:rFonts w:ascii="Arial" w:hAnsi="Arial" w:cs="Arial"/>
          <w:sz w:val="22"/>
          <w:szCs w:val="22"/>
        </w:rPr>
        <w:t>. The table also categorizes</w:t>
      </w:r>
      <w:r w:rsidR="00682BC0" w:rsidRPr="00040AA9">
        <w:rPr>
          <w:rFonts w:ascii="Arial" w:hAnsi="Arial" w:cs="Arial"/>
          <w:sz w:val="22"/>
          <w:szCs w:val="22"/>
        </w:rPr>
        <w:t xml:space="preserve"> the </w:t>
      </w:r>
      <w:r w:rsidR="004A400A" w:rsidRPr="00040AA9">
        <w:rPr>
          <w:rFonts w:ascii="Arial" w:hAnsi="Arial" w:cs="Arial"/>
          <w:sz w:val="22"/>
          <w:szCs w:val="22"/>
        </w:rPr>
        <w:t>53</w:t>
      </w:r>
      <w:r w:rsidR="00D15EB3" w:rsidRPr="00040AA9">
        <w:rPr>
          <w:rFonts w:ascii="Arial" w:hAnsi="Arial" w:cs="Arial"/>
          <w:sz w:val="22"/>
          <w:szCs w:val="22"/>
        </w:rPr>
        <w:t xml:space="preserve"> output</w:t>
      </w:r>
      <w:r w:rsidR="004A400A" w:rsidRPr="00040AA9">
        <w:rPr>
          <w:rFonts w:ascii="Arial" w:hAnsi="Arial" w:cs="Arial"/>
          <w:sz w:val="22"/>
          <w:szCs w:val="22"/>
        </w:rPr>
        <w:t xml:space="preserve"> indicators</w:t>
      </w:r>
      <w:r w:rsidR="00F74D12" w:rsidRPr="00040AA9">
        <w:rPr>
          <w:rStyle w:val="FootnoteReference"/>
          <w:rFonts w:ascii="Arial" w:hAnsi="Arial" w:cs="Arial"/>
          <w:sz w:val="22"/>
          <w:szCs w:val="22"/>
        </w:rPr>
        <w:footnoteReference w:id="17"/>
      </w:r>
      <w:r w:rsidR="004A400A" w:rsidRPr="00040AA9">
        <w:rPr>
          <w:rFonts w:ascii="Arial" w:hAnsi="Arial" w:cs="Arial"/>
          <w:sz w:val="22"/>
          <w:szCs w:val="22"/>
        </w:rPr>
        <w:t xml:space="preserve"> </w:t>
      </w:r>
      <w:r w:rsidRPr="00040AA9">
        <w:rPr>
          <w:rFonts w:ascii="Arial" w:hAnsi="Arial" w:cs="Arial"/>
          <w:sz w:val="22"/>
          <w:szCs w:val="22"/>
        </w:rPr>
        <w:t xml:space="preserve">according to each of the outcomes </w:t>
      </w:r>
      <w:r w:rsidR="00527841" w:rsidRPr="00040AA9">
        <w:rPr>
          <w:rFonts w:ascii="Arial" w:hAnsi="Arial" w:cs="Arial"/>
          <w:sz w:val="22"/>
          <w:szCs w:val="22"/>
        </w:rPr>
        <w:t xml:space="preserve">that </w:t>
      </w:r>
      <w:r w:rsidRPr="00040AA9">
        <w:rPr>
          <w:rFonts w:ascii="Arial" w:hAnsi="Arial" w:cs="Arial"/>
          <w:sz w:val="22"/>
          <w:szCs w:val="22"/>
        </w:rPr>
        <w:t xml:space="preserve">they most directly affected. </w:t>
      </w:r>
      <w:r w:rsidR="00401D3C" w:rsidRPr="005457A3">
        <w:rPr>
          <w:rFonts w:ascii="Arial" w:hAnsi="Arial" w:cs="Arial"/>
          <w:sz w:val="22"/>
          <w:szCs w:val="22"/>
        </w:rPr>
        <w:t xml:space="preserve">The </w:t>
      </w:r>
      <w:r w:rsidR="00453903">
        <w:rPr>
          <w:rFonts w:ascii="Arial" w:hAnsi="Arial" w:cs="Arial"/>
          <w:sz w:val="22"/>
          <w:szCs w:val="22"/>
        </w:rPr>
        <w:t>work-</w:t>
      </w:r>
      <w:r w:rsidR="00453903" w:rsidRPr="005457A3">
        <w:rPr>
          <w:rFonts w:ascii="Arial" w:hAnsi="Arial" w:cs="Arial"/>
          <w:sz w:val="22"/>
          <w:szCs w:val="22"/>
        </w:rPr>
        <w:t>plans</w:t>
      </w:r>
      <w:r w:rsidR="00401D3C" w:rsidRPr="005457A3">
        <w:rPr>
          <w:rFonts w:ascii="Arial" w:hAnsi="Arial" w:cs="Arial"/>
          <w:sz w:val="22"/>
          <w:szCs w:val="22"/>
        </w:rPr>
        <w:t xml:space="preserve">, strategies, analysis, and systems of FISPEG I </w:t>
      </w:r>
      <w:r w:rsidR="00453903">
        <w:rPr>
          <w:rFonts w:ascii="Arial" w:hAnsi="Arial" w:cs="Arial"/>
          <w:sz w:val="22"/>
          <w:szCs w:val="22"/>
        </w:rPr>
        <w:t>laid the foundations</w:t>
      </w:r>
      <w:r w:rsidR="00401D3C" w:rsidRPr="005457A3">
        <w:rPr>
          <w:rFonts w:ascii="Arial" w:hAnsi="Arial" w:cs="Arial"/>
          <w:sz w:val="22"/>
          <w:szCs w:val="22"/>
        </w:rPr>
        <w:t xml:space="preserve"> for the changes carried out by FISPEG II. In turn, FISPEG II provided the </w:t>
      </w:r>
      <w:r w:rsidR="00401D3C">
        <w:rPr>
          <w:rFonts w:ascii="Arial" w:hAnsi="Arial" w:cs="Arial"/>
          <w:sz w:val="22"/>
          <w:szCs w:val="22"/>
        </w:rPr>
        <w:t xml:space="preserve">diagnostics, common understanding, and </w:t>
      </w:r>
      <w:r w:rsidR="00401D3C" w:rsidRPr="005457A3">
        <w:rPr>
          <w:rFonts w:ascii="Arial" w:hAnsi="Arial" w:cs="Arial"/>
          <w:sz w:val="22"/>
          <w:szCs w:val="22"/>
        </w:rPr>
        <w:t xml:space="preserve">conditions </w:t>
      </w:r>
      <w:r w:rsidR="00453903">
        <w:rPr>
          <w:rFonts w:ascii="Arial" w:hAnsi="Arial" w:cs="Arial"/>
          <w:sz w:val="22"/>
          <w:szCs w:val="22"/>
        </w:rPr>
        <w:t>for</w:t>
      </w:r>
      <w:r w:rsidR="00401D3C" w:rsidRPr="005457A3">
        <w:rPr>
          <w:rFonts w:ascii="Arial" w:hAnsi="Arial" w:cs="Arial"/>
          <w:sz w:val="22"/>
          <w:szCs w:val="22"/>
        </w:rPr>
        <w:t xml:space="preserve"> enact</w:t>
      </w:r>
      <w:r w:rsidR="00453903">
        <w:rPr>
          <w:rFonts w:ascii="Arial" w:hAnsi="Arial" w:cs="Arial"/>
          <w:sz w:val="22"/>
          <w:szCs w:val="22"/>
        </w:rPr>
        <w:t>ing</w:t>
      </w:r>
      <w:r w:rsidR="00401D3C" w:rsidRPr="005457A3">
        <w:rPr>
          <w:rFonts w:ascii="Arial" w:hAnsi="Arial" w:cs="Arial"/>
          <w:sz w:val="22"/>
          <w:szCs w:val="22"/>
        </w:rPr>
        <w:t xml:space="preserve"> the </w:t>
      </w:r>
      <w:r w:rsidR="00453903">
        <w:rPr>
          <w:rFonts w:ascii="Arial" w:hAnsi="Arial" w:cs="Arial"/>
          <w:sz w:val="22"/>
          <w:szCs w:val="22"/>
        </w:rPr>
        <w:t>reforms of</w:t>
      </w:r>
      <w:r w:rsidR="00401D3C" w:rsidRPr="005457A3">
        <w:rPr>
          <w:rFonts w:ascii="Arial" w:hAnsi="Arial" w:cs="Arial"/>
          <w:sz w:val="22"/>
          <w:szCs w:val="22"/>
        </w:rPr>
        <w:t xml:space="preserve"> tariffs, credits, and </w:t>
      </w:r>
      <w:r w:rsidR="00453903">
        <w:rPr>
          <w:rFonts w:ascii="Arial" w:hAnsi="Arial" w:cs="Arial"/>
          <w:sz w:val="22"/>
          <w:szCs w:val="22"/>
        </w:rPr>
        <w:t>legislation</w:t>
      </w:r>
      <w:r w:rsidR="00401D3C" w:rsidRPr="005457A3">
        <w:rPr>
          <w:rFonts w:ascii="Arial" w:hAnsi="Arial" w:cs="Arial"/>
          <w:sz w:val="22"/>
          <w:szCs w:val="22"/>
        </w:rPr>
        <w:t xml:space="preserve"> </w:t>
      </w:r>
      <w:r w:rsidR="00453903">
        <w:rPr>
          <w:rFonts w:ascii="Arial" w:hAnsi="Arial" w:cs="Arial"/>
          <w:sz w:val="22"/>
          <w:szCs w:val="22"/>
        </w:rPr>
        <w:t>carried out by</w:t>
      </w:r>
      <w:r w:rsidR="00401D3C" w:rsidRPr="005457A3">
        <w:rPr>
          <w:rFonts w:ascii="Arial" w:hAnsi="Arial" w:cs="Arial"/>
          <w:sz w:val="22"/>
          <w:szCs w:val="22"/>
        </w:rPr>
        <w:t xml:space="preserve"> FISPEG III. Some of the inputs in the previous operations also led to the completion of further system development in FISPEG III.</w:t>
      </w:r>
      <w:r w:rsidR="00401D3C">
        <w:rPr>
          <w:rStyle w:val="FootnoteReference"/>
          <w:rFonts w:ascii="Arial" w:hAnsi="Arial" w:cs="Arial"/>
          <w:sz w:val="22"/>
          <w:szCs w:val="22"/>
        </w:rPr>
        <w:footnoteReference w:id="18"/>
      </w:r>
    </w:p>
    <w:p w14:paraId="44C726E0" w14:textId="6B9CB69E" w:rsidR="00861B3F" w:rsidRPr="00040AA9" w:rsidRDefault="00861B3F" w:rsidP="00861B3F">
      <w:pPr>
        <w:widowControl w:val="0"/>
        <w:suppressAutoHyphens/>
        <w:spacing w:before="120" w:after="120"/>
        <w:jc w:val="both"/>
        <w:rPr>
          <w:rFonts w:ascii="Arial" w:hAnsi="Arial" w:cs="Arial"/>
          <w:sz w:val="22"/>
          <w:szCs w:val="22"/>
        </w:rPr>
      </w:pPr>
      <w:r w:rsidRPr="009C086E">
        <w:rPr>
          <w:rFonts w:ascii="Arial" w:hAnsi="Arial" w:cs="Arial"/>
          <w:sz w:val="22"/>
          <w:szCs w:val="22"/>
        </w:rPr>
        <w:t xml:space="preserve">Table </w:t>
      </w:r>
      <w:r w:rsidR="00E464AC" w:rsidRPr="009C086E">
        <w:rPr>
          <w:rFonts w:ascii="Arial" w:hAnsi="Arial" w:cs="Arial"/>
          <w:sz w:val="22"/>
          <w:szCs w:val="22"/>
        </w:rPr>
        <w:t>A</w:t>
      </w:r>
      <w:r w:rsidRPr="00040AA9">
        <w:rPr>
          <w:rFonts w:ascii="Arial" w:hAnsi="Arial" w:cs="Arial"/>
          <w:sz w:val="22"/>
          <w:szCs w:val="22"/>
        </w:rPr>
        <w:t xml:space="preserve"> </w:t>
      </w:r>
      <w:r>
        <w:rPr>
          <w:rFonts w:ascii="Arial" w:hAnsi="Arial" w:cs="Arial"/>
          <w:sz w:val="22"/>
          <w:szCs w:val="22"/>
        </w:rPr>
        <w:t>lists</w:t>
      </w:r>
      <w:r w:rsidRPr="00040AA9">
        <w:rPr>
          <w:rFonts w:ascii="Arial" w:hAnsi="Arial" w:cs="Arial"/>
          <w:sz w:val="22"/>
          <w:szCs w:val="22"/>
        </w:rPr>
        <w:t xml:space="preserve"> result indicators directly related to each of the </w:t>
      </w:r>
      <w:r w:rsidR="00DA29B9">
        <w:rPr>
          <w:rFonts w:ascii="Arial" w:hAnsi="Arial" w:cs="Arial"/>
          <w:sz w:val="22"/>
          <w:szCs w:val="22"/>
        </w:rPr>
        <w:t xml:space="preserve">program </w:t>
      </w:r>
      <w:r w:rsidRPr="00040AA9">
        <w:rPr>
          <w:rFonts w:ascii="Arial" w:hAnsi="Arial" w:cs="Arial"/>
          <w:sz w:val="22"/>
          <w:szCs w:val="22"/>
        </w:rPr>
        <w:t>objectives</w:t>
      </w:r>
      <w:r>
        <w:rPr>
          <w:rFonts w:ascii="Arial" w:hAnsi="Arial" w:cs="Arial"/>
          <w:sz w:val="22"/>
          <w:szCs w:val="22"/>
        </w:rPr>
        <w:t xml:space="preserve">. </w:t>
      </w:r>
      <w:r w:rsidRPr="009C086E">
        <w:rPr>
          <w:rFonts w:ascii="Arial" w:hAnsi="Arial" w:cs="Arial"/>
          <w:sz w:val="22"/>
          <w:szCs w:val="22"/>
        </w:rPr>
        <w:t xml:space="preserve">Table </w:t>
      </w:r>
      <w:r w:rsidR="00E464AC" w:rsidRPr="009C086E">
        <w:rPr>
          <w:rFonts w:ascii="Arial" w:hAnsi="Arial" w:cs="Arial"/>
          <w:sz w:val="22"/>
          <w:szCs w:val="22"/>
        </w:rPr>
        <w:t>A</w:t>
      </w:r>
      <w:r>
        <w:rPr>
          <w:rFonts w:ascii="Arial" w:hAnsi="Arial" w:cs="Arial"/>
          <w:sz w:val="22"/>
          <w:szCs w:val="22"/>
        </w:rPr>
        <w:t xml:space="preserve"> </w:t>
      </w:r>
      <w:r w:rsidR="00027726">
        <w:rPr>
          <w:rFonts w:ascii="Arial" w:hAnsi="Arial" w:cs="Arial"/>
          <w:sz w:val="22"/>
          <w:szCs w:val="22"/>
        </w:rPr>
        <w:t xml:space="preserve">makes </w:t>
      </w:r>
      <w:r>
        <w:rPr>
          <w:rFonts w:ascii="Arial" w:hAnsi="Arial" w:cs="Arial"/>
          <w:sz w:val="22"/>
          <w:szCs w:val="22"/>
        </w:rPr>
        <w:t xml:space="preserve">the discussion </w:t>
      </w:r>
      <w:r w:rsidR="00027726">
        <w:rPr>
          <w:rFonts w:ascii="Arial" w:hAnsi="Arial" w:cs="Arial"/>
          <w:sz w:val="22"/>
          <w:szCs w:val="22"/>
        </w:rPr>
        <w:t xml:space="preserve">more </w:t>
      </w:r>
      <w:r>
        <w:rPr>
          <w:rFonts w:ascii="Arial" w:hAnsi="Arial" w:cs="Arial"/>
          <w:sz w:val="22"/>
          <w:szCs w:val="22"/>
        </w:rPr>
        <w:t xml:space="preserve">tractable and </w:t>
      </w:r>
      <w:r w:rsidR="00027726">
        <w:rPr>
          <w:rFonts w:ascii="Arial" w:hAnsi="Arial" w:cs="Arial"/>
          <w:sz w:val="22"/>
          <w:szCs w:val="22"/>
        </w:rPr>
        <w:t xml:space="preserve">facilitates a </w:t>
      </w:r>
      <w:r w:rsidRPr="00040AA9">
        <w:rPr>
          <w:rFonts w:ascii="Arial" w:hAnsi="Arial" w:cs="Arial"/>
          <w:sz w:val="22"/>
          <w:szCs w:val="22"/>
        </w:rPr>
        <w:t xml:space="preserve">better focus </w:t>
      </w:r>
      <w:r w:rsidR="00027726">
        <w:rPr>
          <w:rFonts w:ascii="Arial" w:hAnsi="Arial" w:cs="Arial"/>
          <w:sz w:val="22"/>
          <w:szCs w:val="22"/>
        </w:rPr>
        <w:t xml:space="preserve">on </w:t>
      </w:r>
      <w:r w:rsidRPr="00040AA9">
        <w:rPr>
          <w:rFonts w:ascii="Arial" w:hAnsi="Arial" w:cs="Arial"/>
          <w:sz w:val="22"/>
          <w:szCs w:val="22"/>
        </w:rPr>
        <w:t xml:space="preserve">the analysis of the </w:t>
      </w:r>
      <w:r>
        <w:rPr>
          <w:rFonts w:ascii="Arial" w:hAnsi="Arial" w:cs="Arial"/>
          <w:sz w:val="22"/>
          <w:szCs w:val="22"/>
        </w:rPr>
        <w:t>key</w:t>
      </w:r>
      <w:r w:rsidRPr="00040AA9">
        <w:rPr>
          <w:rFonts w:ascii="Arial" w:hAnsi="Arial" w:cs="Arial"/>
          <w:sz w:val="22"/>
          <w:szCs w:val="22"/>
        </w:rPr>
        <w:t xml:space="preserve"> impacts, outcomes</w:t>
      </w:r>
      <w:r>
        <w:rPr>
          <w:rFonts w:ascii="Arial" w:hAnsi="Arial" w:cs="Arial"/>
          <w:sz w:val="22"/>
          <w:szCs w:val="22"/>
        </w:rPr>
        <w:t>,</w:t>
      </w:r>
      <w:r w:rsidRPr="00040AA9">
        <w:rPr>
          <w:rFonts w:ascii="Arial" w:hAnsi="Arial" w:cs="Arial"/>
          <w:sz w:val="22"/>
          <w:szCs w:val="22"/>
        </w:rPr>
        <w:t xml:space="preserve"> and outputs</w:t>
      </w:r>
      <w:r>
        <w:rPr>
          <w:rFonts w:ascii="Arial" w:hAnsi="Arial" w:cs="Arial"/>
          <w:sz w:val="22"/>
          <w:szCs w:val="22"/>
        </w:rPr>
        <w:t>.</w:t>
      </w:r>
      <w:r w:rsidRPr="00040AA9">
        <w:rPr>
          <w:rFonts w:ascii="Arial" w:hAnsi="Arial" w:cs="Arial"/>
          <w:sz w:val="22"/>
          <w:szCs w:val="22"/>
        </w:rPr>
        <w:t xml:space="preserve"> </w:t>
      </w:r>
      <w:r>
        <w:rPr>
          <w:rFonts w:ascii="Arial" w:hAnsi="Arial" w:cs="Arial"/>
          <w:sz w:val="22"/>
          <w:szCs w:val="22"/>
        </w:rPr>
        <w:t xml:space="preserve"> It also</w:t>
      </w:r>
      <w:r w:rsidRPr="00040AA9">
        <w:rPr>
          <w:rFonts w:ascii="Arial" w:hAnsi="Arial" w:cs="Arial"/>
          <w:sz w:val="22"/>
          <w:szCs w:val="22"/>
        </w:rPr>
        <w:t xml:space="preserve"> provides a cross reference </w:t>
      </w:r>
      <w:r w:rsidR="00027726">
        <w:rPr>
          <w:rFonts w:ascii="Arial" w:hAnsi="Arial" w:cs="Arial"/>
          <w:sz w:val="22"/>
          <w:szCs w:val="22"/>
        </w:rPr>
        <w:t xml:space="preserve">to </w:t>
      </w:r>
      <w:r w:rsidR="00027726" w:rsidRPr="00040AA9">
        <w:rPr>
          <w:rFonts w:ascii="Arial" w:hAnsi="Arial" w:cs="Arial"/>
          <w:sz w:val="22"/>
          <w:szCs w:val="22"/>
        </w:rPr>
        <w:t xml:space="preserve">their performance as reported in </w:t>
      </w:r>
      <w:r w:rsidR="00027726" w:rsidRPr="009C086E">
        <w:rPr>
          <w:rFonts w:ascii="Arial" w:hAnsi="Arial" w:cs="Arial"/>
          <w:sz w:val="22"/>
          <w:szCs w:val="22"/>
        </w:rPr>
        <w:t>Table 2</w:t>
      </w:r>
      <w:r w:rsidR="00D95A2D">
        <w:rPr>
          <w:rFonts w:ascii="Arial" w:hAnsi="Arial" w:cs="Arial"/>
          <w:b/>
          <w:sz w:val="22"/>
          <w:szCs w:val="22"/>
        </w:rPr>
        <w:t xml:space="preserve"> </w:t>
      </w:r>
      <w:r w:rsidR="00027726">
        <w:rPr>
          <w:rFonts w:ascii="Arial" w:hAnsi="Arial" w:cs="Arial"/>
          <w:sz w:val="22"/>
          <w:szCs w:val="22"/>
        </w:rPr>
        <w:t xml:space="preserve">using </w:t>
      </w:r>
      <w:r w:rsidRPr="00040AA9">
        <w:rPr>
          <w:rFonts w:ascii="Arial" w:hAnsi="Arial" w:cs="Arial"/>
          <w:sz w:val="22"/>
          <w:szCs w:val="22"/>
        </w:rPr>
        <w:t>their identification number</w:t>
      </w:r>
      <w:r w:rsidR="00027726">
        <w:rPr>
          <w:rFonts w:ascii="Arial" w:hAnsi="Arial" w:cs="Arial"/>
          <w:sz w:val="22"/>
          <w:szCs w:val="22"/>
        </w:rPr>
        <w:t>.</w:t>
      </w:r>
      <w:r w:rsidRPr="00040AA9">
        <w:rPr>
          <w:rFonts w:ascii="Arial" w:hAnsi="Arial" w:cs="Arial"/>
          <w:sz w:val="22"/>
          <w:szCs w:val="22"/>
        </w:rPr>
        <w:t xml:space="preserve"> </w:t>
      </w:r>
      <w:r>
        <w:rPr>
          <w:rFonts w:ascii="Arial" w:hAnsi="Arial" w:cs="Arial"/>
          <w:sz w:val="22"/>
          <w:szCs w:val="22"/>
        </w:rPr>
        <w:t>In this section, we will keep the discussion reference</w:t>
      </w:r>
      <w:r w:rsidR="00DA29B9">
        <w:rPr>
          <w:rFonts w:ascii="Arial" w:hAnsi="Arial" w:cs="Arial"/>
          <w:sz w:val="22"/>
          <w:szCs w:val="22"/>
        </w:rPr>
        <w:t>d</w:t>
      </w:r>
      <w:r>
        <w:rPr>
          <w:rFonts w:ascii="Arial" w:hAnsi="Arial" w:cs="Arial"/>
          <w:sz w:val="22"/>
          <w:szCs w:val="22"/>
        </w:rPr>
        <w:t xml:space="preserve"> to </w:t>
      </w:r>
      <w:r w:rsidR="00D95A2D" w:rsidRPr="009C086E">
        <w:rPr>
          <w:rFonts w:ascii="Arial" w:hAnsi="Arial" w:cs="Arial"/>
          <w:sz w:val="22"/>
          <w:szCs w:val="22"/>
        </w:rPr>
        <w:t>T</w:t>
      </w:r>
      <w:r w:rsidRPr="009C086E">
        <w:rPr>
          <w:rFonts w:ascii="Arial" w:hAnsi="Arial" w:cs="Arial"/>
          <w:sz w:val="22"/>
          <w:szCs w:val="22"/>
        </w:rPr>
        <w:t xml:space="preserve">able </w:t>
      </w:r>
      <w:r w:rsidR="00E464AC" w:rsidRPr="009C086E">
        <w:rPr>
          <w:rFonts w:ascii="Arial" w:hAnsi="Arial" w:cs="Arial"/>
          <w:sz w:val="22"/>
          <w:szCs w:val="22"/>
        </w:rPr>
        <w:t>A</w:t>
      </w:r>
      <w:r>
        <w:rPr>
          <w:rFonts w:ascii="Arial" w:hAnsi="Arial" w:cs="Arial"/>
          <w:sz w:val="22"/>
          <w:szCs w:val="22"/>
        </w:rPr>
        <w:t xml:space="preserve"> </w:t>
      </w:r>
      <w:r w:rsidR="003D0C9D">
        <w:rPr>
          <w:rFonts w:ascii="Arial" w:hAnsi="Arial" w:cs="Arial"/>
          <w:sz w:val="22"/>
          <w:szCs w:val="22"/>
        </w:rPr>
        <w:t>unless explicitly</w:t>
      </w:r>
      <w:r>
        <w:rPr>
          <w:rFonts w:ascii="Arial" w:hAnsi="Arial" w:cs="Arial"/>
          <w:sz w:val="22"/>
          <w:szCs w:val="22"/>
        </w:rPr>
        <w:t xml:space="preserve"> stated</w:t>
      </w:r>
      <w:r w:rsidR="00027726">
        <w:rPr>
          <w:rFonts w:ascii="Arial" w:hAnsi="Arial" w:cs="Arial"/>
          <w:sz w:val="22"/>
          <w:szCs w:val="22"/>
        </w:rPr>
        <w:t xml:space="preserve"> otherwise</w:t>
      </w:r>
      <w:r>
        <w:rPr>
          <w:rFonts w:ascii="Arial" w:hAnsi="Arial" w:cs="Arial"/>
          <w:sz w:val="22"/>
          <w:szCs w:val="22"/>
        </w:rPr>
        <w:t>.</w:t>
      </w:r>
    </w:p>
    <w:bookmarkEnd w:id="11"/>
    <w:p w14:paraId="3F87CB4D" w14:textId="3928DFF8" w:rsidR="009F70AC" w:rsidRPr="00040AA9" w:rsidRDefault="009F70AC" w:rsidP="009F70AC">
      <w:pPr>
        <w:suppressAutoHyphens/>
        <w:jc w:val="center"/>
        <w:rPr>
          <w:rFonts w:ascii="Arial" w:hAnsi="Arial" w:cs="Arial"/>
          <w:b/>
          <w:sz w:val="20"/>
          <w:szCs w:val="20"/>
        </w:rPr>
      </w:pPr>
      <w:r w:rsidRPr="00040AA9">
        <w:rPr>
          <w:rFonts w:ascii="Arial" w:hAnsi="Arial" w:cs="Arial"/>
          <w:b/>
          <w:sz w:val="20"/>
          <w:szCs w:val="20"/>
        </w:rPr>
        <w:t xml:space="preserve">Table </w:t>
      </w:r>
      <w:r w:rsidR="00E464AC">
        <w:rPr>
          <w:rFonts w:ascii="Arial" w:hAnsi="Arial" w:cs="Arial"/>
          <w:b/>
          <w:sz w:val="20"/>
          <w:szCs w:val="20"/>
        </w:rPr>
        <w:t>A</w:t>
      </w:r>
    </w:p>
    <w:p w14:paraId="578F189F" w14:textId="77777777" w:rsidR="009F70AC" w:rsidRPr="00040AA9" w:rsidRDefault="009F70AC" w:rsidP="009F70AC">
      <w:pPr>
        <w:suppressAutoHyphens/>
        <w:jc w:val="center"/>
        <w:rPr>
          <w:rFonts w:ascii="Arial" w:hAnsi="Arial" w:cs="Arial"/>
          <w:b/>
          <w:sz w:val="20"/>
          <w:szCs w:val="20"/>
        </w:rPr>
      </w:pPr>
      <w:r w:rsidRPr="00040AA9">
        <w:rPr>
          <w:rFonts w:ascii="Arial" w:hAnsi="Arial" w:cs="Arial"/>
          <w:b/>
          <w:sz w:val="20"/>
          <w:szCs w:val="20"/>
        </w:rPr>
        <w:t>Identification of Impacts, Outcome and Outputs</w:t>
      </w:r>
    </w:p>
    <w:p w14:paraId="27B068D3" w14:textId="77777777" w:rsidR="009F70AC" w:rsidRPr="00040AA9" w:rsidRDefault="009F70AC" w:rsidP="009F70AC">
      <w:pPr>
        <w:suppressAutoHyphens/>
        <w:jc w:val="center"/>
        <w:rPr>
          <w:rFonts w:ascii="Arial" w:hAnsi="Arial" w:cs="Arial"/>
          <w:b/>
          <w:sz w:val="20"/>
          <w:szCs w:val="20"/>
        </w:rPr>
      </w:pPr>
      <w:r w:rsidRPr="00040AA9">
        <w:rPr>
          <w:rFonts w:ascii="Arial" w:hAnsi="Arial" w:cs="Arial"/>
          <w:b/>
          <w:sz w:val="20"/>
          <w:szCs w:val="20"/>
        </w:rPr>
        <w:t>Directly Related to the One General and Five Specific Objectives of FISPEG</w:t>
      </w:r>
    </w:p>
    <w:p w14:paraId="35B2310F" w14:textId="77777777" w:rsidR="009F70AC" w:rsidRPr="006A5B24" w:rsidRDefault="009F70AC" w:rsidP="009F70AC">
      <w:pPr>
        <w:suppressAutoHyphens/>
        <w:spacing w:after="120"/>
        <w:jc w:val="center"/>
        <w:rPr>
          <w:sz w:val="20"/>
          <w:szCs w:val="20"/>
        </w:rPr>
      </w:pPr>
      <w:r w:rsidRPr="00040AA9">
        <w:rPr>
          <w:rFonts w:ascii="Arial" w:hAnsi="Arial" w:cs="Arial"/>
          <w:sz w:val="20"/>
          <w:szCs w:val="20"/>
        </w:rPr>
        <w:t>(with cross references to the Comprehensive Results Matrix – Table 2)</w:t>
      </w:r>
    </w:p>
    <w:tbl>
      <w:tblPr>
        <w:tblStyle w:val="TableGrid"/>
        <w:tblW w:w="10237" w:type="dxa"/>
        <w:jc w:val="center"/>
        <w:tblLayout w:type="fixed"/>
        <w:tblLook w:val="04A0" w:firstRow="1" w:lastRow="0" w:firstColumn="1" w:lastColumn="0" w:noHBand="0" w:noVBand="1"/>
      </w:tblPr>
      <w:tblGrid>
        <w:gridCol w:w="1147"/>
        <w:gridCol w:w="1170"/>
        <w:gridCol w:w="990"/>
        <w:gridCol w:w="5400"/>
        <w:gridCol w:w="1530"/>
      </w:tblGrid>
      <w:tr w:rsidR="009F70AC" w:rsidRPr="00CF5903" w14:paraId="0C1E1AAC" w14:textId="77777777" w:rsidTr="009C086E">
        <w:trPr>
          <w:trHeight w:val="169"/>
          <w:tblHeader/>
          <w:jc w:val="center"/>
        </w:trPr>
        <w:tc>
          <w:tcPr>
            <w:tcW w:w="1147" w:type="dxa"/>
            <w:vMerge w:val="restart"/>
            <w:shd w:val="clear" w:color="auto" w:fill="D9D9D9" w:themeFill="background1" w:themeFillShade="D9"/>
            <w:vAlign w:val="center"/>
          </w:tcPr>
          <w:p w14:paraId="1010CE17" w14:textId="77777777" w:rsidR="009F70AC" w:rsidRPr="00040AA9" w:rsidRDefault="009F70AC" w:rsidP="004673B1">
            <w:pPr>
              <w:suppressAutoHyphens/>
              <w:jc w:val="center"/>
              <w:rPr>
                <w:rFonts w:ascii="Arial" w:hAnsi="Arial" w:cs="Arial"/>
                <w:b/>
                <w:sz w:val="20"/>
                <w:szCs w:val="20"/>
              </w:rPr>
            </w:pPr>
            <w:r w:rsidRPr="00040AA9">
              <w:rPr>
                <w:rFonts w:ascii="Arial" w:hAnsi="Arial" w:cs="Arial"/>
                <w:b/>
                <w:sz w:val="20"/>
                <w:szCs w:val="20"/>
              </w:rPr>
              <w:t>Objective</w:t>
            </w:r>
          </w:p>
        </w:tc>
        <w:tc>
          <w:tcPr>
            <w:tcW w:w="2160" w:type="dxa"/>
            <w:gridSpan w:val="2"/>
            <w:shd w:val="clear" w:color="auto" w:fill="D9D9D9" w:themeFill="background1" w:themeFillShade="D9"/>
          </w:tcPr>
          <w:p w14:paraId="6FBF0053" w14:textId="77777777" w:rsidR="009F70AC" w:rsidRPr="00040AA9" w:rsidRDefault="009F70AC" w:rsidP="004673B1">
            <w:pPr>
              <w:keepNext/>
              <w:suppressAutoHyphens/>
              <w:jc w:val="center"/>
              <w:rPr>
                <w:rFonts w:ascii="Arial" w:hAnsi="Arial" w:cs="Arial"/>
                <w:b/>
                <w:sz w:val="20"/>
                <w:szCs w:val="20"/>
              </w:rPr>
            </w:pPr>
            <w:r w:rsidRPr="00040AA9">
              <w:rPr>
                <w:rFonts w:ascii="Arial" w:hAnsi="Arial" w:cs="Arial"/>
                <w:b/>
                <w:sz w:val="20"/>
                <w:szCs w:val="20"/>
              </w:rPr>
              <w:t>Result Type</w:t>
            </w:r>
          </w:p>
        </w:tc>
        <w:tc>
          <w:tcPr>
            <w:tcW w:w="5400" w:type="dxa"/>
            <w:vMerge w:val="restart"/>
            <w:shd w:val="clear" w:color="auto" w:fill="D9D9D9" w:themeFill="background1" w:themeFillShade="D9"/>
            <w:vAlign w:val="center"/>
          </w:tcPr>
          <w:p w14:paraId="0D7C644B" w14:textId="77777777" w:rsidR="009F70AC" w:rsidRPr="00040AA9" w:rsidRDefault="009F70AC" w:rsidP="004673B1">
            <w:pPr>
              <w:keepNext/>
              <w:suppressAutoHyphens/>
              <w:jc w:val="center"/>
              <w:rPr>
                <w:rFonts w:ascii="Arial" w:hAnsi="Arial" w:cs="Arial"/>
                <w:b/>
                <w:sz w:val="20"/>
                <w:szCs w:val="20"/>
              </w:rPr>
            </w:pPr>
            <w:r w:rsidRPr="00040AA9">
              <w:rPr>
                <w:rFonts w:ascii="Arial" w:hAnsi="Arial" w:cs="Arial"/>
                <w:b/>
                <w:sz w:val="20"/>
                <w:szCs w:val="20"/>
              </w:rPr>
              <w:t>Indicator name &amp; number</w:t>
            </w:r>
          </w:p>
        </w:tc>
        <w:tc>
          <w:tcPr>
            <w:tcW w:w="1530" w:type="dxa"/>
            <w:vMerge w:val="restart"/>
            <w:shd w:val="clear" w:color="auto" w:fill="D9D9D9" w:themeFill="background1" w:themeFillShade="D9"/>
            <w:vAlign w:val="center"/>
          </w:tcPr>
          <w:p w14:paraId="782059B3" w14:textId="77777777" w:rsidR="009F70AC" w:rsidRPr="00040AA9" w:rsidRDefault="009F70AC" w:rsidP="004673B1">
            <w:pPr>
              <w:keepNext/>
              <w:suppressAutoHyphens/>
              <w:jc w:val="center"/>
              <w:rPr>
                <w:rFonts w:ascii="Arial" w:hAnsi="Arial" w:cs="Arial"/>
                <w:b/>
                <w:sz w:val="20"/>
                <w:szCs w:val="20"/>
              </w:rPr>
            </w:pPr>
            <w:r w:rsidRPr="00040AA9">
              <w:rPr>
                <w:rFonts w:ascii="Arial" w:hAnsi="Arial" w:cs="Arial"/>
                <w:b/>
                <w:sz w:val="20"/>
                <w:szCs w:val="20"/>
              </w:rPr>
              <w:t>Achievement level</w:t>
            </w:r>
          </w:p>
        </w:tc>
      </w:tr>
      <w:tr w:rsidR="009F70AC" w:rsidRPr="00CF5903" w14:paraId="57D53045" w14:textId="77777777" w:rsidTr="009C086E">
        <w:trPr>
          <w:trHeight w:val="314"/>
          <w:tblHeader/>
          <w:jc w:val="center"/>
        </w:trPr>
        <w:tc>
          <w:tcPr>
            <w:tcW w:w="1147" w:type="dxa"/>
            <w:vMerge/>
            <w:tcBorders>
              <w:bottom w:val="single" w:sz="4" w:space="0" w:color="auto"/>
            </w:tcBorders>
            <w:shd w:val="clear" w:color="auto" w:fill="D9D9D9" w:themeFill="background1" w:themeFillShade="D9"/>
          </w:tcPr>
          <w:p w14:paraId="79F1E8A9" w14:textId="77777777" w:rsidR="009F70AC" w:rsidRPr="00040AA9" w:rsidRDefault="009F70AC" w:rsidP="004673B1">
            <w:pPr>
              <w:keepNext/>
              <w:suppressAutoHyphens/>
              <w:rPr>
                <w:rFonts w:ascii="Arial" w:hAnsi="Arial" w:cs="Arial"/>
                <w:b/>
                <w:sz w:val="20"/>
                <w:szCs w:val="20"/>
              </w:rPr>
            </w:pPr>
          </w:p>
        </w:tc>
        <w:tc>
          <w:tcPr>
            <w:tcW w:w="1170" w:type="dxa"/>
            <w:tcBorders>
              <w:bottom w:val="single" w:sz="4" w:space="0" w:color="auto"/>
            </w:tcBorders>
            <w:shd w:val="clear" w:color="auto" w:fill="DBE5F1" w:themeFill="accent1" w:themeFillTint="33"/>
          </w:tcPr>
          <w:p w14:paraId="507793BB" w14:textId="77777777" w:rsidR="009F70AC" w:rsidRPr="00040AA9" w:rsidRDefault="009F70AC" w:rsidP="004673B1">
            <w:pPr>
              <w:keepNext/>
              <w:suppressAutoHyphens/>
              <w:rPr>
                <w:rFonts w:ascii="Arial" w:hAnsi="Arial" w:cs="Arial"/>
                <w:b/>
                <w:sz w:val="20"/>
                <w:szCs w:val="20"/>
              </w:rPr>
            </w:pPr>
            <w:r w:rsidRPr="00040AA9">
              <w:rPr>
                <w:rFonts w:ascii="Arial" w:hAnsi="Arial" w:cs="Arial"/>
                <w:b/>
                <w:sz w:val="20"/>
                <w:szCs w:val="20"/>
              </w:rPr>
              <w:t>Outcome</w:t>
            </w:r>
          </w:p>
        </w:tc>
        <w:tc>
          <w:tcPr>
            <w:tcW w:w="990" w:type="dxa"/>
            <w:tcBorders>
              <w:bottom w:val="single" w:sz="4" w:space="0" w:color="auto"/>
            </w:tcBorders>
            <w:shd w:val="clear" w:color="auto" w:fill="DBE5F1" w:themeFill="accent1" w:themeFillTint="33"/>
          </w:tcPr>
          <w:p w14:paraId="166B3BFC" w14:textId="77777777" w:rsidR="009F70AC" w:rsidRPr="00040AA9" w:rsidRDefault="009F70AC" w:rsidP="004673B1">
            <w:pPr>
              <w:keepNext/>
              <w:suppressAutoHyphens/>
              <w:rPr>
                <w:rFonts w:ascii="Arial" w:hAnsi="Arial" w:cs="Arial"/>
                <w:b/>
                <w:sz w:val="20"/>
                <w:szCs w:val="20"/>
              </w:rPr>
            </w:pPr>
            <w:r w:rsidRPr="00040AA9">
              <w:rPr>
                <w:rFonts w:ascii="Arial" w:hAnsi="Arial" w:cs="Arial"/>
                <w:b/>
                <w:sz w:val="20"/>
                <w:szCs w:val="20"/>
              </w:rPr>
              <w:t>Output</w:t>
            </w:r>
          </w:p>
        </w:tc>
        <w:tc>
          <w:tcPr>
            <w:tcW w:w="5400" w:type="dxa"/>
            <w:vMerge/>
            <w:tcBorders>
              <w:bottom w:val="single" w:sz="4" w:space="0" w:color="auto"/>
            </w:tcBorders>
            <w:shd w:val="clear" w:color="auto" w:fill="D9D9D9" w:themeFill="background1" w:themeFillShade="D9"/>
          </w:tcPr>
          <w:p w14:paraId="2AE8FE3A" w14:textId="77777777" w:rsidR="009F70AC" w:rsidRPr="00040AA9" w:rsidRDefault="009F70AC" w:rsidP="004673B1">
            <w:pPr>
              <w:keepNext/>
              <w:suppressAutoHyphens/>
              <w:jc w:val="right"/>
              <w:rPr>
                <w:rFonts w:ascii="Arial" w:hAnsi="Arial" w:cs="Arial"/>
                <w:b/>
                <w:sz w:val="20"/>
                <w:szCs w:val="20"/>
              </w:rPr>
            </w:pPr>
          </w:p>
        </w:tc>
        <w:tc>
          <w:tcPr>
            <w:tcW w:w="1530" w:type="dxa"/>
            <w:vMerge/>
            <w:tcBorders>
              <w:bottom w:val="single" w:sz="4" w:space="0" w:color="auto"/>
            </w:tcBorders>
            <w:shd w:val="clear" w:color="auto" w:fill="D9D9D9" w:themeFill="background1" w:themeFillShade="D9"/>
          </w:tcPr>
          <w:p w14:paraId="476DBC14" w14:textId="77777777" w:rsidR="009F70AC" w:rsidRPr="00040AA9" w:rsidRDefault="009F70AC" w:rsidP="004673B1">
            <w:pPr>
              <w:keepNext/>
              <w:suppressAutoHyphens/>
              <w:jc w:val="right"/>
              <w:rPr>
                <w:rFonts w:ascii="Arial" w:hAnsi="Arial" w:cs="Arial"/>
                <w:b/>
                <w:sz w:val="20"/>
                <w:szCs w:val="20"/>
              </w:rPr>
            </w:pPr>
          </w:p>
        </w:tc>
      </w:tr>
      <w:tr w:rsidR="009F70AC" w:rsidRPr="00CF5903" w14:paraId="0DB43FC9"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28A99B36" w14:textId="77777777" w:rsidR="009F70AC" w:rsidRPr="00040AA9" w:rsidRDefault="009F70AC" w:rsidP="004673B1">
            <w:pPr>
              <w:suppressAutoHyphens/>
              <w:jc w:val="both"/>
              <w:rPr>
                <w:rFonts w:ascii="Arial" w:hAnsi="Arial" w:cs="Arial"/>
                <w:b/>
                <w:sz w:val="20"/>
                <w:szCs w:val="20"/>
              </w:rPr>
            </w:pPr>
            <w:r w:rsidRPr="00040AA9">
              <w:rPr>
                <w:rFonts w:ascii="Arial" w:hAnsi="Arial" w:cs="Arial"/>
                <w:b/>
                <w:sz w:val="20"/>
                <w:szCs w:val="20"/>
              </w:rPr>
              <w:t>General Objective</w:t>
            </w:r>
          </w:p>
        </w:tc>
      </w:tr>
      <w:tr w:rsidR="009F70AC" w:rsidRPr="00CF5903" w14:paraId="2BC2D0B9" w14:textId="77777777" w:rsidTr="009C086E">
        <w:trPr>
          <w:trHeight w:val="306"/>
          <w:jc w:val="center"/>
        </w:trPr>
        <w:tc>
          <w:tcPr>
            <w:tcW w:w="10237" w:type="dxa"/>
            <w:gridSpan w:val="5"/>
            <w:tcBorders>
              <w:top w:val="single" w:sz="4" w:space="0" w:color="auto"/>
              <w:left w:val="single" w:sz="4" w:space="0" w:color="auto"/>
              <w:bottom w:val="single" w:sz="4" w:space="0" w:color="auto"/>
              <w:right w:val="single" w:sz="4" w:space="0" w:color="auto"/>
            </w:tcBorders>
          </w:tcPr>
          <w:p w14:paraId="56FFBB57" w14:textId="77777777" w:rsidR="009F70AC" w:rsidRPr="00040AA9" w:rsidRDefault="009F70AC" w:rsidP="004673B1">
            <w:pPr>
              <w:suppressAutoHyphens/>
              <w:jc w:val="both"/>
              <w:rPr>
                <w:rFonts w:ascii="Arial" w:hAnsi="Arial" w:cs="Arial"/>
                <w:b/>
                <w:sz w:val="20"/>
                <w:szCs w:val="20"/>
              </w:rPr>
            </w:pPr>
            <w:r w:rsidRPr="00040AA9">
              <w:rPr>
                <w:rFonts w:ascii="Arial" w:hAnsi="Arial" w:cs="Arial"/>
                <w:b/>
                <w:sz w:val="20"/>
                <w:szCs w:val="20"/>
              </w:rPr>
              <w:t xml:space="preserve">Support the efforts of the </w:t>
            </w:r>
            <w:proofErr w:type="spellStart"/>
            <w:r w:rsidRPr="00040AA9">
              <w:rPr>
                <w:rFonts w:ascii="Arial" w:hAnsi="Arial" w:cs="Arial"/>
                <w:b/>
                <w:sz w:val="20"/>
                <w:szCs w:val="20"/>
              </w:rPr>
              <w:t>Go</w:t>
            </w:r>
            <w:r>
              <w:rPr>
                <w:rFonts w:ascii="Arial" w:hAnsi="Arial" w:cs="Arial"/>
                <w:b/>
                <w:sz w:val="20"/>
                <w:szCs w:val="20"/>
              </w:rPr>
              <w:t>J</w:t>
            </w:r>
            <w:proofErr w:type="spellEnd"/>
            <w:r w:rsidRPr="00040AA9">
              <w:rPr>
                <w:rFonts w:ascii="Arial" w:hAnsi="Arial" w:cs="Arial"/>
                <w:b/>
                <w:sz w:val="20"/>
                <w:szCs w:val="20"/>
              </w:rPr>
              <w:t xml:space="preserve"> to achieve a sustainable fiscal path and higher economic growth.</w:t>
            </w:r>
          </w:p>
        </w:tc>
      </w:tr>
      <w:tr w:rsidR="009F70AC" w:rsidRPr="00CF5903" w14:paraId="657F3350" w14:textId="77777777" w:rsidTr="009C086E">
        <w:trPr>
          <w:trHeight w:val="68"/>
          <w:jc w:val="center"/>
        </w:trPr>
        <w:tc>
          <w:tcPr>
            <w:tcW w:w="1147" w:type="dxa"/>
            <w:tcBorders>
              <w:top w:val="single" w:sz="4" w:space="0" w:color="auto"/>
              <w:left w:val="single" w:sz="4" w:space="0" w:color="auto"/>
              <w:bottom w:val="single" w:sz="4" w:space="0" w:color="auto"/>
              <w:right w:val="single" w:sz="4" w:space="0" w:color="auto"/>
            </w:tcBorders>
          </w:tcPr>
          <w:p w14:paraId="6BCE140F" w14:textId="77777777" w:rsidR="009F70AC" w:rsidRPr="00040AA9" w:rsidRDefault="009F70AC" w:rsidP="004673B1">
            <w:pPr>
              <w:suppressAutoHyphens/>
              <w:jc w:val="both"/>
              <w:rPr>
                <w:rFonts w:ascii="Arial" w:hAnsi="Arial" w:cs="Arial"/>
                <w:sz w:val="20"/>
                <w:szCs w:val="20"/>
              </w:rPr>
            </w:pPr>
          </w:p>
        </w:tc>
        <w:tc>
          <w:tcPr>
            <w:tcW w:w="9090" w:type="dxa"/>
            <w:gridSpan w:val="4"/>
            <w:tcBorders>
              <w:top w:val="nil"/>
              <w:left w:val="single" w:sz="4" w:space="0" w:color="auto"/>
              <w:bottom w:val="nil"/>
              <w:right w:val="dotted" w:sz="4" w:space="0" w:color="auto"/>
            </w:tcBorders>
          </w:tcPr>
          <w:p w14:paraId="5BE46EE5" w14:textId="77777777" w:rsidR="009F70AC" w:rsidRPr="00040AA9" w:rsidRDefault="009F70AC" w:rsidP="004673B1">
            <w:pPr>
              <w:keepNext/>
              <w:suppressAutoHyphens/>
              <w:jc w:val="both"/>
              <w:rPr>
                <w:rFonts w:ascii="Arial" w:hAnsi="Arial" w:cs="Arial"/>
                <w:b/>
                <w:sz w:val="20"/>
                <w:szCs w:val="20"/>
              </w:rPr>
            </w:pPr>
            <w:r w:rsidRPr="00040AA9">
              <w:rPr>
                <w:rFonts w:ascii="Arial" w:hAnsi="Arial" w:cs="Arial"/>
                <w:b/>
                <w:sz w:val="20"/>
                <w:szCs w:val="20"/>
              </w:rPr>
              <w:t xml:space="preserve">a. Increased public sector balance </w:t>
            </w:r>
            <w:r w:rsidRPr="00040AA9">
              <w:rPr>
                <w:rFonts w:ascii="Arial" w:hAnsi="Arial" w:cs="Arial"/>
                <w:sz w:val="20"/>
                <w:szCs w:val="20"/>
              </w:rPr>
              <w:t>(Impact 1)</w:t>
            </w:r>
          </w:p>
        </w:tc>
      </w:tr>
      <w:tr w:rsidR="009F70AC" w:rsidRPr="00CF5903" w14:paraId="59B5C443"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5BE06205" w14:textId="77777777" w:rsidR="009F70AC" w:rsidRPr="00040AA9" w:rsidRDefault="009F70AC" w:rsidP="004673B1">
            <w:pPr>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4A1D517A" w14:textId="77777777" w:rsidR="009F70AC" w:rsidRPr="00040AA9" w:rsidRDefault="009F70AC" w:rsidP="004673B1">
            <w:pPr>
              <w:keepNext/>
              <w:suppressAutoHyphens/>
              <w:jc w:val="both"/>
              <w:rPr>
                <w:rFonts w:ascii="Arial" w:hAnsi="Arial" w:cs="Arial"/>
                <w:sz w:val="20"/>
                <w:szCs w:val="20"/>
              </w:rPr>
            </w:pPr>
            <w:r w:rsidRPr="00040AA9">
              <w:rPr>
                <w:rFonts w:ascii="Arial" w:hAnsi="Arial" w:cs="Arial"/>
                <w:sz w:val="20"/>
                <w:szCs w:val="20"/>
              </w:rPr>
              <w:t>Public Sector Balance / Nominal GDP (Impact indicator</w:t>
            </w:r>
            <w:r w:rsidRPr="00ED2025">
              <w:rPr>
                <w:rFonts w:ascii="Arial" w:hAnsi="Arial" w:cs="Arial"/>
                <w:sz w:val="20"/>
                <w:szCs w:val="20"/>
              </w:rPr>
              <w:t> </w:t>
            </w:r>
            <w:r w:rsidRPr="00040AA9">
              <w:rPr>
                <w:rFonts w:ascii="Arial" w:hAnsi="Arial" w:cs="Arial"/>
                <w:sz w:val="20"/>
                <w:szCs w:val="20"/>
              </w:rPr>
              <w:t>1.1)</w:t>
            </w:r>
          </w:p>
        </w:tc>
        <w:tc>
          <w:tcPr>
            <w:tcW w:w="1530" w:type="dxa"/>
            <w:tcBorders>
              <w:top w:val="single" w:sz="4" w:space="0" w:color="auto"/>
              <w:left w:val="single" w:sz="4" w:space="0" w:color="auto"/>
              <w:bottom w:val="single" w:sz="4" w:space="0" w:color="auto"/>
              <w:right w:val="single" w:sz="4" w:space="0" w:color="auto"/>
            </w:tcBorders>
          </w:tcPr>
          <w:p w14:paraId="61CB923B" w14:textId="77777777" w:rsidR="009F70AC" w:rsidRPr="00040AA9" w:rsidRDefault="009F70AC" w:rsidP="004673B1">
            <w:pPr>
              <w:keepNext/>
              <w:suppressAutoHyphens/>
              <w:jc w:val="center"/>
              <w:rPr>
                <w:rFonts w:ascii="Arial" w:hAnsi="Arial" w:cs="Arial"/>
                <w:sz w:val="20"/>
                <w:szCs w:val="20"/>
              </w:rPr>
            </w:pPr>
            <w:r w:rsidRPr="00040AA9">
              <w:rPr>
                <w:rFonts w:ascii="Arial" w:hAnsi="Arial" w:cs="Arial"/>
                <w:sz w:val="20"/>
                <w:szCs w:val="20"/>
              </w:rPr>
              <w:t>110%</w:t>
            </w:r>
          </w:p>
        </w:tc>
      </w:tr>
      <w:tr w:rsidR="009F70AC" w:rsidRPr="00CF5903" w14:paraId="3F802C4D"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2D372E95" w14:textId="77777777" w:rsidR="009F70AC" w:rsidRPr="00040AA9" w:rsidRDefault="009F70AC" w:rsidP="004673B1">
            <w:pPr>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3902E7B7" w14:textId="77777777" w:rsidR="009F70AC" w:rsidRPr="00040AA9" w:rsidRDefault="009F70AC" w:rsidP="004673B1">
            <w:pPr>
              <w:keepNext/>
              <w:suppressAutoHyphens/>
              <w:jc w:val="both"/>
              <w:rPr>
                <w:rFonts w:ascii="Arial" w:hAnsi="Arial" w:cs="Arial"/>
                <w:b/>
                <w:sz w:val="20"/>
                <w:szCs w:val="20"/>
              </w:rPr>
            </w:pPr>
            <w:r w:rsidRPr="00040AA9">
              <w:rPr>
                <w:rFonts w:ascii="Arial" w:hAnsi="Arial" w:cs="Arial"/>
                <w:b/>
                <w:sz w:val="20"/>
                <w:szCs w:val="20"/>
              </w:rPr>
              <w:t xml:space="preserve">b. Increased Economic Growth </w:t>
            </w:r>
            <w:r w:rsidRPr="00040AA9">
              <w:rPr>
                <w:rFonts w:ascii="Arial" w:hAnsi="Arial" w:cs="Arial"/>
                <w:sz w:val="20"/>
                <w:szCs w:val="20"/>
              </w:rPr>
              <w:t>(Impact 2)</w:t>
            </w:r>
          </w:p>
        </w:tc>
      </w:tr>
      <w:tr w:rsidR="009F70AC" w:rsidRPr="00CF5903" w14:paraId="52FC32EB" w14:textId="77777777" w:rsidTr="009C086E">
        <w:trPr>
          <w:trHeight w:val="68"/>
          <w:jc w:val="center"/>
        </w:trPr>
        <w:tc>
          <w:tcPr>
            <w:tcW w:w="3307" w:type="dxa"/>
            <w:gridSpan w:val="3"/>
            <w:tcBorders>
              <w:top w:val="single" w:sz="4" w:space="0" w:color="auto"/>
              <w:left w:val="single" w:sz="4" w:space="0" w:color="auto"/>
              <w:bottom w:val="single" w:sz="4" w:space="0" w:color="auto"/>
              <w:right w:val="single" w:sz="4" w:space="0" w:color="auto"/>
            </w:tcBorders>
          </w:tcPr>
          <w:p w14:paraId="33305120" w14:textId="77777777" w:rsidR="009F70AC" w:rsidRPr="00040AA9" w:rsidRDefault="009F70AC" w:rsidP="004673B1">
            <w:pPr>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5FA51995" w14:textId="77777777" w:rsidR="009F70AC" w:rsidRPr="00040AA9" w:rsidRDefault="009F70AC" w:rsidP="004673B1">
            <w:pPr>
              <w:keepNext/>
              <w:suppressAutoHyphens/>
              <w:jc w:val="both"/>
              <w:rPr>
                <w:rFonts w:ascii="Arial" w:hAnsi="Arial" w:cs="Arial"/>
                <w:sz w:val="20"/>
                <w:szCs w:val="20"/>
              </w:rPr>
            </w:pPr>
            <w:r w:rsidRPr="00040AA9">
              <w:rPr>
                <w:rFonts w:ascii="Arial" w:hAnsi="Arial" w:cs="Arial"/>
                <w:sz w:val="20"/>
                <w:szCs w:val="20"/>
                <w:lang w:val="en-CA"/>
              </w:rPr>
              <w:t>Real GDP Annual Growth Rate (</w:t>
            </w:r>
            <w:r w:rsidRPr="00040AA9">
              <w:rPr>
                <w:rFonts w:ascii="Arial" w:hAnsi="Arial" w:cs="Arial"/>
                <w:sz w:val="20"/>
                <w:szCs w:val="20"/>
              </w:rPr>
              <w:t>Impact indicator 2.1)</w:t>
            </w:r>
          </w:p>
        </w:tc>
        <w:tc>
          <w:tcPr>
            <w:tcW w:w="1530" w:type="dxa"/>
            <w:tcBorders>
              <w:top w:val="single" w:sz="4" w:space="0" w:color="auto"/>
              <w:left w:val="single" w:sz="4" w:space="0" w:color="auto"/>
              <w:bottom w:val="single" w:sz="4" w:space="0" w:color="auto"/>
              <w:right w:val="single" w:sz="4" w:space="0" w:color="auto"/>
            </w:tcBorders>
          </w:tcPr>
          <w:p w14:paraId="5BD3449D" w14:textId="77777777" w:rsidR="009F70AC" w:rsidRPr="00040AA9" w:rsidRDefault="009F70AC" w:rsidP="004673B1">
            <w:pPr>
              <w:keepNext/>
              <w:suppressAutoHyphens/>
              <w:jc w:val="center"/>
              <w:rPr>
                <w:rFonts w:ascii="Arial" w:hAnsi="Arial" w:cs="Arial"/>
                <w:sz w:val="20"/>
                <w:szCs w:val="20"/>
              </w:rPr>
            </w:pPr>
            <w:r w:rsidRPr="00040AA9">
              <w:rPr>
                <w:rFonts w:ascii="Arial" w:hAnsi="Arial" w:cs="Arial"/>
                <w:sz w:val="20"/>
                <w:szCs w:val="20"/>
              </w:rPr>
              <w:t>33%</w:t>
            </w:r>
          </w:p>
        </w:tc>
      </w:tr>
      <w:tr w:rsidR="009F70AC" w:rsidRPr="00CF5903" w14:paraId="48962EE8" w14:textId="77777777" w:rsidTr="009C086E">
        <w:trPr>
          <w:trHeight w:val="180"/>
          <w:jc w:val="center"/>
        </w:trPr>
        <w:tc>
          <w:tcPr>
            <w:tcW w:w="10237" w:type="dxa"/>
            <w:gridSpan w:val="5"/>
            <w:tcBorders>
              <w:top w:val="single" w:sz="4" w:space="0" w:color="auto"/>
              <w:left w:val="single" w:sz="4" w:space="0" w:color="auto"/>
              <w:bottom w:val="single" w:sz="4" w:space="0" w:color="auto"/>
              <w:right w:val="single" w:sz="4" w:space="0" w:color="auto"/>
            </w:tcBorders>
          </w:tcPr>
          <w:p w14:paraId="303A5330" w14:textId="77777777" w:rsidR="009F70AC" w:rsidRPr="00040AA9" w:rsidRDefault="009F70AC" w:rsidP="004673B1">
            <w:pPr>
              <w:suppressAutoHyphens/>
              <w:jc w:val="both"/>
              <w:rPr>
                <w:rFonts w:ascii="Arial" w:hAnsi="Arial" w:cs="Arial"/>
                <w:sz w:val="20"/>
                <w:szCs w:val="20"/>
              </w:rPr>
            </w:pPr>
          </w:p>
        </w:tc>
      </w:tr>
      <w:tr w:rsidR="009F70AC" w:rsidRPr="00CF5903" w14:paraId="3A78D48A"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44924549" w14:textId="77777777" w:rsidR="009F70AC" w:rsidRPr="00040AA9" w:rsidRDefault="009F70AC" w:rsidP="004673B1">
            <w:pPr>
              <w:suppressAutoHyphens/>
              <w:jc w:val="both"/>
              <w:rPr>
                <w:rFonts w:ascii="Arial" w:hAnsi="Arial" w:cs="Arial"/>
                <w:b/>
                <w:sz w:val="20"/>
                <w:szCs w:val="20"/>
              </w:rPr>
            </w:pPr>
            <w:r w:rsidRPr="00040AA9">
              <w:rPr>
                <w:rFonts w:ascii="Arial" w:hAnsi="Arial" w:cs="Arial"/>
                <w:b/>
                <w:sz w:val="20"/>
                <w:szCs w:val="20"/>
              </w:rPr>
              <w:t>Five Specific Objectives</w:t>
            </w:r>
          </w:p>
        </w:tc>
      </w:tr>
      <w:tr w:rsidR="009F70AC" w:rsidRPr="00CF5903" w14:paraId="3B48100F" w14:textId="77777777" w:rsidTr="009C086E">
        <w:trPr>
          <w:trHeight w:val="278"/>
          <w:jc w:val="center"/>
        </w:trPr>
        <w:tc>
          <w:tcPr>
            <w:tcW w:w="10237" w:type="dxa"/>
            <w:gridSpan w:val="5"/>
            <w:tcBorders>
              <w:top w:val="single" w:sz="4" w:space="0" w:color="auto"/>
              <w:left w:val="single" w:sz="4" w:space="0" w:color="auto"/>
              <w:bottom w:val="single" w:sz="4" w:space="0" w:color="auto"/>
              <w:right w:val="single" w:sz="4" w:space="0" w:color="auto"/>
            </w:tcBorders>
          </w:tcPr>
          <w:p w14:paraId="487E95DD" w14:textId="77777777" w:rsidR="009F70AC" w:rsidRPr="00040AA9" w:rsidRDefault="009F70AC" w:rsidP="004673B1">
            <w:pPr>
              <w:suppressAutoHyphens/>
              <w:jc w:val="both"/>
              <w:rPr>
                <w:rFonts w:ascii="Arial" w:hAnsi="Arial" w:cs="Arial"/>
                <w:b/>
                <w:sz w:val="20"/>
                <w:szCs w:val="20"/>
              </w:rPr>
            </w:pPr>
            <w:r w:rsidRPr="00040AA9">
              <w:rPr>
                <w:rFonts w:ascii="Arial" w:hAnsi="Arial" w:cs="Arial"/>
                <w:b/>
                <w:sz w:val="20"/>
                <w:szCs w:val="20"/>
              </w:rPr>
              <w:t>(</w:t>
            </w:r>
            <w:proofErr w:type="spellStart"/>
            <w:r w:rsidRPr="00040AA9">
              <w:rPr>
                <w:rFonts w:ascii="Arial" w:hAnsi="Arial" w:cs="Arial"/>
                <w:b/>
                <w:sz w:val="20"/>
                <w:szCs w:val="20"/>
              </w:rPr>
              <w:t>i</w:t>
            </w:r>
            <w:proofErr w:type="spellEnd"/>
            <w:r w:rsidRPr="00040AA9">
              <w:rPr>
                <w:rFonts w:ascii="Arial" w:hAnsi="Arial" w:cs="Arial"/>
                <w:b/>
                <w:sz w:val="20"/>
                <w:szCs w:val="20"/>
              </w:rPr>
              <w:t>) Reducing tax distortions which hinder private investment, employment and competitiveness</w:t>
            </w:r>
          </w:p>
        </w:tc>
      </w:tr>
      <w:tr w:rsidR="009F70AC" w:rsidRPr="00CF5903" w14:paraId="7884D0B0" w14:textId="77777777" w:rsidTr="009C086E">
        <w:trPr>
          <w:trHeight w:val="306"/>
          <w:jc w:val="center"/>
        </w:trPr>
        <w:tc>
          <w:tcPr>
            <w:tcW w:w="1147" w:type="dxa"/>
            <w:tcBorders>
              <w:top w:val="single" w:sz="4" w:space="0" w:color="auto"/>
              <w:left w:val="single" w:sz="4" w:space="0" w:color="auto"/>
              <w:bottom w:val="single" w:sz="4" w:space="0" w:color="auto"/>
              <w:right w:val="single" w:sz="4" w:space="0" w:color="auto"/>
            </w:tcBorders>
          </w:tcPr>
          <w:p w14:paraId="569CE1F2" w14:textId="77777777" w:rsidR="009F70AC" w:rsidRPr="00040AA9" w:rsidRDefault="009F70AC" w:rsidP="004673B1">
            <w:pPr>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5B94DA3A" w14:textId="77777777" w:rsidR="009F70AC" w:rsidRPr="00040AA9" w:rsidRDefault="009F70AC" w:rsidP="004673B1">
            <w:pPr>
              <w:keepNext/>
              <w:suppressAutoHyphens/>
              <w:jc w:val="both"/>
              <w:rPr>
                <w:rFonts w:ascii="Arial" w:hAnsi="Arial" w:cs="Arial"/>
                <w:b/>
                <w:sz w:val="20"/>
                <w:szCs w:val="20"/>
              </w:rPr>
            </w:pPr>
            <w:r w:rsidRPr="00040AA9">
              <w:rPr>
                <w:rFonts w:ascii="Arial" w:hAnsi="Arial" w:cs="Arial"/>
                <w:b/>
                <w:sz w:val="20"/>
                <w:szCs w:val="20"/>
              </w:rPr>
              <w:t>a. Decrease CIT revenue for unregulated companies</w:t>
            </w:r>
            <w:r>
              <w:rPr>
                <w:rFonts w:ascii="Arial" w:hAnsi="Arial" w:cs="Arial"/>
                <w:b/>
                <w:sz w:val="20"/>
                <w:szCs w:val="20"/>
              </w:rPr>
              <w:t xml:space="preserve"> </w:t>
            </w:r>
            <w:r w:rsidRPr="00040AA9">
              <w:rPr>
                <w:rFonts w:ascii="Arial" w:hAnsi="Arial" w:cs="Arial"/>
                <w:sz w:val="20"/>
                <w:szCs w:val="20"/>
              </w:rPr>
              <w:t>(</w:t>
            </w:r>
            <w:r w:rsidRPr="00ED2025">
              <w:rPr>
                <w:rFonts w:ascii="Arial" w:hAnsi="Arial" w:cs="Arial"/>
                <w:sz w:val="20"/>
                <w:szCs w:val="20"/>
              </w:rPr>
              <w:t>O</w:t>
            </w:r>
            <w:r w:rsidRPr="00040AA9">
              <w:rPr>
                <w:rFonts w:ascii="Arial" w:hAnsi="Arial" w:cs="Arial"/>
                <w:sz w:val="20"/>
                <w:szCs w:val="20"/>
              </w:rPr>
              <w:t>utcome II.4)</w:t>
            </w:r>
          </w:p>
        </w:tc>
      </w:tr>
      <w:tr w:rsidR="009F70AC" w:rsidRPr="00CF5903" w14:paraId="08BF351F" w14:textId="77777777" w:rsidTr="009C086E">
        <w:trPr>
          <w:trHeight w:val="153"/>
          <w:jc w:val="center"/>
        </w:trPr>
        <w:tc>
          <w:tcPr>
            <w:tcW w:w="3307" w:type="dxa"/>
            <w:gridSpan w:val="3"/>
            <w:tcBorders>
              <w:top w:val="single" w:sz="4" w:space="0" w:color="auto"/>
              <w:left w:val="single" w:sz="4" w:space="0" w:color="auto"/>
              <w:bottom w:val="single" w:sz="4" w:space="0" w:color="auto"/>
              <w:right w:val="single" w:sz="4" w:space="0" w:color="auto"/>
            </w:tcBorders>
          </w:tcPr>
          <w:p w14:paraId="1A46E62D" w14:textId="77777777" w:rsidR="009F70AC" w:rsidRPr="00040AA9" w:rsidRDefault="009F70AC" w:rsidP="004673B1">
            <w:pPr>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CF9181A" w14:textId="77777777" w:rsidR="009F70AC" w:rsidRPr="00040AA9" w:rsidRDefault="009F70AC" w:rsidP="004673B1">
            <w:pPr>
              <w:keepNext/>
              <w:suppressAutoHyphens/>
              <w:jc w:val="both"/>
              <w:rPr>
                <w:rFonts w:ascii="Arial" w:hAnsi="Arial" w:cs="Arial"/>
                <w:sz w:val="20"/>
                <w:szCs w:val="20"/>
              </w:rPr>
            </w:pPr>
            <w:r w:rsidRPr="00040AA9">
              <w:rPr>
                <w:rFonts w:ascii="Arial" w:hAnsi="Arial" w:cs="Arial"/>
                <w:sz w:val="20"/>
                <w:szCs w:val="20"/>
              </w:rPr>
              <w:t>CIT revenue collections (Outcome indicator II.4.1)</w:t>
            </w:r>
          </w:p>
        </w:tc>
        <w:tc>
          <w:tcPr>
            <w:tcW w:w="1530" w:type="dxa"/>
            <w:tcBorders>
              <w:top w:val="single" w:sz="4" w:space="0" w:color="auto"/>
              <w:left w:val="single" w:sz="4" w:space="0" w:color="auto"/>
              <w:bottom w:val="single" w:sz="4" w:space="0" w:color="auto"/>
              <w:right w:val="single" w:sz="4" w:space="0" w:color="auto"/>
            </w:tcBorders>
          </w:tcPr>
          <w:p w14:paraId="6B1E696C" w14:textId="77777777" w:rsidR="009F70AC" w:rsidRPr="00040AA9" w:rsidRDefault="009F70AC" w:rsidP="004673B1">
            <w:pPr>
              <w:keepNext/>
              <w:suppressAutoHyphens/>
              <w:jc w:val="center"/>
              <w:rPr>
                <w:rFonts w:ascii="Arial" w:hAnsi="Arial" w:cs="Arial"/>
                <w:i/>
                <w:sz w:val="20"/>
                <w:szCs w:val="20"/>
              </w:rPr>
            </w:pPr>
            <w:r w:rsidRPr="00040AA9">
              <w:rPr>
                <w:rFonts w:ascii="Arial" w:hAnsi="Arial" w:cs="Arial"/>
                <w:sz w:val="20"/>
                <w:szCs w:val="20"/>
              </w:rPr>
              <w:t>0%</w:t>
            </w:r>
          </w:p>
        </w:tc>
      </w:tr>
      <w:tr w:rsidR="009F70AC" w:rsidRPr="00CF5903" w14:paraId="5FDCD6EC" w14:textId="77777777" w:rsidTr="009C086E">
        <w:trPr>
          <w:trHeight w:val="278"/>
          <w:jc w:val="center"/>
        </w:trPr>
        <w:tc>
          <w:tcPr>
            <w:tcW w:w="2317" w:type="dxa"/>
            <w:gridSpan w:val="2"/>
            <w:tcBorders>
              <w:top w:val="single" w:sz="4" w:space="0" w:color="auto"/>
              <w:left w:val="single" w:sz="4" w:space="0" w:color="auto"/>
              <w:bottom w:val="single" w:sz="4" w:space="0" w:color="auto"/>
              <w:right w:val="single" w:sz="4" w:space="0" w:color="auto"/>
            </w:tcBorders>
          </w:tcPr>
          <w:p w14:paraId="2A65947E" w14:textId="77777777" w:rsidR="009F70AC" w:rsidRPr="00040AA9" w:rsidRDefault="009F70AC" w:rsidP="004673B1">
            <w:pPr>
              <w:suppressAutoHyphens/>
              <w:jc w:val="both"/>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5FE8263" w14:textId="13178049" w:rsidR="009F70AC" w:rsidRPr="00040AA9" w:rsidRDefault="009F70AC" w:rsidP="004673B1">
            <w:pPr>
              <w:keepNext/>
              <w:suppressAutoHyphens/>
              <w:jc w:val="both"/>
              <w:rPr>
                <w:rFonts w:ascii="Arial" w:hAnsi="Arial" w:cs="Arial"/>
                <w:b/>
                <w:sz w:val="20"/>
                <w:szCs w:val="20"/>
              </w:rPr>
            </w:pPr>
            <w:r w:rsidRPr="00040AA9">
              <w:rPr>
                <w:rFonts w:ascii="Arial" w:hAnsi="Arial" w:cs="Arial"/>
                <w:b/>
                <w:sz w:val="20"/>
                <w:szCs w:val="20"/>
              </w:rPr>
              <w:t xml:space="preserve">a.1 GCT, Corp &amp; Self-Employed Tax, CIT and PIT </w:t>
            </w:r>
            <w:r w:rsidRPr="00040AA9">
              <w:rPr>
                <w:rFonts w:ascii="Arial" w:hAnsi="Arial" w:cs="Arial"/>
                <w:sz w:val="20"/>
                <w:szCs w:val="20"/>
              </w:rPr>
              <w:t>(Output II.2)</w:t>
            </w:r>
          </w:p>
        </w:tc>
      </w:tr>
      <w:tr w:rsidR="009F70AC" w:rsidRPr="00CF5903" w14:paraId="302D10E4"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362DF619" w14:textId="77777777" w:rsidR="009F70AC" w:rsidRPr="00040AA9" w:rsidRDefault="009F70AC" w:rsidP="004673B1">
            <w:pPr>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1C46F92C" w14:textId="77777777" w:rsidR="009F70AC" w:rsidRPr="00040AA9" w:rsidRDefault="009F70AC" w:rsidP="009C086E">
            <w:pPr>
              <w:keepNext/>
              <w:suppressAutoHyphens/>
              <w:rPr>
                <w:rFonts w:ascii="Arial" w:hAnsi="Arial" w:cs="Arial"/>
                <w:i/>
                <w:sz w:val="20"/>
                <w:szCs w:val="20"/>
              </w:rPr>
            </w:pPr>
            <w:r w:rsidRPr="00040AA9">
              <w:rPr>
                <w:rFonts w:ascii="Arial" w:hAnsi="Arial" w:cs="Arial"/>
                <w:sz w:val="20"/>
                <w:szCs w:val="20"/>
              </w:rPr>
              <w:t>CIT rate for unregulated companies applied (Output</w:t>
            </w:r>
            <w:r w:rsidRPr="00ED2025">
              <w:rPr>
                <w:rFonts w:ascii="Arial" w:hAnsi="Arial" w:cs="Arial"/>
                <w:sz w:val="20"/>
                <w:szCs w:val="20"/>
              </w:rPr>
              <w:t> </w:t>
            </w:r>
            <w:r w:rsidRPr="00040AA9">
              <w:rPr>
                <w:rFonts w:ascii="Arial" w:hAnsi="Arial" w:cs="Arial"/>
                <w:sz w:val="20"/>
                <w:szCs w:val="20"/>
              </w:rPr>
              <w:t>indicator II.2.2)</w:t>
            </w:r>
          </w:p>
        </w:tc>
        <w:tc>
          <w:tcPr>
            <w:tcW w:w="1530" w:type="dxa"/>
            <w:tcBorders>
              <w:top w:val="single" w:sz="4" w:space="0" w:color="auto"/>
              <w:left w:val="single" w:sz="4" w:space="0" w:color="auto"/>
              <w:bottom w:val="single" w:sz="4" w:space="0" w:color="auto"/>
              <w:right w:val="single" w:sz="4" w:space="0" w:color="auto"/>
            </w:tcBorders>
            <w:vAlign w:val="center"/>
          </w:tcPr>
          <w:p w14:paraId="69D1C986" w14:textId="77777777" w:rsidR="009F70AC" w:rsidRPr="00040AA9" w:rsidRDefault="009F70AC" w:rsidP="004673B1">
            <w:pPr>
              <w:keepNext/>
              <w:suppressAutoHyphens/>
              <w:jc w:val="center"/>
              <w:rPr>
                <w:rFonts w:ascii="Arial" w:hAnsi="Arial" w:cs="Arial"/>
                <w:sz w:val="20"/>
                <w:szCs w:val="20"/>
              </w:rPr>
            </w:pPr>
            <w:r w:rsidRPr="00040AA9">
              <w:rPr>
                <w:rFonts w:ascii="Arial" w:hAnsi="Arial" w:cs="Arial"/>
                <w:sz w:val="20"/>
                <w:szCs w:val="20"/>
              </w:rPr>
              <w:t>100%</w:t>
            </w:r>
          </w:p>
        </w:tc>
      </w:tr>
      <w:tr w:rsidR="009F70AC" w:rsidRPr="00CF5903" w14:paraId="7DF61670"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4BEDD44B" w14:textId="77777777" w:rsidR="009F70AC" w:rsidRPr="00040AA9" w:rsidRDefault="009F70AC" w:rsidP="004673B1">
            <w:pPr>
              <w:widowControl w:val="0"/>
              <w:suppressAutoHyphens/>
              <w:jc w:val="both"/>
              <w:rPr>
                <w:rFonts w:ascii="Arial" w:hAnsi="Arial" w:cs="Arial"/>
                <w:i/>
                <w:sz w:val="20"/>
                <w:szCs w:val="20"/>
              </w:rPr>
            </w:pPr>
          </w:p>
        </w:tc>
      </w:tr>
      <w:tr w:rsidR="009F70AC" w:rsidRPr="00CF5903" w14:paraId="1FCB8676" w14:textId="77777777" w:rsidTr="009C086E">
        <w:trPr>
          <w:trHeight w:val="260"/>
          <w:jc w:val="center"/>
        </w:trPr>
        <w:tc>
          <w:tcPr>
            <w:tcW w:w="1147" w:type="dxa"/>
            <w:tcBorders>
              <w:top w:val="single" w:sz="4" w:space="0" w:color="auto"/>
              <w:left w:val="single" w:sz="4" w:space="0" w:color="auto"/>
              <w:bottom w:val="single" w:sz="4" w:space="0" w:color="auto"/>
              <w:right w:val="single" w:sz="4" w:space="0" w:color="auto"/>
            </w:tcBorders>
          </w:tcPr>
          <w:p w14:paraId="64C7B4AE" w14:textId="77777777" w:rsidR="009F70AC" w:rsidRPr="00040AA9" w:rsidRDefault="009F70AC" w:rsidP="004673B1">
            <w:pPr>
              <w:widowControl w:val="0"/>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5C6B69ED"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b. Savings increase through the employment tax credit to foster economic growth</w:t>
            </w:r>
            <w:r w:rsidRPr="00ED2025">
              <w:rPr>
                <w:rFonts w:ascii="Arial" w:hAnsi="Arial" w:cs="Arial"/>
                <w:b/>
                <w:sz w:val="20"/>
                <w:szCs w:val="20"/>
              </w:rPr>
              <w:br/>
            </w:r>
            <w:r w:rsidRPr="00040AA9">
              <w:rPr>
                <w:rFonts w:ascii="Arial" w:hAnsi="Arial" w:cs="Arial"/>
                <w:sz w:val="20"/>
                <w:szCs w:val="20"/>
              </w:rPr>
              <w:t>(Outcome II.5)</w:t>
            </w:r>
          </w:p>
        </w:tc>
      </w:tr>
      <w:tr w:rsidR="009F70AC" w:rsidRPr="00CF5903" w14:paraId="04B04EFB" w14:textId="77777777" w:rsidTr="009C086E">
        <w:trPr>
          <w:trHeight w:val="287"/>
          <w:jc w:val="center"/>
        </w:trPr>
        <w:tc>
          <w:tcPr>
            <w:tcW w:w="3307" w:type="dxa"/>
            <w:gridSpan w:val="3"/>
            <w:tcBorders>
              <w:top w:val="single" w:sz="4" w:space="0" w:color="auto"/>
              <w:left w:val="single" w:sz="4" w:space="0" w:color="auto"/>
              <w:bottom w:val="single" w:sz="4" w:space="0" w:color="auto"/>
              <w:right w:val="single" w:sz="4" w:space="0" w:color="auto"/>
            </w:tcBorders>
          </w:tcPr>
          <w:p w14:paraId="5DF21CC8"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C46FC2D"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 xml:space="preserve">Total savings in </w:t>
            </w:r>
            <w:r w:rsidRPr="00ED2025">
              <w:rPr>
                <w:rFonts w:ascii="Arial" w:hAnsi="Arial" w:cs="Arial"/>
                <w:sz w:val="20"/>
                <w:szCs w:val="20"/>
              </w:rPr>
              <w:t>labor</w:t>
            </w:r>
            <w:r w:rsidRPr="00040AA9">
              <w:rPr>
                <w:rFonts w:ascii="Arial" w:hAnsi="Arial" w:cs="Arial"/>
                <w:sz w:val="20"/>
                <w:szCs w:val="20"/>
              </w:rPr>
              <w:t xml:space="preserve"> costs expected for employers (Outcome indicator II.5.1)</w:t>
            </w:r>
          </w:p>
        </w:tc>
        <w:tc>
          <w:tcPr>
            <w:tcW w:w="1530" w:type="dxa"/>
            <w:tcBorders>
              <w:top w:val="single" w:sz="4" w:space="0" w:color="auto"/>
              <w:left w:val="single" w:sz="4" w:space="0" w:color="auto"/>
              <w:bottom w:val="single" w:sz="4" w:space="0" w:color="auto"/>
              <w:right w:val="single" w:sz="4" w:space="0" w:color="auto"/>
            </w:tcBorders>
            <w:vAlign w:val="center"/>
          </w:tcPr>
          <w:p w14:paraId="3A4503D1" w14:textId="77777777" w:rsidR="009F70AC" w:rsidRPr="00040AA9" w:rsidRDefault="009F70AC" w:rsidP="004673B1">
            <w:pPr>
              <w:widowControl w:val="0"/>
              <w:suppressAutoHyphens/>
              <w:jc w:val="center"/>
              <w:rPr>
                <w:rFonts w:ascii="Arial" w:hAnsi="Arial" w:cs="Arial"/>
                <w:i/>
                <w:sz w:val="20"/>
                <w:szCs w:val="20"/>
              </w:rPr>
            </w:pPr>
            <w:r w:rsidRPr="00040AA9">
              <w:rPr>
                <w:rFonts w:ascii="Arial" w:hAnsi="Arial" w:cs="Arial"/>
                <w:sz w:val="20"/>
                <w:szCs w:val="20"/>
              </w:rPr>
              <w:t>143%</w:t>
            </w:r>
          </w:p>
        </w:tc>
      </w:tr>
      <w:tr w:rsidR="009F70AC" w:rsidRPr="00CF5903" w14:paraId="72EABA7A"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7AD2B5CB" w14:textId="77777777" w:rsidR="009F70AC" w:rsidRPr="00040AA9" w:rsidRDefault="009F70AC" w:rsidP="004673B1">
            <w:pPr>
              <w:widowControl w:val="0"/>
              <w:suppressAutoHyphens/>
              <w:jc w:val="both"/>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009518F2"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b.1 E</w:t>
            </w:r>
            <w:r>
              <w:rPr>
                <w:rFonts w:ascii="Arial" w:hAnsi="Arial" w:cs="Arial"/>
                <w:b/>
                <w:sz w:val="20"/>
                <w:szCs w:val="20"/>
              </w:rPr>
              <w:t>TC</w:t>
            </w:r>
            <w:r w:rsidRPr="00040AA9">
              <w:rPr>
                <w:rFonts w:ascii="Arial" w:hAnsi="Arial" w:cs="Arial"/>
                <w:b/>
                <w:sz w:val="20"/>
                <w:szCs w:val="20"/>
              </w:rPr>
              <w:t xml:space="preserve"> </w:t>
            </w:r>
            <w:r w:rsidRPr="00040AA9">
              <w:rPr>
                <w:rFonts w:ascii="Arial" w:hAnsi="Arial" w:cs="Arial"/>
                <w:sz w:val="20"/>
                <w:szCs w:val="20"/>
              </w:rPr>
              <w:t>(Output II.13)</w:t>
            </w:r>
          </w:p>
        </w:tc>
      </w:tr>
      <w:tr w:rsidR="009F70AC" w:rsidRPr="00CF5903" w14:paraId="0856F11E"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3200CDDD"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63E659BF"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 xml:space="preserve">ETC for registered trade companies under the labor incentive </w:t>
            </w:r>
            <w:r w:rsidRPr="00ED2025">
              <w:rPr>
                <w:rFonts w:ascii="Arial" w:hAnsi="Arial" w:cs="Arial"/>
                <w:sz w:val="20"/>
                <w:szCs w:val="20"/>
              </w:rPr>
              <w:t xml:space="preserve">program </w:t>
            </w:r>
            <w:r w:rsidRPr="00040AA9">
              <w:rPr>
                <w:rFonts w:ascii="Arial" w:hAnsi="Arial" w:cs="Arial"/>
                <w:sz w:val="20"/>
                <w:szCs w:val="20"/>
              </w:rPr>
              <w:t>applied. (Output indicator II.13.2)</w:t>
            </w:r>
          </w:p>
        </w:tc>
        <w:tc>
          <w:tcPr>
            <w:tcW w:w="1530" w:type="dxa"/>
            <w:tcBorders>
              <w:top w:val="single" w:sz="4" w:space="0" w:color="auto"/>
              <w:left w:val="single" w:sz="4" w:space="0" w:color="auto"/>
              <w:bottom w:val="single" w:sz="4" w:space="0" w:color="auto"/>
              <w:right w:val="single" w:sz="4" w:space="0" w:color="auto"/>
            </w:tcBorders>
            <w:vAlign w:val="center"/>
          </w:tcPr>
          <w:p w14:paraId="170DD2A6"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5BE4A4D2"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0A6CB1F7" w14:textId="77777777" w:rsidR="009F70AC" w:rsidRPr="00040AA9" w:rsidRDefault="009F70AC" w:rsidP="00472226">
            <w:pPr>
              <w:keepNext/>
              <w:keepLines/>
              <w:widowControl w:val="0"/>
              <w:suppressAutoHyphens/>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06F40EB3" w14:textId="77777777" w:rsidR="009F70AC" w:rsidRPr="00040AA9" w:rsidRDefault="009F70AC" w:rsidP="00472226">
            <w:pPr>
              <w:keepNext/>
              <w:keepLines/>
              <w:widowControl w:val="0"/>
              <w:suppressAutoHyphens/>
              <w:jc w:val="both"/>
              <w:rPr>
                <w:rFonts w:ascii="Arial" w:hAnsi="Arial" w:cs="Arial"/>
                <w:b/>
                <w:sz w:val="20"/>
                <w:szCs w:val="20"/>
              </w:rPr>
            </w:pPr>
            <w:r w:rsidRPr="00040AA9">
              <w:rPr>
                <w:rFonts w:ascii="Arial" w:hAnsi="Arial" w:cs="Arial"/>
                <w:b/>
                <w:sz w:val="20"/>
                <w:szCs w:val="20"/>
              </w:rPr>
              <w:t xml:space="preserve">c. Decrease the ratio between tax expenditures and the GDP (tax distortion) </w:t>
            </w:r>
            <w:r w:rsidRPr="00040AA9">
              <w:rPr>
                <w:rFonts w:ascii="Arial" w:hAnsi="Arial" w:cs="Arial"/>
                <w:sz w:val="20"/>
                <w:szCs w:val="20"/>
              </w:rPr>
              <w:t>(Outcome II.11)</w:t>
            </w:r>
          </w:p>
        </w:tc>
      </w:tr>
      <w:tr w:rsidR="009F70AC" w:rsidRPr="00CF5903" w14:paraId="694D5CF8" w14:textId="77777777" w:rsidTr="009C086E">
        <w:trPr>
          <w:trHeight w:val="314"/>
          <w:jc w:val="center"/>
        </w:trPr>
        <w:tc>
          <w:tcPr>
            <w:tcW w:w="3307" w:type="dxa"/>
            <w:gridSpan w:val="3"/>
            <w:tcBorders>
              <w:top w:val="single" w:sz="4" w:space="0" w:color="auto"/>
              <w:left w:val="single" w:sz="4" w:space="0" w:color="auto"/>
              <w:bottom w:val="single" w:sz="4" w:space="0" w:color="auto"/>
              <w:right w:val="single" w:sz="4" w:space="0" w:color="auto"/>
            </w:tcBorders>
          </w:tcPr>
          <w:p w14:paraId="6D93E42D" w14:textId="77777777" w:rsidR="009F70AC" w:rsidRPr="00040AA9" w:rsidRDefault="009F70AC" w:rsidP="00472226">
            <w:pPr>
              <w:keepNext/>
              <w:keepLines/>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5DA59505" w14:textId="67B47840" w:rsidR="009F70AC" w:rsidRPr="00040AA9" w:rsidRDefault="009F70AC" w:rsidP="00472226">
            <w:pPr>
              <w:keepNext/>
              <w:keepLines/>
              <w:widowControl w:val="0"/>
              <w:suppressAutoHyphens/>
              <w:rPr>
                <w:rFonts w:ascii="Arial" w:hAnsi="Arial" w:cs="Arial"/>
                <w:sz w:val="20"/>
                <w:szCs w:val="20"/>
              </w:rPr>
            </w:pPr>
            <w:r w:rsidRPr="00040AA9">
              <w:rPr>
                <w:rFonts w:ascii="Arial" w:hAnsi="Arial" w:cs="Arial"/>
                <w:sz w:val="20"/>
                <w:szCs w:val="20"/>
              </w:rPr>
              <w:t>Total tax expenditures / Nominal GDP</w:t>
            </w:r>
            <w:r w:rsidR="00F144D0">
              <w:rPr>
                <w:rStyle w:val="FootnoteReference"/>
                <w:rFonts w:ascii="Arial" w:hAnsi="Arial" w:cs="Arial"/>
                <w:sz w:val="20"/>
                <w:szCs w:val="20"/>
              </w:rPr>
              <w:footnoteReference w:id="19"/>
            </w:r>
            <w:r>
              <w:rPr>
                <w:rFonts w:ascii="Arial" w:hAnsi="Arial" w:cs="Arial"/>
                <w:sz w:val="20"/>
                <w:szCs w:val="20"/>
              </w:rPr>
              <w:br/>
            </w:r>
            <w:r w:rsidRPr="00040AA9">
              <w:rPr>
                <w:rFonts w:ascii="Arial" w:hAnsi="Arial" w:cs="Arial"/>
                <w:sz w:val="20"/>
                <w:szCs w:val="20"/>
              </w:rPr>
              <w:t>(Outcome indicator II.11.1)</w:t>
            </w:r>
          </w:p>
        </w:tc>
        <w:tc>
          <w:tcPr>
            <w:tcW w:w="1530" w:type="dxa"/>
            <w:tcBorders>
              <w:top w:val="single" w:sz="4" w:space="0" w:color="auto"/>
              <w:left w:val="single" w:sz="4" w:space="0" w:color="auto"/>
              <w:bottom w:val="single" w:sz="4" w:space="0" w:color="auto"/>
              <w:right w:val="single" w:sz="4" w:space="0" w:color="auto"/>
            </w:tcBorders>
            <w:vAlign w:val="center"/>
          </w:tcPr>
          <w:p w14:paraId="3452D8A1" w14:textId="57C9ED85" w:rsidR="009F70AC" w:rsidRPr="00040AA9" w:rsidRDefault="00913CCF" w:rsidP="00472226">
            <w:pPr>
              <w:keepNext/>
              <w:keepLines/>
              <w:widowControl w:val="0"/>
              <w:suppressAutoHyphens/>
              <w:jc w:val="center"/>
              <w:rPr>
                <w:rFonts w:ascii="Arial" w:hAnsi="Arial" w:cs="Arial"/>
                <w:sz w:val="20"/>
                <w:szCs w:val="20"/>
              </w:rPr>
            </w:pPr>
            <w:r>
              <w:rPr>
                <w:rFonts w:ascii="Arial" w:hAnsi="Arial" w:cs="Arial"/>
                <w:sz w:val="20"/>
                <w:szCs w:val="20"/>
              </w:rPr>
              <w:t>8</w:t>
            </w:r>
            <w:r w:rsidR="00E85366">
              <w:rPr>
                <w:rFonts w:ascii="Arial" w:hAnsi="Arial" w:cs="Arial"/>
                <w:sz w:val="20"/>
                <w:szCs w:val="20"/>
              </w:rPr>
              <w:t>1</w:t>
            </w:r>
            <w:r w:rsidR="009F70AC" w:rsidRPr="00040AA9">
              <w:rPr>
                <w:rFonts w:ascii="Arial" w:hAnsi="Arial" w:cs="Arial"/>
                <w:sz w:val="20"/>
                <w:szCs w:val="20"/>
              </w:rPr>
              <w:t>%</w:t>
            </w:r>
          </w:p>
        </w:tc>
      </w:tr>
      <w:tr w:rsidR="009F70AC" w:rsidRPr="00CF5903" w14:paraId="6548CD73"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57F4970B" w14:textId="77777777" w:rsidR="009F70AC" w:rsidRPr="00040AA9" w:rsidRDefault="009F70AC" w:rsidP="004673B1">
            <w:pPr>
              <w:widowControl w:val="0"/>
              <w:suppressAutoHyphens/>
              <w:rPr>
                <w:rFonts w:ascii="Arial" w:hAnsi="Arial" w:cs="Arial"/>
                <w:b/>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5D5371FD" w14:textId="77777777" w:rsidR="009F70AC" w:rsidRPr="00040AA9" w:rsidRDefault="009F70AC" w:rsidP="004673B1">
            <w:pPr>
              <w:widowControl w:val="0"/>
              <w:suppressAutoHyphens/>
              <w:rPr>
                <w:rFonts w:ascii="Arial" w:hAnsi="Arial" w:cs="Arial"/>
                <w:b/>
                <w:sz w:val="20"/>
                <w:szCs w:val="20"/>
              </w:rPr>
            </w:pPr>
            <w:r w:rsidRPr="00040AA9">
              <w:rPr>
                <w:rFonts w:ascii="Arial" w:hAnsi="Arial" w:cs="Arial"/>
                <w:b/>
                <w:sz w:val="20"/>
                <w:szCs w:val="20"/>
              </w:rPr>
              <w:t xml:space="preserve"> c.1 New discretionary waivers eliminated </w:t>
            </w:r>
            <w:r w:rsidRPr="00040AA9">
              <w:rPr>
                <w:rFonts w:ascii="Arial" w:hAnsi="Arial" w:cs="Arial"/>
                <w:sz w:val="20"/>
                <w:szCs w:val="20"/>
              </w:rPr>
              <w:t>(Output II.12)</w:t>
            </w:r>
          </w:p>
        </w:tc>
      </w:tr>
      <w:tr w:rsidR="009F70AC" w:rsidRPr="00CF5903" w14:paraId="711EF736"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34FEAD1D"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9440070"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Granting of new categories of ministerial discretionary waivers eliminated. (Output indicator II.12.1)</w:t>
            </w:r>
          </w:p>
        </w:tc>
        <w:tc>
          <w:tcPr>
            <w:tcW w:w="1530" w:type="dxa"/>
            <w:tcBorders>
              <w:top w:val="single" w:sz="4" w:space="0" w:color="auto"/>
              <w:left w:val="single" w:sz="4" w:space="0" w:color="auto"/>
              <w:bottom w:val="single" w:sz="4" w:space="0" w:color="auto"/>
              <w:right w:val="single" w:sz="4" w:space="0" w:color="auto"/>
            </w:tcBorders>
            <w:vAlign w:val="center"/>
          </w:tcPr>
          <w:p w14:paraId="30D1866E"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5AA89448"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4BFEB6DF" w14:textId="77777777" w:rsidR="009F70AC" w:rsidRPr="00040AA9" w:rsidRDefault="009F70AC" w:rsidP="004673B1">
            <w:pPr>
              <w:widowControl w:val="0"/>
              <w:suppressAutoHyphens/>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05BA645A" w14:textId="77777777" w:rsidR="009F70AC" w:rsidRPr="00040AA9" w:rsidRDefault="009F70AC" w:rsidP="004673B1">
            <w:pPr>
              <w:widowControl w:val="0"/>
              <w:suppressAutoHyphens/>
              <w:rPr>
                <w:rFonts w:ascii="Arial" w:hAnsi="Arial" w:cs="Arial"/>
                <w:sz w:val="20"/>
                <w:szCs w:val="20"/>
              </w:rPr>
            </w:pPr>
            <w:r w:rsidRPr="00040AA9">
              <w:rPr>
                <w:rFonts w:ascii="Arial" w:hAnsi="Arial" w:cs="Arial"/>
                <w:b/>
                <w:sz w:val="20"/>
                <w:szCs w:val="20"/>
              </w:rPr>
              <w:t xml:space="preserve"> c.2 Application of Caps on Tax Incentives </w:t>
            </w:r>
            <w:r w:rsidRPr="00040AA9">
              <w:rPr>
                <w:rFonts w:ascii="Arial" w:hAnsi="Arial" w:cs="Arial"/>
                <w:sz w:val="20"/>
                <w:szCs w:val="20"/>
              </w:rPr>
              <w:t>(Output II.14)</w:t>
            </w:r>
          </w:p>
        </w:tc>
      </w:tr>
      <w:tr w:rsidR="009F70AC" w:rsidRPr="00CF5903" w14:paraId="3DAACAF4" w14:textId="77777777" w:rsidTr="009C086E">
        <w:trPr>
          <w:trHeight w:val="486"/>
          <w:jc w:val="center"/>
        </w:trPr>
        <w:tc>
          <w:tcPr>
            <w:tcW w:w="3307" w:type="dxa"/>
            <w:gridSpan w:val="3"/>
            <w:tcBorders>
              <w:top w:val="single" w:sz="4" w:space="0" w:color="auto"/>
              <w:left w:val="single" w:sz="4" w:space="0" w:color="auto"/>
              <w:bottom w:val="single" w:sz="4" w:space="0" w:color="auto"/>
              <w:right w:val="single" w:sz="4" w:space="0" w:color="auto"/>
            </w:tcBorders>
          </w:tcPr>
          <w:p w14:paraId="104D61DB"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03AFBDEB"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Increase for Initial Capital Allowance (ICA) for new capital investment applied (Output indicator II.14.1)</w:t>
            </w:r>
          </w:p>
        </w:tc>
        <w:tc>
          <w:tcPr>
            <w:tcW w:w="1530" w:type="dxa"/>
            <w:tcBorders>
              <w:top w:val="single" w:sz="4" w:space="0" w:color="auto"/>
              <w:left w:val="single" w:sz="4" w:space="0" w:color="auto"/>
              <w:bottom w:val="single" w:sz="4" w:space="0" w:color="auto"/>
              <w:right w:val="single" w:sz="4" w:space="0" w:color="auto"/>
            </w:tcBorders>
            <w:vAlign w:val="center"/>
          </w:tcPr>
          <w:p w14:paraId="08158C0F"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5EDC02A1"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5C38D29F"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0AF511C1"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Tax incentive cap allowed under the FIA for pioneer/mega projects applied (Output indicator II.14.2)</w:t>
            </w:r>
          </w:p>
        </w:tc>
        <w:tc>
          <w:tcPr>
            <w:tcW w:w="1530" w:type="dxa"/>
            <w:tcBorders>
              <w:top w:val="single" w:sz="4" w:space="0" w:color="auto"/>
              <w:left w:val="single" w:sz="4" w:space="0" w:color="auto"/>
              <w:bottom w:val="single" w:sz="4" w:space="0" w:color="auto"/>
              <w:right w:val="single" w:sz="4" w:space="0" w:color="auto"/>
            </w:tcBorders>
            <w:vAlign w:val="center"/>
          </w:tcPr>
          <w:p w14:paraId="76B6D37B"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5B7CC4F2" w14:textId="77777777" w:rsidTr="009C086E">
        <w:trPr>
          <w:trHeight w:val="252"/>
          <w:jc w:val="center"/>
        </w:trPr>
        <w:tc>
          <w:tcPr>
            <w:tcW w:w="10237" w:type="dxa"/>
            <w:gridSpan w:val="5"/>
            <w:tcBorders>
              <w:top w:val="single" w:sz="4" w:space="0" w:color="auto"/>
              <w:left w:val="single" w:sz="4" w:space="0" w:color="auto"/>
              <w:bottom w:val="single" w:sz="4" w:space="0" w:color="auto"/>
              <w:right w:val="single" w:sz="4" w:space="0" w:color="auto"/>
            </w:tcBorders>
          </w:tcPr>
          <w:p w14:paraId="395DB886" w14:textId="77777777" w:rsidR="009F70AC" w:rsidRPr="00040AA9" w:rsidRDefault="009F70AC" w:rsidP="004673B1">
            <w:pPr>
              <w:widowControl w:val="0"/>
              <w:suppressAutoHyphens/>
              <w:rPr>
                <w:rFonts w:ascii="Arial" w:hAnsi="Arial" w:cs="Arial"/>
                <w:b/>
                <w:i/>
                <w:sz w:val="20"/>
                <w:szCs w:val="20"/>
              </w:rPr>
            </w:pPr>
          </w:p>
        </w:tc>
      </w:tr>
      <w:tr w:rsidR="009F70AC" w:rsidRPr="00CF5903" w14:paraId="73D0EC98"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5C9C50B4"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(ii) Strengthening revenue collection through broadening tax bases and reducing tax rates</w:t>
            </w:r>
          </w:p>
        </w:tc>
      </w:tr>
      <w:tr w:rsidR="009F70AC" w:rsidRPr="00CF5903" w14:paraId="74AECCF7" w14:textId="77777777" w:rsidTr="009C086E">
        <w:trPr>
          <w:trHeight w:val="297"/>
          <w:jc w:val="center"/>
        </w:trPr>
        <w:tc>
          <w:tcPr>
            <w:tcW w:w="1147" w:type="dxa"/>
            <w:tcBorders>
              <w:top w:val="single" w:sz="4" w:space="0" w:color="auto"/>
              <w:left w:val="single" w:sz="4" w:space="0" w:color="auto"/>
              <w:bottom w:val="single" w:sz="4" w:space="0" w:color="auto"/>
              <w:right w:val="single" w:sz="4" w:space="0" w:color="auto"/>
            </w:tcBorders>
          </w:tcPr>
          <w:p w14:paraId="31116FF1" w14:textId="77777777" w:rsidR="009F70AC" w:rsidRPr="00040AA9" w:rsidRDefault="009F70AC" w:rsidP="004673B1">
            <w:pPr>
              <w:widowControl w:val="0"/>
              <w:suppressAutoHyphens/>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0500399C" w14:textId="77777777" w:rsidR="009F70AC" w:rsidRPr="00040AA9" w:rsidRDefault="009F70AC" w:rsidP="004673B1">
            <w:pPr>
              <w:widowControl w:val="0"/>
              <w:suppressAutoHyphens/>
              <w:rPr>
                <w:rFonts w:ascii="Arial" w:hAnsi="Arial" w:cs="Arial"/>
                <w:b/>
                <w:sz w:val="20"/>
                <w:szCs w:val="20"/>
              </w:rPr>
            </w:pPr>
            <w:r w:rsidRPr="00040AA9">
              <w:rPr>
                <w:rFonts w:ascii="Arial" w:hAnsi="Arial" w:cs="Arial"/>
                <w:b/>
                <w:sz w:val="20"/>
                <w:szCs w:val="20"/>
              </w:rPr>
              <w:t xml:space="preserve">a. Increased tax revenue as % of GDP </w:t>
            </w:r>
            <w:r w:rsidRPr="00040AA9">
              <w:rPr>
                <w:rFonts w:ascii="Arial" w:hAnsi="Arial" w:cs="Arial"/>
                <w:sz w:val="20"/>
                <w:szCs w:val="20"/>
              </w:rPr>
              <w:t>(Outcome II.1)</w:t>
            </w:r>
          </w:p>
        </w:tc>
      </w:tr>
      <w:tr w:rsidR="009F70AC" w:rsidRPr="00CF5903" w14:paraId="3E09024D" w14:textId="77777777" w:rsidTr="009C086E">
        <w:trPr>
          <w:trHeight w:val="296"/>
          <w:jc w:val="center"/>
        </w:trPr>
        <w:tc>
          <w:tcPr>
            <w:tcW w:w="3307" w:type="dxa"/>
            <w:gridSpan w:val="3"/>
            <w:tcBorders>
              <w:top w:val="single" w:sz="4" w:space="0" w:color="auto"/>
              <w:left w:val="single" w:sz="4" w:space="0" w:color="auto"/>
              <w:bottom w:val="single" w:sz="4" w:space="0" w:color="auto"/>
              <w:right w:val="single" w:sz="4" w:space="0" w:color="auto"/>
            </w:tcBorders>
          </w:tcPr>
          <w:p w14:paraId="70FA21E1"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46F2A235"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Tax revenue / Nominal GDP (Outcome indicator II.1.1)</w:t>
            </w:r>
          </w:p>
        </w:tc>
        <w:tc>
          <w:tcPr>
            <w:tcW w:w="1530" w:type="dxa"/>
            <w:tcBorders>
              <w:top w:val="single" w:sz="4" w:space="0" w:color="auto"/>
              <w:left w:val="single" w:sz="4" w:space="0" w:color="auto"/>
              <w:bottom w:val="single" w:sz="4" w:space="0" w:color="auto"/>
              <w:right w:val="single" w:sz="4" w:space="0" w:color="auto"/>
            </w:tcBorders>
          </w:tcPr>
          <w:p w14:paraId="6545B3A1" w14:textId="2B2C2ACE" w:rsidR="009F70AC" w:rsidRPr="00040AA9" w:rsidRDefault="00913CCF" w:rsidP="004673B1">
            <w:pPr>
              <w:widowControl w:val="0"/>
              <w:suppressAutoHyphens/>
              <w:jc w:val="center"/>
              <w:rPr>
                <w:rFonts w:ascii="Arial" w:hAnsi="Arial" w:cs="Arial"/>
                <w:sz w:val="20"/>
                <w:szCs w:val="20"/>
              </w:rPr>
            </w:pPr>
            <w:r>
              <w:rPr>
                <w:rFonts w:ascii="Arial" w:hAnsi="Arial" w:cs="Arial"/>
                <w:sz w:val="20"/>
                <w:szCs w:val="20"/>
              </w:rPr>
              <w:t>82</w:t>
            </w:r>
            <w:r w:rsidR="009F70AC" w:rsidRPr="00040AA9">
              <w:rPr>
                <w:rFonts w:ascii="Arial" w:hAnsi="Arial" w:cs="Arial"/>
                <w:sz w:val="20"/>
                <w:szCs w:val="20"/>
              </w:rPr>
              <w:t>%</w:t>
            </w:r>
          </w:p>
        </w:tc>
      </w:tr>
      <w:tr w:rsidR="009F70AC" w:rsidRPr="00CF5903" w14:paraId="487FF507" w14:textId="77777777" w:rsidTr="009C086E">
        <w:trPr>
          <w:trHeight w:val="269"/>
          <w:jc w:val="center"/>
        </w:trPr>
        <w:tc>
          <w:tcPr>
            <w:tcW w:w="2317" w:type="dxa"/>
            <w:gridSpan w:val="2"/>
            <w:tcBorders>
              <w:top w:val="single" w:sz="4" w:space="0" w:color="auto"/>
              <w:left w:val="single" w:sz="4" w:space="0" w:color="auto"/>
              <w:bottom w:val="single" w:sz="4" w:space="0" w:color="auto"/>
              <w:right w:val="single" w:sz="4" w:space="0" w:color="auto"/>
            </w:tcBorders>
          </w:tcPr>
          <w:p w14:paraId="7AAA2381" w14:textId="77777777" w:rsidR="009F70AC" w:rsidRPr="00040AA9" w:rsidRDefault="009F70AC" w:rsidP="004673B1">
            <w:pPr>
              <w:widowControl w:val="0"/>
              <w:suppressAutoHyphens/>
              <w:rPr>
                <w:rFonts w:ascii="Arial" w:hAnsi="Arial" w:cs="Arial"/>
                <w:b/>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6C20FC67"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 xml:space="preserve">a.1 Minimum Business Tax </w:t>
            </w:r>
            <w:r w:rsidRPr="00040AA9">
              <w:rPr>
                <w:rFonts w:ascii="Arial" w:hAnsi="Arial" w:cs="Arial"/>
                <w:sz w:val="20"/>
                <w:szCs w:val="20"/>
              </w:rPr>
              <w:t>(Output II.4)</w:t>
            </w:r>
          </w:p>
        </w:tc>
      </w:tr>
      <w:tr w:rsidR="009F70AC" w:rsidRPr="00CF5903" w14:paraId="3675BBFB"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6FE7DFE3" w14:textId="77777777" w:rsidR="009F70AC" w:rsidRPr="00040AA9" w:rsidRDefault="009F70AC" w:rsidP="004673B1">
            <w:pPr>
              <w:widowControl w:val="0"/>
              <w:suppressAutoHyphens/>
              <w:ind w:firstLine="720"/>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D84F935"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Minimum Business Tax (MBT) established (Output indicator II.4.2)</w:t>
            </w:r>
          </w:p>
        </w:tc>
        <w:tc>
          <w:tcPr>
            <w:tcW w:w="1530" w:type="dxa"/>
            <w:tcBorders>
              <w:top w:val="single" w:sz="4" w:space="0" w:color="auto"/>
              <w:left w:val="single" w:sz="4" w:space="0" w:color="auto"/>
              <w:bottom w:val="single" w:sz="4" w:space="0" w:color="auto"/>
              <w:right w:val="single" w:sz="4" w:space="0" w:color="auto"/>
            </w:tcBorders>
            <w:vAlign w:val="center"/>
          </w:tcPr>
          <w:p w14:paraId="615935E7"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4C88E01C"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5DB95696" w14:textId="77777777" w:rsidR="009F70AC" w:rsidRPr="00040AA9" w:rsidRDefault="009F70AC" w:rsidP="004673B1">
            <w:pPr>
              <w:widowControl w:val="0"/>
              <w:suppressAutoHyphens/>
              <w:rPr>
                <w:rFonts w:ascii="Arial" w:hAnsi="Arial" w:cs="Arial"/>
                <w:b/>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2A3BA07F"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 xml:space="preserve">a.2 Cap on claims for deduction of tax losses carried forward </w:t>
            </w:r>
            <w:r w:rsidRPr="00040AA9">
              <w:rPr>
                <w:rFonts w:ascii="Arial" w:hAnsi="Arial" w:cs="Arial"/>
                <w:sz w:val="20"/>
                <w:szCs w:val="20"/>
              </w:rPr>
              <w:t>(Output II.10)</w:t>
            </w:r>
          </w:p>
        </w:tc>
      </w:tr>
      <w:tr w:rsidR="009F70AC" w:rsidRPr="00CF5903" w14:paraId="343E3F04"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3A0A5FF3"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3B0FB595"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Cap on claims for deduction of tax losses forwarded on chargeable income (CIT and PIT) applied (Output indicator</w:t>
            </w:r>
            <w:r>
              <w:rPr>
                <w:rFonts w:ascii="Arial" w:hAnsi="Arial" w:cs="Arial"/>
                <w:sz w:val="20"/>
                <w:szCs w:val="20"/>
              </w:rPr>
              <w:t> </w:t>
            </w:r>
            <w:r w:rsidRPr="00040AA9">
              <w:rPr>
                <w:rFonts w:ascii="Arial" w:hAnsi="Arial" w:cs="Arial"/>
                <w:sz w:val="20"/>
                <w:szCs w:val="20"/>
              </w:rPr>
              <w:t>II.10.1)</w:t>
            </w:r>
          </w:p>
        </w:tc>
        <w:tc>
          <w:tcPr>
            <w:tcW w:w="1530" w:type="dxa"/>
            <w:tcBorders>
              <w:top w:val="single" w:sz="4" w:space="0" w:color="auto"/>
              <w:left w:val="single" w:sz="4" w:space="0" w:color="auto"/>
              <w:bottom w:val="single" w:sz="4" w:space="0" w:color="auto"/>
              <w:right w:val="single" w:sz="4" w:space="0" w:color="auto"/>
            </w:tcBorders>
            <w:vAlign w:val="center"/>
          </w:tcPr>
          <w:p w14:paraId="64B5F9D5"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797C4199"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1BC43609" w14:textId="77777777" w:rsidR="009F70AC" w:rsidRPr="00040AA9" w:rsidRDefault="009F70AC" w:rsidP="004673B1">
            <w:pPr>
              <w:widowControl w:val="0"/>
              <w:suppressAutoHyphens/>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5159B4DC" w14:textId="3E278FC3" w:rsidR="009F70AC" w:rsidRPr="00040AA9" w:rsidRDefault="009F70AC" w:rsidP="004673B1">
            <w:pPr>
              <w:widowControl w:val="0"/>
              <w:suppressAutoHyphens/>
              <w:ind w:left="288" w:hanging="288"/>
              <w:jc w:val="both"/>
              <w:rPr>
                <w:rFonts w:ascii="Arial" w:hAnsi="Arial" w:cs="Arial"/>
                <w:b/>
                <w:sz w:val="20"/>
                <w:szCs w:val="20"/>
              </w:rPr>
            </w:pPr>
            <w:r w:rsidRPr="00040AA9">
              <w:rPr>
                <w:rFonts w:ascii="Arial" w:hAnsi="Arial" w:cs="Arial"/>
                <w:b/>
                <w:sz w:val="20"/>
                <w:szCs w:val="20"/>
              </w:rPr>
              <w:t xml:space="preserve">b. Increase GCT tax revenue on government purchases </w:t>
            </w:r>
            <w:r w:rsidRPr="00040AA9">
              <w:rPr>
                <w:rFonts w:ascii="Arial" w:hAnsi="Arial" w:cs="Arial"/>
                <w:sz w:val="20"/>
                <w:szCs w:val="20"/>
              </w:rPr>
              <w:t>(Outcome</w:t>
            </w:r>
            <w:r>
              <w:rPr>
                <w:rFonts w:ascii="Arial" w:hAnsi="Arial" w:cs="Arial"/>
                <w:sz w:val="20"/>
                <w:szCs w:val="20"/>
              </w:rPr>
              <w:t> </w:t>
            </w:r>
            <w:r w:rsidR="0097534A">
              <w:rPr>
                <w:rFonts w:ascii="Arial" w:hAnsi="Arial" w:cs="Arial"/>
                <w:sz w:val="20"/>
                <w:szCs w:val="20"/>
              </w:rPr>
              <w:t>II.</w:t>
            </w:r>
            <w:r w:rsidRPr="00040AA9">
              <w:rPr>
                <w:rFonts w:ascii="Arial" w:hAnsi="Arial" w:cs="Arial"/>
                <w:sz w:val="20"/>
                <w:szCs w:val="20"/>
              </w:rPr>
              <w:t>3)</w:t>
            </w:r>
          </w:p>
        </w:tc>
      </w:tr>
      <w:tr w:rsidR="009F70AC" w:rsidRPr="00CF5903" w14:paraId="41829433"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2EED7714"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66FE14B4" w14:textId="6F1FDC86"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 xml:space="preserve">GCT revenue collections (Outcome indicator </w:t>
            </w:r>
            <w:r w:rsidR="0097534A">
              <w:rPr>
                <w:rFonts w:ascii="Arial" w:hAnsi="Arial" w:cs="Arial"/>
                <w:sz w:val="20"/>
                <w:szCs w:val="20"/>
              </w:rPr>
              <w:t>II.</w:t>
            </w:r>
            <w:r w:rsidRPr="00040AA9">
              <w:rPr>
                <w:rFonts w:ascii="Arial" w:hAnsi="Arial" w:cs="Arial"/>
                <w:sz w:val="20"/>
                <w:szCs w:val="20"/>
              </w:rPr>
              <w:t>3.1)</w:t>
            </w:r>
          </w:p>
        </w:tc>
        <w:tc>
          <w:tcPr>
            <w:tcW w:w="1530" w:type="dxa"/>
            <w:tcBorders>
              <w:top w:val="single" w:sz="4" w:space="0" w:color="auto"/>
              <w:left w:val="single" w:sz="4" w:space="0" w:color="auto"/>
              <w:bottom w:val="single" w:sz="4" w:space="0" w:color="auto"/>
              <w:right w:val="single" w:sz="4" w:space="0" w:color="auto"/>
            </w:tcBorders>
            <w:vAlign w:val="center"/>
          </w:tcPr>
          <w:p w14:paraId="3C6D2072"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322%</w:t>
            </w:r>
          </w:p>
        </w:tc>
      </w:tr>
      <w:tr w:rsidR="009F70AC" w:rsidRPr="00CF5903" w14:paraId="15E47D41"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497C39C0" w14:textId="77777777" w:rsidR="009F70AC" w:rsidRPr="00040AA9" w:rsidRDefault="009F70AC" w:rsidP="004673B1">
            <w:pPr>
              <w:widowControl w:val="0"/>
              <w:suppressAutoHyphens/>
              <w:jc w:val="both"/>
              <w:rPr>
                <w:rFonts w:ascii="Arial" w:hAnsi="Arial" w:cs="Arial"/>
                <w:b/>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3DC050B1"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 xml:space="preserve">b.1 Standard GCT rate applied to Government purchases </w:t>
            </w:r>
            <w:r w:rsidRPr="00040AA9">
              <w:rPr>
                <w:rFonts w:ascii="Arial" w:hAnsi="Arial" w:cs="Arial"/>
                <w:sz w:val="20"/>
                <w:szCs w:val="20"/>
              </w:rPr>
              <w:t>(Output II.11)</w:t>
            </w:r>
          </w:p>
        </w:tc>
      </w:tr>
      <w:tr w:rsidR="009F70AC" w:rsidRPr="00CF5903" w14:paraId="3E94D2D5" w14:textId="77777777" w:rsidTr="009C086E">
        <w:trPr>
          <w:trHeight w:val="432"/>
          <w:jc w:val="center"/>
        </w:trPr>
        <w:tc>
          <w:tcPr>
            <w:tcW w:w="3307" w:type="dxa"/>
            <w:gridSpan w:val="3"/>
            <w:tcBorders>
              <w:top w:val="single" w:sz="4" w:space="0" w:color="auto"/>
              <w:left w:val="single" w:sz="4" w:space="0" w:color="auto"/>
              <w:bottom w:val="single" w:sz="4" w:space="0" w:color="auto"/>
              <w:right w:val="single" w:sz="4" w:space="0" w:color="auto"/>
            </w:tcBorders>
          </w:tcPr>
          <w:p w14:paraId="79A5F01D"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6DF99001"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 xml:space="preserve">Standard GCT rate to government purchase established </w:t>
            </w:r>
          </w:p>
          <w:p w14:paraId="1A165FCA"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(Output indicator II.11.1)</w:t>
            </w:r>
          </w:p>
        </w:tc>
        <w:tc>
          <w:tcPr>
            <w:tcW w:w="1530" w:type="dxa"/>
            <w:tcBorders>
              <w:top w:val="single" w:sz="4" w:space="0" w:color="auto"/>
              <w:left w:val="single" w:sz="4" w:space="0" w:color="auto"/>
              <w:bottom w:val="single" w:sz="4" w:space="0" w:color="auto"/>
              <w:right w:val="single" w:sz="4" w:space="0" w:color="auto"/>
            </w:tcBorders>
            <w:vAlign w:val="center"/>
          </w:tcPr>
          <w:p w14:paraId="676591BC"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50%</w:t>
            </w:r>
          </w:p>
        </w:tc>
      </w:tr>
      <w:tr w:rsidR="009F70AC" w:rsidRPr="00CF5903" w14:paraId="46560DFB" w14:textId="77777777" w:rsidTr="009C086E">
        <w:trPr>
          <w:trHeight w:val="144"/>
          <w:jc w:val="center"/>
        </w:trPr>
        <w:tc>
          <w:tcPr>
            <w:tcW w:w="1147" w:type="dxa"/>
            <w:tcBorders>
              <w:top w:val="single" w:sz="4" w:space="0" w:color="auto"/>
              <w:left w:val="single" w:sz="4" w:space="0" w:color="auto"/>
              <w:bottom w:val="single" w:sz="4" w:space="0" w:color="auto"/>
              <w:right w:val="single" w:sz="4" w:space="0" w:color="auto"/>
            </w:tcBorders>
          </w:tcPr>
          <w:p w14:paraId="77F9990D" w14:textId="77777777" w:rsidR="009F70AC" w:rsidRPr="00040AA9" w:rsidRDefault="009F70AC" w:rsidP="004673B1">
            <w:pPr>
              <w:widowControl w:val="0"/>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3D71805C"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 xml:space="preserve">c. Increase annual audits performed by Large and Medium Taxpayer Offices </w:t>
            </w:r>
            <w:r w:rsidRPr="00040AA9">
              <w:rPr>
                <w:rFonts w:ascii="Arial" w:hAnsi="Arial" w:cs="Arial"/>
                <w:sz w:val="20"/>
                <w:szCs w:val="20"/>
              </w:rPr>
              <w:t>(Outcome II.7)</w:t>
            </w:r>
          </w:p>
        </w:tc>
      </w:tr>
      <w:tr w:rsidR="009F70AC" w:rsidRPr="00CF5903" w14:paraId="2C4B008D" w14:textId="77777777" w:rsidTr="009C086E">
        <w:trPr>
          <w:trHeight w:val="216"/>
          <w:jc w:val="center"/>
        </w:trPr>
        <w:tc>
          <w:tcPr>
            <w:tcW w:w="3307" w:type="dxa"/>
            <w:gridSpan w:val="3"/>
            <w:tcBorders>
              <w:top w:val="single" w:sz="4" w:space="0" w:color="auto"/>
              <w:left w:val="single" w:sz="4" w:space="0" w:color="auto"/>
              <w:bottom w:val="single" w:sz="4" w:space="0" w:color="auto"/>
              <w:right w:val="single" w:sz="4" w:space="0" w:color="auto"/>
            </w:tcBorders>
          </w:tcPr>
          <w:p w14:paraId="6E6337BD"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6F5E3A87" w14:textId="345C05AE"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Number of Audits performed by LTO (Outcome indicator</w:t>
            </w:r>
            <w:r>
              <w:rPr>
                <w:rFonts w:ascii="Arial" w:hAnsi="Arial" w:cs="Arial"/>
                <w:sz w:val="20"/>
                <w:szCs w:val="20"/>
              </w:rPr>
              <w:t> </w:t>
            </w:r>
            <w:r w:rsidR="0097534A">
              <w:rPr>
                <w:rFonts w:ascii="Arial" w:hAnsi="Arial" w:cs="Arial"/>
                <w:sz w:val="20"/>
                <w:szCs w:val="20"/>
              </w:rPr>
              <w:t>I</w:t>
            </w:r>
            <w:r w:rsidRPr="00040AA9">
              <w:rPr>
                <w:rFonts w:ascii="Arial" w:hAnsi="Arial" w:cs="Arial"/>
                <w:sz w:val="20"/>
                <w:szCs w:val="20"/>
              </w:rPr>
              <w:t>I.7.1)</w:t>
            </w:r>
          </w:p>
        </w:tc>
        <w:tc>
          <w:tcPr>
            <w:tcW w:w="1530" w:type="dxa"/>
            <w:tcBorders>
              <w:top w:val="single" w:sz="4" w:space="0" w:color="auto"/>
              <w:left w:val="single" w:sz="4" w:space="0" w:color="auto"/>
              <w:bottom w:val="single" w:sz="4" w:space="0" w:color="auto"/>
              <w:right w:val="single" w:sz="4" w:space="0" w:color="auto"/>
            </w:tcBorders>
            <w:vAlign w:val="center"/>
          </w:tcPr>
          <w:p w14:paraId="0CF84A67"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120%</w:t>
            </w:r>
          </w:p>
        </w:tc>
      </w:tr>
      <w:tr w:rsidR="009F70AC" w:rsidRPr="00CF5903" w14:paraId="7F3AA540" w14:textId="77777777" w:rsidTr="009C086E">
        <w:trPr>
          <w:trHeight w:val="144"/>
          <w:jc w:val="center"/>
        </w:trPr>
        <w:tc>
          <w:tcPr>
            <w:tcW w:w="3307" w:type="dxa"/>
            <w:gridSpan w:val="3"/>
            <w:tcBorders>
              <w:top w:val="single" w:sz="4" w:space="0" w:color="auto"/>
              <w:left w:val="single" w:sz="4" w:space="0" w:color="auto"/>
              <w:bottom w:val="single" w:sz="4" w:space="0" w:color="auto"/>
              <w:right w:val="single" w:sz="4" w:space="0" w:color="auto"/>
            </w:tcBorders>
          </w:tcPr>
          <w:p w14:paraId="5460DE5D"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33F7805"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Number of Audits performed by MTO (Outcome indicator</w:t>
            </w:r>
            <w:r>
              <w:rPr>
                <w:rFonts w:ascii="Arial" w:hAnsi="Arial" w:cs="Arial"/>
                <w:sz w:val="20"/>
                <w:szCs w:val="20"/>
              </w:rPr>
              <w:t> </w:t>
            </w:r>
            <w:r w:rsidRPr="00040AA9">
              <w:rPr>
                <w:rFonts w:ascii="Arial" w:hAnsi="Arial" w:cs="Arial"/>
                <w:sz w:val="20"/>
                <w:szCs w:val="20"/>
              </w:rPr>
              <w:t>II.7.2)</w:t>
            </w:r>
          </w:p>
        </w:tc>
        <w:tc>
          <w:tcPr>
            <w:tcW w:w="1530" w:type="dxa"/>
            <w:tcBorders>
              <w:top w:val="single" w:sz="4" w:space="0" w:color="auto"/>
              <w:left w:val="single" w:sz="4" w:space="0" w:color="auto"/>
              <w:bottom w:val="single" w:sz="4" w:space="0" w:color="auto"/>
              <w:right w:val="single" w:sz="4" w:space="0" w:color="auto"/>
            </w:tcBorders>
            <w:vAlign w:val="center"/>
          </w:tcPr>
          <w:p w14:paraId="54EC1050"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1,174%</w:t>
            </w:r>
          </w:p>
        </w:tc>
      </w:tr>
      <w:tr w:rsidR="009F70AC" w:rsidRPr="00CF5903" w14:paraId="408D11A7" w14:textId="77777777" w:rsidTr="009C086E">
        <w:trPr>
          <w:trHeight w:val="56"/>
          <w:jc w:val="center"/>
        </w:trPr>
        <w:tc>
          <w:tcPr>
            <w:tcW w:w="2317" w:type="dxa"/>
            <w:gridSpan w:val="2"/>
            <w:tcBorders>
              <w:top w:val="single" w:sz="4" w:space="0" w:color="auto"/>
              <w:left w:val="single" w:sz="4" w:space="0" w:color="auto"/>
              <w:bottom w:val="single" w:sz="4" w:space="0" w:color="auto"/>
              <w:right w:val="single" w:sz="4" w:space="0" w:color="auto"/>
            </w:tcBorders>
          </w:tcPr>
          <w:p w14:paraId="07E28070" w14:textId="5FB0FC27" w:rsidR="009F70AC" w:rsidRPr="00040AA9" w:rsidRDefault="009F70AC" w:rsidP="004673B1">
            <w:pPr>
              <w:widowControl w:val="0"/>
              <w:suppressAutoHyphens/>
              <w:jc w:val="both"/>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76609A7"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c.1 Adequate number of full-time LTO professionals</w:t>
            </w:r>
            <w:r w:rsidRPr="00040AA9">
              <w:rPr>
                <w:rFonts w:ascii="Arial" w:hAnsi="Arial" w:cs="Arial"/>
                <w:sz w:val="20"/>
                <w:szCs w:val="20"/>
              </w:rPr>
              <w:t xml:space="preserve"> (Output II.8)</w:t>
            </w:r>
          </w:p>
        </w:tc>
      </w:tr>
      <w:tr w:rsidR="009F70AC" w:rsidRPr="00CF5903" w14:paraId="62684B0C" w14:textId="77777777" w:rsidTr="009C086E">
        <w:trPr>
          <w:trHeight w:val="99"/>
          <w:jc w:val="center"/>
        </w:trPr>
        <w:tc>
          <w:tcPr>
            <w:tcW w:w="3307" w:type="dxa"/>
            <w:gridSpan w:val="3"/>
            <w:tcBorders>
              <w:top w:val="single" w:sz="4" w:space="0" w:color="auto"/>
              <w:left w:val="single" w:sz="4" w:space="0" w:color="auto"/>
              <w:bottom w:val="single" w:sz="4" w:space="0" w:color="auto"/>
              <w:right w:val="single" w:sz="4" w:space="0" w:color="auto"/>
            </w:tcBorders>
          </w:tcPr>
          <w:p w14:paraId="7EEB002B"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18725CEC"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Total number of professional staff in the LTO. (Output indicator II.8.2)</w:t>
            </w:r>
          </w:p>
        </w:tc>
        <w:tc>
          <w:tcPr>
            <w:tcW w:w="1530" w:type="dxa"/>
            <w:tcBorders>
              <w:top w:val="single" w:sz="4" w:space="0" w:color="auto"/>
              <w:left w:val="single" w:sz="4" w:space="0" w:color="auto"/>
              <w:bottom w:val="single" w:sz="4" w:space="0" w:color="auto"/>
              <w:right w:val="single" w:sz="4" w:space="0" w:color="auto"/>
            </w:tcBorders>
            <w:vAlign w:val="center"/>
          </w:tcPr>
          <w:p w14:paraId="76638167"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5A555F" w:rsidRPr="00CF5903" w14:paraId="52EB086F"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671A4E60" w14:textId="77777777" w:rsidR="005A555F" w:rsidRPr="00040AA9" w:rsidRDefault="005A555F" w:rsidP="004673B1">
            <w:pPr>
              <w:widowControl w:val="0"/>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01166345" w14:textId="504A46E2" w:rsidR="005A555F" w:rsidRPr="00040AA9" w:rsidRDefault="005A555F" w:rsidP="004673B1">
            <w:pPr>
              <w:widowControl w:val="0"/>
              <w:suppressAutoHyphens/>
              <w:jc w:val="both"/>
              <w:rPr>
                <w:rFonts w:ascii="Arial" w:hAnsi="Arial" w:cs="Arial"/>
                <w:sz w:val="20"/>
                <w:szCs w:val="20"/>
              </w:rPr>
            </w:pPr>
            <w:r>
              <w:rPr>
                <w:rFonts w:ascii="Arial" w:hAnsi="Arial" w:cs="Arial"/>
                <w:b/>
                <w:sz w:val="20"/>
                <w:szCs w:val="20"/>
              </w:rPr>
              <w:t>d</w:t>
            </w:r>
            <w:r w:rsidRPr="00040AA9">
              <w:rPr>
                <w:rFonts w:ascii="Arial" w:hAnsi="Arial" w:cs="Arial"/>
                <w:b/>
                <w:sz w:val="20"/>
                <w:szCs w:val="20"/>
              </w:rPr>
              <w:t xml:space="preserve">. </w:t>
            </w:r>
            <w:r>
              <w:rPr>
                <w:rFonts w:ascii="Arial" w:hAnsi="Arial" w:cs="Arial"/>
                <w:b/>
                <w:sz w:val="20"/>
                <w:szCs w:val="20"/>
              </w:rPr>
              <w:t xml:space="preserve">Reduce the time taken by TAJ to perform the comprehensive audits on Large and Medium taxpayers per year </w:t>
            </w:r>
            <w:r w:rsidR="0097534A">
              <w:rPr>
                <w:rFonts w:ascii="Arial" w:hAnsi="Arial" w:cs="Arial"/>
                <w:sz w:val="20"/>
                <w:szCs w:val="20"/>
              </w:rPr>
              <w:t>(Outcome II.6</w:t>
            </w:r>
            <w:r w:rsidRPr="00040AA9">
              <w:rPr>
                <w:rFonts w:ascii="Arial" w:hAnsi="Arial" w:cs="Arial"/>
                <w:sz w:val="20"/>
                <w:szCs w:val="20"/>
              </w:rPr>
              <w:t>)</w:t>
            </w:r>
          </w:p>
        </w:tc>
      </w:tr>
      <w:tr w:rsidR="007331F0" w:rsidRPr="00040AA9" w14:paraId="54D87B3D" w14:textId="77777777" w:rsidTr="00472226">
        <w:trPr>
          <w:trHeight w:val="216"/>
          <w:jc w:val="center"/>
        </w:trPr>
        <w:tc>
          <w:tcPr>
            <w:tcW w:w="3307" w:type="dxa"/>
            <w:gridSpan w:val="3"/>
            <w:tcBorders>
              <w:top w:val="single" w:sz="4" w:space="0" w:color="auto"/>
              <w:left w:val="single" w:sz="4" w:space="0" w:color="auto"/>
              <w:bottom w:val="single" w:sz="4" w:space="0" w:color="auto"/>
              <w:right w:val="single" w:sz="4" w:space="0" w:color="auto"/>
            </w:tcBorders>
          </w:tcPr>
          <w:p w14:paraId="4371F0F5" w14:textId="77777777" w:rsidR="007331F0" w:rsidRPr="00040AA9" w:rsidRDefault="007331F0" w:rsidP="007331F0">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0535C9EA" w14:textId="7788C586" w:rsidR="007331F0" w:rsidRPr="001E1C8B" w:rsidRDefault="00582B94" w:rsidP="009C086E">
            <w:pPr>
              <w:widowControl w:val="0"/>
              <w:suppressAutoHyphens/>
              <w:rPr>
                <w:rFonts w:ascii="Arial" w:hAnsi="Arial" w:cs="Arial"/>
                <w:sz w:val="20"/>
                <w:szCs w:val="20"/>
              </w:rPr>
            </w:pPr>
            <w:r w:rsidRPr="001E1C8B">
              <w:rPr>
                <w:rFonts w:ascii="Arial" w:hAnsi="Arial" w:cs="Arial"/>
                <w:sz w:val="20"/>
                <w:szCs w:val="20"/>
              </w:rPr>
              <w:t>Tax</w:t>
            </w:r>
            <w:r w:rsidR="007331F0" w:rsidRPr="001E1C8B">
              <w:rPr>
                <w:rFonts w:ascii="Arial" w:hAnsi="Arial" w:cs="Arial"/>
                <w:sz w:val="20"/>
                <w:szCs w:val="20"/>
              </w:rPr>
              <w:t xml:space="preserve"> Audits </w:t>
            </w:r>
            <w:r w:rsidRPr="00547221">
              <w:rPr>
                <w:rFonts w:ascii="Arial" w:hAnsi="Arial" w:cs="Arial"/>
                <w:sz w:val="20"/>
                <w:szCs w:val="20"/>
              </w:rPr>
              <w:t>(months taken</w:t>
            </w:r>
            <w:r w:rsidR="007331F0" w:rsidRPr="00547221">
              <w:rPr>
                <w:rFonts w:ascii="Arial" w:hAnsi="Arial" w:cs="Arial"/>
                <w:sz w:val="20"/>
                <w:szCs w:val="20"/>
              </w:rPr>
              <w:t xml:space="preserve"> by LTO</w:t>
            </w:r>
            <w:r w:rsidRPr="00547221">
              <w:rPr>
                <w:rFonts w:ascii="Arial" w:hAnsi="Arial" w:cs="Arial"/>
                <w:sz w:val="20"/>
                <w:szCs w:val="20"/>
              </w:rPr>
              <w:t>)</w:t>
            </w:r>
            <w:r w:rsidR="007331F0" w:rsidRPr="00547221">
              <w:rPr>
                <w:rFonts w:ascii="Arial" w:hAnsi="Arial" w:cs="Arial"/>
                <w:sz w:val="20"/>
                <w:szCs w:val="20"/>
              </w:rPr>
              <w:t xml:space="preserve"> (Outcome indicator I</w:t>
            </w:r>
            <w:r w:rsidR="0097534A">
              <w:rPr>
                <w:rFonts w:ascii="Arial" w:hAnsi="Arial" w:cs="Arial"/>
                <w:sz w:val="20"/>
                <w:szCs w:val="20"/>
              </w:rPr>
              <w:t>I</w:t>
            </w:r>
            <w:r w:rsidR="007331F0" w:rsidRPr="00547221">
              <w:rPr>
                <w:rFonts w:ascii="Arial" w:hAnsi="Arial" w:cs="Arial"/>
                <w:sz w:val="20"/>
                <w:szCs w:val="20"/>
              </w:rPr>
              <w:t>.</w:t>
            </w:r>
            <w:r w:rsidR="00C0566C" w:rsidRPr="009C086E">
              <w:rPr>
                <w:rFonts w:ascii="Arial" w:hAnsi="Arial" w:cs="Arial"/>
                <w:sz w:val="20"/>
                <w:szCs w:val="20"/>
              </w:rPr>
              <w:t>6</w:t>
            </w:r>
            <w:r w:rsidR="007331F0" w:rsidRPr="001E1C8B">
              <w:rPr>
                <w:rFonts w:ascii="Arial" w:hAnsi="Arial" w:cs="Arial"/>
                <w:sz w:val="20"/>
                <w:szCs w:val="20"/>
              </w:rPr>
              <w:t>.1)</w:t>
            </w:r>
          </w:p>
        </w:tc>
        <w:tc>
          <w:tcPr>
            <w:tcW w:w="1530" w:type="dxa"/>
            <w:tcBorders>
              <w:top w:val="single" w:sz="4" w:space="0" w:color="auto"/>
              <w:left w:val="single" w:sz="4" w:space="0" w:color="auto"/>
              <w:bottom w:val="single" w:sz="4" w:space="0" w:color="auto"/>
              <w:right w:val="single" w:sz="4" w:space="0" w:color="auto"/>
            </w:tcBorders>
            <w:vAlign w:val="center"/>
          </w:tcPr>
          <w:p w14:paraId="7B8FC07D" w14:textId="3F33366F" w:rsidR="007331F0" w:rsidRPr="001E1C8B" w:rsidRDefault="00C0566C" w:rsidP="007331F0">
            <w:pPr>
              <w:widowControl w:val="0"/>
              <w:suppressAutoHyphens/>
              <w:jc w:val="center"/>
              <w:rPr>
                <w:rFonts w:ascii="Arial" w:hAnsi="Arial" w:cs="Arial"/>
                <w:sz w:val="20"/>
                <w:szCs w:val="20"/>
              </w:rPr>
            </w:pPr>
            <w:r w:rsidRPr="009C086E">
              <w:rPr>
                <w:rFonts w:ascii="Arial" w:hAnsi="Arial" w:cs="Arial"/>
                <w:sz w:val="20"/>
                <w:szCs w:val="20"/>
              </w:rPr>
              <w:t>100</w:t>
            </w:r>
            <w:r w:rsidR="007331F0" w:rsidRPr="001E1C8B">
              <w:rPr>
                <w:rFonts w:ascii="Arial" w:hAnsi="Arial" w:cs="Arial"/>
                <w:sz w:val="20"/>
                <w:szCs w:val="20"/>
              </w:rPr>
              <w:t>%</w:t>
            </w:r>
          </w:p>
        </w:tc>
      </w:tr>
      <w:tr w:rsidR="007331F0" w:rsidRPr="00040AA9" w14:paraId="5E61D082" w14:textId="77777777" w:rsidTr="009C086E">
        <w:trPr>
          <w:trHeight w:val="144"/>
          <w:jc w:val="center"/>
        </w:trPr>
        <w:tc>
          <w:tcPr>
            <w:tcW w:w="3307" w:type="dxa"/>
            <w:gridSpan w:val="3"/>
            <w:tcBorders>
              <w:top w:val="single" w:sz="4" w:space="0" w:color="auto"/>
              <w:left w:val="single" w:sz="4" w:space="0" w:color="auto"/>
              <w:bottom w:val="single" w:sz="4" w:space="0" w:color="auto"/>
              <w:right w:val="single" w:sz="4" w:space="0" w:color="auto"/>
            </w:tcBorders>
          </w:tcPr>
          <w:p w14:paraId="0FFCA882" w14:textId="77777777" w:rsidR="007331F0" w:rsidRPr="00040AA9" w:rsidRDefault="007331F0" w:rsidP="007331F0">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6AD9326E" w14:textId="550E8F54" w:rsidR="007331F0" w:rsidRPr="001E1C8B" w:rsidRDefault="00582B94" w:rsidP="009C086E">
            <w:pPr>
              <w:widowControl w:val="0"/>
              <w:suppressAutoHyphens/>
              <w:rPr>
                <w:rFonts w:ascii="Arial" w:hAnsi="Arial" w:cs="Arial"/>
                <w:sz w:val="20"/>
                <w:szCs w:val="20"/>
              </w:rPr>
            </w:pPr>
            <w:r w:rsidRPr="001E1C8B">
              <w:rPr>
                <w:rFonts w:ascii="Arial" w:hAnsi="Arial" w:cs="Arial"/>
                <w:sz w:val="20"/>
                <w:szCs w:val="20"/>
              </w:rPr>
              <w:t>Tax Audits (months taken by MTO)</w:t>
            </w:r>
            <w:r w:rsidRPr="009C086E">
              <w:rPr>
                <w:rFonts w:ascii="Arial" w:hAnsi="Arial" w:cs="Arial"/>
                <w:sz w:val="20"/>
                <w:szCs w:val="20"/>
              </w:rPr>
              <w:t xml:space="preserve"> </w:t>
            </w:r>
            <w:r w:rsidR="007331F0" w:rsidRPr="001E1C8B">
              <w:rPr>
                <w:rFonts w:ascii="Arial" w:hAnsi="Arial" w:cs="Arial"/>
                <w:sz w:val="20"/>
                <w:szCs w:val="20"/>
              </w:rPr>
              <w:t>(Outcome indicator I</w:t>
            </w:r>
            <w:r w:rsidR="0097534A">
              <w:rPr>
                <w:rFonts w:ascii="Arial" w:hAnsi="Arial" w:cs="Arial"/>
                <w:sz w:val="20"/>
                <w:szCs w:val="20"/>
              </w:rPr>
              <w:t>I</w:t>
            </w:r>
            <w:r w:rsidR="007331F0" w:rsidRPr="001E1C8B">
              <w:rPr>
                <w:rFonts w:ascii="Arial" w:hAnsi="Arial" w:cs="Arial"/>
                <w:sz w:val="20"/>
                <w:szCs w:val="20"/>
              </w:rPr>
              <w:t>.</w:t>
            </w:r>
            <w:r w:rsidR="00C0566C" w:rsidRPr="009C086E">
              <w:rPr>
                <w:rFonts w:ascii="Arial" w:hAnsi="Arial" w:cs="Arial"/>
                <w:sz w:val="20"/>
                <w:szCs w:val="20"/>
              </w:rPr>
              <w:t>6</w:t>
            </w:r>
            <w:r w:rsidR="007331F0" w:rsidRPr="001E1C8B">
              <w:rPr>
                <w:rFonts w:ascii="Arial" w:hAnsi="Arial" w:cs="Arial"/>
                <w:sz w:val="20"/>
                <w:szCs w:val="20"/>
              </w:rPr>
              <w:t>.2)</w:t>
            </w:r>
          </w:p>
        </w:tc>
        <w:tc>
          <w:tcPr>
            <w:tcW w:w="1530" w:type="dxa"/>
            <w:tcBorders>
              <w:top w:val="single" w:sz="4" w:space="0" w:color="auto"/>
              <w:left w:val="single" w:sz="4" w:space="0" w:color="auto"/>
              <w:bottom w:val="single" w:sz="4" w:space="0" w:color="auto"/>
              <w:right w:val="single" w:sz="4" w:space="0" w:color="auto"/>
            </w:tcBorders>
            <w:vAlign w:val="center"/>
          </w:tcPr>
          <w:p w14:paraId="29709070" w14:textId="3F05619C" w:rsidR="007331F0" w:rsidRPr="001E1C8B" w:rsidRDefault="00C0566C" w:rsidP="007331F0">
            <w:pPr>
              <w:widowControl w:val="0"/>
              <w:suppressAutoHyphens/>
              <w:jc w:val="center"/>
              <w:rPr>
                <w:rFonts w:ascii="Arial" w:hAnsi="Arial" w:cs="Arial"/>
                <w:sz w:val="20"/>
                <w:szCs w:val="20"/>
              </w:rPr>
            </w:pPr>
            <w:r w:rsidRPr="009C086E">
              <w:rPr>
                <w:rFonts w:ascii="Arial" w:hAnsi="Arial" w:cs="Arial"/>
                <w:sz w:val="20"/>
                <w:szCs w:val="20"/>
              </w:rPr>
              <w:t>0</w:t>
            </w:r>
            <w:r w:rsidR="007331F0" w:rsidRPr="001E1C8B">
              <w:rPr>
                <w:rFonts w:ascii="Arial" w:hAnsi="Arial" w:cs="Arial"/>
                <w:sz w:val="20"/>
                <w:szCs w:val="20"/>
              </w:rPr>
              <w:t>%</w:t>
            </w:r>
          </w:p>
        </w:tc>
      </w:tr>
      <w:tr w:rsidR="007331F0" w:rsidRPr="00040AA9" w14:paraId="79F7ABD5" w14:textId="77777777" w:rsidTr="009C086E">
        <w:trPr>
          <w:trHeight w:val="56"/>
          <w:jc w:val="center"/>
        </w:trPr>
        <w:tc>
          <w:tcPr>
            <w:tcW w:w="2317" w:type="dxa"/>
            <w:gridSpan w:val="2"/>
            <w:tcBorders>
              <w:top w:val="single" w:sz="4" w:space="0" w:color="auto"/>
              <w:left w:val="single" w:sz="4" w:space="0" w:color="auto"/>
              <w:bottom w:val="single" w:sz="4" w:space="0" w:color="auto"/>
              <w:right w:val="single" w:sz="4" w:space="0" w:color="auto"/>
            </w:tcBorders>
          </w:tcPr>
          <w:p w14:paraId="569F7AC2" w14:textId="77777777" w:rsidR="007331F0" w:rsidRPr="00040AA9" w:rsidRDefault="007331F0" w:rsidP="007331F0">
            <w:pPr>
              <w:widowControl w:val="0"/>
              <w:suppressAutoHyphens/>
              <w:jc w:val="both"/>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3F354728" w14:textId="26A4AB3C" w:rsidR="007331F0" w:rsidRPr="00E85366" w:rsidRDefault="0094332C" w:rsidP="007331F0">
            <w:pPr>
              <w:widowControl w:val="0"/>
              <w:suppressAutoHyphens/>
              <w:jc w:val="both"/>
              <w:rPr>
                <w:rFonts w:ascii="Arial" w:hAnsi="Arial" w:cs="Arial"/>
                <w:sz w:val="20"/>
                <w:szCs w:val="20"/>
              </w:rPr>
            </w:pPr>
            <w:r w:rsidRPr="00E85366">
              <w:rPr>
                <w:rFonts w:ascii="Arial" w:hAnsi="Arial" w:cs="Arial"/>
                <w:b/>
                <w:sz w:val="20"/>
                <w:szCs w:val="20"/>
              </w:rPr>
              <w:t xml:space="preserve">d.1 </w:t>
            </w:r>
            <w:r w:rsidRPr="009C086E">
              <w:rPr>
                <w:rFonts w:ascii="Arial" w:hAnsi="Arial" w:cs="Arial"/>
                <w:b/>
                <w:sz w:val="20"/>
                <w:szCs w:val="20"/>
              </w:rPr>
              <w:t>TAJ and JCA IT systems implemented</w:t>
            </w:r>
            <w:r w:rsidRPr="009C086E">
              <w:rPr>
                <w:rFonts w:ascii="Arial" w:hAnsi="Arial" w:cs="Arial"/>
                <w:sz w:val="20"/>
                <w:szCs w:val="20"/>
              </w:rPr>
              <w:t xml:space="preserve"> (Output II.8)</w:t>
            </w:r>
          </w:p>
        </w:tc>
      </w:tr>
      <w:tr w:rsidR="007331F0" w:rsidRPr="00040AA9" w14:paraId="34E162D8" w14:textId="77777777" w:rsidTr="009C086E">
        <w:trPr>
          <w:trHeight w:val="99"/>
          <w:jc w:val="center"/>
        </w:trPr>
        <w:tc>
          <w:tcPr>
            <w:tcW w:w="3307" w:type="dxa"/>
            <w:gridSpan w:val="3"/>
            <w:tcBorders>
              <w:top w:val="single" w:sz="4" w:space="0" w:color="auto"/>
              <w:left w:val="single" w:sz="4" w:space="0" w:color="auto"/>
              <w:bottom w:val="single" w:sz="4" w:space="0" w:color="auto"/>
              <w:right w:val="single" w:sz="4" w:space="0" w:color="auto"/>
            </w:tcBorders>
          </w:tcPr>
          <w:p w14:paraId="2D881692" w14:textId="77777777" w:rsidR="007331F0" w:rsidRPr="00040AA9" w:rsidRDefault="007331F0" w:rsidP="007331F0">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58D6B32F" w14:textId="07ACCA2E" w:rsidR="007331F0" w:rsidRPr="00E85366" w:rsidRDefault="0094332C" w:rsidP="007331F0">
            <w:pPr>
              <w:widowControl w:val="0"/>
              <w:suppressAutoHyphens/>
              <w:jc w:val="both"/>
              <w:rPr>
                <w:rFonts w:ascii="Arial" w:hAnsi="Arial" w:cs="Arial"/>
                <w:sz w:val="20"/>
                <w:szCs w:val="20"/>
              </w:rPr>
            </w:pPr>
            <w:r w:rsidRPr="009C086E">
              <w:rPr>
                <w:rFonts w:ascii="Arial" w:hAnsi="Arial" w:cs="Arial"/>
                <w:sz w:val="20"/>
                <w:szCs w:val="20"/>
              </w:rPr>
              <w:t>TAJ and JCA IT systems implemented (Output indicator II.8.2)</w:t>
            </w:r>
          </w:p>
        </w:tc>
        <w:tc>
          <w:tcPr>
            <w:tcW w:w="1530" w:type="dxa"/>
            <w:tcBorders>
              <w:top w:val="single" w:sz="4" w:space="0" w:color="auto"/>
              <w:left w:val="single" w:sz="4" w:space="0" w:color="auto"/>
              <w:bottom w:val="single" w:sz="4" w:space="0" w:color="auto"/>
              <w:right w:val="single" w:sz="4" w:space="0" w:color="auto"/>
            </w:tcBorders>
            <w:vAlign w:val="center"/>
          </w:tcPr>
          <w:p w14:paraId="3FA4EB3D" w14:textId="7C4997CC" w:rsidR="007331F0" w:rsidRPr="00CC532E" w:rsidRDefault="00C0566C" w:rsidP="007331F0">
            <w:pPr>
              <w:widowControl w:val="0"/>
              <w:suppressAutoHyphens/>
              <w:jc w:val="center"/>
              <w:rPr>
                <w:rFonts w:ascii="Arial" w:hAnsi="Arial" w:cs="Arial"/>
                <w:sz w:val="20"/>
                <w:szCs w:val="20"/>
              </w:rPr>
            </w:pPr>
            <w:r w:rsidRPr="009C086E">
              <w:rPr>
                <w:rFonts w:ascii="Arial" w:hAnsi="Arial" w:cs="Arial"/>
                <w:sz w:val="20"/>
                <w:szCs w:val="20"/>
              </w:rPr>
              <w:t>100</w:t>
            </w:r>
            <w:r w:rsidR="007331F0" w:rsidRPr="00CC532E">
              <w:rPr>
                <w:rFonts w:ascii="Arial" w:hAnsi="Arial" w:cs="Arial"/>
                <w:sz w:val="20"/>
                <w:szCs w:val="20"/>
              </w:rPr>
              <w:t>%</w:t>
            </w:r>
          </w:p>
        </w:tc>
      </w:tr>
      <w:tr w:rsidR="005773A8" w:rsidRPr="00CF5903" w14:paraId="7185DF00"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3985FE1E" w14:textId="2FF5C50E" w:rsidR="005773A8" w:rsidRPr="00CC532E" w:rsidRDefault="005773A8" w:rsidP="004673B1">
            <w:pPr>
              <w:widowControl w:val="0"/>
              <w:suppressAutoHyphens/>
              <w:jc w:val="both"/>
              <w:rPr>
                <w:rFonts w:ascii="Arial" w:hAnsi="Arial" w:cs="Arial"/>
                <w:b/>
                <w:sz w:val="20"/>
                <w:szCs w:val="20"/>
              </w:rPr>
            </w:pPr>
            <w:r>
              <w:rPr>
                <w:rFonts w:ascii="Arial" w:hAnsi="Arial" w:cs="Arial"/>
                <w:sz w:val="20"/>
                <w:szCs w:val="20"/>
              </w:rPr>
              <w:t xml:space="preserve">                       </w:t>
            </w:r>
          </w:p>
        </w:tc>
        <w:tc>
          <w:tcPr>
            <w:tcW w:w="9090" w:type="dxa"/>
            <w:gridSpan w:val="4"/>
            <w:tcBorders>
              <w:top w:val="single" w:sz="4" w:space="0" w:color="auto"/>
              <w:left w:val="single" w:sz="4" w:space="0" w:color="auto"/>
              <w:bottom w:val="single" w:sz="4" w:space="0" w:color="auto"/>
              <w:right w:val="single" w:sz="4" w:space="0" w:color="auto"/>
            </w:tcBorders>
          </w:tcPr>
          <w:p w14:paraId="03A524EA" w14:textId="21AF4122" w:rsidR="005773A8" w:rsidRPr="009C086E" w:rsidRDefault="005773A8" w:rsidP="004673B1">
            <w:pPr>
              <w:widowControl w:val="0"/>
              <w:suppressAutoHyphens/>
              <w:jc w:val="both"/>
              <w:rPr>
                <w:rFonts w:ascii="Arial" w:hAnsi="Arial" w:cs="Arial"/>
                <w:b/>
                <w:sz w:val="20"/>
                <w:szCs w:val="20"/>
              </w:rPr>
            </w:pPr>
            <w:r w:rsidRPr="008C7621">
              <w:rPr>
                <w:rFonts w:ascii="Arial" w:hAnsi="Arial" w:cs="Arial"/>
                <w:b/>
                <w:sz w:val="20"/>
                <w:szCs w:val="20"/>
              </w:rPr>
              <w:t>e. Increase the relation between the number of large taxpayers using e-filing and the total number of large taxpayers.</w:t>
            </w:r>
            <w:r w:rsidR="0097534A">
              <w:rPr>
                <w:rFonts w:ascii="Arial" w:hAnsi="Arial" w:cs="Arial"/>
                <w:b/>
                <w:sz w:val="20"/>
                <w:szCs w:val="20"/>
              </w:rPr>
              <w:t xml:space="preserve"> </w:t>
            </w:r>
            <w:r w:rsidR="0097534A" w:rsidRPr="009C086E">
              <w:rPr>
                <w:rFonts w:ascii="Arial" w:hAnsi="Arial" w:cs="Arial"/>
                <w:sz w:val="20"/>
                <w:szCs w:val="20"/>
              </w:rPr>
              <w:t>(Outcome II.10)</w:t>
            </w:r>
          </w:p>
        </w:tc>
      </w:tr>
      <w:tr w:rsidR="005773A8" w:rsidRPr="00CF5903" w14:paraId="36A843A1"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43288844" w14:textId="14EA41E0" w:rsidR="005773A8" w:rsidRPr="001E1C8B" w:rsidRDefault="005773A8" w:rsidP="004673B1">
            <w:pPr>
              <w:widowControl w:val="0"/>
              <w:suppressAutoHyphens/>
              <w:jc w:val="both"/>
              <w:rPr>
                <w:rFonts w:ascii="Arial" w:hAnsi="Arial" w:cs="Arial"/>
                <w:sz w:val="20"/>
                <w:szCs w:val="20"/>
              </w:rPr>
            </w:pPr>
            <w:r w:rsidRPr="001E1C8B">
              <w:rPr>
                <w:rFonts w:ascii="Arial" w:hAnsi="Arial" w:cs="Arial"/>
                <w:sz w:val="20"/>
                <w:szCs w:val="20"/>
              </w:rPr>
              <w:t xml:space="preserve">                                                                        </w:t>
            </w:r>
          </w:p>
        </w:tc>
        <w:tc>
          <w:tcPr>
            <w:tcW w:w="5400" w:type="dxa"/>
            <w:tcBorders>
              <w:top w:val="single" w:sz="4" w:space="0" w:color="auto"/>
              <w:left w:val="single" w:sz="4" w:space="0" w:color="auto"/>
              <w:bottom w:val="single" w:sz="4" w:space="0" w:color="auto"/>
              <w:right w:val="single" w:sz="4" w:space="0" w:color="auto"/>
            </w:tcBorders>
          </w:tcPr>
          <w:p w14:paraId="1657803B" w14:textId="7000D34E" w:rsidR="005773A8" w:rsidRPr="001E1C8B" w:rsidRDefault="005773A8" w:rsidP="004673B1">
            <w:pPr>
              <w:widowControl w:val="0"/>
              <w:suppressAutoHyphens/>
              <w:jc w:val="both"/>
              <w:rPr>
                <w:rFonts w:ascii="Arial" w:hAnsi="Arial" w:cs="Arial"/>
                <w:sz w:val="20"/>
                <w:szCs w:val="20"/>
              </w:rPr>
            </w:pPr>
            <w:r w:rsidRPr="001E1C8B">
              <w:rPr>
                <w:rFonts w:ascii="Arial" w:hAnsi="Arial" w:cs="Arial"/>
                <w:sz w:val="20"/>
                <w:szCs w:val="20"/>
              </w:rPr>
              <w:t>Large taxpayers filling/tota</w:t>
            </w:r>
            <w:r>
              <w:rPr>
                <w:rFonts w:ascii="Arial" w:hAnsi="Arial" w:cs="Arial"/>
                <w:sz w:val="20"/>
                <w:szCs w:val="20"/>
              </w:rPr>
              <w:t>l number of large taxpayers CIT</w:t>
            </w:r>
            <w:r w:rsidRPr="001E1C8B">
              <w:rPr>
                <w:rFonts w:ascii="Arial" w:hAnsi="Arial" w:cs="Arial"/>
                <w:sz w:val="20"/>
                <w:szCs w:val="20"/>
              </w:rPr>
              <w:t xml:space="preserve"> (</w:t>
            </w:r>
            <w:r w:rsidRPr="008C7621">
              <w:rPr>
                <w:rFonts w:ascii="Arial" w:hAnsi="Arial" w:cs="Arial"/>
                <w:sz w:val="20"/>
                <w:szCs w:val="20"/>
              </w:rPr>
              <w:t>Outcome II.10.1</w:t>
            </w:r>
            <w:r>
              <w:rPr>
                <w:rFonts w:ascii="Arial"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tcPr>
          <w:p w14:paraId="144BAFE9" w14:textId="08532B82" w:rsidR="005773A8" w:rsidRPr="001E1C8B" w:rsidRDefault="005773A8" w:rsidP="009C086E">
            <w:pPr>
              <w:widowControl w:val="0"/>
              <w:suppressAutoHyphens/>
              <w:jc w:val="center"/>
              <w:rPr>
                <w:rFonts w:ascii="Arial" w:hAnsi="Arial" w:cs="Arial"/>
                <w:sz w:val="20"/>
                <w:szCs w:val="20"/>
              </w:rPr>
            </w:pPr>
            <w:r w:rsidRPr="008C7621">
              <w:rPr>
                <w:rFonts w:ascii="Arial" w:hAnsi="Arial" w:cs="Arial"/>
                <w:sz w:val="20"/>
                <w:szCs w:val="20"/>
              </w:rPr>
              <w:t>150</w:t>
            </w:r>
            <w:r w:rsidRPr="001E1C8B">
              <w:rPr>
                <w:rFonts w:ascii="Arial" w:hAnsi="Arial" w:cs="Arial"/>
                <w:sz w:val="20"/>
                <w:szCs w:val="20"/>
              </w:rPr>
              <w:t>%</w:t>
            </w:r>
          </w:p>
        </w:tc>
      </w:tr>
      <w:tr w:rsidR="005773A8" w:rsidRPr="00CF5903" w14:paraId="403DB06F"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7C308D48" w14:textId="15EF62BC" w:rsidR="005773A8" w:rsidRPr="001E1C8B" w:rsidRDefault="005773A8" w:rsidP="004673B1">
            <w:pPr>
              <w:widowControl w:val="0"/>
              <w:suppressAutoHyphens/>
              <w:jc w:val="both"/>
              <w:rPr>
                <w:rFonts w:ascii="Arial" w:hAnsi="Arial" w:cs="Arial"/>
                <w:sz w:val="20"/>
                <w:szCs w:val="20"/>
              </w:rPr>
            </w:pPr>
            <w:r w:rsidRPr="001E1C8B">
              <w:rPr>
                <w:rFonts w:ascii="Arial" w:hAnsi="Arial" w:cs="Arial"/>
                <w:sz w:val="20"/>
                <w:szCs w:val="20"/>
              </w:rPr>
              <w:t xml:space="preserve">                                                                      </w:t>
            </w:r>
          </w:p>
        </w:tc>
        <w:tc>
          <w:tcPr>
            <w:tcW w:w="5400" w:type="dxa"/>
            <w:tcBorders>
              <w:top w:val="single" w:sz="4" w:space="0" w:color="auto"/>
              <w:left w:val="single" w:sz="4" w:space="0" w:color="auto"/>
              <w:bottom w:val="single" w:sz="4" w:space="0" w:color="auto"/>
              <w:right w:val="single" w:sz="4" w:space="0" w:color="auto"/>
            </w:tcBorders>
          </w:tcPr>
          <w:p w14:paraId="6DA90455" w14:textId="1205D02A" w:rsidR="005773A8" w:rsidRPr="001E1C8B" w:rsidRDefault="005773A8" w:rsidP="004673B1">
            <w:pPr>
              <w:widowControl w:val="0"/>
              <w:suppressAutoHyphens/>
              <w:jc w:val="both"/>
              <w:rPr>
                <w:rFonts w:ascii="Arial" w:hAnsi="Arial" w:cs="Arial"/>
                <w:sz w:val="20"/>
                <w:szCs w:val="20"/>
              </w:rPr>
            </w:pPr>
            <w:r w:rsidRPr="001E1C8B">
              <w:rPr>
                <w:rFonts w:ascii="Arial" w:hAnsi="Arial" w:cs="Arial"/>
                <w:sz w:val="20"/>
                <w:szCs w:val="20"/>
              </w:rPr>
              <w:t>Large taxpayers filling/total number of large taxpayers GCT</w:t>
            </w:r>
            <w:r>
              <w:rPr>
                <w:rFonts w:ascii="Arial" w:hAnsi="Arial" w:cs="Arial"/>
                <w:sz w:val="20"/>
                <w:szCs w:val="20"/>
              </w:rPr>
              <w:t xml:space="preserve"> </w:t>
            </w:r>
            <w:r w:rsidRPr="008C7621">
              <w:rPr>
                <w:rFonts w:ascii="Arial" w:hAnsi="Arial" w:cs="Arial"/>
                <w:sz w:val="20"/>
                <w:szCs w:val="20"/>
              </w:rPr>
              <w:t>(Outcome II.10.2</w:t>
            </w:r>
            <w:r>
              <w:rPr>
                <w:rFonts w:ascii="Arial"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tcPr>
          <w:p w14:paraId="1AEAE41B" w14:textId="56515729" w:rsidR="005773A8" w:rsidRPr="001E1C8B" w:rsidRDefault="005773A8" w:rsidP="009C086E">
            <w:pPr>
              <w:widowControl w:val="0"/>
              <w:suppressAutoHyphens/>
              <w:jc w:val="center"/>
              <w:rPr>
                <w:rFonts w:ascii="Arial" w:hAnsi="Arial" w:cs="Arial"/>
                <w:sz w:val="20"/>
                <w:szCs w:val="20"/>
              </w:rPr>
            </w:pPr>
            <w:r w:rsidRPr="008C7621">
              <w:rPr>
                <w:rFonts w:ascii="Arial" w:hAnsi="Arial" w:cs="Arial"/>
                <w:sz w:val="20"/>
                <w:szCs w:val="20"/>
              </w:rPr>
              <w:t>107</w:t>
            </w:r>
            <w:r w:rsidRPr="001E1C8B">
              <w:rPr>
                <w:rFonts w:ascii="Arial" w:hAnsi="Arial" w:cs="Arial"/>
                <w:sz w:val="20"/>
                <w:szCs w:val="20"/>
              </w:rPr>
              <w:t>%</w:t>
            </w:r>
          </w:p>
        </w:tc>
      </w:tr>
      <w:tr w:rsidR="005773A8" w:rsidRPr="00CF5903" w14:paraId="7E4CFB10"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45D64431" w14:textId="30B50F0A" w:rsidR="005773A8" w:rsidRPr="001E1C8B" w:rsidRDefault="005773A8" w:rsidP="004673B1">
            <w:pPr>
              <w:widowControl w:val="0"/>
              <w:suppressAutoHyphens/>
              <w:jc w:val="both"/>
              <w:rPr>
                <w:rFonts w:ascii="Arial" w:hAnsi="Arial" w:cs="Arial"/>
                <w:sz w:val="20"/>
                <w:szCs w:val="20"/>
              </w:rPr>
            </w:pPr>
            <w:r w:rsidRPr="001E1C8B">
              <w:rPr>
                <w:rFonts w:ascii="Arial" w:hAnsi="Arial" w:cs="Arial"/>
                <w:sz w:val="20"/>
                <w:szCs w:val="20"/>
              </w:rPr>
              <w:t xml:space="preserve">                                                           </w:t>
            </w:r>
          </w:p>
        </w:tc>
        <w:tc>
          <w:tcPr>
            <w:tcW w:w="5400" w:type="dxa"/>
            <w:tcBorders>
              <w:top w:val="single" w:sz="4" w:space="0" w:color="auto"/>
              <w:left w:val="single" w:sz="4" w:space="0" w:color="auto"/>
              <w:bottom w:val="single" w:sz="4" w:space="0" w:color="auto"/>
              <w:right w:val="single" w:sz="4" w:space="0" w:color="auto"/>
            </w:tcBorders>
          </w:tcPr>
          <w:p w14:paraId="4802F73F" w14:textId="24309AC5" w:rsidR="005773A8" w:rsidRPr="001E1C8B" w:rsidRDefault="005773A8" w:rsidP="004673B1">
            <w:pPr>
              <w:widowControl w:val="0"/>
              <w:suppressAutoHyphens/>
              <w:jc w:val="both"/>
              <w:rPr>
                <w:rFonts w:ascii="Arial" w:hAnsi="Arial" w:cs="Arial"/>
                <w:sz w:val="20"/>
                <w:szCs w:val="20"/>
              </w:rPr>
            </w:pPr>
            <w:r w:rsidRPr="001E1C8B">
              <w:rPr>
                <w:rFonts w:ascii="Arial" w:hAnsi="Arial" w:cs="Arial"/>
                <w:sz w:val="20"/>
                <w:szCs w:val="20"/>
              </w:rPr>
              <w:t>Large taxpayers filling/total number of large taxpayers PAYE</w:t>
            </w:r>
            <w:r>
              <w:rPr>
                <w:rFonts w:ascii="Arial" w:hAnsi="Arial" w:cs="Arial"/>
                <w:sz w:val="20"/>
                <w:szCs w:val="20"/>
              </w:rPr>
              <w:t xml:space="preserve"> </w:t>
            </w:r>
            <w:r w:rsidRPr="008C7621">
              <w:rPr>
                <w:rFonts w:ascii="Arial" w:hAnsi="Arial" w:cs="Arial"/>
                <w:sz w:val="20"/>
                <w:szCs w:val="20"/>
              </w:rPr>
              <w:t>(Outcome I.10.3)</w:t>
            </w:r>
            <w:r w:rsidRPr="001E1C8B">
              <w:rPr>
                <w:rFonts w:ascii="Arial" w:hAnsi="Arial" w:cs="Arial"/>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14:paraId="63599243" w14:textId="580668FF" w:rsidR="005773A8" w:rsidRPr="001E1C8B" w:rsidRDefault="005773A8" w:rsidP="009C086E">
            <w:pPr>
              <w:widowControl w:val="0"/>
              <w:suppressAutoHyphens/>
              <w:jc w:val="center"/>
              <w:rPr>
                <w:rFonts w:ascii="Arial" w:hAnsi="Arial" w:cs="Arial"/>
                <w:sz w:val="20"/>
                <w:szCs w:val="20"/>
              </w:rPr>
            </w:pPr>
            <w:r w:rsidRPr="008C7621">
              <w:rPr>
                <w:rFonts w:ascii="Arial" w:hAnsi="Arial" w:cs="Arial"/>
                <w:sz w:val="20"/>
                <w:szCs w:val="20"/>
              </w:rPr>
              <w:t>130</w:t>
            </w:r>
            <w:r w:rsidRPr="001E1C8B">
              <w:rPr>
                <w:rFonts w:ascii="Arial" w:hAnsi="Arial" w:cs="Arial"/>
                <w:sz w:val="20"/>
                <w:szCs w:val="20"/>
              </w:rPr>
              <w:t>%</w:t>
            </w:r>
          </w:p>
        </w:tc>
      </w:tr>
      <w:tr w:rsidR="005A555F" w:rsidRPr="00CF5903" w14:paraId="5CBBBA9A"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173C4EF1" w14:textId="1150FF96" w:rsidR="005A555F" w:rsidRPr="00CC532E" w:rsidRDefault="005A555F" w:rsidP="004673B1">
            <w:pPr>
              <w:widowControl w:val="0"/>
              <w:suppressAutoHyphens/>
              <w:jc w:val="both"/>
              <w:rPr>
                <w:rFonts w:ascii="Arial" w:hAnsi="Arial" w:cs="Arial"/>
                <w:b/>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CAABA59" w14:textId="7A17E227" w:rsidR="005A555F" w:rsidRPr="009C086E" w:rsidRDefault="005A555F" w:rsidP="004673B1">
            <w:pPr>
              <w:widowControl w:val="0"/>
              <w:suppressAutoHyphens/>
              <w:jc w:val="both"/>
              <w:rPr>
                <w:rFonts w:ascii="Arial" w:hAnsi="Arial" w:cs="Arial"/>
                <w:b/>
                <w:sz w:val="20"/>
                <w:szCs w:val="20"/>
              </w:rPr>
            </w:pPr>
            <w:r w:rsidRPr="008C7621">
              <w:rPr>
                <w:rFonts w:ascii="Arial" w:hAnsi="Arial" w:cs="Arial"/>
                <w:b/>
                <w:sz w:val="20"/>
                <w:szCs w:val="20"/>
              </w:rPr>
              <w:t>e.1 Enforcement for taxpayers e-filing</w:t>
            </w:r>
            <w:r w:rsidR="0097534A">
              <w:rPr>
                <w:rFonts w:ascii="Arial" w:hAnsi="Arial" w:cs="Arial"/>
                <w:b/>
                <w:sz w:val="20"/>
                <w:szCs w:val="20"/>
              </w:rPr>
              <w:t xml:space="preserve"> </w:t>
            </w:r>
            <w:r w:rsidR="0097534A" w:rsidRPr="009C086E">
              <w:rPr>
                <w:rFonts w:ascii="Arial" w:hAnsi="Arial" w:cs="Arial"/>
                <w:sz w:val="20"/>
                <w:szCs w:val="20"/>
              </w:rPr>
              <w:t>(</w:t>
            </w:r>
            <w:r w:rsidR="002663AE" w:rsidRPr="009C086E">
              <w:rPr>
                <w:rFonts w:ascii="Arial" w:hAnsi="Arial" w:cs="Arial"/>
                <w:sz w:val="20"/>
                <w:szCs w:val="20"/>
              </w:rPr>
              <w:t>component of Output II.9)</w:t>
            </w:r>
          </w:p>
        </w:tc>
      </w:tr>
      <w:tr w:rsidR="002663AE" w:rsidRPr="00CF5903" w14:paraId="415AC5B9"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6DD5874F" w14:textId="5E093232" w:rsidR="002663AE" w:rsidRPr="001E1C8B" w:rsidRDefault="002663AE" w:rsidP="004673B1">
            <w:pPr>
              <w:widowControl w:val="0"/>
              <w:suppressAutoHyphens/>
              <w:jc w:val="both"/>
              <w:rPr>
                <w:rFonts w:ascii="Arial" w:hAnsi="Arial" w:cs="Arial"/>
                <w:sz w:val="20"/>
                <w:szCs w:val="20"/>
              </w:rPr>
            </w:pPr>
            <w:r w:rsidRPr="001E1C8B">
              <w:rPr>
                <w:rFonts w:ascii="Arial" w:hAnsi="Arial" w:cs="Arial"/>
                <w:sz w:val="20"/>
                <w:szCs w:val="20"/>
              </w:rPr>
              <w:t xml:space="preserve">                                                                                </w:t>
            </w:r>
          </w:p>
        </w:tc>
        <w:tc>
          <w:tcPr>
            <w:tcW w:w="5400" w:type="dxa"/>
            <w:tcBorders>
              <w:top w:val="single" w:sz="4" w:space="0" w:color="auto"/>
              <w:left w:val="single" w:sz="4" w:space="0" w:color="auto"/>
              <w:bottom w:val="single" w:sz="4" w:space="0" w:color="auto"/>
              <w:right w:val="single" w:sz="4" w:space="0" w:color="auto"/>
            </w:tcBorders>
          </w:tcPr>
          <w:p w14:paraId="33B4D577" w14:textId="3565A659" w:rsidR="002663AE" w:rsidRPr="001E1C8B" w:rsidRDefault="002663AE" w:rsidP="009C086E">
            <w:pPr>
              <w:widowControl w:val="0"/>
              <w:suppressAutoHyphens/>
              <w:rPr>
                <w:rFonts w:ascii="Arial" w:hAnsi="Arial" w:cs="Arial"/>
                <w:sz w:val="20"/>
                <w:szCs w:val="20"/>
              </w:rPr>
            </w:pPr>
            <w:r w:rsidRPr="001E1C8B">
              <w:rPr>
                <w:rFonts w:ascii="Arial" w:hAnsi="Arial" w:cs="Arial"/>
                <w:sz w:val="20"/>
                <w:szCs w:val="20"/>
              </w:rPr>
              <w:t xml:space="preserve">Penalty Act to enforce taxpayers e-filing implemented </w:t>
            </w:r>
            <w:r w:rsidRPr="008C7621">
              <w:rPr>
                <w:rFonts w:ascii="Arial" w:hAnsi="Arial" w:cs="Arial"/>
                <w:sz w:val="20"/>
                <w:szCs w:val="20"/>
              </w:rPr>
              <w:t>(Out</w:t>
            </w:r>
            <w:r>
              <w:rPr>
                <w:rFonts w:ascii="Arial" w:hAnsi="Arial" w:cs="Arial"/>
                <w:sz w:val="20"/>
                <w:szCs w:val="20"/>
              </w:rPr>
              <w:t>put</w:t>
            </w:r>
            <w:r w:rsidRPr="008C7621">
              <w:rPr>
                <w:rFonts w:ascii="Arial" w:hAnsi="Arial" w:cs="Arial"/>
                <w:sz w:val="20"/>
                <w:szCs w:val="20"/>
              </w:rPr>
              <w:t xml:space="preserve"> II.9.3)</w:t>
            </w:r>
          </w:p>
        </w:tc>
        <w:tc>
          <w:tcPr>
            <w:tcW w:w="1530" w:type="dxa"/>
            <w:tcBorders>
              <w:top w:val="single" w:sz="4" w:space="0" w:color="auto"/>
              <w:left w:val="single" w:sz="4" w:space="0" w:color="auto"/>
              <w:bottom w:val="single" w:sz="4" w:space="0" w:color="auto"/>
              <w:right w:val="single" w:sz="4" w:space="0" w:color="auto"/>
            </w:tcBorders>
          </w:tcPr>
          <w:p w14:paraId="537B6EE9" w14:textId="121B13D7" w:rsidR="002663AE" w:rsidRPr="001E1C8B" w:rsidRDefault="002663AE" w:rsidP="009C086E">
            <w:pPr>
              <w:widowControl w:val="0"/>
              <w:suppressAutoHyphens/>
              <w:jc w:val="center"/>
              <w:rPr>
                <w:rFonts w:ascii="Arial" w:hAnsi="Arial" w:cs="Arial"/>
                <w:sz w:val="20"/>
                <w:szCs w:val="20"/>
              </w:rPr>
            </w:pPr>
            <w:r w:rsidRPr="008C7621">
              <w:rPr>
                <w:rFonts w:ascii="Arial" w:hAnsi="Arial" w:cs="Arial"/>
                <w:sz w:val="20"/>
                <w:szCs w:val="20"/>
              </w:rPr>
              <w:t>100</w:t>
            </w:r>
            <w:r w:rsidRPr="001E1C8B">
              <w:rPr>
                <w:rFonts w:ascii="Arial" w:hAnsi="Arial" w:cs="Arial"/>
                <w:sz w:val="20"/>
                <w:szCs w:val="20"/>
              </w:rPr>
              <w:t>%</w:t>
            </w:r>
          </w:p>
        </w:tc>
      </w:tr>
      <w:tr w:rsidR="002663AE" w:rsidRPr="00CF5903" w14:paraId="29C3AC58"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61443C7A" w14:textId="57A1BB4D" w:rsidR="002663AE" w:rsidRPr="001E1C8B" w:rsidDel="002663AE" w:rsidRDefault="002663AE"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7AEBA28E" w14:textId="22E90624" w:rsidR="002663AE" w:rsidRPr="001E1C8B" w:rsidRDefault="002663AE" w:rsidP="009C086E">
            <w:pPr>
              <w:widowControl w:val="0"/>
              <w:suppressAutoHyphens/>
              <w:rPr>
                <w:rFonts w:ascii="Arial" w:hAnsi="Arial" w:cs="Arial"/>
                <w:sz w:val="20"/>
                <w:szCs w:val="20"/>
              </w:rPr>
            </w:pPr>
            <w:r w:rsidRPr="001E1C8B">
              <w:rPr>
                <w:rFonts w:ascii="Arial" w:hAnsi="Arial" w:cs="Arial"/>
                <w:sz w:val="20"/>
                <w:szCs w:val="20"/>
              </w:rPr>
              <w:t>Penalty Act to enfo</w:t>
            </w:r>
            <w:r>
              <w:rPr>
                <w:rFonts w:ascii="Arial" w:hAnsi="Arial" w:cs="Arial"/>
                <w:sz w:val="20"/>
                <w:szCs w:val="20"/>
              </w:rPr>
              <w:t>r</w:t>
            </w:r>
            <w:r w:rsidRPr="001E1C8B">
              <w:rPr>
                <w:rFonts w:ascii="Arial" w:hAnsi="Arial" w:cs="Arial"/>
                <w:sz w:val="20"/>
                <w:szCs w:val="20"/>
              </w:rPr>
              <w:t>ce e-filling of all taxes paid by large</w:t>
            </w:r>
            <w:r>
              <w:rPr>
                <w:rFonts w:ascii="Arial" w:hAnsi="Arial" w:cs="Arial"/>
                <w:sz w:val="20"/>
                <w:szCs w:val="20"/>
              </w:rPr>
              <w:t xml:space="preserve"> </w:t>
            </w:r>
            <w:r w:rsidRPr="00547221">
              <w:rPr>
                <w:rFonts w:ascii="Arial" w:hAnsi="Arial" w:cs="Arial"/>
                <w:sz w:val="20"/>
                <w:szCs w:val="20"/>
              </w:rPr>
              <w:t xml:space="preserve">taxpayers, including payroll taxes implemented. </w:t>
            </w:r>
            <w:r w:rsidRPr="008C7621">
              <w:rPr>
                <w:rFonts w:ascii="Arial" w:hAnsi="Arial" w:cs="Arial"/>
                <w:sz w:val="20"/>
                <w:szCs w:val="20"/>
              </w:rPr>
              <w:t>(</w:t>
            </w:r>
            <w:r>
              <w:rPr>
                <w:rFonts w:ascii="Arial" w:hAnsi="Arial" w:cs="Arial"/>
                <w:sz w:val="20"/>
                <w:szCs w:val="20"/>
              </w:rPr>
              <w:t>Output</w:t>
            </w:r>
            <w:r w:rsidRPr="008C7621">
              <w:rPr>
                <w:rFonts w:ascii="Arial" w:hAnsi="Arial" w:cs="Arial"/>
                <w:sz w:val="20"/>
                <w:szCs w:val="20"/>
              </w:rPr>
              <w:t xml:space="preserve"> II.9.2)</w:t>
            </w:r>
          </w:p>
        </w:tc>
        <w:tc>
          <w:tcPr>
            <w:tcW w:w="1530" w:type="dxa"/>
            <w:tcBorders>
              <w:top w:val="single" w:sz="4" w:space="0" w:color="auto"/>
              <w:left w:val="single" w:sz="4" w:space="0" w:color="auto"/>
              <w:bottom w:val="single" w:sz="4" w:space="0" w:color="auto"/>
              <w:right w:val="single" w:sz="4" w:space="0" w:color="auto"/>
            </w:tcBorders>
            <w:vAlign w:val="center"/>
          </w:tcPr>
          <w:p w14:paraId="4779E143" w14:textId="5AEC7B5F" w:rsidR="002663AE" w:rsidRPr="001E1C8B" w:rsidRDefault="002663AE" w:rsidP="009C086E">
            <w:pPr>
              <w:widowControl w:val="0"/>
              <w:suppressAutoHyphens/>
              <w:jc w:val="center"/>
              <w:rPr>
                <w:rFonts w:ascii="Arial" w:hAnsi="Arial" w:cs="Arial"/>
                <w:sz w:val="20"/>
                <w:szCs w:val="20"/>
              </w:rPr>
            </w:pPr>
            <w:r>
              <w:rPr>
                <w:rFonts w:ascii="Arial" w:hAnsi="Arial" w:cs="Arial"/>
                <w:sz w:val="20"/>
                <w:szCs w:val="20"/>
              </w:rPr>
              <w:t>100%</w:t>
            </w:r>
          </w:p>
        </w:tc>
      </w:tr>
      <w:tr w:rsidR="00F144D0" w:rsidRPr="00CF5903" w14:paraId="749B1602"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1E81CCD0" w14:textId="77777777" w:rsidR="00F144D0" w:rsidRDefault="00F144D0" w:rsidP="004673B1">
            <w:pPr>
              <w:widowControl w:val="0"/>
              <w:suppressAutoHyphens/>
              <w:jc w:val="both"/>
              <w:rPr>
                <w:rFonts w:ascii="Arial" w:hAnsi="Arial" w:cs="Arial"/>
                <w:sz w:val="20"/>
                <w:szCs w:val="20"/>
              </w:rPr>
            </w:pPr>
          </w:p>
        </w:tc>
      </w:tr>
      <w:tr w:rsidR="009F70AC" w:rsidRPr="00CF5903" w14:paraId="3515CB2A"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706A323A"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(iii) Enhancing the control over budgetary expenditure</w:t>
            </w:r>
          </w:p>
        </w:tc>
      </w:tr>
      <w:tr w:rsidR="009F70AC" w:rsidRPr="00CF5903" w14:paraId="3083D860"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201FD9E9" w14:textId="77777777" w:rsidR="009F70AC" w:rsidRPr="00040AA9" w:rsidRDefault="009F70AC" w:rsidP="004673B1">
            <w:pPr>
              <w:widowControl w:val="0"/>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00F77659"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 xml:space="preserve">a. Decrease annual central government’s sector wage bill </w:t>
            </w:r>
            <w:r w:rsidRPr="00040AA9">
              <w:rPr>
                <w:rFonts w:ascii="Arial" w:hAnsi="Arial" w:cs="Arial"/>
                <w:sz w:val="20"/>
                <w:szCs w:val="20"/>
              </w:rPr>
              <w:t>(</w:t>
            </w:r>
            <w:r w:rsidRPr="00040AA9">
              <w:rPr>
                <w:rFonts w:ascii="Arial" w:hAnsi="Arial" w:cs="Arial"/>
                <w:sz w:val="20"/>
                <w:szCs w:val="20"/>
                <w:lang w:val="en-CA"/>
              </w:rPr>
              <w:t>Outcome III.12)</w:t>
            </w:r>
          </w:p>
        </w:tc>
      </w:tr>
      <w:tr w:rsidR="009F70AC" w:rsidRPr="00CF5903" w14:paraId="617577D5" w14:textId="77777777" w:rsidTr="009C086E">
        <w:trPr>
          <w:trHeight w:val="278"/>
          <w:jc w:val="center"/>
        </w:trPr>
        <w:tc>
          <w:tcPr>
            <w:tcW w:w="3307" w:type="dxa"/>
            <w:gridSpan w:val="3"/>
            <w:tcBorders>
              <w:top w:val="single" w:sz="4" w:space="0" w:color="auto"/>
              <w:left w:val="single" w:sz="4" w:space="0" w:color="auto"/>
              <w:bottom w:val="single" w:sz="4" w:space="0" w:color="auto"/>
              <w:right w:val="single" w:sz="4" w:space="0" w:color="auto"/>
            </w:tcBorders>
          </w:tcPr>
          <w:p w14:paraId="4D109C83"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1151376E"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Expenditure of the central government on Wage bill / Nominal GDP (Outcome indicator III.12.1)</w:t>
            </w:r>
          </w:p>
        </w:tc>
        <w:tc>
          <w:tcPr>
            <w:tcW w:w="1530" w:type="dxa"/>
            <w:tcBorders>
              <w:top w:val="single" w:sz="4" w:space="0" w:color="auto"/>
              <w:left w:val="single" w:sz="4" w:space="0" w:color="auto"/>
              <w:bottom w:val="single" w:sz="4" w:space="0" w:color="auto"/>
              <w:right w:val="single" w:sz="4" w:space="0" w:color="auto"/>
            </w:tcBorders>
            <w:vAlign w:val="center"/>
          </w:tcPr>
          <w:p w14:paraId="73C82D0E" w14:textId="609D4BB9" w:rsidR="009F70AC" w:rsidRPr="00040AA9" w:rsidRDefault="00913CCF" w:rsidP="004673B1">
            <w:pPr>
              <w:widowControl w:val="0"/>
              <w:suppressAutoHyphens/>
              <w:jc w:val="center"/>
              <w:rPr>
                <w:rFonts w:ascii="Arial" w:hAnsi="Arial" w:cs="Arial"/>
                <w:sz w:val="20"/>
                <w:szCs w:val="20"/>
              </w:rPr>
            </w:pPr>
            <w:r>
              <w:rPr>
                <w:rFonts w:ascii="Arial" w:hAnsi="Arial" w:cs="Arial"/>
                <w:sz w:val="20"/>
                <w:szCs w:val="20"/>
              </w:rPr>
              <w:t>89</w:t>
            </w:r>
            <w:r w:rsidR="009F70AC" w:rsidRPr="00040AA9">
              <w:rPr>
                <w:rFonts w:ascii="Arial" w:hAnsi="Arial" w:cs="Arial"/>
                <w:sz w:val="20"/>
                <w:szCs w:val="20"/>
              </w:rPr>
              <w:t>%</w:t>
            </w:r>
          </w:p>
        </w:tc>
      </w:tr>
      <w:tr w:rsidR="009F70AC" w:rsidRPr="00CF5903" w14:paraId="0C15DFF2"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7283090F" w14:textId="77777777" w:rsidR="009F70AC" w:rsidRPr="00040AA9" w:rsidRDefault="009F70AC" w:rsidP="004673B1">
            <w:pPr>
              <w:widowControl w:val="0"/>
              <w:suppressAutoHyphens/>
              <w:jc w:val="both"/>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27FF66C2"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 xml:space="preserve">a.1 Central Government Salaries </w:t>
            </w:r>
            <w:r w:rsidRPr="00040AA9">
              <w:rPr>
                <w:rFonts w:ascii="Arial" w:hAnsi="Arial" w:cs="Arial"/>
                <w:sz w:val="20"/>
                <w:szCs w:val="20"/>
              </w:rPr>
              <w:t>(Output III.1)</w:t>
            </w:r>
          </w:p>
        </w:tc>
      </w:tr>
      <w:tr w:rsidR="009F70AC" w:rsidRPr="00CF5903" w14:paraId="43741FF1"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3E3CF49F" w14:textId="77777777" w:rsidR="009F70AC" w:rsidRPr="00040AA9" w:rsidRDefault="009F70AC" w:rsidP="004673B1">
            <w:pPr>
              <w:widowControl w:val="0"/>
              <w:suppressAutoHyphens/>
              <w:jc w:val="both"/>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438149F5"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Policy of no central government salary increases to meet an annual wage bill target implemented (Output indicator</w:t>
            </w:r>
            <w:r>
              <w:rPr>
                <w:rFonts w:ascii="Arial" w:hAnsi="Arial" w:cs="Arial"/>
                <w:sz w:val="20"/>
                <w:szCs w:val="20"/>
              </w:rPr>
              <w:t> </w:t>
            </w:r>
            <w:r w:rsidRPr="00040AA9">
              <w:rPr>
                <w:rFonts w:ascii="Arial" w:hAnsi="Arial" w:cs="Arial"/>
                <w:sz w:val="20"/>
                <w:szCs w:val="20"/>
              </w:rPr>
              <w:t>III.1.2)</w:t>
            </w:r>
          </w:p>
        </w:tc>
        <w:tc>
          <w:tcPr>
            <w:tcW w:w="1530" w:type="dxa"/>
            <w:tcBorders>
              <w:top w:val="single" w:sz="4" w:space="0" w:color="auto"/>
              <w:left w:val="single" w:sz="4" w:space="0" w:color="auto"/>
              <w:bottom w:val="single" w:sz="4" w:space="0" w:color="auto"/>
              <w:right w:val="single" w:sz="4" w:space="0" w:color="auto"/>
            </w:tcBorders>
            <w:vAlign w:val="center"/>
          </w:tcPr>
          <w:p w14:paraId="51FF1FCF"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4EBF76E6"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687E9087" w14:textId="77777777" w:rsidR="009F70AC" w:rsidRPr="00040AA9" w:rsidRDefault="009F70AC" w:rsidP="004673B1">
            <w:pPr>
              <w:widowControl w:val="0"/>
              <w:suppressAutoHyphens/>
              <w:jc w:val="both"/>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5A7B7EE1"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b. Increase the number of P</w:t>
            </w:r>
            <w:r>
              <w:rPr>
                <w:rFonts w:ascii="Arial" w:hAnsi="Arial" w:cs="Arial"/>
                <w:b/>
                <w:sz w:val="20"/>
                <w:szCs w:val="20"/>
              </w:rPr>
              <w:t>B</w:t>
            </w:r>
            <w:r w:rsidRPr="00040AA9">
              <w:rPr>
                <w:rFonts w:ascii="Arial" w:hAnsi="Arial" w:cs="Arial"/>
                <w:b/>
                <w:sz w:val="20"/>
                <w:szCs w:val="20"/>
              </w:rPr>
              <w:t xml:space="preserve"> reporting on time to the </w:t>
            </w:r>
            <w:proofErr w:type="spellStart"/>
            <w:r w:rsidRPr="00040AA9">
              <w:rPr>
                <w:rFonts w:ascii="Arial" w:hAnsi="Arial" w:cs="Arial"/>
                <w:b/>
                <w:sz w:val="20"/>
                <w:szCs w:val="20"/>
              </w:rPr>
              <w:t>M</w:t>
            </w:r>
            <w:r>
              <w:rPr>
                <w:rFonts w:ascii="Arial" w:hAnsi="Arial" w:cs="Arial"/>
                <w:b/>
                <w:sz w:val="20"/>
                <w:szCs w:val="20"/>
              </w:rPr>
              <w:t>oF</w:t>
            </w:r>
            <w:proofErr w:type="spellEnd"/>
            <w:r w:rsidRPr="00040AA9">
              <w:rPr>
                <w:rFonts w:ascii="Arial" w:hAnsi="Arial" w:cs="Arial"/>
                <w:b/>
                <w:sz w:val="20"/>
                <w:szCs w:val="20"/>
              </w:rPr>
              <w:t xml:space="preserve"> </w:t>
            </w:r>
            <w:r w:rsidRPr="00040AA9">
              <w:rPr>
                <w:rFonts w:ascii="Arial" w:hAnsi="Arial" w:cs="Arial"/>
                <w:sz w:val="20"/>
                <w:szCs w:val="20"/>
              </w:rPr>
              <w:t>(</w:t>
            </w:r>
            <w:r w:rsidRPr="00040AA9">
              <w:rPr>
                <w:rFonts w:ascii="Arial" w:hAnsi="Arial" w:cs="Arial"/>
                <w:sz w:val="20"/>
                <w:szCs w:val="20"/>
                <w:lang w:val="en-CA"/>
              </w:rPr>
              <w:t>Outcome</w:t>
            </w:r>
            <w:r>
              <w:rPr>
                <w:rFonts w:ascii="Arial" w:hAnsi="Arial" w:cs="Arial"/>
                <w:sz w:val="20"/>
                <w:szCs w:val="20"/>
                <w:lang w:val="en-CA"/>
              </w:rPr>
              <w:t> </w:t>
            </w:r>
            <w:r w:rsidRPr="00040AA9">
              <w:rPr>
                <w:rFonts w:ascii="Arial" w:hAnsi="Arial" w:cs="Arial"/>
                <w:sz w:val="20"/>
                <w:szCs w:val="20"/>
                <w:lang w:val="en-CA"/>
              </w:rPr>
              <w:t>II.13)</w:t>
            </w:r>
          </w:p>
        </w:tc>
      </w:tr>
      <w:tr w:rsidR="009F70AC" w:rsidRPr="00CF5903" w14:paraId="55E702C4"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22412462"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381D7A60"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Self-financing PB</w:t>
            </w:r>
            <w:r>
              <w:rPr>
                <w:rFonts w:ascii="Arial" w:hAnsi="Arial" w:cs="Arial"/>
                <w:sz w:val="20"/>
                <w:szCs w:val="20"/>
              </w:rPr>
              <w:t>s</w:t>
            </w:r>
            <w:r w:rsidRPr="00040AA9">
              <w:rPr>
                <w:rFonts w:ascii="Arial" w:hAnsi="Arial" w:cs="Arial"/>
                <w:sz w:val="20"/>
                <w:szCs w:val="20"/>
              </w:rPr>
              <w:t xml:space="preserve"> reporting on time (Outcome indicator</w:t>
            </w:r>
            <w:r>
              <w:rPr>
                <w:rFonts w:ascii="Arial" w:hAnsi="Arial" w:cs="Arial"/>
                <w:sz w:val="20"/>
                <w:szCs w:val="20"/>
              </w:rPr>
              <w:t> </w:t>
            </w:r>
            <w:r w:rsidRPr="00040AA9">
              <w:rPr>
                <w:rFonts w:ascii="Arial" w:hAnsi="Arial" w:cs="Arial"/>
                <w:sz w:val="20"/>
                <w:szCs w:val="20"/>
              </w:rPr>
              <w:t>III.13.1)</w:t>
            </w:r>
          </w:p>
        </w:tc>
        <w:tc>
          <w:tcPr>
            <w:tcW w:w="1530" w:type="dxa"/>
            <w:tcBorders>
              <w:top w:val="single" w:sz="4" w:space="0" w:color="auto"/>
              <w:left w:val="single" w:sz="4" w:space="0" w:color="auto"/>
              <w:bottom w:val="single" w:sz="4" w:space="0" w:color="auto"/>
              <w:right w:val="single" w:sz="4" w:space="0" w:color="auto"/>
            </w:tcBorders>
            <w:vAlign w:val="center"/>
          </w:tcPr>
          <w:p w14:paraId="5DEC863F"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50%</w:t>
            </w:r>
          </w:p>
        </w:tc>
      </w:tr>
      <w:tr w:rsidR="009F70AC" w:rsidRPr="00CF5903" w14:paraId="0C68F000"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1A61F7EA"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3B709643"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Non-self-financing P</w:t>
            </w:r>
            <w:r>
              <w:rPr>
                <w:rFonts w:ascii="Arial" w:hAnsi="Arial" w:cs="Arial"/>
                <w:sz w:val="20"/>
                <w:szCs w:val="20"/>
              </w:rPr>
              <w:t xml:space="preserve">B </w:t>
            </w:r>
            <w:r w:rsidRPr="00040AA9">
              <w:rPr>
                <w:rFonts w:ascii="Arial" w:hAnsi="Arial" w:cs="Arial"/>
                <w:sz w:val="20"/>
                <w:szCs w:val="20"/>
              </w:rPr>
              <w:t>reporting on time</w:t>
            </w:r>
            <w:r>
              <w:rPr>
                <w:rFonts w:ascii="Arial" w:hAnsi="Arial" w:cs="Arial"/>
                <w:sz w:val="20"/>
                <w:szCs w:val="20"/>
              </w:rPr>
              <w:t xml:space="preserve"> </w:t>
            </w:r>
            <w:r w:rsidRPr="00040AA9">
              <w:rPr>
                <w:rFonts w:ascii="Arial" w:hAnsi="Arial" w:cs="Arial"/>
                <w:sz w:val="20"/>
                <w:szCs w:val="20"/>
              </w:rPr>
              <w:t>(Outcome indicator</w:t>
            </w:r>
            <w:r>
              <w:rPr>
                <w:rFonts w:ascii="Arial" w:hAnsi="Arial" w:cs="Arial"/>
                <w:sz w:val="20"/>
                <w:szCs w:val="20"/>
              </w:rPr>
              <w:t> </w:t>
            </w:r>
            <w:r w:rsidRPr="00040AA9">
              <w:rPr>
                <w:rFonts w:ascii="Arial" w:hAnsi="Arial" w:cs="Arial"/>
                <w:sz w:val="20"/>
                <w:szCs w:val="20"/>
              </w:rPr>
              <w:t>III.13.2)</w:t>
            </w:r>
          </w:p>
        </w:tc>
        <w:tc>
          <w:tcPr>
            <w:tcW w:w="1530" w:type="dxa"/>
            <w:tcBorders>
              <w:top w:val="single" w:sz="4" w:space="0" w:color="auto"/>
              <w:left w:val="single" w:sz="4" w:space="0" w:color="auto"/>
              <w:bottom w:val="single" w:sz="4" w:space="0" w:color="auto"/>
              <w:right w:val="single" w:sz="4" w:space="0" w:color="auto"/>
            </w:tcBorders>
            <w:vAlign w:val="center"/>
          </w:tcPr>
          <w:p w14:paraId="69416267" w14:textId="77777777" w:rsidR="009F70AC" w:rsidRPr="00040AA9" w:rsidRDefault="009F70AC" w:rsidP="004673B1">
            <w:pPr>
              <w:widowControl w:val="0"/>
              <w:suppressAutoHyphens/>
              <w:jc w:val="center"/>
              <w:rPr>
                <w:rFonts w:ascii="Arial" w:hAnsi="Arial" w:cs="Arial"/>
                <w:sz w:val="20"/>
                <w:szCs w:val="20"/>
              </w:rPr>
            </w:pPr>
            <w:r>
              <w:rPr>
                <w:rFonts w:ascii="Arial" w:hAnsi="Arial" w:cs="Arial"/>
                <w:sz w:val="20"/>
                <w:szCs w:val="20"/>
              </w:rPr>
              <w:t>0%</w:t>
            </w:r>
            <w:r w:rsidRPr="00040AA9">
              <w:rPr>
                <w:rFonts w:ascii="Arial" w:hAnsi="Arial" w:cs="Arial"/>
                <w:sz w:val="20"/>
                <w:szCs w:val="20"/>
              </w:rPr>
              <w:t>*</w:t>
            </w:r>
          </w:p>
        </w:tc>
      </w:tr>
      <w:tr w:rsidR="009F70AC" w:rsidRPr="00CF5903" w14:paraId="1DD87E5D" w14:textId="77777777" w:rsidTr="009C086E">
        <w:trPr>
          <w:trHeight w:val="197"/>
          <w:jc w:val="center"/>
        </w:trPr>
        <w:tc>
          <w:tcPr>
            <w:tcW w:w="2317" w:type="dxa"/>
            <w:gridSpan w:val="2"/>
            <w:tcBorders>
              <w:top w:val="single" w:sz="4" w:space="0" w:color="auto"/>
              <w:left w:val="single" w:sz="4" w:space="0" w:color="auto"/>
              <w:bottom w:val="single" w:sz="4" w:space="0" w:color="auto"/>
              <w:right w:val="single" w:sz="4" w:space="0" w:color="auto"/>
            </w:tcBorders>
          </w:tcPr>
          <w:p w14:paraId="30CBD6AA" w14:textId="77777777" w:rsidR="009F70AC" w:rsidRPr="00040AA9" w:rsidRDefault="009F70AC" w:rsidP="004673B1">
            <w:pPr>
              <w:widowControl w:val="0"/>
              <w:suppressAutoHyphens/>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6F7071C"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b.1 P</w:t>
            </w:r>
            <w:r>
              <w:rPr>
                <w:rFonts w:ascii="Arial" w:hAnsi="Arial" w:cs="Arial"/>
                <w:b/>
                <w:sz w:val="20"/>
                <w:szCs w:val="20"/>
              </w:rPr>
              <w:t>B</w:t>
            </w:r>
            <w:r w:rsidRPr="00040AA9">
              <w:rPr>
                <w:rFonts w:ascii="Arial" w:hAnsi="Arial" w:cs="Arial"/>
                <w:b/>
                <w:sz w:val="20"/>
                <w:szCs w:val="20"/>
              </w:rPr>
              <w:t xml:space="preserve">s timely submission of annual reports </w:t>
            </w:r>
            <w:r w:rsidRPr="00040AA9">
              <w:rPr>
                <w:rFonts w:ascii="Arial" w:hAnsi="Arial" w:cs="Arial"/>
                <w:sz w:val="20"/>
                <w:szCs w:val="20"/>
              </w:rPr>
              <w:t>(Output III.3)</w:t>
            </w:r>
          </w:p>
        </w:tc>
      </w:tr>
      <w:tr w:rsidR="009F70AC" w:rsidRPr="00CF5903" w14:paraId="481504BF"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15746A50"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E1F3F34"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Compliance system of the P</w:t>
            </w:r>
            <w:r>
              <w:rPr>
                <w:rFonts w:ascii="Arial" w:hAnsi="Arial" w:cs="Arial"/>
                <w:sz w:val="20"/>
                <w:szCs w:val="20"/>
              </w:rPr>
              <w:t>B</w:t>
            </w:r>
            <w:r w:rsidRPr="00040AA9">
              <w:rPr>
                <w:rFonts w:ascii="Arial" w:hAnsi="Arial" w:cs="Arial"/>
                <w:sz w:val="20"/>
                <w:szCs w:val="20"/>
              </w:rPr>
              <w:t>s with reporting requirements implemented (Output indicator III.3.1)</w:t>
            </w:r>
          </w:p>
        </w:tc>
        <w:tc>
          <w:tcPr>
            <w:tcW w:w="1530" w:type="dxa"/>
            <w:tcBorders>
              <w:top w:val="single" w:sz="4" w:space="0" w:color="auto"/>
              <w:left w:val="single" w:sz="4" w:space="0" w:color="auto"/>
              <w:bottom w:val="single" w:sz="4" w:space="0" w:color="auto"/>
              <w:right w:val="single" w:sz="4" w:space="0" w:color="auto"/>
            </w:tcBorders>
            <w:vAlign w:val="center"/>
          </w:tcPr>
          <w:p w14:paraId="7FC873F2"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693307" w:rsidRPr="00CF5903" w14:paraId="0690E32F" w14:textId="77777777" w:rsidTr="009C086E">
        <w:trPr>
          <w:jc w:val="center"/>
        </w:trPr>
        <w:tc>
          <w:tcPr>
            <w:tcW w:w="8707" w:type="dxa"/>
            <w:gridSpan w:val="4"/>
            <w:tcBorders>
              <w:top w:val="single" w:sz="4" w:space="0" w:color="auto"/>
              <w:left w:val="single" w:sz="4" w:space="0" w:color="auto"/>
              <w:bottom w:val="single" w:sz="4" w:space="0" w:color="auto"/>
              <w:right w:val="single" w:sz="4" w:space="0" w:color="auto"/>
            </w:tcBorders>
          </w:tcPr>
          <w:p w14:paraId="10AA8DF5" w14:textId="7C3D181C" w:rsidR="00693307" w:rsidRPr="009C086E" w:rsidRDefault="00693307" w:rsidP="004673B1">
            <w:pPr>
              <w:widowControl w:val="0"/>
              <w:suppressAutoHyphens/>
              <w:jc w:val="both"/>
              <w:rPr>
                <w:rFonts w:ascii="Arial" w:hAnsi="Arial" w:cs="Arial"/>
                <w:b/>
                <w:sz w:val="20"/>
                <w:szCs w:val="20"/>
              </w:rPr>
            </w:pPr>
            <w:r w:rsidRPr="009C086E">
              <w:rPr>
                <w:rFonts w:ascii="Arial" w:hAnsi="Arial" w:cs="Arial"/>
                <w:b/>
                <w:sz w:val="20"/>
                <w:szCs w:val="20"/>
              </w:rPr>
              <w:t xml:space="preserve">                      c. Decrease the relation between the primary expenditure and the GDP</w:t>
            </w:r>
          </w:p>
        </w:tc>
        <w:tc>
          <w:tcPr>
            <w:tcW w:w="1530" w:type="dxa"/>
            <w:tcBorders>
              <w:top w:val="single" w:sz="4" w:space="0" w:color="auto"/>
              <w:left w:val="single" w:sz="4" w:space="0" w:color="auto"/>
              <w:bottom w:val="single" w:sz="4" w:space="0" w:color="auto"/>
              <w:right w:val="single" w:sz="4" w:space="0" w:color="auto"/>
            </w:tcBorders>
            <w:vAlign w:val="center"/>
          </w:tcPr>
          <w:p w14:paraId="7A14AF2A" w14:textId="77777777" w:rsidR="00693307" w:rsidRPr="00040AA9" w:rsidRDefault="00693307" w:rsidP="004673B1">
            <w:pPr>
              <w:widowControl w:val="0"/>
              <w:suppressAutoHyphens/>
              <w:jc w:val="center"/>
              <w:rPr>
                <w:rFonts w:ascii="Arial" w:hAnsi="Arial" w:cs="Arial"/>
                <w:sz w:val="20"/>
                <w:szCs w:val="20"/>
              </w:rPr>
            </w:pPr>
          </w:p>
        </w:tc>
      </w:tr>
      <w:tr w:rsidR="00693307" w:rsidRPr="00CF5903" w14:paraId="3E8AB4EE"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536B59DF" w14:textId="77777777" w:rsidR="00693307" w:rsidRPr="00040AA9" w:rsidRDefault="00693307"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586399ED" w14:textId="0897EAE0" w:rsidR="00693307" w:rsidRPr="00547221" w:rsidRDefault="00693307" w:rsidP="004673B1">
            <w:pPr>
              <w:widowControl w:val="0"/>
              <w:suppressAutoHyphens/>
              <w:jc w:val="both"/>
              <w:rPr>
                <w:rFonts w:ascii="Arial" w:hAnsi="Arial" w:cs="Arial"/>
                <w:sz w:val="20"/>
                <w:szCs w:val="20"/>
              </w:rPr>
            </w:pPr>
            <w:r w:rsidRPr="001E1C8B">
              <w:rPr>
                <w:rFonts w:ascii="Arial" w:hAnsi="Arial" w:cs="Arial"/>
                <w:sz w:val="20"/>
                <w:szCs w:val="20"/>
              </w:rPr>
              <w:t>Primary expenditure/Nominal GDP (</w:t>
            </w:r>
            <w:r w:rsidR="00C0566C" w:rsidRPr="001E1C8B">
              <w:rPr>
                <w:rFonts w:ascii="Arial" w:hAnsi="Arial" w:cs="Arial"/>
                <w:sz w:val="20"/>
                <w:szCs w:val="20"/>
              </w:rPr>
              <w:t>Outcome V.19.1</w:t>
            </w:r>
            <w:r w:rsidRPr="00547221">
              <w:rPr>
                <w:rFonts w:ascii="Arial"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vAlign w:val="center"/>
          </w:tcPr>
          <w:p w14:paraId="0014F1BE" w14:textId="0F6D6B57" w:rsidR="00693307" w:rsidRPr="001E1C8B" w:rsidRDefault="00C0566C" w:rsidP="004673B1">
            <w:pPr>
              <w:widowControl w:val="0"/>
              <w:suppressAutoHyphens/>
              <w:jc w:val="center"/>
              <w:rPr>
                <w:rFonts w:ascii="Arial" w:hAnsi="Arial" w:cs="Arial"/>
                <w:sz w:val="20"/>
                <w:szCs w:val="20"/>
              </w:rPr>
            </w:pPr>
            <w:r w:rsidRPr="009C086E">
              <w:rPr>
                <w:rFonts w:ascii="Arial" w:hAnsi="Arial" w:cs="Arial"/>
                <w:sz w:val="20"/>
                <w:szCs w:val="20"/>
              </w:rPr>
              <w:t>100</w:t>
            </w:r>
            <w:r w:rsidR="00693307" w:rsidRPr="001E1C8B">
              <w:rPr>
                <w:rFonts w:ascii="Arial" w:hAnsi="Arial" w:cs="Arial"/>
                <w:sz w:val="20"/>
                <w:szCs w:val="20"/>
              </w:rPr>
              <w:t>%</w:t>
            </w:r>
          </w:p>
        </w:tc>
      </w:tr>
      <w:tr w:rsidR="00693307" w:rsidRPr="00CF5903" w14:paraId="73B92B15" w14:textId="77777777" w:rsidTr="009C086E">
        <w:trPr>
          <w:jc w:val="center"/>
        </w:trPr>
        <w:tc>
          <w:tcPr>
            <w:tcW w:w="8707" w:type="dxa"/>
            <w:gridSpan w:val="4"/>
            <w:tcBorders>
              <w:top w:val="single" w:sz="4" w:space="0" w:color="auto"/>
              <w:left w:val="single" w:sz="4" w:space="0" w:color="auto"/>
              <w:bottom w:val="single" w:sz="4" w:space="0" w:color="auto"/>
              <w:right w:val="single" w:sz="4" w:space="0" w:color="auto"/>
            </w:tcBorders>
          </w:tcPr>
          <w:p w14:paraId="0064AAE6" w14:textId="14A50F11" w:rsidR="00693307" w:rsidRPr="009C086E" w:rsidRDefault="00693307" w:rsidP="004673B1">
            <w:pPr>
              <w:widowControl w:val="0"/>
              <w:suppressAutoHyphens/>
              <w:jc w:val="both"/>
              <w:rPr>
                <w:rFonts w:ascii="Arial" w:hAnsi="Arial" w:cs="Arial"/>
                <w:b/>
                <w:sz w:val="20"/>
                <w:szCs w:val="20"/>
              </w:rPr>
            </w:pPr>
            <w:r w:rsidRPr="001E1C8B">
              <w:rPr>
                <w:rFonts w:ascii="Arial" w:hAnsi="Arial" w:cs="Arial"/>
                <w:sz w:val="20"/>
                <w:szCs w:val="20"/>
              </w:rPr>
              <w:t xml:space="preserve">                                          </w:t>
            </w:r>
            <w:r w:rsidRPr="009C086E">
              <w:rPr>
                <w:rFonts w:ascii="Arial" w:hAnsi="Arial" w:cs="Arial"/>
                <w:b/>
                <w:sz w:val="20"/>
                <w:szCs w:val="20"/>
              </w:rPr>
              <w:t>c.1 Improve the quality of expenditure through rationalization</w:t>
            </w:r>
          </w:p>
        </w:tc>
        <w:tc>
          <w:tcPr>
            <w:tcW w:w="1530" w:type="dxa"/>
            <w:tcBorders>
              <w:top w:val="single" w:sz="4" w:space="0" w:color="auto"/>
              <w:left w:val="single" w:sz="4" w:space="0" w:color="auto"/>
              <w:bottom w:val="single" w:sz="4" w:space="0" w:color="auto"/>
              <w:right w:val="single" w:sz="4" w:space="0" w:color="auto"/>
            </w:tcBorders>
            <w:vAlign w:val="center"/>
          </w:tcPr>
          <w:p w14:paraId="30FCF7BF" w14:textId="77777777" w:rsidR="00693307" w:rsidRPr="001E1C8B" w:rsidRDefault="00693307" w:rsidP="004673B1">
            <w:pPr>
              <w:widowControl w:val="0"/>
              <w:suppressAutoHyphens/>
              <w:jc w:val="center"/>
              <w:rPr>
                <w:rFonts w:ascii="Arial" w:hAnsi="Arial" w:cs="Arial"/>
                <w:sz w:val="20"/>
                <w:szCs w:val="20"/>
              </w:rPr>
            </w:pPr>
          </w:p>
        </w:tc>
      </w:tr>
      <w:tr w:rsidR="00693307" w:rsidRPr="00CF5903" w14:paraId="4C7CD454"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6CB7669D" w14:textId="77777777" w:rsidR="00693307" w:rsidRPr="00040AA9" w:rsidRDefault="00693307"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52E874A5" w14:textId="4F1CA9A2" w:rsidR="00693307" w:rsidRPr="00547221" w:rsidRDefault="00693307" w:rsidP="004673B1">
            <w:pPr>
              <w:widowControl w:val="0"/>
              <w:suppressAutoHyphens/>
              <w:jc w:val="both"/>
              <w:rPr>
                <w:rFonts w:ascii="Arial" w:hAnsi="Arial" w:cs="Arial"/>
                <w:sz w:val="20"/>
                <w:szCs w:val="20"/>
              </w:rPr>
            </w:pPr>
            <w:r w:rsidRPr="001E1C8B">
              <w:rPr>
                <w:rFonts w:ascii="Arial" w:hAnsi="Arial" w:cs="Arial"/>
                <w:sz w:val="20"/>
                <w:szCs w:val="20"/>
              </w:rPr>
              <w:t>Master Rationalization Plan to streamline the PBs implemented (</w:t>
            </w:r>
            <w:r w:rsidR="00C0566C" w:rsidRPr="00547221">
              <w:rPr>
                <w:rFonts w:ascii="Arial" w:hAnsi="Arial" w:cs="Arial"/>
                <w:sz w:val="20"/>
                <w:szCs w:val="20"/>
              </w:rPr>
              <w:t>Output III.2.2</w:t>
            </w:r>
            <w:r w:rsidRPr="00547221">
              <w:rPr>
                <w:rFonts w:ascii="Arial" w:hAnsi="Arial" w:cs="Arial"/>
                <w:sz w:val="20"/>
                <w:szCs w:val="20"/>
              </w:rPr>
              <w:t>)</w:t>
            </w:r>
          </w:p>
        </w:tc>
        <w:tc>
          <w:tcPr>
            <w:tcW w:w="1530" w:type="dxa"/>
            <w:tcBorders>
              <w:top w:val="single" w:sz="4" w:space="0" w:color="auto"/>
              <w:left w:val="single" w:sz="4" w:space="0" w:color="auto"/>
              <w:bottom w:val="single" w:sz="4" w:space="0" w:color="auto"/>
              <w:right w:val="single" w:sz="4" w:space="0" w:color="auto"/>
            </w:tcBorders>
            <w:vAlign w:val="center"/>
          </w:tcPr>
          <w:p w14:paraId="3ACFAF17" w14:textId="52D59038" w:rsidR="00693307" w:rsidRPr="001E1C8B" w:rsidRDefault="00C0566C" w:rsidP="004673B1">
            <w:pPr>
              <w:widowControl w:val="0"/>
              <w:suppressAutoHyphens/>
              <w:jc w:val="center"/>
              <w:rPr>
                <w:rFonts w:ascii="Arial" w:hAnsi="Arial" w:cs="Arial"/>
                <w:sz w:val="20"/>
                <w:szCs w:val="20"/>
              </w:rPr>
            </w:pPr>
            <w:r w:rsidRPr="009C086E">
              <w:rPr>
                <w:rFonts w:ascii="Arial" w:hAnsi="Arial" w:cs="Arial"/>
                <w:sz w:val="20"/>
                <w:szCs w:val="20"/>
              </w:rPr>
              <w:t>100</w:t>
            </w:r>
            <w:r w:rsidR="00693307" w:rsidRPr="001E1C8B">
              <w:rPr>
                <w:rFonts w:ascii="Arial" w:hAnsi="Arial" w:cs="Arial"/>
                <w:sz w:val="20"/>
                <w:szCs w:val="20"/>
              </w:rPr>
              <w:t>%</w:t>
            </w:r>
          </w:p>
        </w:tc>
      </w:tr>
      <w:tr w:rsidR="009F70AC" w:rsidRPr="00CF5903" w14:paraId="3B960477"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6963FAB6" w14:textId="77777777" w:rsidR="009F70AC" w:rsidRPr="00040AA9" w:rsidRDefault="009F70AC" w:rsidP="004673B1">
            <w:pPr>
              <w:widowControl w:val="0"/>
              <w:tabs>
                <w:tab w:val="left" w:pos="351"/>
              </w:tabs>
              <w:suppressAutoHyphens/>
              <w:jc w:val="both"/>
              <w:rPr>
                <w:rFonts w:ascii="Arial" w:hAnsi="Arial" w:cs="Arial"/>
                <w:sz w:val="20"/>
                <w:szCs w:val="20"/>
              </w:rPr>
            </w:pPr>
            <w:r w:rsidRPr="00040AA9">
              <w:rPr>
                <w:rFonts w:ascii="Arial" w:hAnsi="Arial" w:cs="Arial"/>
                <w:sz w:val="20"/>
                <w:szCs w:val="20"/>
              </w:rPr>
              <w:tab/>
            </w:r>
          </w:p>
        </w:tc>
      </w:tr>
      <w:tr w:rsidR="009F70AC" w:rsidRPr="00CF5903" w14:paraId="06EC923C" w14:textId="77777777" w:rsidTr="009C086E">
        <w:trPr>
          <w:trHeight w:val="260"/>
          <w:jc w:val="center"/>
        </w:trPr>
        <w:tc>
          <w:tcPr>
            <w:tcW w:w="10237" w:type="dxa"/>
            <w:gridSpan w:val="5"/>
            <w:tcBorders>
              <w:top w:val="single" w:sz="4" w:space="0" w:color="auto"/>
              <w:left w:val="single" w:sz="4" w:space="0" w:color="auto"/>
              <w:bottom w:val="single" w:sz="4" w:space="0" w:color="auto"/>
              <w:right w:val="single" w:sz="4" w:space="0" w:color="auto"/>
            </w:tcBorders>
          </w:tcPr>
          <w:p w14:paraId="053615BC"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(iv) Improving the fiscal sustainability of the NIS</w:t>
            </w:r>
          </w:p>
        </w:tc>
      </w:tr>
      <w:tr w:rsidR="009F70AC" w:rsidRPr="00CF5903" w14:paraId="290D6EB7" w14:textId="77777777" w:rsidTr="009C086E">
        <w:trPr>
          <w:trHeight w:val="89"/>
          <w:jc w:val="center"/>
        </w:trPr>
        <w:tc>
          <w:tcPr>
            <w:tcW w:w="1147" w:type="dxa"/>
            <w:tcBorders>
              <w:top w:val="single" w:sz="4" w:space="0" w:color="auto"/>
              <w:left w:val="single" w:sz="4" w:space="0" w:color="auto"/>
              <w:bottom w:val="single" w:sz="4" w:space="0" w:color="auto"/>
              <w:right w:val="single" w:sz="4" w:space="0" w:color="auto"/>
            </w:tcBorders>
          </w:tcPr>
          <w:p w14:paraId="3CB2BF78" w14:textId="77777777" w:rsidR="009F70AC" w:rsidRPr="00040AA9" w:rsidRDefault="009F70AC" w:rsidP="004673B1">
            <w:pPr>
              <w:widowControl w:val="0"/>
              <w:suppressAutoHyphens/>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306836DC"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 xml:space="preserve">a. Decrease the actuarial deficit of the NIF (% of GDP) </w:t>
            </w:r>
            <w:r w:rsidRPr="00040AA9">
              <w:rPr>
                <w:rFonts w:ascii="Arial" w:hAnsi="Arial" w:cs="Arial"/>
                <w:sz w:val="20"/>
                <w:szCs w:val="20"/>
              </w:rPr>
              <w:t>(Outcome</w:t>
            </w:r>
            <w:r>
              <w:rPr>
                <w:rFonts w:ascii="Arial" w:hAnsi="Arial" w:cs="Arial"/>
                <w:sz w:val="20"/>
                <w:szCs w:val="20"/>
              </w:rPr>
              <w:t> </w:t>
            </w:r>
            <w:r w:rsidRPr="00040AA9">
              <w:rPr>
                <w:rFonts w:ascii="Arial" w:hAnsi="Arial" w:cs="Arial"/>
                <w:sz w:val="20"/>
                <w:szCs w:val="20"/>
              </w:rPr>
              <w:t>IV.16)</w:t>
            </w:r>
          </w:p>
        </w:tc>
      </w:tr>
      <w:tr w:rsidR="009F70AC" w:rsidRPr="00CF5903" w14:paraId="40D1F7D8" w14:textId="77777777" w:rsidTr="009C086E">
        <w:trPr>
          <w:trHeight w:val="306"/>
          <w:jc w:val="center"/>
        </w:trPr>
        <w:tc>
          <w:tcPr>
            <w:tcW w:w="3307" w:type="dxa"/>
            <w:gridSpan w:val="3"/>
            <w:tcBorders>
              <w:top w:val="single" w:sz="4" w:space="0" w:color="auto"/>
              <w:left w:val="single" w:sz="4" w:space="0" w:color="auto"/>
              <w:bottom w:val="single" w:sz="4" w:space="0" w:color="auto"/>
              <w:right w:val="single" w:sz="4" w:space="0" w:color="auto"/>
            </w:tcBorders>
          </w:tcPr>
          <w:p w14:paraId="035D1F54"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6877983" w14:textId="77777777" w:rsidR="009F70AC" w:rsidRPr="00040AA9" w:rsidRDefault="009F70AC" w:rsidP="004673B1">
            <w:pPr>
              <w:widowControl w:val="0"/>
              <w:suppressAutoHyphens/>
              <w:jc w:val="both"/>
              <w:rPr>
                <w:rFonts w:ascii="Arial" w:hAnsi="Arial" w:cs="Arial"/>
                <w:i/>
                <w:sz w:val="20"/>
                <w:szCs w:val="20"/>
              </w:rPr>
            </w:pPr>
            <w:r w:rsidRPr="00040AA9">
              <w:rPr>
                <w:rFonts w:ascii="Arial" w:hAnsi="Arial" w:cs="Arial"/>
                <w:sz w:val="20"/>
                <w:szCs w:val="20"/>
              </w:rPr>
              <w:t>Actuarial Deficit of the NIF for current pensioners</w:t>
            </w:r>
            <w:r w:rsidRPr="00040AA9">
              <w:rPr>
                <w:rFonts w:ascii="Arial" w:hAnsi="Arial" w:cs="Arial"/>
                <w:i/>
                <w:sz w:val="20"/>
                <w:szCs w:val="20"/>
              </w:rPr>
              <w:t xml:space="preserve"> </w:t>
            </w:r>
          </w:p>
          <w:p w14:paraId="364D5F92"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(Outcome indicator IV.16.1 – as amended)</w:t>
            </w:r>
          </w:p>
        </w:tc>
        <w:tc>
          <w:tcPr>
            <w:tcW w:w="1530" w:type="dxa"/>
            <w:tcBorders>
              <w:top w:val="single" w:sz="4" w:space="0" w:color="auto"/>
              <w:left w:val="single" w:sz="4" w:space="0" w:color="auto"/>
              <w:bottom w:val="single" w:sz="4" w:space="0" w:color="auto"/>
              <w:right w:val="single" w:sz="4" w:space="0" w:color="auto"/>
            </w:tcBorders>
            <w:vAlign w:val="center"/>
          </w:tcPr>
          <w:p w14:paraId="51583ABB" w14:textId="77777777" w:rsidR="009F70AC" w:rsidRPr="00040AA9" w:rsidRDefault="009F70AC" w:rsidP="004673B1">
            <w:pPr>
              <w:widowControl w:val="0"/>
              <w:suppressAutoHyphens/>
              <w:jc w:val="center"/>
              <w:rPr>
                <w:rFonts w:ascii="Arial" w:hAnsi="Arial" w:cs="Arial"/>
                <w:sz w:val="20"/>
                <w:szCs w:val="20"/>
              </w:rPr>
            </w:pPr>
            <w:r>
              <w:rPr>
                <w:rFonts w:ascii="Arial" w:hAnsi="Arial" w:cs="Arial"/>
                <w:sz w:val="20"/>
                <w:szCs w:val="20"/>
              </w:rPr>
              <w:t>0%</w:t>
            </w:r>
            <w:r w:rsidRPr="00040AA9">
              <w:rPr>
                <w:rFonts w:ascii="Arial" w:hAnsi="Arial" w:cs="Arial"/>
                <w:sz w:val="20"/>
                <w:szCs w:val="20"/>
              </w:rPr>
              <w:t>*</w:t>
            </w:r>
          </w:p>
        </w:tc>
      </w:tr>
      <w:tr w:rsidR="009F70AC" w:rsidRPr="00CF5903" w14:paraId="10355CBC"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521DE020"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5F2C107A"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 xml:space="preserve">Actuarial Deficit of the NIF for active contributors </w:t>
            </w:r>
          </w:p>
          <w:p w14:paraId="388104E4"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(Outcome indicator IV.16.2 – as amended)</w:t>
            </w:r>
          </w:p>
        </w:tc>
        <w:tc>
          <w:tcPr>
            <w:tcW w:w="1530" w:type="dxa"/>
            <w:tcBorders>
              <w:top w:val="single" w:sz="4" w:space="0" w:color="auto"/>
              <w:left w:val="single" w:sz="4" w:space="0" w:color="auto"/>
              <w:bottom w:val="single" w:sz="4" w:space="0" w:color="auto"/>
              <w:right w:val="single" w:sz="4" w:space="0" w:color="auto"/>
            </w:tcBorders>
            <w:vAlign w:val="center"/>
          </w:tcPr>
          <w:p w14:paraId="48A5803C" w14:textId="77777777" w:rsidR="009F70AC" w:rsidRPr="00040AA9" w:rsidRDefault="009F70AC" w:rsidP="004673B1">
            <w:pPr>
              <w:widowControl w:val="0"/>
              <w:suppressAutoHyphens/>
              <w:jc w:val="center"/>
              <w:rPr>
                <w:rFonts w:ascii="Arial" w:hAnsi="Arial" w:cs="Arial"/>
                <w:sz w:val="20"/>
                <w:szCs w:val="20"/>
              </w:rPr>
            </w:pPr>
            <w:r>
              <w:rPr>
                <w:rFonts w:ascii="Arial" w:hAnsi="Arial" w:cs="Arial"/>
                <w:sz w:val="20"/>
                <w:szCs w:val="20"/>
              </w:rPr>
              <w:t>0%</w:t>
            </w:r>
            <w:r w:rsidRPr="00040AA9">
              <w:rPr>
                <w:rFonts w:ascii="Arial" w:hAnsi="Arial" w:cs="Arial"/>
                <w:sz w:val="20"/>
                <w:szCs w:val="20"/>
              </w:rPr>
              <w:t>*</w:t>
            </w:r>
          </w:p>
        </w:tc>
      </w:tr>
      <w:tr w:rsidR="009F70AC" w:rsidRPr="00CF5903" w14:paraId="134D9793" w14:textId="77777777" w:rsidTr="009C086E">
        <w:trPr>
          <w:trHeight w:val="296"/>
          <w:jc w:val="center"/>
        </w:trPr>
        <w:tc>
          <w:tcPr>
            <w:tcW w:w="2317" w:type="dxa"/>
            <w:gridSpan w:val="2"/>
            <w:tcBorders>
              <w:top w:val="single" w:sz="4" w:space="0" w:color="auto"/>
              <w:left w:val="single" w:sz="4" w:space="0" w:color="auto"/>
              <w:bottom w:val="single" w:sz="4" w:space="0" w:color="auto"/>
              <w:right w:val="single" w:sz="4" w:space="0" w:color="auto"/>
            </w:tcBorders>
          </w:tcPr>
          <w:p w14:paraId="6A335117" w14:textId="77777777" w:rsidR="009F70AC" w:rsidRPr="00040AA9" w:rsidRDefault="009F70AC" w:rsidP="004673B1">
            <w:pPr>
              <w:widowControl w:val="0"/>
              <w:suppressAutoHyphens/>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vAlign w:val="center"/>
          </w:tcPr>
          <w:p w14:paraId="4DBAD36B"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 xml:space="preserve">a.1 Actuarial Analysis </w:t>
            </w:r>
            <w:r w:rsidRPr="00040AA9">
              <w:rPr>
                <w:rFonts w:ascii="Arial" w:hAnsi="Arial" w:cs="Arial"/>
                <w:sz w:val="20"/>
                <w:szCs w:val="20"/>
              </w:rPr>
              <w:t>(Output IV.2)</w:t>
            </w:r>
          </w:p>
        </w:tc>
      </w:tr>
      <w:tr w:rsidR="009F70AC" w:rsidRPr="00CF5903" w14:paraId="0105998D"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22BCA4DE"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3A0D908C"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rPr>
              <w:t xml:space="preserve">Updated actuarial Analysis of the NIS that is displayed for public consultation and updated regularly </w:t>
            </w:r>
            <w:r w:rsidRPr="00040AA9">
              <w:rPr>
                <w:rFonts w:ascii="Arial" w:hAnsi="Arial" w:cs="Arial"/>
                <w:b/>
                <w:sz w:val="20"/>
                <w:szCs w:val="20"/>
              </w:rPr>
              <w:t>(</w:t>
            </w:r>
            <w:r w:rsidRPr="00040AA9">
              <w:rPr>
                <w:rFonts w:ascii="Arial" w:hAnsi="Arial" w:cs="Arial"/>
                <w:sz w:val="20"/>
                <w:szCs w:val="20"/>
              </w:rPr>
              <w:t>Output indicator</w:t>
            </w:r>
            <w:r>
              <w:rPr>
                <w:rFonts w:ascii="Arial" w:hAnsi="Arial" w:cs="Arial"/>
                <w:sz w:val="20"/>
                <w:szCs w:val="20"/>
              </w:rPr>
              <w:t> </w:t>
            </w:r>
            <w:r w:rsidRPr="00040AA9">
              <w:rPr>
                <w:rFonts w:ascii="Arial" w:hAnsi="Arial" w:cs="Arial"/>
                <w:sz w:val="20"/>
                <w:szCs w:val="20"/>
              </w:rPr>
              <w:t>IV.2.1)</w:t>
            </w:r>
          </w:p>
        </w:tc>
        <w:tc>
          <w:tcPr>
            <w:tcW w:w="1530" w:type="dxa"/>
            <w:tcBorders>
              <w:top w:val="single" w:sz="4" w:space="0" w:color="auto"/>
              <w:left w:val="single" w:sz="4" w:space="0" w:color="auto"/>
              <w:bottom w:val="single" w:sz="4" w:space="0" w:color="auto"/>
              <w:right w:val="single" w:sz="4" w:space="0" w:color="auto"/>
            </w:tcBorders>
            <w:vAlign w:val="center"/>
          </w:tcPr>
          <w:p w14:paraId="356F11AB"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1C1FA594" w14:textId="77777777" w:rsidTr="009C086E">
        <w:trPr>
          <w:jc w:val="center"/>
        </w:trPr>
        <w:tc>
          <w:tcPr>
            <w:tcW w:w="2317" w:type="dxa"/>
            <w:gridSpan w:val="2"/>
            <w:tcBorders>
              <w:top w:val="single" w:sz="4" w:space="0" w:color="auto"/>
              <w:left w:val="single" w:sz="4" w:space="0" w:color="auto"/>
              <w:bottom w:val="single" w:sz="4" w:space="0" w:color="auto"/>
              <w:right w:val="single" w:sz="4" w:space="0" w:color="auto"/>
            </w:tcBorders>
          </w:tcPr>
          <w:p w14:paraId="4EE07430" w14:textId="77777777" w:rsidR="009F70AC" w:rsidRPr="00040AA9" w:rsidRDefault="009F70AC" w:rsidP="004673B1">
            <w:pPr>
              <w:widowControl w:val="0"/>
              <w:suppressAutoHyphens/>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13D63799"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 xml:space="preserve">a.2 Reform Plan to improve fiscal sustainability </w:t>
            </w:r>
            <w:r w:rsidRPr="00040AA9">
              <w:rPr>
                <w:rFonts w:ascii="Arial" w:hAnsi="Arial" w:cs="Arial"/>
                <w:sz w:val="20"/>
                <w:szCs w:val="20"/>
              </w:rPr>
              <w:t>(Output IV.1)</w:t>
            </w:r>
          </w:p>
        </w:tc>
      </w:tr>
      <w:tr w:rsidR="009F70AC" w:rsidRPr="00CF5903" w14:paraId="091797CF"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051FCCB3"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FFCAFC4"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lang w:val="en-GB"/>
              </w:rPr>
              <w:t xml:space="preserve">Position Paper for reform of the National Insurance Scheme approved </w:t>
            </w:r>
            <w:r w:rsidRPr="00040AA9">
              <w:rPr>
                <w:rFonts w:ascii="Arial" w:hAnsi="Arial" w:cs="Arial"/>
                <w:b/>
                <w:sz w:val="20"/>
                <w:szCs w:val="20"/>
              </w:rPr>
              <w:t>(</w:t>
            </w:r>
            <w:r w:rsidRPr="00040AA9">
              <w:rPr>
                <w:rFonts w:ascii="Arial" w:hAnsi="Arial" w:cs="Arial"/>
                <w:sz w:val="20"/>
                <w:szCs w:val="20"/>
              </w:rPr>
              <w:t>Output indicator IV.1.3)</w:t>
            </w:r>
          </w:p>
        </w:tc>
        <w:tc>
          <w:tcPr>
            <w:tcW w:w="1530" w:type="dxa"/>
            <w:tcBorders>
              <w:top w:val="single" w:sz="4" w:space="0" w:color="auto"/>
              <w:left w:val="single" w:sz="4" w:space="0" w:color="auto"/>
              <w:bottom w:val="single" w:sz="4" w:space="0" w:color="auto"/>
              <w:right w:val="single" w:sz="4" w:space="0" w:color="auto"/>
            </w:tcBorders>
            <w:vAlign w:val="center"/>
          </w:tcPr>
          <w:p w14:paraId="0BEFC9A6"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30CBC954" w14:textId="77777777" w:rsidTr="009C086E">
        <w:trPr>
          <w:trHeight w:val="90"/>
          <w:jc w:val="center"/>
        </w:trPr>
        <w:tc>
          <w:tcPr>
            <w:tcW w:w="10237" w:type="dxa"/>
            <w:gridSpan w:val="5"/>
            <w:tcBorders>
              <w:top w:val="single" w:sz="4" w:space="0" w:color="auto"/>
              <w:left w:val="single" w:sz="4" w:space="0" w:color="auto"/>
              <w:bottom w:val="single" w:sz="4" w:space="0" w:color="auto"/>
              <w:right w:val="single" w:sz="4" w:space="0" w:color="auto"/>
            </w:tcBorders>
          </w:tcPr>
          <w:p w14:paraId="6927A402" w14:textId="77777777" w:rsidR="009F70AC" w:rsidRPr="00040AA9" w:rsidRDefault="009F70AC" w:rsidP="004673B1">
            <w:pPr>
              <w:widowControl w:val="0"/>
              <w:suppressAutoHyphens/>
              <w:jc w:val="both"/>
              <w:rPr>
                <w:rFonts w:ascii="Arial" w:hAnsi="Arial" w:cs="Arial"/>
                <w:sz w:val="20"/>
                <w:szCs w:val="20"/>
              </w:rPr>
            </w:pPr>
          </w:p>
        </w:tc>
      </w:tr>
      <w:tr w:rsidR="009F70AC" w:rsidRPr="00CF5903" w14:paraId="71E5922E" w14:textId="77777777" w:rsidTr="009C086E">
        <w:trPr>
          <w:jc w:val="center"/>
        </w:trPr>
        <w:tc>
          <w:tcPr>
            <w:tcW w:w="10237" w:type="dxa"/>
            <w:gridSpan w:val="5"/>
            <w:tcBorders>
              <w:top w:val="single" w:sz="4" w:space="0" w:color="auto"/>
              <w:left w:val="single" w:sz="4" w:space="0" w:color="auto"/>
              <w:bottom w:val="single" w:sz="4" w:space="0" w:color="auto"/>
              <w:right w:val="single" w:sz="4" w:space="0" w:color="auto"/>
            </w:tcBorders>
          </w:tcPr>
          <w:p w14:paraId="14F764E0" w14:textId="77777777" w:rsidR="009F70AC" w:rsidRPr="00040AA9" w:rsidRDefault="009F70AC" w:rsidP="004673B1">
            <w:pPr>
              <w:widowControl w:val="0"/>
              <w:suppressAutoHyphens/>
              <w:jc w:val="both"/>
              <w:rPr>
                <w:rFonts w:ascii="Arial" w:hAnsi="Arial" w:cs="Arial"/>
                <w:b/>
                <w:sz w:val="20"/>
                <w:szCs w:val="20"/>
              </w:rPr>
            </w:pPr>
            <w:r w:rsidRPr="00040AA9">
              <w:rPr>
                <w:rFonts w:ascii="Arial" w:hAnsi="Arial" w:cs="Arial"/>
                <w:b/>
                <w:sz w:val="20"/>
                <w:szCs w:val="20"/>
              </w:rPr>
              <w:t>(v) Strengthening the FRF</w:t>
            </w:r>
          </w:p>
        </w:tc>
      </w:tr>
      <w:tr w:rsidR="009F70AC" w:rsidRPr="00CF5903" w14:paraId="15E158BA" w14:textId="77777777" w:rsidTr="009C086E">
        <w:trPr>
          <w:jc w:val="center"/>
        </w:trPr>
        <w:tc>
          <w:tcPr>
            <w:tcW w:w="1147" w:type="dxa"/>
            <w:tcBorders>
              <w:top w:val="single" w:sz="4" w:space="0" w:color="auto"/>
              <w:left w:val="single" w:sz="4" w:space="0" w:color="auto"/>
              <w:bottom w:val="single" w:sz="4" w:space="0" w:color="auto"/>
              <w:right w:val="single" w:sz="4" w:space="0" w:color="auto"/>
            </w:tcBorders>
          </w:tcPr>
          <w:p w14:paraId="0F25E061" w14:textId="77777777" w:rsidR="009F70AC" w:rsidRPr="00040AA9" w:rsidRDefault="009F70AC" w:rsidP="004673B1">
            <w:pPr>
              <w:widowControl w:val="0"/>
              <w:suppressAutoHyphens/>
              <w:rPr>
                <w:rFonts w:ascii="Arial" w:hAnsi="Arial" w:cs="Arial"/>
                <w:sz w:val="20"/>
                <w:szCs w:val="20"/>
              </w:rPr>
            </w:pPr>
          </w:p>
        </w:tc>
        <w:tc>
          <w:tcPr>
            <w:tcW w:w="9090" w:type="dxa"/>
            <w:gridSpan w:val="4"/>
            <w:tcBorders>
              <w:top w:val="single" w:sz="4" w:space="0" w:color="auto"/>
              <w:left w:val="single" w:sz="4" w:space="0" w:color="auto"/>
              <w:bottom w:val="single" w:sz="4" w:space="0" w:color="auto"/>
              <w:right w:val="single" w:sz="4" w:space="0" w:color="auto"/>
            </w:tcBorders>
          </w:tcPr>
          <w:p w14:paraId="3B1DB1D8" w14:textId="77777777" w:rsidR="009F70AC" w:rsidRPr="00040AA9" w:rsidRDefault="009F70AC" w:rsidP="004673B1">
            <w:pPr>
              <w:widowControl w:val="0"/>
              <w:suppressAutoHyphens/>
              <w:ind w:left="288" w:hanging="288"/>
              <w:jc w:val="both"/>
              <w:rPr>
                <w:rFonts w:ascii="Arial" w:hAnsi="Arial" w:cs="Arial"/>
                <w:b/>
                <w:sz w:val="20"/>
                <w:szCs w:val="20"/>
              </w:rPr>
            </w:pPr>
            <w:r w:rsidRPr="00040AA9">
              <w:rPr>
                <w:rFonts w:ascii="Arial" w:hAnsi="Arial" w:cs="Arial"/>
                <w:b/>
                <w:sz w:val="20"/>
                <w:szCs w:val="20"/>
              </w:rPr>
              <w:t xml:space="preserve">a. Decrease delay in implementing corrective measures to address deviations from budget </w:t>
            </w:r>
          </w:p>
          <w:p w14:paraId="7D3C85AE" w14:textId="77777777" w:rsidR="009F70AC" w:rsidRPr="00040AA9" w:rsidRDefault="009F70AC" w:rsidP="004673B1">
            <w:pPr>
              <w:widowControl w:val="0"/>
              <w:suppressAutoHyphens/>
              <w:ind w:left="252" w:hanging="252"/>
              <w:jc w:val="both"/>
              <w:rPr>
                <w:rFonts w:ascii="Arial" w:hAnsi="Arial" w:cs="Arial"/>
                <w:sz w:val="20"/>
                <w:szCs w:val="20"/>
              </w:rPr>
            </w:pPr>
            <w:r w:rsidRPr="00040AA9">
              <w:rPr>
                <w:rFonts w:ascii="Arial" w:hAnsi="Arial" w:cs="Arial"/>
                <w:b/>
                <w:sz w:val="20"/>
                <w:szCs w:val="20"/>
              </w:rPr>
              <w:tab/>
            </w:r>
            <w:r w:rsidRPr="00040AA9">
              <w:rPr>
                <w:rFonts w:ascii="Arial" w:hAnsi="Arial" w:cs="Arial"/>
                <w:sz w:val="20"/>
                <w:szCs w:val="20"/>
              </w:rPr>
              <w:t>(Outcome V.18)</w:t>
            </w:r>
          </w:p>
        </w:tc>
      </w:tr>
      <w:tr w:rsidR="009F70AC" w:rsidRPr="00CF5903" w14:paraId="38D91141"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01159C6F"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351EFF07"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 xml:space="preserve">[Time to take] corrective measures [on budget deviations] </w:t>
            </w:r>
          </w:p>
          <w:p w14:paraId="012A8BEF"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(Outcome indicator V.18.1)</w:t>
            </w:r>
          </w:p>
        </w:tc>
        <w:tc>
          <w:tcPr>
            <w:tcW w:w="1530" w:type="dxa"/>
            <w:tcBorders>
              <w:top w:val="single" w:sz="4" w:space="0" w:color="auto"/>
              <w:left w:val="single" w:sz="4" w:space="0" w:color="auto"/>
              <w:bottom w:val="single" w:sz="4" w:space="0" w:color="auto"/>
              <w:right w:val="single" w:sz="4" w:space="0" w:color="auto"/>
            </w:tcBorders>
            <w:vAlign w:val="center"/>
          </w:tcPr>
          <w:p w14:paraId="58470D60"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277BA0E9" w14:textId="77777777" w:rsidTr="009C086E">
        <w:trPr>
          <w:trHeight w:val="188"/>
          <w:jc w:val="center"/>
        </w:trPr>
        <w:tc>
          <w:tcPr>
            <w:tcW w:w="2317" w:type="dxa"/>
            <w:gridSpan w:val="2"/>
            <w:tcBorders>
              <w:top w:val="single" w:sz="4" w:space="0" w:color="auto"/>
              <w:left w:val="single" w:sz="4" w:space="0" w:color="auto"/>
              <w:bottom w:val="single" w:sz="4" w:space="0" w:color="auto"/>
              <w:right w:val="single" w:sz="4" w:space="0" w:color="auto"/>
            </w:tcBorders>
          </w:tcPr>
          <w:p w14:paraId="7A77AB20" w14:textId="77777777" w:rsidR="009F70AC" w:rsidRPr="00040AA9" w:rsidRDefault="009F70AC" w:rsidP="004673B1">
            <w:pPr>
              <w:widowControl w:val="0"/>
              <w:suppressAutoHyphens/>
              <w:rPr>
                <w:rFonts w:ascii="Arial" w:hAnsi="Arial" w:cs="Arial"/>
                <w:sz w:val="20"/>
                <w:szCs w:val="20"/>
              </w:rPr>
            </w:pPr>
          </w:p>
        </w:tc>
        <w:tc>
          <w:tcPr>
            <w:tcW w:w="7920" w:type="dxa"/>
            <w:gridSpan w:val="3"/>
            <w:tcBorders>
              <w:top w:val="single" w:sz="4" w:space="0" w:color="auto"/>
              <w:left w:val="single" w:sz="4" w:space="0" w:color="auto"/>
              <w:bottom w:val="single" w:sz="4" w:space="0" w:color="auto"/>
              <w:right w:val="single" w:sz="4" w:space="0" w:color="auto"/>
            </w:tcBorders>
          </w:tcPr>
          <w:p w14:paraId="5BECD386"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b/>
                <w:sz w:val="20"/>
                <w:szCs w:val="20"/>
              </w:rPr>
              <w:t xml:space="preserve">a.1 Fiscal Rules </w:t>
            </w:r>
            <w:r w:rsidRPr="00040AA9">
              <w:rPr>
                <w:rFonts w:ascii="Arial" w:hAnsi="Arial" w:cs="Arial"/>
                <w:sz w:val="20"/>
                <w:szCs w:val="20"/>
              </w:rPr>
              <w:t>(Output V.1)</w:t>
            </w:r>
          </w:p>
        </w:tc>
      </w:tr>
      <w:tr w:rsidR="009F70AC" w:rsidRPr="00CF5903" w14:paraId="7001C35D"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4CD8CD55"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344A02AE" w14:textId="77777777" w:rsidR="009F70AC" w:rsidRPr="00040AA9" w:rsidRDefault="009F70AC" w:rsidP="009C086E">
            <w:pPr>
              <w:widowControl w:val="0"/>
              <w:suppressAutoHyphens/>
              <w:rPr>
                <w:rFonts w:ascii="Arial" w:hAnsi="Arial" w:cs="Arial"/>
                <w:sz w:val="20"/>
                <w:szCs w:val="20"/>
              </w:rPr>
            </w:pPr>
            <w:r w:rsidRPr="00040AA9">
              <w:rPr>
                <w:rFonts w:ascii="Arial" w:hAnsi="Arial" w:cs="Arial"/>
                <w:sz w:val="20"/>
                <w:szCs w:val="20"/>
                <w:lang w:val="en-GB"/>
              </w:rPr>
              <w:t>Document drafting the Legal Framework and Regulation for the Fiscal Rule reviewed and approved by the government. (</w:t>
            </w:r>
            <w:r w:rsidRPr="00040AA9">
              <w:rPr>
                <w:rFonts w:ascii="Arial" w:hAnsi="Arial" w:cs="Arial"/>
                <w:sz w:val="20"/>
                <w:szCs w:val="20"/>
              </w:rPr>
              <w:t>Output indicator V.1.2)</w:t>
            </w:r>
          </w:p>
        </w:tc>
        <w:tc>
          <w:tcPr>
            <w:tcW w:w="1530" w:type="dxa"/>
            <w:tcBorders>
              <w:top w:val="single" w:sz="4" w:space="0" w:color="auto"/>
              <w:left w:val="single" w:sz="4" w:space="0" w:color="auto"/>
              <w:bottom w:val="single" w:sz="4" w:space="0" w:color="auto"/>
              <w:right w:val="single" w:sz="4" w:space="0" w:color="auto"/>
            </w:tcBorders>
            <w:vAlign w:val="center"/>
          </w:tcPr>
          <w:p w14:paraId="1655AE05"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72DE4A1E" w14:textId="77777777" w:rsidTr="009C086E">
        <w:trPr>
          <w:jc w:val="center"/>
        </w:trPr>
        <w:tc>
          <w:tcPr>
            <w:tcW w:w="3307" w:type="dxa"/>
            <w:gridSpan w:val="3"/>
            <w:tcBorders>
              <w:top w:val="single" w:sz="4" w:space="0" w:color="auto"/>
              <w:left w:val="single" w:sz="4" w:space="0" w:color="auto"/>
              <w:bottom w:val="single" w:sz="4" w:space="0" w:color="auto"/>
              <w:right w:val="single" w:sz="4" w:space="0" w:color="auto"/>
            </w:tcBorders>
          </w:tcPr>
          <w:p w14:paraId="0EB0C6EA" w14:textId="77777777" w:rsidR="009F70AC" w:rsidRPr="00040AA9" w:rsidRDefault="009F70AC" w:rsidP="004673B1">
            <w:pPr>
              <w:widowControl w:val="0"/>
              <w:suppressAutoHyphens/>
              <w:rPr>
                <w:rFonts w:ascii="Arial" w:hAnsi="Arial" w:cs="Arial"/>
                <w:sz w:val="20"/>
                <w:szCs w:val="20"/>
              </w:rPr>
            </w:pPr>
          </w:p>
        </w:tc>
        <w:tc>
          <w:tcPr>
            <w:tcW w:w="5400" w:type="dxa"/>
            <w:tcBorders>
              <w:top w:val="single" w:sz="4" w:space="0" w:color="auto"/>
              <w:left w:val="single" w:sz="4" w:space="0" w:color="auto"/>
              <w:bottom w:val="single" w:sz="4" w:space="0" w:color="auto"/>
              <w:right w:val="single" w:sz="4" w:space="0" w:color="auto"/>
            </w:tcBorders>
          </w:tcPr>
          <w:p w14:paraId="2ECBC9DD" w14:textId="77777777" w:rsidR="009F70AC" w:rsidRPr="00040AA9" w:rsidRDefault="009F70AC" w:rsidP="004673B1">
            <w:pPr>
              <w:widowControl w:val="0"/>
              <w:suppressAutoHyphens/>
              <w:jc w:val="both"/>
              <w:rPr>
                <w:rFonts w:ascii="Arial" w:hAnsi="Arial" w:cs="Arial"/>
                <w:sz w:val="20"/>
                <w:szCs w:val="20"/>
                <w:lang w:val="en-GB"/>
              </w:rPr>
            </w:pPr>
            <w:r w:rsidRPr="00040AA9">
              <w:rPr>
                <w:rFonts w:ascii="Arial" w:hAnsi="Arial" w:cs="Arial"/>
                <w:sz w:val="20"/>
                <w:szCs w:val="20"/>
                <w:lang w:val="en-GB"/>
              </w:rPr>
              <w:t>Enhanced Fiscal Rules implemented (</w:t>
            </w:r>
            <w:r w:rsidRPr="00040AA9">
              <w:rPr>
                <w:rFonts w:ascii="Arial" w:hAnsi="Arial" w:cs="Arial"/>
                <w:sz w:val="20"/>
                <w:szCs w:val="20"/>
              </w:rPr>
              <w:t>Output indicator</w:t>
            </w:r>
            <w:r>
              <w:rPr>
                <w:rFonts w:ascii="Arial" w:hAnsi="Arial" w:cs="Arial"/>
                <w:sz w:val="20"/>
                <w:szCs w:val="20"/>
              </w:rPr>
              <w:t> </w:t>
            </w:r>
            <w:r w:rsidRPr="00040AA9">
              <w:rPr>
                <w:rFonts w:ascii="Arial" w:hAnsi="Arial" w:cs="Arial"/>
                <w:sz w:val="20"/>
                <w:szCs w:val="20"/>
              </w:rPr>
              <w:t>V.1.3)</w:t>
            </w:r>
          </w:p>
        </w:tc>
        <w:tc>
          <w:tcPr>
            <w:tcW w:w="1530" w:type="dxa"/>
            <w:tcBorders>
              <w:top w:val="single" w:sz="4" w:space="0" w:color="auto"/>
              <w:left w:val="single" w:sz="4" w:space="0" w:color="auto"/>
              <w:bottom w:val="single" w:sz="4" w:space="0" w:color="auto"/>
              <w:right w:val="single" w:sz="4" w:space="0" w:color="auto"/>
            </w:tcBorders>
            <w:vAlign w:val="center"/>
          </w:tcPr>
          <w:p w14:paraId="5B0BE85E" w14:textId="77777777" w:rsidR="009F70AC" w:rsidRPr="00040AA9" w:rsidRDefault="009F70AC" w:rsidP="004673B1">
            <w:pPr>
              <w:widowControl w:val="0"/>
              <w:suppressAutoHyphens/>
              <w:jc w:val="center"/>
              <w:rPr>
                <w:rFonts w:ascii="Arial" w:hAnsi="Arial" w:cs="Arial"/>
                <w:sz w:val="20"/>
                <w:szCs w:val="20"/>
              </w:rPr>
            </w:pPr>
            <w:r w:rsidRPr="00040AA9">
              <w:rPr>
                <w:rFonts w:ascii="Arial" w:hAnsi="Arial" w:cs="Arial"/>
                <w:sz w:val="20"/>
                <w:szCs w:val="20"/>
              </w:rPr>
              <w:t>100%</w:t>
            </w:r>
          </w:p>
        </w:tc>
      </w:tr>
      <w:tr w:rsidR="009F70AC" w:rsidRPr="00CF5903" w14:paraId="4FECCC9C" w14:textId="77777777" w:rsidTr="009C086E">
        <w:trPr>
          <w:trHeight w:val="171"/>
          <w:jc w:val="center"/>
        </w:trPr>
        <w:tc>
          <w:tcPr>
            <w:tcW w:w="10237" w:type="dxa"/>
            <w:gridSpan w:val="5"/>
            <w:tcBorders>
              <w:top w:val="single" w:sz="4" w:space="0" w:color="auto"/>
              <w:left w:val="single" w:sz="4" w:space="0" w:color="auto"/>
              <w:bottom w:val="single" w:sz="4" w:space="0" w:color="auto"/>
              <w:right w:val="single" w:sz="4" w:space="0" w:color="auto"/>
            </w:tcBorders>
          </w:tcPr>
          <w:p w14:paraId="0AF76510" w14:textId="77777777" w:rsidR="009F70AC" w:rsidRPr="00040AA9" w:rsidRDefault="009F70AC" w:rsidP="004673B1">
            <w:pPr>
              <w:widowControl w:val="0"/>
              <w:suppressAutoHyphens/>
              <w:jc w:val="both"/>
              <w:rPr>
                <w:rFonts w:ascii="Arial" w:hAnsi="Arial" w:cs="Arial"/>
                <w:sz w:val="20"/>
                <w:szCs w:val="20"/>
              </w:rPr>
            </w:pPr>
            <w:r w:rsidRPr="00040AA9">
              <w:rPr>
                <w:rFonts w:ascii="Arial" w:hAnsi="Arial" w:cs="Arial"/>
                <w:sz w:val="20"/>
                <w:szCs w:val="20"/>
              </w:rPr>
              <w:t xml:space="preserve">* No end of program (EOP) data are available for these indicators, therefore they have been deactivated for quantitative analysis purposes but nonetheless remain conceptually relevant to achieving the objectives at hand. </w:t>
            </w:r>
          </w:p>
        </w:tc>
      </w:tr>
    </w:tbl>
    <w:p w14:paraId="6EA95E97" w14:textId="77777777" w:rsidR="00DA29B9" w:rsidRDefault="00DA29B9" w:rsidP="00040AA9">
      <w:pPr>
        <w:suppressAutoHyphens/>
        <w:spacing w:before="120" w:after="120"/>
        <w:jc w:val="both"/>
        <w:rPr>
          <w:rFonts w:ascii="Arial" w:hAnsi="Arial" w:cs="Arial"/>
          <w:sz w:val="22"/>
          <w:szCs w:val="22"/>
        </w:rPr>
      </w:pPr>
    </w:p>
    <w:p w14:paraId="2F2A8080" w14:textId="055D5D9E" w:rsidR="00014AB8" w:rsidRDefault="00015C8E" w:rsidP="00040AA9">
      <w:pPr>
        <w:suppressAutoHyphens/>
        <w:spacing w:before="120" w:after="120"/>
        <w:jc w:val="both"/>
        <w:rPr>
          <w:rFonts w:ascii="Arial" w:hAnsi="Arial" w:cs="Arial"/>
          <w:sz w:val="22"/>
          <w:szCs w:val="22"/>
        </w:rPr>
      </w:pPr>
      <w:bookmarkStart w:id="12" w:name="_Hlk506205204"/>
      <w:bookmarkStart w:id="13" w:name="_Hlk506377780"/>
      <w:r>
        <w:rPr>
          <w:rFonts w:ascii="Arial" w:hAnsi="Arial" w:cs="Arial"/>
          <w:sz w:val="22"/>
          <w:szCs w:val="22"/>
        </w:rPr>
        <w:t xml:space="preserve">The </w:t>
      </w:r>
      <w:r w:rsidR="00956977">
        <w:rPr>
          <w:rFonts w:ascii="Arial" w:hAnsi="Arial" w:cs="Arial"/>
          <w:sz w:val="22"/>
          <w:szCs w:val="22"/>
        </w:rPr>
        <w:t xml:space="preserve">five </w:t>
      </w:r>
      <w:r w:rsidR="004114AF">
        <w:rPr>
          <w:rFonts w:ascii="Arial" w:hAnsi="Arial" w:cs="Arial"/>
          <w:sz w:val="22"/>
          <w:szCs w:val="22"/>
        </w:rPr>
        <w:t xml:space="preserve">specific </w:t>
      </w:r>
      <w:r>
        <w:rPr>
          <w:rFonts w:ascii="Arial" w:hAnsi="Arial" w:cs="Arial"/>
          <w:sz w:val="22"/>
          <w:szCs w:val="22"/>
        </w:rPr>
        <w:t xml:space="preserve">objectives </w:t>
      </w:r>
      <w:r w:rsidR="001C6210">
        <w:rPr>
          <w:rFonts w:ascii="Arial" w:hAnsi="Arial" w:cs="Arial"/>
          <w:sz w:val="22"/>
          <w:szCs w:val="22"/>
        </w:rPr>
        <w:t xml:space="preserve">identify the </w:t>
      </w:r>
      <w:r>
        <w:rPr>
          <w:rFonts w:ascii="Arial" w:hAnsi="Arial" w:cs="Arial"/>
          <w:sz w:val="22"/>
          <w:szCs w:val="22"/>
        </w:rPr>
        <w:t xml:space="preserve">areas of work </w:t>
      </w:r>
      <w:r w:rsidR="003C04AE">
        <w:rPr>
          <w:rFonts w:ascii="Arial" w:hAnsi="Arial" w:cs="Arial"/>
          <w:sz w:val="22"/>
          <w:szCs w:val="22"/>
        </w:rPr>
        <w:t>needed</w:t>
      </w:r>
      <w:r w:rsidR="00DB6C04">
        <w:rPr>
          <w:rFonts w:ascii="Arial" w:hAnsi="Arial" w:cs="Arial"/>
          <w:sz w:val="22"/>
          <w:szCs w:val="22"/>
        </w:rPr>
        <w:t xml:space="preserve"> </w:t>
      </w:r>
      <w:r>
        <w:rPr>
          <w:rFonts w:ascii="Arial" w:hAnsi="Arial" w:cs="Arial"/>
          <w:sz w:val="22"/>
          <w:szCs w:val="22"/>
        </w:rPr>
        <w:t xml:space="preserve">to achieve the general objectives. The indicator associated </w:t>
      </w:r>
      <w:r w:rsidR="00105C99">
        <w:rPr>
          <w:rFonts w:ascii="Arial" w:hAnsi="Arial" w:cs="Arial"/>
          <w:sz w:val="22"/>
          <w:szCs w:val="22"/>
        </w:rPr>
        <w:t>with</w:t>
      </w:r>
      <w:r>
        <w:rPr>
          <w:rFonts w:ascii="Arial" w:hAnsi="Arial" w:cs="Arial"/>
          <w:sz w:val="22"/>
          <w:szCs w:val="22"/>
        </w:rPr>
        <w:t xml:space="preserve"> public sector balance</w:t>
      </w:r>
      <w:r w:rsidR="00DA29B9">
        <w:rPr>
          <w:rFonts w:ascii="Arial" w:hAnsi="Arial" w:cs="Arial"/>
          <w:sz w:val="22"/>
          <w:szCs w:val="22"/>
        </w:rPr>
        <w:t xml:space="preserve"> </w:t>
      </w:r>
      <w:r>
        <w:rPr>
          <w:rFonts w:ascii="Arial" w:hAnsi="Arial" w:cs="Arial"/>
          <w:sz w:val="22"/>
          <w:szCs w:val="22"/>
        </w:rPr>
        <w:t>[general objective a</w:t>
      </w:r>
      <w:r w:rsidR="00C23519">
        <w:rPr>
          <w:rFonts w:ascii="Arial" w:hAnsi="Arial" w:cs="Arial"/>
          <w:sz w:val="22"/>
          <w:szCs w:val="22"/>
        </w:rPr>
        <w:t>]</w:t>
      </w:r>
      <w:r>
        <w:rPr>
          <w:rFonts w:ascii="Arial" w:hAnsi="Arial" w:cs="Arial"/>
          <w:sz w:val="22"/>
          <w:szCs w:val="22"/>
        </w:rPr>
        <w:t xml:space="preserve"> depends on both government taxes and expenditures. </w:t>
      </w:r>
      <w:r w:rsidR="00A14695">
        <w:rPr>
          <w:rFonts w:ascii="Arial" w:hAnsi="Arial" w:cs="Arial"/>
          <w:sz w:val="22"/>
          <w:szCs w:val="22"/>
        </w:rPr>
        <w:t>The</w:t>
      </w:r>
      <w:r w:rsidR="0074230E">
        <w:rPr>
          <w:rFonts w:ascii="Arial" w:hAnsi="Arial" w:cs="Arial"/>
          <w:sz w:val="22"/>
          <w:szCs w:val="22"/>
        </w:rPr>
        <w:t xml:space="preserve"> Outcome</w:t>
      </w:r>
      <w:r w:rsidR="00A14695">
        <w:rPr>
          <w:rFonts w:ascii="Arial" w:hAnsi="Arial" w:cs="Arial"/>
          <w:sz w:val="22"/>
          <w:szCs w:val="22"/>
        </w:rPr>
        <w:t xml:space="preserve"> indicators which </w:t>
      </w:r>
      <w:r w:rsidR="00B6556F">
        <w:rPr>
          <w:rFonts w:ascii="Arial" w:hAnsi="Arial" w:cs="Arial"/>
          <w:sz w:val="22"/>
          <w:szCs w:val="22"/>
        </w:rPr>
        <w:t xml:space="preserve">measure </w:t>
      </w:r>
      <w:r w:rsidR="00A14695">
        <w:rPr>
          <w:rFonts w:ascii="Arial" w:hAnsi="Arial" w:cs="Arial"/>
          <w:sz w:val="22"/>
          <w:szCs w:val="22"/>
        </w:rPr>
        <w:t xml:space="preserve">income </w:t>
      </w:r>
      <w:r w:rsidR="00B6556F">
        <w:rPr>
          <w:rFonts w:ascii="Arial" w:hAnsi="Arial" w:cs="Arial"/>
          <w:sz w:val="22"/>
          <w:szCs w:val="22"/>
        </w:rPr>
        <w:t xml:space="preserve">received by </w:t>
      </w:r>
      <w:r w:rsidR="00A14695">
        <w:rPr>
          <w:rFonts w:ascii="Arial" w:hAnsi="Arial" w:cs="Arial"/>
          <w:sz w:val="22"/>
          <w:szCs w:val="22"/>
        </w:rPr>
        <w:t xml:space="preserve">the government are tax revenue [(ii),a] and GCT revenue collection [(ii).b]. </w:t>
      </w:r>
      <w:r>
        <w:rPr>
          <w:rFonts w:ascii="Arial" w:hAnsi="Arial" w:cs="Arial"/>
          <w:sz w:val="22"/>
          <w:szCs w:val="22"/>
        </w:rPr>
        <w:t>Note the indicator</w:t>
      </w:r>
      <w:r w:rsidR="008A7199">
        <w:rPr>
          <w:rFonts w:ascii="Arial" w:hAnsi="Arial" w:cs="Arial"/>
          <w:sz w:val="22"/>
          <w:szCs w:val="22"/>
        </w:rPr>
        <w:t>s</w:t>
      </w:r>
      <w:r>
        <w:rPr>
          <w:rFonts w:ascii="Arial" w:hAnsi="Arial" w:cs="Arial"/>
          <w:sz w:val="22"/>
          <w:szCs w:val="22"/>
        </w:rPr>
        <w:t xml:space="preserve"> on the number of audits [(ii).c]</w:t>
      </w:r>
      <w:r w:rsidR="0063693A">
        <w:rPr>
          <w:rFonts w:ascii="Arial" w:hAnsi="Arial" w:cs="Arial"/>
          <w:sz w:val="22"/>
          <w:szCs w:val="22"/>
        </w:rPr>
        <w:t xml:space="preserve">, </w:t>
      </w:r>
      <w:r w:rsidR="00D95A2D">
        <w:rPr>
          <w:rFonts w:ascii="Arial" w:hAnsi="Arial" w:cs="Arial"/>
          <w:sz w:val="22"/>
          <w:szCs w:val="22"/>
        </w:rPr>
        <w:t xml:space="preserve">the time taken for </w:t>
      </w:r>
      <w:r w:rsidR="008A7199">
        <w:rPr>
          <w:rFonts w:ascii="Arial" w:hAnsi="Arial" w:cs="Arial"/>
          <w:sz w:val="22"/>
          <w:szCs w:val="22"/>
        </w:rPr>
        <w:t>audits [(ii).d]</w:t>
      </w:r>
      <w:r w:rsidR="0063693A">
        <w:rPr>
          <w:rFonts w:ascii="Arial" w:hAnsi="Arial" w:cs="Arial"/>
          <w:sz w:val="22"/>
          <w:szCs w:val="22"/>
        </w:rPr>
        <w:t xml:space="preserve"> and </w:t>
      </w:r>
      <w:r w:rsidR="00645E95">
        <w:rPr>
          <w:rFonts w:ascii="Arial" w:hAnsi="Arial" w:cs="Arial"/>
          <w:sz w:val="22"/>
          <w:szCs w:val="22"/>
        </w:rPr>
        <w:t>e-filing [(ii).e]</w:t>
      </w:r>
      <w:r>
        <w:rPr>
          <w:rFonts w:ascii="Arial" w:hAnsi="Arial" w:cs="Arial"/>
          <w:sz w:val="22"/>
          <w:szCs w:val="22"/>
        </w:rPr>
        <w:t xml:space="preserve"> contribute to </w:t>
      </w:r>
      <w:r w:rsidR="00B6556F">
        <w:rPr>
          <w:rFonts w:ascii="Arial" w:hAnsi="Arial" w:cs="Arial"/>
          <w:sz w:val="22"/>
          <w:szCs w:val="22"/>
        </w:rPr>
        <w:t xml:space="preserve">the </w:t>
      </w:r>
      <w:r>
        <w:rPr>
          <w:rFonts w:ascii="Arial" w:hAnsi="Arial" w:cs="Arial"/>
          <w:sz w:val="22"/>
          <w:szCs w:val="22"/>
        </w:rPr>
        <w:t>strengthen</w:t>
      </w:r>
      <w:r w:rsidR="00B6556F">
        <w:rPr>
          <w:rFonts w:ascii="Arial" w:hAnsi="Arial" w:cs="Arial"/>
          <w:sz w:val="22"/>
          <w:szCs w:val="22"/>
        </w:rPr>
        <w:t>ing of</w:t>
      </w:r>
      <w:r>
        <w:rPr>
          <w:rFonts w:ascii="Arial" w:hAnsi="Arial" w:cs="Arial"/>
          <w:sz w:val="22"/>
          <w:szCs w:val="22"/>
        </w:rPr>
        <w:t xml:space="preserve"> tax revenue [(ii).a]. </w:t>
      </w:r>
      <w:r w:rsidR="00A14695">
        <w:rPr>
          <w:rFonts w:ascii="Arial" w:hAnsi="Arial" w:cs="Arial"/>
          <w:sz w:val="22"/>
          <w:szCs w:val="22"/>
        </w:rPr>
        <w:t xml:space="preserve">On the other side of the equation, </w:t>
      </w:r>
      <w:r w:rsidR="00014AB8">
        <w:rPr>
          <w:rFonts w:ascii="Arial" w:hAnsi="Arial" w:cs="Arial"/>
          <w:sz w:val="22"/>
          <w:szCs w:val="22"/>
        </w:rPr>
        <w:t xml:space="preserve">the </w:t>
      </w:r>
      <w:r w:rsidR="00A14695">
        <w:rPr>
          <w:rFonts w:ascii="Arial" w:hAnsi="Arial" w:cs="Arial"/>
          <w:sz w:val="22"/>
          <w:szCs w:val="22"/>
        </w:rPr>
        <w:t>indicators</w:t>
      </w:r>
      <w:r w:rsidR="00014AB8">
        <w:rPr>
          <w:rFonts w:ascii="Arial" w:hAnsi="Arial" w:cs="Arial"/>
          <w:sz w:val="22"/>
          <w:szCs w:val="22"/>
        </w:rPr>
        <w:t xml:space="preserve"> on</w:t>
      </w:r>
      <w:r w:rsidR="00A14695">
        <w:rPr>
          <w:rFonts w:ascii="Arial" w:hAnsi="Arial" w:cs="Arial"/>
          <w:sz w:val="22"/>
          <w:szCs w:val="22"/>
        </w:rPr>
        <w:t xml:space="preserve"> </w:t>
      </w:r>
      <w:r w:rsidR="00CC532E">
        <w:rPr>
          <w:rFonts w:ascii="Arial" w:hAnsi="Arial" w:cs="Arial"/>
          <w:sz w:val="22"/>
          <w:szCs w:val="22"/>
        </w:rPr>
        <w:t xml:space="preserve">wage bill </w:t>
      </w:r>
      <w:r w:rsidR="00A14695">
        <w:rPr>
          <w:rFonts w:ascii="Arial" w:hAnsi="Arial" w:cs="Arial"/>
          <w:sz w:val="22"/>
          <w:szCs w:val="22"/>
        </w:rPr>
        <w:t>expenditure [(iii).a]</w:t>
      </w:r>
      <w:r w:rsidR="00645E95">
        <w:rPr>
          <w:rFonts w:ascii="Arial" w:hAnsi="Arial" w:cs="Arial"/>
          <w:sz w:val="22"/>
          <w:szCs w:val="22"/>
        </w:rPr>
        <w:t xml:space="preserve">, and </w:t>
      </w:r>
      <w:r w:rsidR="00645E95" w:rsidRPr="00645E95">
        <w:rPr>
          <w:rFonts w:ascii="Arial" w:hAnsi="Arial" w:cs="Arial"/>
          <w:sz w:val="22"/>
          <w:szCs w:val="22"/>
        </w:rPr>
        <w:t xml:space="preserve">the primary expenditure </w:t>
      </w:r>
      <w:r w:rsidR="00645E95">
        <w:rPr>
          <w:rFonts w:ascii="Arial" w:hAnsi="Arial" w:cs="Arial"/>
          <w:sz w:val="22"/>
          <w:szCs w:val="22"/>
        </w:rPr>
        <w:t>[(iii).c]</w:t>
      </w:r>
      <w:r w:rsidR="00A14695">
        <w:rPr>
          <w:rFonts w:ascii="Arial" w:hAnsi="Arial" w:cs="Arial"/>
          <w:sz w:val="22"/>
          <w:szCs w:val="22"/>
        </w:rPr>
        <w:t xml:space="preserve"> aim to quantify </w:t>
      </w:r>
      <w:r w:rsidR="00645E95">
        <w:rPr>
          <w:rFonts w:ascii="Arial" w:hAnsi="Arial" w:cs="Arial"/>
          <w:sz w:val="22"/>
          <w:szCs w:val="22"/>
        </w:rPr>
        <w:t>adjustments</w:t>
      </w:r>
      <w:r w:rsidR="00A14695">
        <w:rPr>
          <w:rFonts w:ascii="Arial" w:hAnsi="Arial" w:cs="Arial"/>
          <w:sz w:val="22"/>
          <w:szCs w:val="22"/>
        </w:rPr>
        <w:t xml:space="preserve"> </w:t>
      </w:r>
      <w:r w:rsidR="00645E95">
        <w:rPr>
          <w:rFonts w:ascii="Arial" w:hAnsi="Arial" w:cs="Arial"/>
          <w:sz w:val="22"/>
          <w:szCs w:val="22"/>
        </w:rPr>
        <w:t>to</w:t>
      </w:r>
      <w:r w:rsidR="00A14695">
        <w:rPr>
          <w:rFonts w:ascii="Arial" w:hAnsi="Arial" w:cs="Arial"/>
          <w:sz w:val="22"/>
          <w:szCs w:val="22"/>
        </w:rPr>
        <w:t xml:space="preserve"> government expenditure.</w:t>
      </w:r>
      <w:r w:rsidR="00A97D0C">
        <w:rPr>
          <w:rFonts w:ascii="Arial" w:hAnsi="Arial" w:cs="Arial"/>
          <w:sz w:val="22"/>
          <w:szCs w:val="22"/>
        </w:rPr>
        <w:t xml:space="preserve"> </w:t>
      </w:r>
      <w:r w:rsidR="00014AB8">
        <w:rPr>
          <w:rFonts w:ascii="Arial" w:hAnsi="Arial" w:cs="Arial"/>
          <w:sz w:val="22"/>
          <w:szCs w:val="22"/>
        </w:rPr>
        <w:t>Thus, these income</w:t>
      </w:r>
      <w:r w:rsidR="00CC532E">
        <w:rPr>
          <w:rFonts w:ascii="Arial" w:hAnsi="Arial" w:cs="Arial"/>
          <w:sz w:val="22"/>
          <w:szCs w:val="22"/>
        </w:rPr>
        <w:t>-</w:t>
      </w:r>
      <w:r w:rsidR="00014AB8">
        <w:rPr>
          <w:rFonts w:ascii="Arial" w:hAnsi="Arial" w:cs="Arial"/>
          <w:sz w:val="22"/>
          <w:szCs w:val="22"/>
        </w:rPr>
        <w:t xml:space="preserve"> and expenditure</w:t>
      </w:r>
      <w:r w:rsidR="00CC532E">
        <w:rPr>
          <w:rFonts w:ascii="Arial" w:hAnsi="Arial" w:cs="Arial"/>
          <w:sz w:val="22"/>
          <w:szCs w:val="22"/>
        </w:rPr>
        <w:t>-</w:t>
      </w:r>
      <w:r w:rsidR="00014AB8">
        <w:rPr>
          <w:rFonts w:ascii="Arial" w:hAnsi="Arial" w:cs="Arial"/>
          <w:sz w:val="22"/>
          <w:szCs w:val="22"/>
        </w:rPr>
        <w:t>related outcome indicators</w:t>
      </w:r>
      <w:r w:rsidR="008A7199">
        <w:rPr>
          <w:rFonts w:ascii="Arial" w:hAnsi="Arial" w:cs="Arial"/>
          <w:sz w:val="22"/>
          <w:szCs w:val="22"/>
        </w:rPr>
        <w:t xml:space="preserve"> </w:t>
      </w:r>
      <w:r w:rsidR="00014AB8">
        <w:rPr>
          <w:rFonts w:ascii="Arial" w:hAnsi="Arial" w:cs="Arial"/>
          <w:sz w:val="22"/>
          <w:szCs w:val="22"/>
        </w:rPr>
        <w:t>contribute to the public</w:t>
      </w:r>
      <w:r w:rsidR="004E7312">
        <w:rPr>
          <w:rFonts w:ascii="Arial" w:hAnsi="Arial" w:cs="Arial"/>
          <w:sz w:val="22"/>
          <w:szCs w:val="22"/>
        </w:rPr>
        <w:t>-</w:t>
      </w:r>
      <w:r w:rsidR="00014AB8">
        <w:rPr>
          <w:rFonts w:ascii="Arial" w:hAnsi="Arial" w:cs="Arial"/>
          <w:sz w:val="22"/>
          <w:szCs w:val="22"/>
        </w:rPr>
        <w:t xml:space="preserve">sector balance impact indicator [general objective a]. </w:t>
      </w:r>
    </w:p>
    <w:p w14:paraId="0F85C442" w14:textId="03741DEF" w:rsidR="00A14695" w:rsidRDefault="00A97D0C" w:rsidP="00040AA9">
      <w:pPr>
        <w:suppressAutoHyphens/>
        <w:spacing w:before="120" w:after="120"/>
        <w:jc w:val="both"/>
        <w:rPr>
          <w:rFonts w:ascii="Arial" w:hAnsi="Arial" w:cs="Arial"/>
          <w:sz w:val="22"/>
          <w:szCs w:val="22"/>
        </w:rPr>
      </w:pPr>
      <w:r>
        <w:rPr>
          <w:rFonts w:ascii="Arial" w:hAnsi="Arial" w:cs="Arial"/>
          <w:sz w:val="22"/>
          <w:szCs w:val="22"/>
        </w:rPr>
        <w:t xml:space="preserve">Other indicators relate to </w:t>
      </w:r>
      <w:r w:rsidR="00014AB8">
        <w:rPr>
          <w:rFonts w:ascii="Arial" w:hAnsi="Arial" w:cs="Arial"/>
          <w:sz w:val="22"/>
          <w:szCs w:val="22"/>
        </w:rPr>
        <w:t xml:space="preserve">economic growth [general objective b]. </w:t>
      </w:r>
      <w:r w:rsidR="008A7199">
        <w:rPr>
          <w:rFonts w:ascii="Arial" w:hAnsi="Arial" w:cs="Arial"/>
          <w:sz w:val="22"/>
          <w:szCs w:val="22"/>
        </w:rPr>
        <w:t>The indicators on CIT revenue collections [(</w:t>
      </w:r>
      <w:proofErr w:type="spellStart"/>
      <w:r w:rsidR="008A7199">
        <w:rPr>
          <w:rFonts w:ascii="Arial" w:hAnsi="Arial" w:cs="Arial"/>
          <w:sz w:val="22"/>
          <w:szCs w:val="22"/>
        </w:rPr>
        <w:t>i</w:t>
      </w:r>
      <w:proofErr w:type="spellEnd"/>
      <w:r w:rsidR="008A7199">
        <w:rPr>
          <w:rFonts w:ascii="Arial" w:hAnsi="Arial" w:cs="Arial"/>
          <w:sz w:val="22"/>
          <w:szCs w:val="22"/>
        </w:rPr>
        <w:t xml:space="preserve">).a] and </w:t>
      </w:r>
      <w:r w:rsidR="00014AB8">
        <w:rPr>
          <w:rFonts w:ascii="Arial" w:hAnsi="Arial" w:cs="Arial"/>
          <w:sz w:val="22"/>
          <w:szCs w:val="22"/>
        </w:rPr>
        <w:t>savings in labor cost for employers [(</w:t>
      </w:r>
      <w:proofErr w:type="spellStart"/>
      <w:r w:rsidR="00014AB8">
        <w:rPr>
          <w:rFonts w:ascii="Arial" w:hAnsi="Arial" w:cs="Arial"/>
          <w:sz w:val="22"/>
          <w:szCs w:val="22"/>
        </w:rPr>
        <w:t>i</w:t>
      </w:r>
      <w:proofErr w:type="spellEnd"/>
      <w:r w:rsidR="00014AB8">
        <w:rPr>
          <w:rFonts w:ascii="Arial" w:hAnsi="Arial" w:cs="Arial"/>
          <w:sz w:val="22"/>
          <w:szCs w:val="22"/>
        </w:rPr>
        <w:t>).b] contribute to stimulat</w:t>
      </w:r>
      <w:r w:rsidR="00B6556F">
        <w:rPr>
          <w:rFonts w:ascii="Arial" w:hAnsi="Arial" w:cs="Arial"/>
          <w:sz w:val="22"/>
          <w:szCs w:val="22"/>
        </w:rPr>
        <w:t>ing</w:t>
      </w:r>
      <w:r w:rsidR="00014AB8">
        <w:rPr>
          <w:rFonts w:ascii="Arial" w:hAnsi="Arial" w:cs="Arial"/>
          <w:sz w:val="22"/>
          <w:szCs w:val="22"/>
        </w:rPr>
        <w:t xml:space="preserve"> the economy. </w:t>
      </w:r>
      <w:r w:rsidR="004E7312">
        <w:rPr>
          <w:rFonts w:ascii="Arial" w:hAnsi="Arial" w:cs="Arial"/>
          <w:sz w:val="22"/>
          <w:szCs w:val="22"/>
        </w:rPr>
        <w:t xml:space="preserve">Related </w:t>
      </w:r>
      <w:r w:rsidR="00014AB8">
        <w:rPr>
          <w:rFonts w:ascii="Arial" w:hAnsi="Arial" w:cs="Arial"/>
          <w:sz w:val="22"/>
          <w:szCs w:val="22"/>
        </w:rPr>
        <w:t xml:space="preserve">indicators </w:t>
      </w:r>
      <w:r w:rsidR="004E7312">
        <w:rPr>
          <w:rFonts w:ascii="Arial" w:hAnsi="Arial" w:cs="Arial"/>
          <w:sz w:val="22"/>
          <w:szCs w:val="22"/>
        </w:rPr>
        <w:t>assess</w:t>
      </w:r>
      <w:r w:rsidR="00014AB8">
        <w:rPr>
          <w:rFonts w:ascii="Arial" w:hAnsi="Arial" w:cs="Arial"/>
          <w:sz w:val="22"/>
          <w:szCs w:val="22"/>
        </w:rPr>
        <w:t xml:space="preserve"> </w:t>
      </w:r>
      <w:r>
        <w:rPr>
          <w:rFonts w:ascii="Arial" w:hAnsi="Arial" w:cs="Arial"/>
          <w:sz w:val="22"/>
          <w:szCs w:val="22"/>
        </w:rPr>
        <w:t>str</w:t>
      </w:r>
      <w:r w:rsidR="004E7312">
        <w:rPr>
          <w:rFonts w:ascii="Arial" w:hAnsi="Arial" w:cs="Arial"/>
          <w:sz w:val="22"/>
          <w:szCs w:val="22"/>
        </w:rPr>
        <w:t xml:space="preserve">engthened </w:t>
      </w:r>
      <w:r>
        <w:rPr>
          <w:rFonts w:ascii="Arial" w:hAnsi="Arial" w:cs="Arial"/>
          <w:sz w:val="22"/>
          <w:szCs w:val="22"/>
        </w:rPr>
        <w:t xml:space="preserve">institutions and thus, economic growth </w:t>
      </w:r>
      <w:r w:rsidR="0098062D">
        <w:rPr>
          <w:rFonts w:ascii="Arial" w:hAnsi="Arial" w:cs="Arial"/>
          <w:sz w:val="22"/>
          <w:szCs w:val="22"/>
        </w:rPr>
        <w:t>[</w:t>
      </w:r>
      <w:r>
        <w:rPr>
          <w:rFonts w:ascii="Arial" w:hAnsi="Arial" w:cs="Arial"/>
          <w:sz w:val="22"/>
          <w:szCs w:val="22"/>
        </w:rPr>
        <w:t>general objective b</w:t>
      </w:r>
      <w:r w:rsidR="0098062D">
        <w:rPr>
          <w:rFonts w:ascii="Arial" w:hAnsi="Arial" w:cs="Arial"/>
          <w:sz w:val="22"/>
          <w:szCs w:val="22"/>
        </w:rPr>
        <w:t>]</w:t>
      </w:r>
      <w:r>
        <w:rPr>
          <w:rFonts w:ascii="Arial" w:hAnsi="Arial" w:cs="Arial"/>
          <w:sz w:val="22"/>
          <w:szCs w:val="22"/>
        </w:rPr>
        <w:t xml:space="preserve"> in the long run. The indicator of PBs reporting on time to the </w:t>
      </w:r>
      <w:proofErr w:type="spellStart"/>
      <w:r>
        <w:rPr>
          <w:rFonts w:ascii="Arial" w:hAnsi="Arial" w:cs="Arial"/>
          <w:sz w:val="22"/>
          <w:szCs w:val="22"/>
        </w:rPr>
        <w:t>MoF</w:t>
      </w:r>
      <w:proofErr w:type="spellEnd"/>
      <w:r>
        <w:rPr>
          <w:rFonts w:ascii="Arial" w:hAnsi="Arial" w:cs="Arial"/>
          <w:sz w:val="22"/>
          <w:szCs w:val="22"/>
        </w:rPr>
        <w:t xml:space="preserve"> [(iii).b]</w:t>
      </w:r>
      <w:r w:rsidR="00584AB1">
        <w:rPr>
          <w:rFonts w:ascii="Arial" w:hAnsi="Arial" w:cs="Arial"/>
          <w:sz w:val="22"/>
          <w:szCs w:val="22"/>
        </w:rPr>
        <w:t xml:space="preserve"> contribute to strengthen</w:t>
      </w:r>
      <w:r w:rsidR="00717D5F">
        <w:rPr>
          <w:rFonts w:ascii="Arial" w:hAnsi="Arial" w:cs="Arial"/>
          <w:sz w:val="22"/>
          <w:szCs w:val="22"/>
        </w:rPr>
        <w:t>ing</w:t>
      </w:r>
      <w:r w:rsidR="00584AB1">
        <w:rPr>
          <w:rFonts w:ascii="Arial" w:hAnsi="Arial" w:cs="Arial"/>
          <w:sz w:val="22"/>
          <w:szCs w:val="22"/>
        </w:rPr>
        <w:t xml:space="preserve"> the cohesion of political institutions. G</w:t>
      </w:r>
      <w:r w:rsidR="00584AB1" w:rsidRPr="00584AB1">
        <w:rPr>
          <w:rFonts w:ascii="Arial" w:hAnsi="Arial" w:cs="Arial"/>
          <w:sz w:val="22"/>
          <w:szCs w:val="22"/>
        </w:rPr>
        <w:t>overnments with strong legislative and judicial institutions limit corruption and encourage public revenues</w:t>
      </w:r>
      <w:r w:rsidR="00C23519">
        <w:rPr>
          <w:rFonts w:ascii="Arial" w:hAnsi="Arial" w:cs="Arial"/>
          <w:sz w:val="22"/>
          <w:szCs w:val="22"/>
        </w:rPr>
        <w:t xml:space="preserve"> in the long run</w:t>
      </w:r>
      <w:r w:rsidR="00584AB1">
        <w:rPr>
          <w:rFonts w:ascii="Arial" w:hAnsi="Arial" w:cs="Arial"/>
          <w:sz w:val="22"/>
          <w:szCs w:val="22"/>
        </w:rPr>
        <w:t>. The indicators which assess actuarial deficits [(</w:t>
      </w:r>
      <w:r w:rsidR="004E7312">
        <w:rPr>
          <w:rFonts w:ascii="Arial" w:hAnsi="Arial" w:cs="Arial"/>
          <w:sz w:val="22"/>
          <w:szCs w:val="22"/>
        </w:rPr>
        <w:t>i</w:t>
      </w:r>
      <w:r w:rsidR="00584AB1">
        <w:rPr>
          <w:rFonts w:ascii="Arial" w:hAnsi="Arial" w:cs="Arial"/>
          <w:sz w:val="22"/>
          <w:szCs w:val="22"/>
        </w:rPr>
        <w:t>v).a] and time to take corrective measures on budget deviations [(v).</w:t>
      </w:r>
      <w:r w:rsidR="004E7312">
        <w:rPr>
          <w:rFonts w:ascii="Arial" w:hAnsi="Arial" w:cs="Arial"/>
          <w:sz w:val="22"/>
          <w:szCs w:val="22"/>
        </w:rPr>
        <w:t>a</w:t>
      </w:r>
      <w:r w:rsidR="00584AB1">
        <w:rPr>
          <w:rFonts w:ascii="Arial" w:hAnsi="Arial" w:cs="Arial"/>
          <w:sz w:val="22"/>
          <w:szCs w:val="22"/>
        </w:rPr>
        <w:t>] contribute to political stability. Political stability affects the time horizons over which governments plan. Political stability</w:t>
      </w:r>
      <w:r w:rsidR="000C13FF">
        <w:rPr>
          <w:rFonts w:ascii="Arial" w:hAnsi="Arial" w:cs="Arial"/>
          <w:sz w:val="22"/>
          <w:szCs w:val="22"/>
        </w:rPr>
        <w:t>,</w:t>
      </w:r>
      <w:r w:rsidR="00584AB1">
        <w:rPr>
          <w:rFonts w:ascii="Arial" w:hAnsi="Arial" w:cs="Arial"/>
          <w:sz w:val="22"/>
          <w:szCs w:val="22"/>
        </w:rPr>
        <w:t xml:space="preserve"> along with strong political institutions</w:t>
      </w:r>
      <w:r w:rsidR="000C13FF">
        <w:rPr>
          <w:rFonts w:ascii="Arial" w:hAnsi="Arial" w:cs="Arial"/>
          <w:sz w:val="22"/>
          <w:szCs w:val="22"/>
        </w:rPr>
        <w:t>,</w:t>
      </w:r>
      <w:r w:rsidR="00584AB1">
        <w:rPr>
          <w:rFonts w:ascii="Arial" w:hAnsi="Arial" w:cs="Arial"/>
          <w:sz w:val="22"/>
          <w:szCs w:val="22"/>
        </w:rPr>
        <w:t xml:space="preserve"> promote</w:t>
      </w:r>
      <w:r w:rsidR="000C13FF">
        <w:rPr>
          <w:rFonts w:ascii="Arial" w:hAnsi="Arial" w:cs="Arial"/>
          <w:sz w:val="22"/>
          <w:szCs w:val="22"/>
        </w:rPr>
        <w:t>s</w:t>
      </w:r>
      <w:r w:rsidR="00584AB1">
        <w:rPr>
          <w:rFonts w:ascii="Arial" w:hAnsi="Arial" w:cs="Arial"/>
          <w:sz w:val="22"/>
          <w:szCs w:val="22"/>
        </w:rPr>
        <w:t xml:space="preserve"> a stable path </w:t>
      </w:r>
      <w:r w:rsidR="004E7312">
        <w:rPr>
          <w:rFonts w:ascii="Arial" w:hAnsi="Arial" w:cs="Arial"/>
          <w:sz w:val="22"/>
          <w:szCs w:val="22"/>
        </w:rPr>
        <w:t>for</w:t>
      </w:r>
      <w:r w:rsidR="00584AB1">
        <w:rPr>
          <w:rFonts w:ascii="Arial" w:hAnsi="Arial" w:cs="Arial"/>
          <w:sz w:val="22"/>
          <w:szCs w:val="22"/>
        </w:rPr>
        <w:t xml:space="preserve"> the </w:t>
      </w:r>
      <w:r w:rsidR="00C23519">
        <w:rPr>
          <w:rFonts w:ascii="Arial" w:hAnsi="Arial" w:cs="Arial"/>
          <w:sz w:val="22"/>
          <w:szCs w:val="22"/>
        </w:rPr>
        <w:t>public-sector</w:t>
      </w:r>
      <w:r w:rsidR="00584AB1">
        <w:rPr>
          <w:rFonts w:ascii="Arial" w:hAnsi="Arial" w:cs="Arial"/>
          <w:sz w:val="22"/>
          <w:szCs w:val="22"/>
        </w:rPr>
        <w:t xml:space="preserve"> balance. This stability in turn promotes economic growth [general objective b].</w:t>
      </w:r>
    </w:p>
    <w:bookmarkEnd w:id="12"/>
    <w:p w14:paraId="2338E220" w14:textId="1D0C7DBA" w:rsidR="00545D2B" w:rsidRPr="00645E95" w:rsidRDefault="000005C3" w:rsidP="00545D2B">
      <w:pPr>
        <w:suppressAutoHyphens/>
        <w:spacing w:before="120" w:after="120"/>
        <w:jc w:val="both"/>
        <w:rPr>
          <w:rFonts w:ascii="Arial" w:hAnsi="Arial" w:cs="Arial"/>
          <w:sz w:val="22"/>
          <w:szCs w:val="22"/>
        </w:rPr>
      </w:pPr>
      <w:r w:rsidRPr="00645E95">
        <w:rPr>
          <w:rFonts w:ascii="Arial" w:hAnsi="Arial" w:cs="Arial"/>
          <w:sz w:val="22"/>
          <w:szCs w:val="22"/>
        </w:rPr>
        <w:t xml:space="preserve">Among the outcomes directly contributing to the primary program impact of improving the </w:t>
      </w:r>
      <w:r w:rsidR="000B09F7" w:rsidRPr="00645E95">
        <w:rPr>
          <w:rFonts w:ascii="Arial" w:hAnsi="Arial" w:cs="Arial"/>
          <w:sz w:val="22"/>
          <w:szCs w:val="22"/>
        </w:rPr>
        <w:t>public</w:t>
      </w:r>
      <w:r w:rsidR="003606E2" w:rsidRPr="00645E95">
        <w:rPr>
          <w:rFonts w:ascii="Arial" w:hAnsi="Arial" w:cs="Arial"/>
          <w:sz w:val="22"/>
          <w:szCs w:val="22"/>
        </w:rPr>
        <w:noBreakHyphen/>
      </w:r>
      <w:r w:rsidR="000B09F7" w:rsidRPr="00645E95">
        <w:rPr>
          <w:rFonts w:ascii="Arial" w:hAnsi="Arial" w:cs="Arial"/>
          <w:sz w:val="22"/>
          <w:szCs w:val="22"/>
        </w:rPr>
        <w:t>sector</w:t>
      </w:r>
      <w:r w:rsidRPr="00645E95">
        <w:rPr>
          <w:rFonts w:ascii="Arial" w:hAnsi="Arial" w:cs="Arial"/>
          <w:sz w:val="22"/>
          <w:szCs w:val="22"/>
        </w:rPr>
        <w:t xml:space="preserve"> balance</w:t>
      </w:r>
      <w:r w:rsidR="003B495A" w:rsidRPr="00645E95">
        <w:rPr>
          <w:rFonts w:ascii="Arial" w:hAnsi="Arial" w:cs="Arial"/>
          <w:sz w:val="22"/>
          <w:szCs w:val="22"/>
        </w:rPr>
        <w:t xml:space="preserve"> [objective (a)]</w:t>
      </w:r>
      <w:r w:rsidRPr="00645E95">
        <w:rPr>
          <w:rFonts w:ascii="Arial" w:hAnsi="Arial" w:cs="Arial"/>
          <w:sz w:val="22"/>
          <w:szCs w:val="22"/>
        </w:rPr>
        <w:t xml:space="preserve">, the most important was </w:t>
      </w:r>
      <w:r w:rsidR="003B495A" w:rsidRPr="009C086E">
        <w:rPr>
          <w:rFonts w:ascii="Arial" w:hAnsi="Arial" w:cs="Arial"/>
          <w:sz w:val="22"/>
          <w:szCs w:val="22"/>
        </w:rPr>
        <w:t>increased tax revenue</w:t>
      </w:r>
      <w:r w:rsidR="003B495A" w:rsidRPr="00645E95">
        <w:rPr>
          <w:rFonts w:ascii="Arial" w:hAnsi="Arial" w:cs="Arial"/>
          <w:sz w:val="22"/>
          <w:szCs w:val="22"/>
        </w:rPr>
        <w:t xml:space="preserve"> [(ii)</w:t>
      </w:r>
      <w:r w:rsidR="00545D2B" w:rsidRPr="00645E95">
        <w:rPr>
          <w:rFonts w:ascii="Arial" w:hAnsi="Arial" w:cs="Arial"/>
          <w:sz w:val="22"/>
          <w:szCs w:val="22"/>
        </w:rPr>
        <w:t>.</w:t>
      </w:r>
      <w:r w:rsidR="003B495A" w:rsidRPr="00645E95">
        <w:rPr>
          <w:rFonts w:ascii="Arial" w:hAnsi="Arial" w:cs="Arial"/>
          <w:sz w:val="22"/>
          <w:szCs w:val="22"/>
        </w:rPr>
        <w:t>a]</w:t>
      </w:r>
      <w:r w:rsidR="000B09F7" w:rsidRPr="00645E95">
        <w:rPr>
          <w:rFonts w:ascii="Arial" w:hAnsi="Arial" w:cs="Arial"/>
          <w:sz w:val="22"/>
          <w:szCs w:val="22"/>
        </w:rPr>
        <w:t>.</w:t>
      </w:r>
      <w:r w:rsidRPr="00645E95">
        <w:rPr>
          <w:rFonts w:ascii="Arial" w:hAnsi="Arial" w:cs="Arial"/>
          <w:sz w:val="22"/>
          <w:szCs w:val="22"/>
        </w:rPr>
        <w:t xml:space="preserve"> </w:t>
      </w:r>
      <w:r w:rsidR="000240A7" w:rsidRPr="00645E95">
        <w:rPr>
          <w:rFonts w:ascii="Arial" w:hAnsi="Arial" w:cs="Arial"/>
          <w:sz w:val="22"/>
          <w:szCs w:val="22"/>
        </w:rPr>
        <w:t xml:space="preserve">Although </w:t>
      </w:r>
      <w:r w:rsidR="001E082A" w:rsidRPr="00645E95">
        <w:rPr>
          <w:rFonts w:ascii="Arial" w:hAnsi="Arial" w:cs="Arial"/>
          <w:sz w:val="22"/>
          <w:szCs w:val="22"/>
        </w:rPr>
        <w:t xml:space="preserve">controls on the expenditure side </w:t>
      </w:r>
      <w:r w:rsidR="00DA5164" w:rsidRPr="00645E95">
        <w:rPr>
          <w:rFonts w:ascii="Arial" w:hAnsi="Arial" w:cs="Arial"/>
          <w:sz w:val="22"/>
          <w:szCs w:val="22"/>
        </w:rPr>
        <w:t>[(iii)</w:t>
      </w:r>
      <w:r w:rsidR="00545D2B" w:rsidRPr="00645E95">
        <w:rPr>
          <w:rFonts w:ascii="Arial" w:hAnsi="Arial" w:cs="Arial"/>
          <w:sz w:val="22"/>
          <w:szCs w:val="22"/>
        </w:rPr>
        <w:t>.</w:t>
      </w:r>
      <w:r w:rsidR="00DA5164" w:rsidRPr="00645E95">
        <w:rPr>
          <w:rFonts w:ascii="Arial" w:hAnsi="Arial" w:cs="Arial"/>
          <w:sz w:val="22"/>
          <w:szCs w:val="22"/>
        </w:rPr>
        <w:t xml:space="preserve">a] </w:t>
      </w:r>
      <w:r w:rsidR="000240A7" w:rsidRPr="00645E95">
        <w:rPr>
          <w:rFonts w:ascii="Arial" w:hAnsi="Arial" w:cs="Arial"/>
          <w:sz w:val="22"/>
          <w:szCs w:val="22"/>
        </w:rPr>
        <w:t xml:space="preserve">arguably </w:t>
      </w:r>
      <w:r w:rsidR="001E082A" w:rsidRPr="00645E95">
        <w:rPr>
          <w:rFonts w:ascii="Arial" w:hAnsi="Arial" w:cs="Arial"/>
          <w:sz w:val="22"/>
          <w:szCs w:val="22"/>
        </w:rPr>
        <w:t xml:space="preserve">can contribute </w:t>
      </w:r>
      <w:r w:rsidR="000240A7" w:rsidRPr="00645E95">
        <w:rPr>
          <w:rFonts w:ascii="Arial" w:hAnsi="Arial" w:cs="Arial"/>
          <w:sz w:val="22"/>
          <w:szCs w:val="22"/>
        </w:rPr>
        <w:t xml:space="preserve">as much to </w:t>
      </w:r>
      <w:r w:rsidR="001E082A" w:rsidRPr="00645E95">
        <w:rPr>
          <w:rFonts w:ascii="Arial" w:hAnsi="Arial" w:cs="Arial"/>
          <w:sz w:val="22"/>
          <w:szCs w:val="22"/>
        </w:rPr>
        <w:t xml:space="preserve">improving the </w:t>
      </w:r>
      <w:r w:rsidR="001C5D02" w:rsidRPr="00645E95">
        <w:rPr>
          <w:rFonts w:ascii="Arial" w:hAnsi="Arial" w:cs="Arial"/>
          <w:sz w:val="22"/>
          <w:szCs w:val="22"/>
        </w:rPr>
        <w:t>public-sector</w:t>
      </w:r>
      <w:r w:rsidR="001E082A" w:rsidRPr="00645E95">
        <w:rPr>
          <w:rFonts w:ascii="Arial" w:hAnsi="Arial" w:cs="Arial"/>
          <w:sz w:val="22"/>
          <w:szCs w:val="22"/>
        </w:rPr>
        <w:t xml:space="preserve"> balance, </w:t>
      </w:r>
      <w:r w:rsidR="00DA5164" w:rsidRPr="00645E95">
        <w:rPr>
          <w:rFonts w:ascii="Arial" w:hAnsi="Arial" w:cs="Arial"/>
          <w:sz w:val="22"/>
          <w:szCs w:val="22"/>
        </w:rPr>
        <w:t>tax revenue</w:t>
      </w:r>
      <w:r w:rsidR="001E082A" w:rsidRPr="00645E95">
        <w:rPr>
          <w:rFonts w:ascii="Arial" w:hAnsi="Arial" w:cs="Arial"/>
          <w:sz w:val="22"/>
          <w:szCs w:val="22"/>
        </w:rPr>
        <w:t xml:space="preserve"> is </w:t>
      </w:r>
      <w:r w:rsidRPr="00645E95">
        <w:rPr>
          <w:rFonts w:ascii="Arial" w:hAnsi="Arial" w:cs="Arial"/>
          <w:sz w:val="22"/>
          <w:szCs w:val="22"/>
        </w:rPr>
        <w:t>considered most important</w:t>
      </w:r>
      <w:r w:rsidR="001E082A" w:rsidRPr="00645E95">
        <w:rPr>
          <w:rFonts w:ascii="Arial" w:hAnsi="Arial" w:cs="Arial"/>
          <w:sz w:val="22"/>
          <w:szCs w:val="22"/>
        </w:rPr>
        <w:t xml:space="preserve"> b</w:t>
      </w:r>
      <w:r w:rsidRPr="00645E95">
        <w:rPr>
          <w:rFonts w:ascii="Arial" w:hAnsi="Arial" w:cs="Arial"/>
          <w:sz w:val="22"/>
          <w:szCs w:val="22"/>
        </w:rPr>
        <w:t>e</w:t>
      </w:r>
      <w:r w:rsidR="001E082A" w:rsidRPr="00645E95">
        <w:rPr>
          <w:rFonts w:ascii="Arial" w:hAnsi="Arial" w:cs="Arial"/>
          <w:sz w:val="22"/>
          <w:szCs w:val="22"/>
        </w:rPr>
        <w:t xml:space="preserve">cause the primary focus of </w:t>
      </w:r>
      <w:r w:rsidRPr="00645E95">
        <w:rPr>
          <w:rFonts w:ascii="Arial" w:hAnsi="Arial" w:cs="Arial"/>
          <w:sz w:val="22"/>
          <w:szCs w:val="22"/>
        </w:rPr>
        <w:t>FISPEG</w:t>
      </w:r>
      <w:r w:rsidR="000E3915" w:rsidRPr="00645E95">
        <w:rPr>
          <w:rFonts w:ascii="Arial" w:hAnsi="Arial" w:cs="Arial"/>
          <w:sz w:val="22"/>
          <w:szCs w:val="22"/>
        </w:rPr>
        <w:t xml:space="preserve"> was on  enhancing tax reform</w:t>
      </w:r>
      <w:r w:rsidRPr="00645E95">
        <w:rPr>
          <w:rFonts w:ascii="Arial" w:hAnsi="Arial" w:cs="Arial"/>
          <w:sz w:val="22"/>
          <w:szCs w:val="22"/>
        </w:rPr>
        <w:t xml:space="preserve"> </w:t>
      </w:r>
      <w:r w:rsidR="001E082A" w:rsidRPr="00645E95">
        <w:rPr>
          <w:rFonts w:ascii="Arial" w:hAnsi="Arial" w:cs="Arial"/>
          <w:sz w:val="22"/>
          <w:szCs w:val="22"/>
        </w:rPr>
        <w:t>both in terms of resources dedicated to program design and in terms of conditions specified in the respective policy matrices</w:t>
      </w:r>
      <w:r w:rsidR="000E3915" w:rsidRPr="00645E95">
        <w:rPr>
          <w:rFonts w:ascii="Arial" w:hAnsi="Arial" w:cs="Arial"/>
          <w:sz w:val="22"/>
          <w:szCs w:val="22"/>
        </w:rPr>
        <w:t>.</w:t>
      </w:r>
      <w:r w:rsidR="001E082A" w:rsidRPr="00645E95">
        <w:rPr>
          <w:rFonts w:ascii="Arial" w:hAnsi="Arial" w:cs="Arial"/>
          <w:sz w:val="22"/>
          <w:szCs w:val="22"/>
        </w:rPr>
        <w:t xml:space="preserve"> </w:t>
      </w:r>
      <w:r w:rsidR="004673B1" w:rsidRPr="00645E95">
        <w:rPr>
          <w:rFonts w:ascii="Arial" w:hAnsi="Arial" w:cs="Arial"/>
          <w:sz w:val="22"/>
          <w:szCs w:val="22"/>
        </w:rPr>
        <w:t xml:space="preserve">The </w:t>
      </w:r>
      <w:r w:rsidR="004673B1" w:rsidRPr="009C086E">
        <w:rPr>
          <w:rFonts w:ascii="Arial" w:hAnsi="Arial" w:cs="Arial"/>
          <w:sz w:val="22"/>
          <w:szCs w:val="22"/>
        </w:rPr>
        <w:t>outcome</w:t>
      </w:r>
      <w:r w:rsidR="004673B1" w:rsidRPr="00645E95">
        <w:rPr>
          <w:rFonts w:ascii="Arial" w:hAnsi="Arial" w:cs="Arial"/>
          <w:sz w:val="22"/>
          <w:szCs w:val="22"/>
        </w:rPr>
        <w:t xml:space="preserve"> </w:t>
      </w:r>
      <w:r w:rsidR="00915185">
        <w:rPr>
          <w:rFonts w:ascii="Arial" w:hAnsi="Arial" w:cs="Arial"/>
          <w:sz w:val="22"/>
          <w:szCs w:val="22"/>
        </w:rPr>
        <w:t xml:space="preserve">of </w:t>
      </w:r>
      <w:r w:rsidR="004673B1" w:rsidRPr="00645E95">
        <w:rPr>
          <w:rFonts w:ascii="Arial" w:hAnsi="Arial" w:cs="Arial"/>
          <w:sz w:val="22"/>
          <w:szCs w:val="22"/>
        </w:rPr>
        <w:t>decreased CIT [(</w:t>
      </w:r>
      <w:proofErr w:type="spellStart"/>
      <w:r w:rsidR="004673B1" w:rsidRPr="00645E95">
        <w:rPr>
          <w:rFonts w:ascii="Arial" w:hAnsi="Arial" w:cs="Arial"/>
          <w:sz w:val="22"/>
          <w:szCs w:val="22"/>
        </w:rPr>
        <w:t>i</w:t>
      </w:r>
      <w:proofErr w:type="spellEnd"/>
      <w:r w:rsidR="004673B1" w:rsidRPr="00645E95">
        <w:rPr>
          <w:rFonts w:ascii="Arial" w:hAnsi="Arial" w:cs="Arial"/>
          <w:sz w:val="22"/>
          <w:szCs w:val="22"/>
        </w:rPr>
        <w:t>).a]</w:t>
      </w:r>
      <w:r w:rsidR="00545D2B" w:rsidRPr="00645E95">
        <w:rPr>
          <w:rFonts w:ascii="Arial" w:hAnsi="Arial" w:cs="Arial"/>
          <w:sz w:val="22"/>
          <w:szCs w:val="22"/>
        </w:rPr>
        <w:t xml:space="preserve"> </w:t>
      </w:r>
      <w:r w:rsidR="004673B1" w:rsidRPr="00645E95">
        <w:rPr>
          <w:rFonts w:ascii="Arial" w:hAnsi="Arial" w:cs="Arial"/>
          <w:sz w:val="22"/>
          <w:szCs w:val="22"/>
        </w:rPr>
        <w:t>was in turn abetted by the implementation of a CIT rate for unregulated companies [(</w:t>
      </w:r>
      <w:proofErr w:type="spellStart"/>
      <w:r w:rsidR="004673B1" w:rsidRPr="00645E95">
        <w:rPr>
          <w:rFonts w:ascii="Arial" w:hAnsi="Arial" w:cs="Arial"/>
          <w:sz w:val="22"/>
          <w:szCs w:val="22"/>
        </w:rPr>
        <w:t>i</w:t>
      </w:r>
      <w:proofErr w:type="spellEnd"/>
      <w:r w:rsidR="004673B1" w:rsidRPr="00645E95">
        <w:rPr>
          <w:rFonts w:ascii="Arial" w:hAnsi="Arial" w:cs="Arial"/>
          <w:sz w:val="22"/>
          <w:szCs w:val="22"/>
        </w:rPr>
        <w:t xml:space="preserve">).a.1]. </w:t>
      </w:r>
      <w:r w:rsidR="00545D2B" w:rsidRPr="00645E95">
        <w:rPr>
          <w:rFonts w:ascii="Arial" w:hAnsi="Arial" w:cs="Arial"/>
          <w:sz w:val="22"/>
          <w:szCs w:val="22"/>
        </w:rPr>
        <w:t xml:space="preserve">Looking at other products (outputs) vertically linked to </w:t>
      </w:r>
      <w:r w:rsidR="00545D2B" w:rsidRPr="009C086E">
        <w:rPr>
          <w:rFonts w:ascii="Arial" w:hAnsi="Arial" w:cs="Arial"/>
          <w:sz w:val="22"/>
          <w:szCs w:val="22"/>
        </w:rPr>
        <w:t>increased tax revenues</w:t>
      </w:r>
      <w:r w:rsidR="00545D2B" w:rsidRPr="00645E95">
        <w:rPr>
          <w:rFonts w:ascii="Arial" w:hAnsi="Arial" w:cs="Arial"/>
          <w:sz w:val="22"/>
          <w:szCs w:val="22"/>
        </w:rPr>
        <w:t xml:space="preserve"> [(ii).a] were the establishment of the </w:t>
      </w:r>
      <w:r w:rsidR="00545D2B" w:rsidRPr="009C086E">
        <w:rPr>
          <w:rFonts w:ascii="Arial" w:hAnsi="Arial" w:cs="Arial"/>
          <w:sz w:val="22"/>
          <w:szCs w:val="22"/>
        </w:rPr>
        <w:t xml:space="preserve">Minimum Business Tax </w:t>
      </w:r>
      <w:r w:rsidR="00545D2B" w:rsidRPr="00645E95">
        <w:rPr>
          <w:rFonts w:ascii="Arial" w:hAnsi="Arial" w:cs="Arial"/>
          <w:sz w:val="22"/>
          <w:szCs w:val="22"/>
        </w:rPr>
        <w:t xml:space="preserve">[(ii).a.1] and the application of a </w:t>
      </w:r>
      <w:r w:rsidR="00545D2B" w:rsidRPr="009C086E">
        <w:rPr>
          <w:rFonts w:ascii="Arial" w:hAnsi="Arial" w:cs="Arial"/>
          <w:sz w:val="22"/>
          <w:szCs w:val="22"/>
        </w:rPr>
        <w:t xml:space="preserve">cap on claims </w:t>
      </w:r>
      <w:r w:rsidR="00545D2B" w:rsidRPr="00645E95">
        <w:rPr>
          <w:rFonts w:ascii="Arial" w:hAnsi="Arial" w:cs="Arial"/>
          <w:sz w:val="22"/>
          <w:szCs w:val="22"/>
        </w:rPr>
        <w:t xml:space="preserve">for deduction of tax losses </w:t>
      </w:r>
      <w:r w:rsidR="00717D5F">
        <w:rPr>
          <w:rFonts w:ascii="Arial" w:hAnsi="Arial" w:cs="Arial"/>
          <w:sz w:val="22"/>
          <w:szCs w:val="22"/>
        </w:rPr>
        <w:t xml:space="preserve">carried </w:t>
      </w:r>
      <w:r w:rsidR="00545D2B" w:rsidRPr="00645E95">
        <w:rPr>
          <w:rFonts w:ascii="Arial" w:hAnsi="Arial" w:cs="Arial"/>
          <w:sz w:val="22"/>
          <w:szCs w:val="22"/>
        </w:rPr>
        <w:t xml:space="preserve">forward </w:t>
      </w:r>
      <w:r w:rsidR="00717D5F">
        <w:rPr>
          <w:rFonts w:ascii="Arial" w:hAnsi="Arial" w:cs="Arial"/>
          <w:sz w:val="22"/>
          <w:szCs w:val="22"/>
        </w:rPr>
        <w:t>against taxable</w:t>
      </w:r>
      <w:r w:rsidR="00545D2B" w:rsidRPr="00645E95">
        <w:rPr>
          <w:rFonts w:ascii="Arial" w:hAnsi="Arial" w:cs="Arial"/>
          <w:sz w:val="22"/>
          <w:szCs w:val="22"/>
        </w:rPr>
        <w:t xml:space="preserve"> income when computing CIT and Personal Income Tax (PIT) liabilities [(ii).a.2]. The increase in </w:t>
      </w:r>
      <w:r w:rsidR="00545D2B" w:rsidRPr="009C086E">
        <w:rPr>
          <w:rFonts w:ascii="Arial" w:hAnsi="Arial" w:cs="Arial"/>
          <w:sz w:val="22"/>
          <w:szCs w:val="22"/>
        </w:rPr>
        <w:t>GCT revenues on government purchases</w:t>
      </w:r>
      <w:r w:rsidR="00545D2B" w:rsidRPr="00645E95">
        <w:rPr>
          <w:rFonts w:ascii="Arial" w:hAnsi="Arial" w:cs="Arial"/>
          <w:sz w:val="22"/>
          <w:szCs w:val="22"/>
        </w:rPr>
        <w:t xml:space="preserve"> [(ii).b] by establishing the </w:t>
      </w:r>
      <w:r w:rsidR="00545D2B" w:rsidRPr="009C086E">
        <w:rPr>
          <w:rFonts w:ascii="Arial" w:hAnsi="Arial" w:cs="Arial"/>
          <w:sz w:val="22"/>
          <w:szCs w:val="22"/>
        </w:rPr>
        <w:t xml:space="preserve">standard GCT rate </w:t>
      </w:r>
      <w:r w:rsidR="00545D2B" w:rsidRPr="00645E95">
        <w:rPr>
          <w:rFonts w:ascii="Arial" w:hAnsi="Arial" w:cs="Arial"/>
          <w:sz w:val="22"/>
          <w:szCs w:val="22"/>
        </w:rPr>
        <w:t xml:space="preserve">on them [(ii).b.1] was an outcome that while raising revenues also raised expenditures, thus making </w:t>
      </w:r>
      <w:r w:rsidR="00545D2B" w:rsidRPr="009C086E">
        <w:rPr>
          <w:rFonts w:ascii="Arial" w:hAnsi="Arial" w:cs="Arial"/>
          <w:sz w:val="22"/>
          <w:szCs w:val="22"/>
        </w:rPr>
        <w:t>an ambiguous contribution</w:t>
      </w:r>
      <w:r w:rsidR="00545D2B" w:rsidRPr="00645E95">
        <w:rPr>
          <w:rFonts w:ascii="Arial" w:hAnsi="Arial" w:cs="Arial"/>
          <w:sz w:val="22"/>
          <w:szCs w:val="22"/>
        </w:rPr>
        <w:t xml:space="preserve"> to achieving an increased public-sector balance</w:t>
      </w:r>
      <w:r w:rsidR="000C13FF">
        <w:rPr>
          <w:rStyle w:val="FootnoteReference"/>
          <w:rFonts w:ascii="Arial" w:hAnsi="Arial" w:cs="Arial"/>
          <w:sz w:val="22"/>
          <w:szCs w:val="22"/>
        </w:rPr>
        <w:footnoteReference w:id="20"/>
      </w:r>
      <w:r w:rsidR="00545D2B" w:rsidRPr="00645E95">
        <w:rPr>
          <w:rFonts w:ascii="Arial" w:hAnsi="Arial" w:cs="Arial"/>
          <w:sz w:val="22"/>
          <w:szCs w:val="22"/>
        </w:rPr>
        <w:t xml:space="preserve"> [general objective (a)]. Tax audits [(ii).c] have an obvious bearing on increasing revenues [objective (ii)]. The number of </w:t>
      </w:r>
      <w:r w:rsidR="00545D2B" w:rsidRPr="009C086E">
        <w:rPr>
          <w:rFonts w:ascii="Arial" w:hAnsi="Arial" w:cs="Arial"/>
          <w:sz w:val="22"/>
          <w:szCs w:val="22"/>
        </w:rPr>
        <w:t xml:space="preserve">audits performed </w:t>
      </w:r>
      <w:r w:rsidR="00545D2B" w:rsidRPr="00645E95">
        <w:rPr>
          <w:rFonts w:ascii="Arial" w:hAnsi="Arial" w:cs="Arial"/>
          <w:sz w:val="22"/>
          <w:szCs w:val="22"/>
        </w:rPr>
        <w:t xml:space="preserve">[(ii).c] was a particular weakness prior to FISPEG. The main input identified by FISPEG to achieve these audit-related outcomes was the number of professional staff at the LTO [(ii).c.1], as this office was woefully understaffed at the beginning of the program.  </w:t>
      </w:r>
    </w:p>
    <w:p w14:paraId="4AA9A883" w14:textId="4397438A" w:rsidR="004673B1" w:rsidRPr="00645E95" w:rsidRDefault="004673B1" w:rsidP="00040AA9">
      <w:pPr>
        <w:suppressAutoHyphens/>
        <w:spacing w:before="120" w:after="120"/>
        <w:jc w:val="both"/>
        <w:rPr>
          <w:rFonts w:ascii="Arial" w:hAnsi="Arial" w:cs="Arial"/>
          <w:sz w:val="22"/>
          <w:szCs w:val="22"/>
        </w:rPr>
      </w:pPr>
      <w:r w:rsidRPr="00645E95">
        <w:rPr>
          <w:rFonts w:ascii="Arial" w:hAnsi="Arial" w:cs="Arial"/>
          <w:sz w:val="22"/>
          <w:szCs w:val="22"/>
        </w:rPr>
        <w:t xml:space="preserve">Probably </w:t>
      </w:r>
      <w:r w:rsidRPr="009C086E">
        <w:rPr>
          <w:rFonts w:ascii="Arial" w:hAnsi="Arial" w:cs="Arial"/>
          <w:sz w:val="22"/>
          <w:szCs w:val="22"/>
        </w:rPr>
        <w:t xml:space="preserve">the second most important outcome, and certainly one of the most contentious, that contributed to achieving an increased public-sector balance [General objective (a)] </w:t>
      </w:r>
      <w:r w:rsidRPr="00645E95">
        <w:rPr>
          <w:rFonts w:ascii="Arial" w:hAnsi="Arial" w:cs="Arial"/>
          <w:sz w:val="22"/>
          <w:szCs w:val="22"/>
        </w:rPr>
        <w:t xml:space="preserve">was the </w:t>
      </w:r>
      <w:r w:rsidRPr="009C086E">
        <w:rPr>
          <w:rFonts w:ascii="Arial" w:hAnsi="Arial" w:cs="Arial"/>
          <w:sz w:val="22"/>
          <w:szCs w:val="22"/>
        </w:rPr>
        <w:t xml:space="preserve">reduction in tax expenditures </w:t>
      </w:r>
      <w:r w:rsidRPr="00645E95">
        <w:rPr>
          <w:rFonts w:ascii="Arial" w:hAnsi="Arial" w:cs="Arial"/>
          <w:sz w:val="22"/>
          <w:szCs w:val="22"/>
        </w:rPr>
        <w:t>relative to GDP [(</w:t>
      </w:r>
      <w:proofErr w:type="spellStart"/>
      <w:r w:rsidRPr="00645E95">
        <w:rPr>
          <w:rFonts w:ascii="Arial" w:hAnsi="Arial" w:cs="Arial"/>
          <w:sz w:val="22"/>
          <w:szCs w:val="22"/>
        </w:rPr>
        <w:t>i</w:t>
      </w:r>
      <w:proofErr w:type="spellEnd"/>
      <w:r w:rsidRPr="00645E95">
        <w:rPr>
          <w:rFonts w:ascii="Arial" w:hAnsi="Arial" w:cs="Arial"/>
          <w:sz w:val="22"/>
          <w:szCs w:val="22"/>
        </w:rPr>
        <w:t>).c]. The elimination of granting new categories of ministerial discretionary waivers [(</w:t>
      </w:r>
      <w:proofErr w:type="spellStart"/>
      <w:r w:rsidRPr="00645E95">
        <w:rPr>
          <w:rFonts w:ascii="Arial" w:hAnsi="Arial" w:cs="Arial"/>
          <w:sz w:val="22"/>
          <w:szCs w:val="22"/>
        </w:rPr>
        <w:t>i</w:t>
      </w:r>
      <w:proofErr w:type="spellEnd"/>
      <w:r w:rsidRPr="00645E95">
        <w:rPr>
          <w:rFonts w:ascii="Arial" w:hAnsi="Arial" w:cs="Arial"/>
          <w:sz w:val="22"/>
          <w:szCs w:val="22"/>
        </w:rPr>
        <w:t xml:space="preserve">).c.1] was the </w:t>
      </w:r>
      <w:r w:rsidRPr="009C086E">
        <w:rPr>
          <w:rFonts w:ascii="Arial" w:hAnsi="Arial" w:cs="Arial"/>
          <w:sz w:val="22"/>
          <w:szCs w:val="22"/>
        </w:rPr>
        <w:t>output</w:t>
      </w:r>
      <w:r w:rsidRPr="00645E95">
        <w:rPr>
          <w:rFonts w:ascii="Arial" w:hAnsi="Arial" w:cs="Arial"/>
          <w:sz w:val="22"/>
          <w:szCs w:val="22"/>
        </w:rPr>
        <w:t xml:space="preserve"> directly designed to achieve this </w:t>
      </w:r>
      <w:r w:rsidRPr="009C086E">
        <w:rPr>
          <w:rFonts w:ascii="Arial" w:hAnsi="Arial" w:cs="Arial"/>
          <w:sz w:val="22"/>
          <w:szCs w:val="22"/>
        </w:rPr>
        <w:t>outcome</w:t>
      </w:r>
      <w:r w:rsidR="00545D2B" w:rsidRPr="009C086E">
        <w:rPr>
          <w:rFonts w:ascii="Arial" w:hAnsi="Arial" w:cs="Arial"/>
          <w:sz w:val="22"/>
          <w:szCs w:val="22"/>
        </w:rPr>
        <w:t xml:space="preserve"> </w:t>
      </w:r>
      <w:r w:rsidRPr="00645E95">
        <w:rPr>
          <w:rFonts w:ascii="Arial" w:hAnsi="Arial" w:cs="Arial"/>
          <w:sz w:val="22"/>
          <w:szCs w:val="22"/>
        </w:rPr>
        <w:t xml:space="preserve">and the application of the </w:t>
      </w:r>
      <w:r w:rsidRPr="009C086E">
        <w:rPr>
          <w:rFonts w:ascii="Arial" w:hAnsi="Arial" w:cs="Arial"/>
          <w:sz w:val="22"/>
          <w:szCs w:val="22"/>
        </w:rPr>
        <w:t xml:space="preserve">cap on tax incentives </w:t>
      </w:r>
      <w:r w:rsidRPr="00645E95">
        <w:rPr>
          <w:rFonts w:ascii="Arial" w:hAnsi="Arial" w:cs="Arial"/>
          <w:sz w:val="22"/>
          <w:szCs w:val="22"/>
        </w:rPr>
        <w:t>allowed for pioneer/mega projects [(</w:t>
      </w:r>
      <w:proofErr w:type="spellStart"/>
      <w:r w:rsidRPr="00645E95">
        <w:rPr>
          <w:rFonts w:ascii="Arial" w:hAnsi="Arial" w:cs="Arial"/>
          <w:sz w:val="22"/>
          <w:szCs w:val="22"/>
        </w:rPr>
        <w:t>i</w:t>
      </w:r>
      <w:proofErr w:type="spellEnd"/>
      <w:r w:rsidRPr="00645E95">
        <w:rPr>
          <w:rFonts w:ascii="Arial" w:hAnsi="Arial" w:cs="Arial"/>
          <w:sz w:val="22"/>
          <w:szCs w:val="22"/>
        </w:rPr>
        <w:t xml:space="preserve">).c.2]  also contributed to this outcome. </w:t>
      </w:r>
      <w:r w:rsidR="00717D5F">
        <w:rPr>
          <w:rFonts w:ascii="Arial" w:hAnsi="Arial" w:cs="Arial"/>
          <w:sz w:val="22"/>
          <w:szCs w:val="22"/>
        </w:rPr>
        <w:t xml:space="preserve">The </w:t>
      </w:r>
      <w:r w:rsidRPr="00645E95">
        <w:rPr>
          <w:rFonts w:ascii="Arial" w:hAnsi="Arial" w:cs="Arial"/>
          <w:sz w:val="22"/>
          <w:szCs w:val="22"/>
        </w:rPr>
        <w:t xml:space="preserve">FISPEG </w:t>
      </w:r>
      <w:r w:rsidRPr="009C086E">
        <w:rPr>
          <w:rFonts w:ascii="Arial" w:hAnsi="Arial" w:cs="Arial"/>
          <w:sz w:val="22"/>
          <w:szCs w:val="22"/>
        </w:rPr>
        <w:t>output</w:t>
      </w:r>
      <w:r w:rsidRPr="00645E95">
        <w:rPr>
          <w:rFonts w:ascii="Arial" w:hAnsi="Arial" w:cs="Arial"/>
          <w:sz w:val="22"/>
          <w:szCs w:val="22"/>
        </w:rPr>
        <w:t xml:space="preserve"> of the application of an </w:t>
      </w:r>
      <w:r w:rsidRPr="009C086E">
        <w:rPr>
          <w:rFonts w:ascii="Arial" w:hAnsi="Arial" w:cs="Arial"/>
          <w:sz w:val="22"/>
          <w:szCs w:val="22"/>
        </w:rPr>
        <w:t>increase in the Initial Capital Allowance (ICA) for new capital investment [(</w:t>
      </w:r>
      <w:proofErr w:type="spellStart"/>
      <w:r w:rsidRPr="009C086E">
        <w:rPr>
          <w:rFonts w:ascii="Arial" w:hAnsi="Arial" w:cs="Arial"/>
          <w:sz w:val="22"/>
          <w:szCs w:val="22"/>
        </w:rPr>
        <w:t>i</w:t>
      </w:r>
      <w:proofErr w:type="spellEnd"/>
      <w:r w:rsidRPr="009C086E">
        <w:rPr>
          <w:rFonts w:ascii="Arial" w:hAnsi="Arial" w:cs="Arial"/>
          <w:sz w:val="22"/>
          <w:szCs w:val="22"/>
        </w:rPr>
        <w:t xml:space="preserve">).c.2] </w:t>
      </w:r>
      <w:r w:rsidRPr="00645E95">
        <w:rPr>
          <w:rFonts w:ascii="Arial" w:hAnsi="Arial" w:cs="Arial"/>
          <w:sz w:val="22"/>
          <w:szCs w:val="22"/>
        </w:rPr>
        <w:t>also contributed to a decrease on tax expenditures [(</w:t>
      </w:r>
      <w:proofErr w:type="spellStart"/>
      <w:r w:rsidRPr="00645E95">
        <w:rPr>
          <w:rFonts w:ascii="Arial" w:hAnsi="Arial" w:cs="Arial"/>
          <w:sz w:val="22"/>
          <w:szCs w:val="22"/>
        </w:rPr>
        <w:t>i</w:t>
      </w:r>
      <w:proofErr w:type="spellEnd"/>
      <w:r w:rsidRPr="00645E95">
        <w:rPr>
          <w:rFonts w:ascii="Arial" w:hAnsi="Arial" w:cs="Arial"/>
          <w:sz w:val="22"/>
          <w:szCs w:val="22"/>
        </w:rPr>
        <w:t xml:space="preserve">).c]. </w:t>
      </w:r>
      <w:r w:rsidR="00545D2B" w:rsidRPr="00645E95">
        <w:rPr>
          <w:rFonts w:ascii="Arial" w:hAnsi="Arial" w:cs="Arial"/>
          <w:sz w:val="22"/>
          <w:szCs w:val="22"/>
        </w:rPr>
        <w:t xml:space="preserve"> Outcomes related to the </w:t>
      </w:r>
      <w:r w:rsidR="00545D2B" w:rsidRPr="009C086E">
        <w:rPr>
          <w:rFonts w:ascii="Arial" w:hAnsi="Arial" w:cs="Arial"/>
          <w:sz w:val="22"/>
          <w:szCs w:val="22"/>
        </w:rPr>
        <w:t xml:space="preserve">rationalization of expenditure [objective (iii)] </w:t>
      </w:r>
      <w:r w:rsidR="00545D2B" w:rsidRPr="00645E95">
        <w:rPr>
          <w:rFonts w:ascii="Arial" w:hAnsi="Arial" w:cs="Arial"/>
          <w:sz w:val="22"/>
          <w:szCs w:val="22"/>
        </w:rPr>
        <w:t>focus on the expenditure of the central government’s wage bill [(iii</w:t>
      </w:r>
      <w:r w:rsidR="003D0C9D" w:rsidRPr="00645E95">
        <w:rPr>
          <w:rFonts w:ascii="Arial" w:hAnsi="Arial" w:cs="Arial"/>
          <w:sz w:val="22"/>
          <w:szCs w:val="22"/>
        </w:rPr>
        <w:t>).a</w:t>
      </w:r>
      <w:r w:rsidR="00545D2B" w:rsidRPr="00645E95">
        <w:rPr>
          <w:rFonts w:ascii="Arial" w:hAnsi="Arial" w:cs="Arial"/>
          <w:sz w:val="22"/>
          <w:szCs w:val="22"/>
        </w:rPr>
        <w:t>]</w:t>
      </w:r>
      <w:r w:rsidR="00861B3F" w:rsidRPr="00645E95">
        <w:rPr>
          <w:rFonts w:ascii="Arial" w:hAnsi="Arial" w:cs="Arial"/>
          <w:sz w:val="22"/>
          <w:szCs w:val="22"/>
        </w:rPr>
        <w:t xml:space="preserve">. This outcome depends on a comprehensive </w:t>
      </w:r>
      <w:r w:rsidR="00861B3F" w:rsidRPr="009C086E">
        <w:rPr>
          <w:rFonts w:ascii="Arial" w:hAnsi="Arial" w:cs="Arial"/>
          <w:sz w:val="22"/>
          <w:szCs w:val="22"/>
        </w:rPr>
        <w:t xml:space="preserve">labor agreement on salary scales </w:t>
      </w:r>
      <w:r w:rsidR="00861B3F" w:rsidRPr="00645E95">
        <w:rPr>
          <w:rFonts w:ascii="Arial" w:hAnsi="Arial" w:cs="Arial"/>
          <w:sz w:val="22"/>
          <w:szCs w:val="22"/>
        </w:rPr>
        <w:t>[(iii).a.1.]</w:t>
      </w:r>
    </w:p>
    <w:p w14:paraId="744CE3D1" w14:textId="0C02D370" w:rsidR="00545D2B" w:rsidRPr="00861B3F" w:rsidRDefault="00545D2B" w:rsidP="00545D2B">
      <w:pPr>
        <w:suppressAutoHyphens/>
        <w:spacing w:before="120" w:after="120"/>
        <w:jc w:val="both"/>
        <w:rPr>
          <w:rFonts w:ascii="Arial" w:hAnsi="Arial" w:cs="Arial"/>
          <w:sz w:val="22"/>
          <w:szCs w:val="22"/>
        </w:rPr>
      </w:pPr>
      <w:r w:rsidRPr="00861B3F">
        <w:rPr>
          <w:rFonts w:ascii="Arial" w:hAnsi="Arial" w:cs="Arial"/>
          <w:sz w:val="22"/>
          <w:szCs w:val="22"/>
        </w:rPr>
        <w:t xml:space="preserve">The </w:t>
      </w:r>
      <w:r w:rsidRPr="009C086E">
        <w:rPr>
          <w:rFonts w:ascii="Arial" w:hAnsi="Arial" w:cs="Arial"/>
          <w:sz w:val="22"/>
          <w:szCs w:val="22"/>
        </w:rPr>
        <w:t>outcome</w:t>
      </w:r>
      <w:r w:rsidRPr="00645E95">
        <w:rPr>
          <w:rFonts w:ascii="Arial" w:hAnsi="Arial" w:cs="Arial"/>
          <w:sz w:val="22"/>
          <w:szCs w:val="22"/>
        </w:rPr>
        <w:t>,</w:t>
      </w:r>
      <w:r w:rsidRPr="00861B3F">
        <w:rPr>
          <w:rFonts w:ascii="Arial" w:hAnsi="Arial" w:cs="Arial"/>
          <w:sz w:val="22"/>
          <w:szCs w:val="22"/>
        </w:rPr>
        <w:t xml:space="preserve"> an </w:t>
      </w:r>
      <w:r w:rsidRPr="009C086E">
        <w:rPr>
          <w:rFonts w:ascii="Arial" w:hAnsi="Arial" w:cs="Arial"/>
          <w:sz w:val="22"/>
          <w:szCs w:val="22"/>
        </w:rPr>
        <w:t>employment tax credit to foster economic growth</w:t>
      </w:r>
      <w:r w:rsidRPr="00861B3F">
        <w:rPr>
          <w:rFonts w:ascii="Arial" w:hAnsi="Arial" w:cs="Arial"/>
          <w:sz w:val="22"/>
          <w:szCs w:val="22"/>
        </w:rPr>
        <w:t xml:space="preserve"> [(</w:t>
      </w:r>
      <w:proofErr w:type="spellStart"/>
      <w:r w:rsidRPr="00861B3F">
        <w:rPr>
          <w:rFonts w:ascii="Arial" w:hAnsi="Arial" w:cs="Arial"/>
          <w:sz w:val="22"/>
          <w:szCs w:val="22"/>
        </w:rPr>
        <w:t>i</w:t>
      </w:r>
      <w:proofErr w:type="spellEnd"/>
      <w:r w:rsidRPr="00861B3F">
        <w:rPr>
          <w:rFonts w:ascii="Arial" w:hAnsi="Arial" w:cs="Arial"/>
          <w:sz w:val="22"/>
          <w:szCs w:val="22"/>
        </w:rPr>
        <w:t>).b], was implemented by means of the application of the E</w:t>
      </w:r>
      <w:r w:rsidR="00854E45">
        <w:rPr>
          <w:rFonts w:ascii="Arial" w:hAnsi="Arial" w:cs="Arial"/>
          <w:sz w:val="22"/>
          <w:szCs w:val="22"/>
        </w:rPr>
        <w:t>TC</w:t>
      </w:r>
      <w:r w:rsidRPr="00861B3F">
        <w:rPr>
          <w:rFonts w:ascii="Arial" w:hAnsi="Arial" w:cs="Arial"/>
          <w:sz w:val="22"/>
          <w:szCs w:val="22"/>
        </w:rPr>
        <w:t xml:space="preserve"> labor incentive program for registered trade companies</w:t>
      </w:r>
      <w:r w:rsidRPr="009C086E">
        <w:rPr>
          <w:rFonts w:ascii="Arial" w:hAnsi="Arial" w:cs="Arial"/>
          <w:sz w:val="22"/>
          <w:szCs w:val="22"/>
        </w:rPr>
        <w:t xml:space="preserve"> [(</w:t>
      </w:r>
      <w:proofErr w:type="spellStart"/>
      <w:r w:rsidRPr="009C086E">
        <w:rPr>
          <w:rFonts w:ascii="Arial" w:hAnsi="Arial" w:cs="Arial"/>
          <w:sz w:val="22"/>
          <w:szCs w:val="22"/>
        </w:rPr>
        <w:t>i</w:t>
      </w:r>
      <w:proofErr w:type="spellEnd"/>
      <w:r w:rsidRPr="009C086E">
        <w:rPr>
          <w:rFonts w:ascii="Arial" w:hAnsi="Arial" w:cs="Arial"/>
          <w:sz w:val="22"/>
          <w:szCs w:val="22"/>
        </w:rPr>
        <w:t>).b.1]</w:t>
      </w:r>
      <w:r w:rsidRPr="00861B3F">
        <w:rPr>
          <w:rFonts w:ascii="Arial" w:hAnsi="Arial" w:cs="Arial"/>
          <w:sz w:val="22"/>
          <w:szCs w:val="22"/>
        </w:rPr>
        <w:t>.The ETC for registered trade companies under the labor incentive program [(</w:t>
      </w:r>
      <w:proofErr w:type="spellStart"/>
      <w:r w:rsidRPr="00861B3F">
        <w:rPr>
          <w:rFonts w:ascii="Arial" w:hAnsi="Arial" w:cs="Arial"/>
          <w:sz w:val="22"/>
          <w:szCs w:val="22"/>
        </w:rPr>
        <w:t>i</w:t>
      </w:r>
      <w:proofErr w:type="spellEnd"/>
      <w:r w:rsidRPr="00861B3F">
        <w:rPr>
          <w:rFonts w:ascii="Arial" w:hAnsi="Arial" w:cs="Arial"/>
          <w:sz w:val="22"/>
          <w:szCs w:val="22"/>
        </w:rPr>
        <w:t>).b.1] also contributed to the employment tax credit</w:t>
      </w:r>
      <w:r w:rsidR="00854E45">
        <w:rPr>
          <w:rFonts w:ascii="Arial" w:hAnsi="Arial" w:cs="Arial"/>
          <w:sz w:val="22"/>
          <w:szCs w:val="22"/>
        </w:rPr>
        <w:t>’s</w:t>
      </w:r>
      <w:r w:rsidRPr="00861B3F">
        <w:rPr>
          <w:rFonts w:ascii="Arial" w:hAnsi="Arial" w:cs="Arial"/>
          <w:sz w:val="22"/>
          <w:szCs w:val="22"/>
        </w:rPr>
        <w:t xml:space="preserve"> specific objective.</w:t>
      </w:r>
    </w:p>
    <w:p w14:paraId="46885ECC" w14:textId="07A12798" w:rsidR="003906F1" w:rsidRPr="00861B3F" w:rsidRDefault="00861B3F" w:rsidP="00040AA9">
      <w:pPr>
        <w:suppressAutoHyphens/>
        <w:spacing w:before="120" w:after="120"/>
        <w:jc w:val="both"/>
        <w:rPr>
          <w:rFonts w:ascii="Arial" w:hAnsi="Arial" w:cs="Arial"/>
          <w:sz w:val="22"/>
          <w:szCs w:val="22"/>
        </w:rPr>
      </w:pPr>
      <w:r w:rsidRPr="00861B3F">
        <w:rPr>
          <w:rFonts w:ascii="Arial" w:hAnsi="Arial" w:cs="Arial"/>
          <w:sz w:val="22"/>
          <w:szCs w:val="22"/>
        </w:rPr>
        <w:t>T</w:t>
      </w:r>
      <w:r w:rsidR="00E45DF9" w:rsidRPr="00861B3F">
        <w:rPr>
          <w:rFonts w:ascii="Arial" w:hAnsi="Arial" w:cs="Arial"/>
          <w:sz w:val="22"/>
          <w:szCs w:val="22"/>
        </w:rPr>
        <w:t xml:space="preserve">he financial reporting of </w:t>
      </w:r>
      <w:r w:rsidR="00800B2A" w:rsidRPr="00861B3F">
        <w:rPr>
          <w:rFonts w:ascii="Arial" w:hAnsi="Arial" w:cs="Arial"/>
          <w:sz w:val="22"/>
          <w:szCs w:val="22"/>
        </w:rPr>
        <w:t>PBs</w:t>
      </w:r>
      <w:r w:rsidR="00C67749" w:rsidRPr="00861B3F">
        <w:rPr>
          <w:rFonts w:ascii="Arial" w:hAnsi="Arial" w:cs="Arial"/>
          <w:sz w:val="22"/>
          <w:szCs w:val="22"/>
        </w:rPr>
        <w:t xml:space="preserve"> [(iii).b]</w:t>
      </w:r>
      <w:r w:rsidR="003906F1" w:rsidRPr="00861B3F">
        <w:rPr>
          <w:rFonts w:ascii="Arial" w:hAnsi="Arial" w:cs="Arial"/>
          <w:sz w:val="22"/>
          <w:szCs w:val="22"/>
        </w:rPr>
        <w:t xml:space="preserve"> pertains to</w:t>
      </w:r>
      <w:r w:rsidR="00545D2B" w:rsidRPr="00861B3F">
        <w:rPr>
          <w:rFonts w:ascii="Arial" w:hAnsi="Arial" w:cs="Arial"/>
          <w:sz w:val="22"/>
          <w:szCs w:val="22"/>
        </w:rPr>
        <w:t xml:space="preserve"> </w:t>
      </w:r>
      <w:r w:rsidR="003D7CAD" w:rsidRPr="00861B3F">
        <w:rPr>
          <w:rFonts w:ascii="Arial" w:hAnsi="Arial" w:cs="Arial"/>
          <w:sz w:val="22"/>
          <w:szCs w:val="22"/>
        </w:rPr>
        <w:t>poor financial accountability</w:t>
      </w:r>
      <w:r w:rsidR="008F5C1D" w:rsidRPr="00861B3F">
        <w:rPr>
          <w:rFonts w:ascii="Arial" w:hAnsi="Arial" w:cs="Arial"/>
          <w:sz w:val="22"/>
          <w:szCs w:val="22"/>
        </w:rPr>
        <w:t xml:space="preserve"> </w:t>
      </w:r>
      <w:r w:rsidR="003D7CAD" w:rsidRPr="00861B3F">
        <w:rPr>
          <w:rFonts w:ascii="Arial" w:hAnsi="Arial" w:cs="Arial"/>
          <w:sz w:val="22"/>
          <w:szCs w:val="22"/>
        </w:rPr>
        <w:t>of the publicly owned decentralized entities</w:t>
      </w:r>
      <w:r w:rsidR="003906F1" w:rsidRPr="00861B3F">
        <w:rPr>
          <w:rFonts w:ascii="Arial" w:hAnsi="Arial" w:cs="Arial"/>
          <w:sz w:val="22"/>
          <w:szCs w:val="22"/>
        </w:rPr>
        <w:t>. These entities include</w:t>
      </w:r>
      <w:r w:rsidR="003D7CAD" w:rsidRPr="00861B3F">
        <w:rPr>
          <w:rFonts w:ascii="Arial" w:hAnsi="Arial" w:cs="Arial"/>
          <w:sz w:val="22"/>
          <w:szCs w:val="22"/>
        </w:rPr>
        <w:t xml:space="preserve"> both those that are self-financing, primarily state-owned (nominally for profit) enterprises and the non</w:t>
      </w:r>
      <w:r w:rsidR="003606E2" w:rsidRPr="00861B3F">
        <w:rPr>
          <w:rFonts w:ascii="Arial" w:hAnsi="Arial" w:cs="Arial"/>
          <w:sz w:val="22"/>
          <w:szCs w:val="22"/>
        </w:rPr>
        <w:noBreakHyphen/>
      </w:r>
      <w:r w:rsidR="003D7CAD" w:rsidRPr="00861B3F">
        <w:rPr>
          <w:rFonts w:ascii="Arial" w:hAnsi="Arial" w:cs="Arial"/>
          <w:sz w:val="22"/>
          <w:szCs w:val="22"/>
        </w:rPr>
        <w:t xml:space="preserve">self-financing </w:t>
      </w:r>
      <w:r w:rsidR="00800B2A" w:rsidRPr="00861B3F">
        <w:rPr>
          <w:rFonts w:ascii="Arial" w:hAnsi="Arial" w:cs="Arial"/>
          <w:sz w:val="22"/>
          <w:szCs w:val="22"/>
        </w:rPr>
        <w:t>PBs</w:t>
      </w:r>
      <w:r w:rsidR="003906F1" w:rsidRPr="00861B3F">
        <w:rPr>
          <w:rFonts w:ascii="Arial" w:hAnsi="Arial" w:cs="Arial"/>
          <w:sz w:val="22"/>
          <w:szCs w:val="22"/>
        </w:rPr>
        <w:t>.</w:t>
      </w:r>
      <w:r w:rsidR="003D7CAD" w:rsidRPr="00861B3F">
        <w:rPr>
          <w:rFonts w:ascii="Arial" w:hAnsi="Arial" w:cs="Arial"/>
          <w:sz w:val="22"/>
          <w:szCs w:val="22"/>
        </w:rPr>
        <w:t xml:space="preserve"> </w:t>
      </w:r>
      <w:r w:rsidR="003906F1" w:rsidRPr="00861B3F">
        <w:rPr>
          <w:rFonts w:ascii="Arial" w:hAnsi="Arial" w:cs="Arial"/>
          <w:sz w:val="22"/>
          <w:szCs w:val="22"/>
        </w:rPr>
        <w:t xml:space="preserve"> </w:t>
      </w:r>
      <w:r w:rsidR="00800B2A" w:rsidRPr="00861B3F">
        <w:rPr>
          <w:rFonts w:ascii="Arial" w:hAnsi="Arial" w:cs="Arial"/>
          <w:sz w:val="22"/>
          <w:szCs w:val="22"/>
        </w:rPr>
        <w:t>PBs</w:t>
      </w:r>
      <w:r w:rsidR="00A921B1">
        <w:rPr>
          <w:rFonts w:ascii="Arial" w:hAnsi="Arial" w:cs="Arial"/>
          <w:sz w:val="22"/>
          <w:szCs w:val="22"/>
        </w:rPr>
        <w:t>’</w:t>
      </w:r>
      <w:r w:rsidR="00AF3ED4" w:rsidRPr="00861B3F">
        <w:rPr>
          <w:rFonts w:ascii="Arial" w:hAnsi="Arial" w:cs="Arial"/>
          <w:sz w:val="22"/>
          <w:szCs w:val="22"/>
        </w:rPr>
        <w:t xml:space="preserve"> timely submission of annual reports</w:t>
      </w:r>
      <w:r w:rsidR="007933D5" w:rsidRPr="009C086E">
        <w:rPr>
          <w:rFonts w:ascii="Arial" w:hAnsi="Arial" w:cs="Arial"/>
          <w:sz w:val="22"/>
          <w:szCs w:val="22"/>
        </w:rPr>
        <w:t xml:space="preserve"> [(</w:t>
      </w:r>
      <w:r w:rsidR="00D603A5" w:rsidRPr="009C086E">
        <w:rPr>
          <w:rFonts w:ascii="Arial" w:hAnsi="Arial" w:cs="Arial"/>
          <w:sz w:val="22"/>
          <w:szCs w:val="22"/>
        </w:rPr>
        <w:t>iii).b.</w:t>
      </w:r>
      <w:r w:rsidR="006B08B5" w:rsidRPr="009C086E">
        <w:rPr>
          <w:rFonts w:ascii="Arial" w:hAnsi="Arial" w:cs="Arial"/>
          <w:sz w:val="22"/>
          <w:szCs w:val="22"/>
        </w:rPr>
        <w:t>1</w:t>
      </w:r>
      <w:r w:rsidR="00D603A5" w:rsidRPr="009C086E">
        <w:rPr>
          <w:rFonts w:ascii="Arial" w:hAnsi="Arial" w:cs="Arial"/>
          <w:sz w:val="22"/>
          <w:szCs w:val="22"/>
        </w:rPr>
        <w:t>]</w:t>
      </w:r>
      <w:r w:rsidR="003906F1" w:rsidRPr="00861B3F">
        <w:rPr>
          <w:rFonts w:ascii="Arial" w:hAnsi="Arial" w:cs="Arial"/>
          <w:sz w:val="22"/>
          <w:szCs w:val="22"/>
        </w:rPr>
        <w:t xml:space="preserve"> </w:t>
      </w:r>
      <w:r w:rsidR="00E32C18" w:rsidRPr="00861B3F">
        <w:rPr>
          <w:rFonts w:ascii="Arial" w:hAnsi="Arial" w:cs="Arial"/>
          <w:sz w:val="22"/>
          <w:szCs w:val="22"/>
        </w:rPr>
        <w:t xml:space="preserve">is </w:t>
      </w:r>
      <w:r w:rsidR="00775DD9" w:rsidRPr="00861B3F">
        <w:rPr>
          <w:rFonts w:ascii="Arial" w:hAnsi="Arial" w:cs="Arial"/>
          <w:sz w:val="22"/>
          <w:szCs w:val="22"/>
        </w:rPr>
        <w:t>directly related to the outcome of reporting</w:t>
      </w:r>
      <w:r w:rsidR="00D603A5" w:rsidRPr="00861B3F">
        <w:rPr>
          <w:rFonts w:ascii="Arial" w:hAnsi="Arial" w:cs="Arial"/>
          <w:sz w:val="22"/>
          <w:szCs w:val="22"/>
        </w:rPr>
        <w:t xml:space="preserve"> [(iii).b]. </w:t>
      </w:r>
    </w:p>
    <w:p w14:paraId="66C6228E" w14:textId="4D9A650C" w:rsidR="005704BC" w:rsidRPr="00861B3F" w:rsidRDefault="00302254" w:rsidP="00040AA9">
      <w:pPr>
        <w:suppressAutoHyphens/>
        <w:spacing w:before="120" w:after="120"/>
        <w:jc w:val="both"/>
        <w:rPr>
          <w:rFonts w:ascii="Arial" w:hAnsi="Arial" w:cs="Arial"/>
          <w:sz w:val="22"/>
          <w:szCs w:val="22"/>
        </w:rPr>
      </w:pPr>
      <w:r w:rsidRPr="00861B3F">
        <w:rPr>
          <w:rFonts w:ascii="Arial" w:hAnsi="Arial" w:cs="Arial"/>
          <w:sz w:val="22"/>
          <w:szCs w:val="22"/>
        </w:rPr>
        <w:t xml:space="preserve">The outcomes related to ensuring sustainability of the NIS </w:t>
      </w:r>
      <w:r w:rsidR="008F5C1D" w:rsidRPr="00861B3F">
        <w:rPr>
          <w:rFonts w:ascii="Arial" w:hAnsi="Arial" w:cs="Arial"/>
          <w:sz w:val="22"/>
          <w:szCs w:val="22"/>
        </w:rPr>
        <w:t xml:space="preserve">[objective (iv)] </w:t>
      </w:r>
      <w:r w:rsidRPr="00861B3F">
        <w:rPr>
          <w:rFonts w:ascii="Arial" w:hAnsi="Arial" w:cs="Arial"/>
          <w:sz w:val="22"/>
          <w:szCs w:val="22"/>
        </w:rPr>
        <w:t xml:space="preserve">reflect the dire situation of the scheme when FISPEG was first designed, namely the </w:t>
      </w:r>
      <w:r w:rsidR="00E93E28" w:rsidRPr="00861B3F">
        <w:rPr>
          <w:rFonts w:ascii="Arial" w:hAnsi="Arial" w:cs="Arial"/>
          <w:sz w:val="22"/>
          <w:szCs w:val="22"/>
        </w:rPr>
        <w:t xml:space="preserve">poor state of all important aspects of the NIS including contribution rates, benefits and coverage with the consequent </w:t>
      </w:r>
      <w:r w:rsidRPr="00861B3F">
        <w:rPr>
          <w:rFonts w:ascii="Arial" w:hAnsi="Arial" w:cs="Arial"/>
          <w:sz w:val="22"/>
          <w:szCs w:val="22"/>
        </w:rPr>
        <w:t>large and growing actuarial deficit of the National Insurance Fund (NIF)</w:t>
      </w:r>
      <w:r w:rsidR="008F5C1D" w:rsidRPr="009C086E">
        <w:rPr>
          <w:rFonts w:ascii="Arial" w:hAnsi="Arial" w:cs="Arial"/>
          <w:sz w:val="22"/>
          <w:szCs w:val="22"/>
        </w:rPr>
        <w:t xml:space="preserve"> [(iv).a]</w:t>
      </w:r>
      <w:r w:rsidR="005704BC" w:rsidRPr="00861B3F">
        <w:rPr>
          <w:rFonts w:ascii="Arial" w:hAnsi="Arial" w:cs="Arial"/>
          <w:sz w:val="22"/>
          <w:szCs w:val="22"/>
        </w:rPr>
        <w:t xml:space="preserve">. </w:t>
      </w:r>
      <w:r w:rsidR="008F1095" w:rsidRPr="009C086E">
        <w:rPr>
          <w:rFonts w:ascii="Arial" w:hAnsi="Arial" w:cs="Arial"/>
          <w:sz w:val="22"/>
          <w:szCs w:val="22"/>
        </w:rPr>
        <w:t xml:space="preserve"> </w:t>
      </w:r>
      <w:r w:rsidR="00CD41D6" w:rsidRPr="00861B3F">
        <w:rPr>
          <w:rFonts w:ascii="Arial" w:hAnsi="Arial" w:cs="Arial"/>
          <w:sz w:val="22"/>
          <w:szCs w:val="22"/>
        </w:rPr>
        <w:t>So, in the case of the actuarial deficit outcome</w:t>
      </w:r>
      <w:r w:rsidR="008F5C1D" w:rsidRPr="009C086E">
        <w:rPr>
          <w:rFonts w:ascii="Arial" w:hAnsi="Arial" w:cs="Arial"/>
          <w:sz w:val="22"/>
          <w:szCs w:val="22"/>
        </w:rPr>
        <w:t xml:space="preserve"> [(iv).a]</w:t>
      </w:r>
      <w:r w:rsidR="00CD41D6" w:rsidRPr="00861B3F">
        <w:rPr>
          <w:rFonts w:ascii="Arial" w:hAnsi="Arial" w:cs="Arial"/>
          <w:sz w:val="22"/>
          <w:szCs w:val="22"/>
        </w:rPr>
        <w:t xml:space="preserve">, it was necessary </w:t>
      </w:r>
      <w:r w:rsidR="00854E45">
        <w:rPr>
          <w:rFonts w:ascii="Arial" w:hAnsi="Arial" w:cs="Arial"/>
          <w:sz w:val="22"/>
          <w:szCs w:val="22"/>
        </w:rPr>
        <w:t>for</w:t>
      </w:r>
      <w:r w:rsidR="00555A7B" w:rsidRPr="00861B3F">
        <w:rPr>
          <w:rFonts w:ascii="Arial" w:hAnsi="Arial" w:cs="Arial"/>
          <w:sz w:val="22"/>
          <w:szCs w:val="22"/>
        </w:rPr>
        <w:t xml:space="preserve"> </w:t>
      </w:r>
      <w:r w:rsidR="00476709" w:rsidRPr="00861B3F">
        <w:rPr>
          <w:rFonts w:ascii="Arial" w:hAnsi="Arial" w:cs="Arial"/>
          <w:sz w:val="22"/>
          <w:szCs w:val="22"/>
        </w:rPr>
        <w:t>Cabinet</w:t>
      </w:r>
      <w:r w:rsidR="00854E45">
        <w:rPr>
          <w:rFonts w:ascii="Arial" w:hAnsi="Arial" w:cs="Arial"/>
          <w:sz w:val="22"/>
          <w:szCs w:val="22"/>
        </w:rPr>
        <w:t xml:space="preserve"> to</w:t>
      </w:r>
      <w:r w:rsidR="00CD41D6" w:rsidRPr="00861B3F">
        <w:rPr>
          <w:rFonts w:ascii="Arial" w:hAnsi="Arial" w:cs="Arial"/>
          <w:sz w:val="22"/>
          <w:szCs w:val="22"/>
        </w:rPr>
        <w:t xml:space="preserve"> approv</w:t>
      </w:r>
      <w:r w:rsidR="00854E45">
        <w:rPr>
          <w:rFonts w:ascii="Arial" w:hAnsi="Arial" w:cs="Arial"/>
          <w:sz w:val="22"/>
          <w:szCs w:val="22"/>
        </w:rPr>
        <w:t>e</w:t>
      </w:r>
      <w:r w:rsidR="00CD41D6" w:rsidRPr="00861B3F">
        <w:rPr>
          <w:rFonts w:ascii="Arial" w:hAnsi="Arial" w:cs="Arial"/>
          <w:sz w:val="22"/>
          <w:szCs w:val="22"/>
        </w:rPr>
        <w:t xml:space="preserve"> the formal position paper </w:t>
      </w:r>
      <w:r w:rsidR="00854E45">
        <w:rPr>
          <w:rFonts w:ascii="Arial" w:hAnsi="Arial" w:cs="Arial"/>
          <w:sz w:val="22"/>
          <w:szCs w:val="22"/>
        </w:rPr>
        <w:t>on</w:t>
      </w:r>
      <w:r w:rsidR="00854E45" w:rsidRPr="00861B3F">
        <w:rPr>
          <w:rFonts w:ascii="Arial" w:hAnsi="Arial" w:cs="Arial"/>
          <w:sz w:val="22"/>
          <w:szCs w:val="22"/>
        </w:rPr>
        <w:t xml:space="preserve"> </w:t>
      </w:r>
      <w:r w:rsidR="00CD41D6" w:rsidRPr="00861B3F">
        <w:rPr>
          <w:rFonts w:ascii="Arial" w:hAnsi="Arial" w:cs="Arial"/>
          <w:sz w:val="22"/>
          <w:szCs w:val="22"/>
        </w:rPr>
        <w:t>the reform of the NIS</w:t>
      </w:r>
      <w:r w:rsidR="008F5C1D" w:rsidRPr="009C086E">
        <w:rPr>
          <w:rFonts w:ascii="Arial" w:hAnsi="Arial" w:cs="Arial"/>
          <w:sz w:val="22"/>
          <w:szCs w:val="22"/>
        </w:rPr>
        <w:t xml:space="preserve"> [(iv).a.2]</w:t>
      </w:r>
      <w:r w:rsidR="005704BC" w:rsidRPr="00861B3F">
        <w:rPr>
          <w:rFonts w:ascii="Arial" w:hAnsi="Arial" w:cs="Arial"/>
          <w:sz w:val="22"/>
          <w:szCs w:val="22"/>
        </w:rPr>
        <w:t>. Similarly</w:t>
      </w:r>
      <w:r w:rsidR="00AD28B7" w:rsidRPr="00861B3F">
        <w:rPr>
          <w:rFonts w:ascii="Arial" w:hAnsi="Arial" w:cs="Arial"/>
          <w:sz w:val="22"/>
          <w:szCs w:val="22"/>
        </w:rPr>
        <w:t>,</w:t>
      </w:r>
      <w:r w:rsidR="005704BC" w:rsidRPr="00861B3F">
        <w:rPr>
          <w:rFonts w:ascii="Arial" w:hAnsi="Arial" w:cs="Arial"/>
          <w:sz w:val="22"/>
          <w:szCs w:val="22"/>
        </w:rPr>
        <w:t xml:space="preserve"> </w:t>
      </w:r>
      <w:r w:rsidR="008F5C1D" w:rsidRPr="00861B3F">
        <w:rPr>
          <w:rFonts w:ascii="Arial" w:hAnsi="Arial" w:cs="Arial"/>
          <w:sz w:val="22"/>
          <w:szCs w:val="22"/>
        </w:rPr>
        <w:t xml:space="preserve">an updated and regularly renewed </w:t>
      </w:r>
      <w:r w:rsidR="008F5C1D" w:rsidRPr="009C086E">
        <w:rPr>
          <w:rFonts w:ascii="Arial" w:hAnsi="Arial" w:cs="Arial"/>
          <w:sz w:val="22"/>
          <w:szCs w:val="22"/>
        </w:rPr>
        <w:t xml:space="preserve">actuarial analysis of the </w:t>
      </w:r>
      <w:r w:rsidR="00854E45">
        <w:rPr>
          <w:rFonts w:ascii="Arial" w:hAnsi="Arial" w:cs="Arial"/>
          <w:sz w:val="22"/>
          <w:szCs w:val="22"/>
        </w:rPr>
        <w:t>NIF’</w:t>
      </w:r>
      <w:r w:rsidR="008F5C1D" w:rsidRPr="009C086E">
        <w:rPr>
          <w:rFonts w:ascii="Arial" w:hAnsi="Arial" w:cs="Arial"/>
          <w:sz w:val="22"/>
          <w:szCs w:val="22"/>
        </w:rPr>
        <w:t>s solvency</w:t>
      </w:r>
      <w:r w:rsidR="008F5C1D" w:rsidRPr="00861B3F">
        <w:rPr>
          <w:rFonts w:ascii="Arial" w:hAnsi="Arial" w:cs="Arial"/>
          <w:sz w:val="22"/>
          <w:szCs w:val="22"/>
        </w:rPr>
        <w:t xml:space="preserve"> [(iv).a.1] </w:t>
      </w:r>
      <w:r w:rsidR="00926B02" w:rsidRPr="00861B3F">
        <w:rPr>
          <w:rFonts w:ascii="Arial" w:hAnsi="Arial" w:cs="Arial"/>
          <w:sz w:val="22"/>
          <w:szCs w:val="22"/>
        </w:rPr>
        <w:t xml:space="preserve">was a  </w:t>
      </w:r>
      <w:r w:rsidR="005704BC" w:rsidRPr="00861B3F">
        <w:rPr>
          <w:rFonts w:ascii="Arial" w:hAnsi="Arial" w:cs="Arial"/>
          <w:sz w:val="22"/>
          <w:szCs w:val="22"/>
        </w:rPr>
        <w:t>precondition for reducing the actuarial deficit of the NIF</w:t>
      </w:r>
      <w:r w:rsidR="008F5C1D" w:rsidRPr="009C086E">
        <w:rPr>
          <w:rFonts w:ascii="Arial" w:hAnsi="Arial" w:cs="Arial"/>
          <w:sz w:val="22"/>
          <w:szCs w:val="22"/>
        </w:rPr>
        <w:t xml:space="preserve"> [(iv).a]</w:t>
      </w:r>
      <w:r w:rsidR="00926B02" w:rsidRPr="00861B3F">
        <w:rPr>
          <w:rFonts w:ascii="Arial" w:hAnsi="Arial" w:cs="Arial"/>
          <w:sz w:val="22"/>
          <w:szCs w:val="22"/>
        </w:rPr>
        <w:t>.</w:t>
      </w:r>
      <w:r w:rsidR="005704BC" w:rsidRPr="00861B3F">
        <w:rPr>
          <w:rFonts w:ascii="Arial" w:hAnsi="Arial" w:cs="Arial"/>
          <w:sz w:val="22"/>
          <w:szCs w:val="22"/>
        </w:rPr>
        <w:t xml:space="preserve">  </w:t>
      </w:r>
    </w:p>
    <w:p w14:paraId="01C5EFFF" w14:textId="033FFCCD" w:rsidR="004E7446" w:rsidRDefault="008E51EA" w:rsidP="00040AA9">
      <w:pPr>
        <w:suppressAutoHyphens/>
        <w:spacing w:before="120" w:after="120"/>
        <w:jc w:val="both"/>
        <w:rPr>
          <w:rFonts w:ascii="Arial" w:hAnsi="Arial" w:cs="Arial"/>
          <w:sz w:val="22"/>
          <w:szCs w:val="22"/>
        </w:rPr>
      </w:pPr>
      <w:r w:rsidRPr="00861B3F">
        <w:rPr>
          <w:rFonts w:ascii="Arial" w:hAnsi="Arial" w:cs="Arial"/>
          <w:sz w:val="22"/>
          <w:szCs w:val="22"/>
        </w:rPr>
        <w:t>Strengthening the F</w:t>
      </w:r>
      <w:r w:rsidR="0017672E" w:rsidRPr="00861B3F">
        <w:rPr>
          <w:rFonts w:ascii="Arial" w:hAnsi="Arial" w:cs="Arial"/>
          <w:sz w:val="22"/>
          <w:szCs w:val="22"/>
        </w:rPr>
        <w:t>RF</w:t>
      </w:r>
      <w:r w:rsidR="005A4F2D" w:rsidRPr="009C086E">
        <w:rPr>
          <w:rFonts w:ascii="Arial" w:hAnsi="Arial" w:cs="Arial"/>
          <w:sz w:val="22"/>
          <w:szCs w:val="22"/>
        </w:rPr>
        <w:t xml:space="preserve"> [objective (v)]</w:t>
      </w:r>
      <w:r w:rsidRPr="00861B3F">
        <w:rPr>
          <w:rFonts w:ascii="Arial" w:hAnsi="Arial" w:cs="Arial"/>
          <w:sz w:val="22"/>
          <w:szCs w:val="22"/>
        </w:rPr>
        <w:t xml:space="preserve"> </w:t>
      </w:r>
      <w:r w:rsidR="00557E9D" w:rsidRPr="00861B3F">
        <w:rPr>
          <w:rFonts w:ascii="Arial" w:hAnsi="Arial" w:cs="Arial"/>
          <w:sz w:val="22"/>
          <w:szCs w:val="22"/>
        </w:rPr>
        <w:t>was the fifth, and</w:t>
      </w:r>
      <w:r w:rsidR="00385219" w:rsidRPr="00861B3F">
        <w:rPr>
          <w:rFonts w:ascii="Arial" w:hAnsi="Arial" w:cs="Arial"/>
          <w:sz w:val="22"/>
          <w:szCs w:val="22"/>
        </w:rPr>
        <w:t xml:space="preserve"> final, component of FISPEG.</w:t>
      </w:r>
      <w:r w:rsidR="008F1095" w:rsidRPr="00861B3F">
        <w:rPr>
          <w:rFonts w:ascii="Arial" w:hAnsi="Arial" w:cs="Arial"/>
          <w:sz w:val="22"/>
          <w:szCs w:val="22"/>
        </w:rPr>
        <w:t xml:space="preserve"> </w:t>
      </w:r>
      <w:r w:rsidR="00557E9D" w:rsidRPr="00861B3F">
        <w:rPr>
          <w:rFonts w:ascii="Arial" w:hAnsi="Arial" w:cs="Arial"/>
          <w:sz w:val="22"/>
          <w:szCs w:val="22"/>
        </w:rPr>
        <w:t xml:space="preserve"> </w:t>
      </w:r>
      <w:r w:rsidR="0031472E" w:rsidRPr="00861B3F">
        <w:rPr>
          <w:rFonts w:ascii="Arial" w:hAnsi="Arial" w:cs="Arial"/>
          <w:sz w:val="22"/>
          <w:szCs w:val="22"/>
        </w:rPr>
        <w:t>The outcome, decrease delay in implementing corrective actions</w:t>
      </w:r>
      <w:r w:rsidR="005A4F2D" w:rsidRPr="009C086E">
        <w:rPr>
          <w:rFonts w:ascii="Arial" w:hAnsi="Arial" w:cs="Arial"/>
          <w:sz w:val="22"/>
          <w:szCs w:val="22"/>
        </w:rPr>
        <w:t xml:space="preserve"> [(v).a]</w:t>
      </w:r>
      <w:r w:rsidR="0031472E" w:rsidRPr="00861B3F">
        <w:rPr>
          <w:rFonts w:ascii="Arial" w:hAnsi="Arial" w:cs="Arial"/>
          <w:sz w:val="22"/>
          <w:szCs w:val="22"/>
        </w:rPr>
        <w:t>, depends on a robust legal framework allowing for an agile response under circumstances of extreme fiscal stress. The product of implemented enhanced fiscal rules</w:t>
      </w:r>
      <w:r w:rsidR="005A4F2D" w:rsidRPr="009C086E">
        <w:rPr>
          <w:rFonts w:ascii="Arial" w:hAnsi="Arial" w:cs="Arial"/>
          <w:sz w:val="22"/>
          <w:szCs w:val="22"/>
        </w:rPr>
        <w:t xml:space="preserve"> [(v).a.1]</w:t>
      </w:r>
      <w:r w:rsidR="0031472E" w:rsidRPr="00861B3F">
        <w:rPr>
          <w:rFonts w:ascii="Arial" w:hAnsi="Arial" w:cs="Arial"/>
          <w:sz w:val="22"/>
          <w:szCs w:val="22"/>
        </w:rPr>
        <w:t xml:space="preserve"> may be best seen as a tool box to be brought</w:t>
      </w:r>
      <w:r w:rsidR="00D31B43" w:rsidRPr="00861B3F">
        <w:rPr>
          <w:rFonts w:ascii="Arial" w:hAnsi="Arial" w:cs="Arial"/>
          <w:sz w:val="22"/>
          <w:szCs w:val="22"/>
        </w:rPr>
        <w:t xml:space="preserve"> out for the purpose of facilitating this outcome </w:t>
      </w:r>
      <w:r w:rsidR="0031472E" w:rsidRPr="00861B3F">
        <w:rPr>
          <w:rFonts w:ascii="Arial" w:hAnsi="Arial" w:cs="Arial"/>
          <w:sz w:val="22"/>
          <w:szCs w:val="22"/>
        </w:rPr>
        <w:t xml:space="preserve">only under </w:t>
      </w:r>
      <w:r w:rsidR="00D31B43" w:rsidRPr="00861B3F">
        <w:rPr>
          <w:rFonts w:ascii="Arial" w:hAnsi="Arial" w:cs="Arial"/>
          <w:sz w:val="22"/>
          <w:szCs w:val="22"/>
        </w:rPr>
        <w:t>this contingency</w:t>
      </w:r>
      <w:r w:rsidR="0031472E" w:rsidRPr="00861B3F">
        <w:rPr>
          <w:rFonts w:ascii="Arial" w:hAnsi="Arial" w:cs="Arial"/>
          <w:sz w:val="22"/>
          <w:szCs w:val="22"/>
        </w:rPr>
        <w:t xml:space="preserve">. </w:t>
      </w:r>
      <w:r w:rsidR="00D31B43" w:rsidRPr="00861B3F">
        <w:rPr>
          <w:rFonts w:ascii="Arial" w:hAnsi="Arial" w:cs="Arial"/>
          <w:sz w:val="22"/>
          <w:szCs w:val="22"/>
        </w:rPr>
        <w:t xml:space="preserve">This implementation of enhanced fiscal rules </w:t>
      </w:r>
      <w:r w:rsidR="00CF49AD" w:rsidRPr="00861B3F">
        <w:rPr>
          <w:rFonts w:ascii="Arial" w:hAnsi="Arial" w:cs="Arial"/>
          <w:sz w:val="22"/>
          <w:szCs w:val="22"/>
        </w:rPr>
        <w:t>enabl</w:t>
      </w:r>
      <w:r w:rsidR="008F1095" w:rsidRPr="00861B3F">
        <w:rPr>
          <w:rFonts w:ascii="Arial" w:hAnsi="Arial" w:cs="Arial"/>
          <w:sz w:val="22"/>
          <w:szCs w:val="22"/>
        </w:rPr>
        <w:t>es</w:t>
      </w:r>
      <w:r w:rsidR="00CF49AD" w:rsidRPr="00861B3F">
        <w:rPr>
          <w:rFonts w:ascii="Arial" w:hAnsi="Arial" w:cs="Arial"/>
          <w:sz w:val="22"/>
          <w:szCs w:val="22"/>
        </w:rPr>
        <w:t xml:space="preserve"> the government to better calibrate macro-fiscal indicators</w:t>
      </w:r>
      <w:r w:rsidR="005A4F2D" w:rsidRPr="00861B3F">
        <w:rPr>
          <w:rFonts w:ascii="Arial" w:hAnsi="Arial" w:cs="Arial"/>
          <w:sz w:val="22"/>
          <w:szCs w:val="22"/>
        </w:rPr>
        <w:t xml:space="preserve"> [general objective (b)</w:t>
      </w:r>
      <w:r w:rsidR="005A4F2D" w:rsidRPr="009C086E">
        <w:rPr>
          <w:rFonts w:ascii="Arial" w:hAnsi="Arial" w:cs="Arial"/>
          <w:sz w:val="22"/>
          <w:szCs w:val="22"/>
        </w:rPr>
        <w:t>]</w:t>
      </w:r>
      <w:r w:rsidR="00CF49AD" w:rsidRPr="00861B3F">
        <w:rPr>
          <w:rFonts w:ascii="Arial" w:hAnsi="Arial" w:cs="Arial"/>
          <w:sz w:val="22"/>
          <w:szCs w:val="22"/>
        </w:rPr>
        <w:t>.</w:t>
      </w:r>
      <w:r w:rsidR="00CF49AD" w:rsidRPr="00861B3F">
        <w:rPr>
          <w:rStyle w:val="FootnoteReference"/>
          <w:rFonts w:ascii="Arial" w:hAnsi="Arial" w:cs="Arial"/>
          <w:sz w:val="22"/>
          <w:szCs w:val="22"/>
        </w:rPr>
        <w:footnoteReference w:id="21"/>
      </w:r>
      <w:r w:rsidR="00D31B43" w:rsidRPr="00861B3F">
        <w:rPr>
          <w:rFonts w:ascii="Arial" w:hAnsi="Arial" w:cs="Arial"/>
          <w:sz w:val="22"/>
          <w:szCs w:val="22"/>
        </w:rPr>
        <w:t xml:space="preserve"> </w:t>
      </w:r>
    </w:p>
    <w:p w14:paraId="6AEF8324" w14:textId="437C6568" w:rsidR="00F8551D" w:rsidRPr="00040AA9" w:rsidRDefault="00861B3F" w:rsidP="00040AA9">
      <w:pPr>
        <w:suppressAutoHyphens/>
        <w:spacing w:before="120" w:after="120"/>
        <w:jc w:val="both"/>
        <w:rPr>
          <w:rFonts w:ascii="Arial" w:hAnsi="Arial" w:cs="Arial"/>
          <w:sz w:val="22"/>
          <w:szCs w:val="22"/>
        </w:rPr>
      </w:pPr>
      <w:r>
        <w:rPr>
          <w:rFonts w:ascii="Arial" w:hAnsi="Arial" w:cs="Arial"/>
          <w:sz w:val="22"/>
          <w:szCs w:val="22"/>
        </w:rPr>
        <w:t xml:space="preserve">In summary, </w:t>
      </w:r>
      <w:r w:rsidR="00A477FA">
        <w:rPr>
          <w:rFonts w:ascii="Arial" w:hAnsi="Arial" w:cs="Arial"/>
          <w:sz w:val="22"/>
          <w:szCs w:val="22"/>
        </w:rPr>
        <w:t xml:space="preserve">the operation contributed to improve the sector balance through increased </w:t>
      </w:r>
      <w:bookmarkStart w:id="14" w:name="_Hlk506290628"/>
      <w:r w:rsidR="00A477FA">
        <w:rPr>
          <w:rFonts w:ascii="Arial" w:hAnsi="Arial" w:cs="Arial"/>
          <w:sz w:val="22"/>
          <w:szCs w:val="22"/>
        </w:rPr>
        <w:t>tax revenues and decreased expenditures [outcome indicators (</w:t>
      </w:r>
      <w:proofErr w:type="spellStart"/>
      <w:r w:rsidR="00A477FA">
        <w:rPr>
          <w:rFonts w:ascii="Arial" w:hAnsi="Arial" w:cs="Arial"/>
          <w:sz w:val="22"/>
          <w:szCs w:val="22"/>
        </w:rPr>
        <w:t>i</w:t>
      </w:r>
      <w:proofErr w:type="spellEnd"/>
      <w:r w:rsidR="00A477FA">
        <w:rPr>
          <w:rFonts w:ascii="Arial" w:hAnsi="Arial" w:cs="Arial"/>
          <w:sz w:val="22"/>
          <w:szCs w:val="22"/>
        </w:rPr>
        <w:t>).c, (ii).a, (ii).b, (ii).c</w:t>
      </w:r>
      <w:r w:rsidR="00A87630">
        <w:rPr>
          <w:rFonts w:ascii="Arial" w:hAnsi="Arial" w:cs="Arial"/>
          <w:sz w:val="22"/>
          <w:szCs w:val="22"/>
        </w:rPr>
        <w:t>, (ii).d, (ii).e</w:t>
      </w:r>
      <w:r w:rsidR="00A477FA">
        <w:rPr>
          <w:rFonts w:ascii="Arial" w:hAnsi="Arial" w:cs="Arial"/>
          <w:sz w:val="22"/>
          <w:szCs w:val="22"/>
        </w:rPr>
        <w:t xml:space="preserve"> and (iii).a and associated output indicators]. </w:t>
      </w:r>
      <w:bookmarkEnd w:id="14"/>
      <w:r w:rsidR="00A477FA">
        <w:rPr>
          <w:rFonts w:ascii="Arial" w:hAnsi="Arial" w:cs="Arial"/>
          <w:sz w:val="22"/>
          <w:szCs w:val="22"/>
        </w:rPr>
        <w:t>The operation contributed to promote economic growth through stimulus to the employment [outcome indicator</w:t>
      </w:r>
      <w:r w:rsidR="00A87630">
        <w:rPr>
          <w:rFonts w:ascii="Arial" w:hAnsi="Arial" w:cs="Arial"/>
          <w:sz w:val="22"/>
          <w:szCs w:val="22"/>
        </w:rPr>
        <w:t>s</w:t>
      </w:r>
      <w:r w:rsidR="00A477FA">
        <w:rPr>
          <w:rFonts w:ascii="Arial" w:hAnsi="Arial" w:cs="Arial"/>
          <w:sz w:val="22"/>
          <w:szCs w:val="22"/>
        </w:rPr>
        <w:t xml:space="preserve"> </w:t>
      </w:r>
      <w:r w:rsidR="00A87630">
        <w:rPr>
          <w:rFonts w:ascii="Arial" w:hAnsi="Arial" w:cs="Arial"/>
          <w:sz w:val="22"/>
          <w:szCs w:val="22"/>
        </w:rPr>
        <w:t>(</w:t>
      </w:r>
      <w:proofErr w:type="spellStart"/>
      <w:r w:rsidR="00A87630">
        <w:rPr>
          <w:rFonts w:ascii="Arial" w:hAnsi="Arial" w:cs="Arial"/>
          <w:sz w:val="22"/>
          <w:szCs w:val="22"/>
        </w:rPr>
        <w:t>i</w:t>
      </w:r>
      <w:proofErr w:type="spellEnd"/>
      <w:r w:rsidR="00A87630">
        <w:rPr>
          <w:rFonts w:ascii="Arial" w:hAnsi="Arial" w:cs="Arial"/>
          <w:sz w:val="22"/>
          <w:szCs w:val="22"/>
        </w:rPr>
        <w:t>).a,</w:t>
      </w:r>
      <w:r w:rsidR="00401D3C">
        <w:rPr>
          <w:rFonts w:ascii="Arial" w:hAnsi="Arial" w:cs="Arial"/>
          <w:sz w:val="22"/>
          <w:szCs w:val="22"/>
        </w:rPr>
        <w:t xml:space="preserve"> </w:t>
      </w:r>
      <w:r w:rsidR="00A477FA">
        <w:rPr>
          <w:rFonts w:ascii="Arial" w:hAnsi="Arial" w:cs="Arial"/>
          <w:sz w:val="22"/>
          <w:szCs w:val="22"/>
        </w:rPr>
        <w:t>(</w:t>
      </w:r>
      <w:proofErr w:type="spellStart"/>
      <w:r w:rsidR="00A477FA">
        <w:rPr>
          <w:rFonts w:ascii="Arial" w:hAnsi="Arial" w:cs="Arial"/>
          <w:sz w:val="22"/>
          <w:szCs w:val="22"/>
        </w:rPr>
        <w:t>i</w:t>
      </w:r>
      <w:proofErr w:type="spellEnd"/>
      <w:r w:rsidR="00A477FA">
        <w:rPr>
          <w:rFonts w:ascii="Arial" w:hAnsi="Arial" w:cs="Arial"/>
          <w:sz w:val="22"/>
          <w:szCs w:val="22"/>
        </w:rPr>
        <w:t>).b and associated output</w:t>
      </w:r>
      <w:r w:rsidR="00A87630">
        <w:rPr>
          <w:rFonts w:ascii="Arial" w:hAnsi="Arial" w:cs="Arial"/>
          <w:sz w:val="22"/>
          <w:szCs w:val="22"/>
        </w:rPr>
        <w:t>s</w:t>
      </w:r>
      <w:r w:rsidR="00A477FA">
        <w:rPr>
          <w:rFonts w:ascii="Arial" w:hAnsi="Arial" w:cs="Arial"/>
          <w:sz w:val="22"/>
          <w:szCs w:val="22"/>
        </w:rPr>
        <w:t xml:space="preserve">], strengthening institutional cohesion [outcome indicators (iii).b and associated output] and promoting political stability [outcome indicators (iv).a and (v).a and associated outputs]. </w:t>
      </w:r>
      <w:r w:rsidR="007A5CF9">
        <w:rPr>
          <w:rFonts w:ascii="Arial" w:hAnsi="Arial" w:cs="Arial"/>
          <w:sz w:val="22"/>
          <w:szCs w:val="22"/>
        </w:rPr>
        <w:t>This description simplifies the ground work and structure of contribution across products in the three FISPEG programs. However, the vertical logic of the intervention for each operation and across operations demonstrate the relevance of the operation</w:t>
      </w:r>
      <w:r w:rsidR="00083397">
        <w:rPr>
          <w:rFonts w:ascii="Arial" w:hAnsi="Arial" w:cs="Arial"/>
          <w:sz w:val="22"/>
          <w:szCs w:val="22"/>
        </w:rPr>
        <w:t>s</w:t>
      </w:r>
      <w:r w:rsidR="007A5CF9">
        <w:rPr>
          <w:rFonts w:ascii="Arial" w:hAnsi="Arial" w:cs="Arial"/>
          <w:sz w:val="22"/>
          <w:szCs w:val="22"/>
        </w:rPr>
        <w:t>. The relationship between</w:t>
      </w:r>
      <w:r w:rsidR="00083397">
        <w:rPr>
          <w:rFonts w:ascii="Arial" w:hAnsi="Arial" w:cs="Arial"/>
          <w:sz w:val="22"/>
          <w:szCs w:val="22"/>
        </w:rPr>
        <w:t xml:space="preserve"> the outputs, outcomes and</w:t>
      </w:r>
      <w:r w:rsidR="007A5CF9">
        <w:rPr>
          <w:rFonts w:ascii="Arial" w:hAnsi="Arial" w:cs="Arial"/>
          <w:sz w:val="22"/>
          <w:szCs w:val="22"/>
        </w:rPr>
        <w:t xml:space="preserve"> improvements in the fiscal balance </w:t>
      </w:r>
      <w:r w:rsidR="00083397">
        <w:rPr>
          <w:rFonts w:ascii="Arial" w:hAnsi="Arial" w:cs="Arial"/>
          <w:sz w:val="22"/>
          <w:szCs w:val="22"/>
        </w:rPr>
        <w:t xml:space="preserve">and the promotion of economic </w:t>
      </w:r>
      <w:r w:rsidR="007A5CF9">
        <w:rPr>
          <w:rFonts w:ascii="Arial" w:hAnsi="Arial" w:cs="Arial"/>
          <w:sz w:val="22"/>
          <w:szCs w:val="22"/>
        </w:rPr>
        <w:t>growth are</w:t>
      </w:r>
      <w:r w:rsidR="00A87630">
        <w:rPr>
          <w:rFonts w:ascii="Arial" w:hAnsi="Arial" w:cs="Arial"/>
          <w:sz w:val="22"/>
          <w:szCs w:val="22"/>
        </w:rPr>
        <w:t xml:space="preserve"> complex in reality. However, the primary channels through which products contributed to outcomes and impacts are</w:t>
      </w:r>
      <w:r w:rsidR="007A5CF9">
        <w:rPr>
          <w:rFonts w:ascii="Arial" w:hAnsi="Arial" w:cs="Arial"/>
          <w:sz w:val="22"/>
          <w:szCs w:val="22"/>
        </w:rPr>
        <w:t xml:space="preserve"> clear. </w:t>
      </w:r>
      <w:r w:rsidR="00083397">
        <w:rPr>
          <w:rFonts w:ascii="Arial" w:hAnsi="Arial" w:cs="Arial"/>
          <w:sz w:val="22"/>
          <w:szCs w:val="22"/>
        </w:rPr>
        <w:t>Thus, it</w:t>
      </w:r>
      <w:r w:rsidR="007A5CF9">
        <w:rPr>
          <w:rFonts w:ascii="Arial" w:hAnsi="Arial" w:cs="Arial"/>
          <w:sz w:val="22"/>
          <w:szCs w:val="22"/>
        </w:rPr>
        <w:t xml:space="preserve"> is clear the operation is related to country development needs.</w:t>
      </w:r>
    </w:p>
    <w:bookmarkEnd w:id="13"/>
    <w:p w14:paraId="23478436" w14:textId="6AE96DE0" w:rsidR="0047472B" w:rsidRPr="00040AA9" w:rsidRDefault="0047472B" w:rsidP="00040AA9">
      <w:pPr>
        <w:suppressAutoHyphens/>
        <w:spacing w:before="120" w:after="120"/>
        <w:jc w:val="both"/>
        <w:rPr>
          <w:rFonts w:ascii="Arial" w:hAnsi="Arial" w:cs="Arial"/>
          <w:sz w:val="22"/>
          <w:szCs w:val="22"/>
        </w:rPr>
      </w:pPr>
    </w:p>
    <w:p w14:paraId="14EB5F18" w14:textId="27139B51" w:rsidR="009B4D7A" w:rsidRPr="00040AA9" w:rsidRDefault="009B4D7A" w:rsidP="009C086E">
      <w:pPr>
        <w:pStyle w:val="Heading2"/>
        <w:numPr>
          <w:ilvl w:val="1"/>
          <w:numId w:val="1"/>
        </w:numPr>
        <w:suppressAutoHyphens/>
        <w:jc w:val="both"/>
        <w:rPr>
          <w:rFonts w:cs="Arial"/>
          <w:szCs w:val="22"/>
        </w:rPr>
      </w:pPr>
      <w:bookmarkStart w:id="15" w:name="_Toc469493896"/>
      <w:r w:rsidRPr="00040AA9">
        <w:rPr>
          <w:rFonts w:cs="Arial"/>
          <w:szCs w:val="22"/>
        </w:rPr>
        <w:t>Effectiveness</w:t>
      </w:r>
      <w:bookmarkEnd w:id="15"/>
    </w:p>
    <w:p w14:paraId="7043AB4C" w14:textId="77777777" w:rsidR="009B4D7A" w:rsidRPr="00040AA9" w:rsidRDefault="009B4D7A" w:rsidP="009C086E">
      <w:pPr>
        <w:pStyle w:val="Heading3"/>
        <w:numPr>
          <w:ilvl w:val="0"/>
          <w:numId w:val="6"/>
        </w:numPr>
        <w:suppressAutoHyphens/>
        <w:spacing w:before="120" w:after="120"/>
        <w:jc w:val="both"/>
        <w:rPr>
          <w:szCs w:val="22"/>
        </w:rPr>
      </w:pPr>
      <w:bookmarkStart w:id="16" w:name="_Toc469493897"/>
      <w:r w:rsidRPr="00040AA9">
        <w:rPr>
          <w:szCs w:val="22"/>
        </w:rPr>
        <w:t>Statement of project development objectives.</w:t>
      </w:r>
      <w:bookmarkEnd w:id="16"/>
    </w:p>
    <w:p w14:paraId="08EA684C" w14:textId="1D43ACAD" w:rsidR="00FF6106" w:rsidRPr="00040AA9" w:rsidRDefault="00FF6106" w:rsidP="009C086E">
      <w:pPr>
        <w:keepNext/>
        <w:keepLines/>
        <w:suppressAutoHyphens/>
        <w:spacing w:before="120" w:after="120"/>
        <w:jc w:val="both"/>
        <w:rPr>
          <w:rFonts w:ascii="Arial" w:hAnsi="Arial" w:cs="Arial"/>
          <w:sz w:val="22"/>
          <w:szCs w:val="22"/>
        </w:rPr>
      </w:pPr>
      <w:r w:rsidRPr="00040AA9">
        <w:rPr>
          <w:rFonts w:ascii="Arial" w:hAnsi="Arial" w:cs="Arial"/>
          <w:sz w:val="22"/>
          <w:szCs w:val="22"/>
        </w:rPr>
        <w:t xml:space="preserve">At the global level the objectives of the FISPEG operation are stated identically in </w:t>
      </w:r>
      <w:r w:rsidR="00A578D2" w:rsidRPr="00040AA9">
        <w:rPr>
          <w:rFonts w:ascii="Arial" w:hAnsi="Arial" w:cs="Arial"/>
          <w:sz w:val="22"/>
          <w:szCs w:val="22"/>
        </w:rPr>
        <w:t xml:space="preserve">the </w:t>
      </w:r>
      <w:r w:rsidRPr="00040AA9">
        <w:rPr>
          <w:rFonts w:ascii="Arial" w:hAnsi="Arial" w:cs="Arial"/>
          <w:sz w:val="22"/>
          <w:szCs w:val="22"/>
        </w:rPr>
        <w:t>Project at a Glance section of each of the three loan proposals as follows:</w:t>
      </w:r>
    </w:p>
    <w:p w14:paraId="23AFECF3" w14:textId="417EF1D0" w:rsidR="00FF6106" w:rsidRPr="00040AA9" w:rsidRDefault="00FF6106" w:rsidP="00472226">
      <w:pPr>
        <w:suppressAutoHyphens/>
        <w:spacing w:before="120" w:after="120"/>
        <w:ind w:left="720"/>
        <w:jc w:val="both"/>
        <w:rPr>
          <w:rFonts w:ascii="Arial" w:hAnsi="Arial" w:cs="Arial"/>
          <w:sz w:val="22"/>
          <w:szCs w:val="22"/>
        </w:rPr>
      </w:pPr>
      <w:r w:rsidRPr="00040AA9">
        <w:rPr>
          <w:rFonts w:ascii="Arial" w:hAnsi="Arial" w:cs="Arial"/>
          <w:sz w:val="22"/>
          <w:szCs w:val="22"/>
        </w:rPr>
        <w:t xml:space="preserve">The </w:t>
      </w:r>
      <w:r w:rsidR="00AD28B7" w:rsidRPr="009C40BB">
        <w:rPr>
          <w:rFonts w:ascii="Arial" w:hAnsi="Arial" w:cs="Arial"/>
          <w:sz w:val="22"/>
          <w:szCs w:val="22"/>
        </w:rPr>
        <w:t>program’s</w:t>
      </w:r>
      <w:r w:rsidRPr="00040AA9">
        <w:rPr>
          <w:rFonts w:ascii="Arial" w:hAnsi="Arial" w:cs="Arial"/>
          <w:sz w:val="22"/>
          <w:szCs w:val="22"/>
        </w:rPr>
        <w:t xml:space="preserve"> objective is to support the efforts of the </w:t>
      </w:r>
      <w:proofErr w:type="spellStart"/>
      <w:r w:rsidRPr="00040AA9">
        <w:rPr>
          <w:rFonts w:ascii="Arial" w:hAnsi="Arial" w:cs="Arial"/>
          <w:sz w:val="22"/>
          <w:szCs w:val="22"/>
        </w:rPr>
        <w:t>Go</w:t>
      </w:r>
      <w:r w:rsidR="00A72853">
        <w:rPr>
          <w:rFonts w:ascii="Arial" w:hAnsi="Arial" w:cs="Arial"/>
          <w:sz w:val="22"/>
          <w:szCs w:val="22"/>
        </w:rPr>
        <w:t>J</w:t>
      </w:r>
      <w:proofErr w:type="spellEnd"/>
      <w:r w:rsidRPr="00040AA9">
        <w:rPr>
          <w:rFonts w:ascii="Arial" w:hAnsi="Arial" w:cs="Arial"/>
          <w:sz w:val="22"/>
          <w:szCs w:val="22"/>
        </w:rPr>
        <w:t xml:space="preserve"> to achieve a sustainable fiscal path and higher economic growth. This will be done through: (</w:t>
      </w:r>
      <w:proofErr w:type="spellStart"/>
      <w:r w:rsidRPr="00040AA9">
        <w:rPr>
          <w:rFonts w:ascii="Arial" w:hAnsi="Arial" w:cs="Arial"/>
          <w:sz w:val="22"/>
          <w:szCs w:val="22"/>
        </w:rPr>
        <w:t>i</w:t>
      </w:r>
      <w:proofErr w:type="spellEnd"/>
      <w:r w:rsidRPr="00040AA9">
        <w:rPr>
          <w:rFonts w:ascii="Arial" w:hAnsi="Arial" w:cs="Arial"/>
          <w:sz w:val="22"/>
          <w:szCs w:val="22"/>
        </w:rPr>
        <w:t>) reducing tax distortions which hinder private investment, employment and competitiveness; (ii) strengthening revenue collection through broadening tax bases and reducing tax rates; (iii) enhancing the control over budgetary expenditure; (iv) improving the fiscal sustainability of the NIS; and (v) strengthening the FRF.</w:t>
      </w:r>
    </w:p>
    <w:p w14:paraId="7D5D53D8" w14:textId="3592E3FE" w:rsidR="00AD28B7" w:rsidRDefault="00BF67D3">
      <w:pPr>
        <w:suppressAutoHyphens/>
        <w:spacing w:before="120" w:after="120"/>
        <w:jc w:val="both"/>
        <w:rPr>
          <w:rFonts w:ascii="Arial" w:hAnsi="Arial" w:cs="Arial"/>
          <w:sz w:val="22"/>
          <w:szCs w:val="22"/>
        </w:rPr>
      </w:pPr>
      <w:r w:rsidRPr="00040AA9">
        <w:rPr>
          <w:rFonts w:ascii="Arial" w:hAnsi="Arial" w:cs="Arial"/>
          <w:sz w:val="22"/>
          <w:szCs w:val="22"/>
        </w:rPr>
        <w:t>The FISPEG operation</w:t>
      </w:r>
      <w:r w:rsidR="00E10A8A" w:rsidRPr="00040AA9">
        <w:rPr>
          <w:rFonts w:ascii="Arial" w:hAnsi="Arial" w:cs="Arial"/>
          <w:sz w:val="22"/>
          <w:szCs w:val="22"/>
        </w:rPr>
        <w:t xml:space="preserve"> consist</w:t>
      </w:r>
      <w:r w:rsidR="000C5EF6" w:rsidRPr="00040AA9">
        <w:rPr>
          <w:rFonts w:ascii="Arial" w:hAnsi="Arial" w:cs="Arial"/>
          <w:sz w:val="22"/>
          <w:szCs w:val="22"/>
        </w:rPr>
        <w:t>ed</w:t>
      </w:r>
      <w:r w:rsidR="000D4A88" w:rsidRPr="00040AA9">
        <w:rPr>
          <w:rFonts w:ascii="Arial" w:hAnsi="Arial" w:cs="Arial"/>
          <w:sz w:val="22"/>
          <w:szCs w:val="22"/>
        </w:rPr>
        <w:t xml:space="preserve"> of five components that </w:t>
      </w:r>
      <w:r w:rsidR="00540E30" w:rsidRPr="00040AA9">
        <w:rPr>
          <w:rFonts w:ascii="Arial" w:hAnsi="Arial" w:cs="Arial"/>
          <w:sz w:val="22"/>
          <w:szCs w:val="22"/>
        </w:rPr>
        <w:t>we</w:t>
      </w:r>
      <w:r w:rsidR="008C280F" w:rsidRPr="00040AA9">
        <w:rPr>
          <w:rFonts w:ascii="Arial" w:hAnsi="Arial" w:cs="Arial"/>
          <w:sz w:val="22"/>
          <w:szCs w:val="22"/>
        </w:rPr>
        <w:t xml:space="preserve">re structured to </w:t>
      </w:r>
      <w:r w:rsidR="000D4A88" w:rsidRPr="00040AA9">
        <w:rPr>
          <w:rFonts w:ascii="Arial" w:hAnsi="Arial" w:cs="Arial"/>
          <w:sz w:val="22"/>
          <w:szCs w:val="22"/>
        </w:rPr>
        <w:t>conform</w:t>
      </w:r>
      <w:r w:rsidR="00C53EF7" w:rsidRPr="00040AA9">
        <w:rPr>
          <w:rFonts w:ascii="Arial" w:hAnsi="Arial" w:cs="Arial"/>
          <w:sz w:val="22"/>
          <w:szCs w:val="22"/>
        </w:rPr>
        <w:t xml:space="preserve"> closely to these objectives. Aside from the first component, </w:t>
      </w:r>
      <w:r w:rsidR="00255B09" w:rsidRPr="00040AA9">
        <w:rPr>
          <w:rFonts w:ascii="Arial" w:hAnsi="Arial" w:cs="Arial"/>
          <w:sz w:val="22"/>
          <w:szCs w:val="22"/>
        </w:rPr>
        <w:t xml:space="preserve">which </w:t>
      </w:r>
      <w:r w:rsidR="00540E30" w:rsidRPr="00040AA9">
        <w:rPr>
          <w:rFonts w:ascii="Arial" w:hAnsi="Arial" w:cs="Arial"/>
          <w:sz w:val="22"/>
          <w:szCs w:val="22"/>
        </w:rPr>
        <w:t>wa</w:t>
      </w:r>
      <w:r w:rsidR="00255B09" w:rsidRPr="00040AA9">
        <w:rPr>
          <w:rFonts w:ascii="Arial" w:hAnsi="Arial" w:cs="Arial"/>
          <w:sz w:val="22"/>
          <w:szCs w:val="22"/>
        </w:rPr>
        <w:t>s the standard PBP macroeconomic stability requirement, the four operational components</w:t>
      </w:r>
      <w:r w:rsidR="009A1644" w:rsidRPr="00040AA9">
        <w:rPr>
          <w:rFonts w:ascii="Arial" w:hAnsi="Arial" w:cs="Arial"/>
          <w:sz w:val="22"/>
          <w:szCs w:val="22"/>
        </w:rPr>
        <w:t xml:space="preserve"> </w:t>
      </w:r>
      <w:r w:rsidR="00540E30" w:rsidRPr="00040AA9">
        <w:rPr>
          <w:rFonts w:ascii="Arial" w:hAnsi="Arial" w:cs="Arial"/>
          <w:sz w:val="22"/>
          <w:szCs w:val="22"/>
        </w:rPr>
        <w:t>we</w:t>
      </w:r>
      <w:r w:rsidR="009A1644" w:rsidRPr="00040AA9">
        <w:rPr>
          <w:rFonts w:ascii="Arial" w:hAnsi="Arial" w:cs="Arial"/>
          <w:sz w:val="22"/>
          <w:szCs w:val="22"/>
        </w:rPr>
        <w:t>re designed to address the five specific objectives.</w:t>
      </w:r>
      <w:r w:rsidR="0037085A" w:rsidRPr="00040AA9">
        <w:rPr>
          <w:rFonts w:ascii="Arial" w:hAnsi="Arial" w:cs="Arial"/>
          <w:sz w:val="22"/>
          <w:szCs w:val="22"/>
        </w:rPr>
        <w:t xml:space="preserve"> In brief the correspondence</w:t>
      </w:r>
      <w:r w:rsidR="000D4A88" w:rsidRPr="00040AA9">
        <w:rPr>
          <w:rFonts w:ascii="Arial" w:hAnsi="Arial" w:cs="Arial"/>
          <w:sz w:val="22"/>
          <w:szCs w:val="22"/>
        </w:rPr>
        <w:t xml:space="preserve"> between objectives and components</w:t>
      </w:r>
      <w:r w:rsidR="0037085A" w:rsidRPr="00040AA9">
        <w:rPr>
          <w:rFonts w:ascii="Arial" w:hAnsi="Arial" w:cs="Arial"/>
          <w:sz w:val="22"/>
          <w:szCs w:val="22"/>
        </w:rPr>
        <w:t xml:space="preserve"> may be summarized as follows: </w:t>
      </w:r>
    </w:p>
    <w:tbl>
      <w:tblPr>
        <w:tblStyle w:val="TableGrid"/>
        <w:tblW w:w="945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75"/>
        <w:gridCol w:w="4775"/>
      </w:tblGrid>
      <w:tr w:rsidR="0037085A" w:rsidRPr="00AD28B7" w14:paraId="76E0224C" w14:textId="77777777" w:rsidTr="00113746">
        <w:trPr>
          <w:trHeight w:val="260"/>
          <w:jc w:val="center"/>
        </w:trPr>
        <w:tc>
          <w:tcPr>
            <w:tcW w:w="4675" w:type="dxa"/>
            <w:tcBorders>
              <w:top w:val="nil"/>
              <w:left w:val="nil"/>
              <w:bottom w:val="nil"/>
              <w:right w:val="nil"/>
            </w:tcBorders>
          </w:tcPr>
          <w:p w14:paraId="6C2254A4" w14:textId="71557715" w:rsidR="0037085A" w:rsidRPr="00040AA9" w:rsidRDefault="00E4191B" w:rsidP="00040AA9">
            <w:pPr>
              <w:suppressAutoHyphens/>
              <w:rPr>
                <w:rFonts w:ascii="Arial" w:hAnsi="Arial" w:cs="Arial"/>
                <w:b/>
                <w:sz w:val="20"/>
                <w:szCs w:val="20"/>
              </w:rPr>
            </w:pPr>
            <w:r w:rsidRPr="00040AA9">
              <w:rPr>
                <w:rFonts w:ascii="Arial" w:hAnsi="Arial" w:cs="Arial"/>
                <w:b/>
                <w:sz w:val="20"/>
                <w:szCs w:val="20"/>
              </w:rPr>
              <w:t xml:space="preserve">Specific </w:t>
            </w:r>
            <w:r w:rsidR="00540E30" w:rsidRPr="00040AA9">
              <w:rPr>
                <w:rFonts w:ascii="Arial" w:hAnsi="Arial" w:cs="Arial"/>
                <w:b/>
                <w:sz w:val="20"/>
                <w:szCs w:val="20"/>
              </w:rPr>
              <w:t xml:space="preserve">Program </w:t>
            </w:r>
            <w:r w:rsidRPr="00040AA9">
              <w:rPr>
                <w:rFonts w:ascii="Arial" w:hAnsi="Arial" w:cs="Arial"/>
                <w:b/>
                <w:sz w:val="20"/>
                <w:szCs w:val="20"/>
              </w:rPr>
              <w:t>Objective</w:t>
            </w:r>
          </w:p>
        </w:tc>
        <w:tc>
          <w:tcPr>
            <w:tcW w:w="4775" w:type="dxa"/>
            <w:tcBorders>
              <w:top w:val="nil"/>
              <w:left w:val="nil"/>
              <w:bottom w:val="nil"/>
              <w:right w:val="nil"/>
            </w:tcBorders>
          </w:tcPr>
          <w:p w14:paraId="7C161993" w14:textId="4F97D828" w:rsidR="0037085A" w:rsidRPr="00040AA9" w:rsidRDefault="000F7AA9" w:rsidP="00040AA9">
            <w:pPr>
              <w:keepNext/>
              <w:keepLines/>
              <w:suppressAutoHyphens/>
              <w:jc w:val="center"/>
              <w:rPr>
                <w:rFonts w:ascii="Arial" w:hAnsi="Arial" w:cs="Arial"/>
                <w:b/>
                <w:sz w:val="20"/>
                <w:szCs w:val="20"/>
              </w:rPr>
            </w:pPr>
            <w:r w:rsidRPr="00040AA9">
              <w:rPr>
                <w:rFonts w:ascii="Arial" w:hAnsi="Arial" w:cs="Arial"/>
                <w:b/>
                <w:sz w:val="20"/>
                <w:szCs w:val="20"/>
              </w:rPr>
              <w:t>FISPEG C</w:t>
            </w:r>
            <w:r w:rsidR="00E4191B" w:rsidRPr="00040AA9">
              <w:rPr>
                <w:rFonts w:ascii="Arial" w:hAnsi="Arial" w:cs="Arial"/>
                <w:b/>
                <w:sz w:val="20"/>
                <w:szCs w:val="20"/>
              </w:rPr>
              <w:t>omponent</w:t>
            </w:r>
          </w:p>
        </w:tc>
      </w:tr>
      <w:tr w:rsidR="000F7AA9" w:rsidRPr="00AD28B7" w14:paraId="2B910A21" w14:textId="77777777" w:rsidTr="00113746">
        <w:trPr>
          <w:jc w:val="center"/>
        </w:trPr>
        <w:tc>
          <w:tcPr>
            <w:tcW w:w="4675" w:type="dxa"/>
            <w:tcBorders>
              <w:top w:val="nil"/>
              <w:left w:val="nil"/>
              <w:bottom w:val="nil"/>
              <w:right w:val="nil"/>
            </w:tcBorders>
          </w:tcPr>
          <w:p w14:paraId="6BE2D0C7" w14:textId="77777777" w:rsidR="000F7AA9" w:rsidRPr="00040AA9" w:rsidRDefault="000F7AA9" w:rsidP="00040AA9">
            <w:pPr>
              <w:suppressAutoHyphens/>
              <w:rPr>
                <w:rFonts w:ascii="Arial" w:hAnsi="Arial" w:cs="Arial"/>
                <w:sz w:val="20"/>
                <w:szCs w:val="20"/>
              </w:rPr>
            </w:pPr>
          </w:p>
        </w:tc>
        <w:tc>
          <w:tcPr>
            <w:tcW w:w="4775" w:type="dxa"/>
            <w:tcBorders>
              <w:top w:val="nil"/>
              <w:left w:val="nil"/>
              <w:bottom w:val="nil"/>
              <w:right w:val="nil"/>
            </w:tcBorders>
          </w:tcPr>
          <w:p w14:paraId="7770559B" w14:textId="77777777" w:rsidR="000F7AA9" w:rsidRPr="00040AA9" w:rsidRDefault="000F7AA9" w:rsidP="00040AA9">
            <w:pPr>
              <w:keepNext/>
              <w:keepLines/>
              <w:suppressAutoHyphens/>
              <w:rPr>
                <w:rFonts w:ascii="Arial" w:hAnsi="Arial" w:cs="Arial"/>
                <w:sz w:val="20"/>
                <w:szCs w:val="20"/>
              </w:rPr>
            </w:pPr>
          </w:p>
        </w:tc>
      </w:tr>
      <w:tr w:rsidR="0037085A" w:rsidRPr="00AD28B7" w14:paraId="7F98FBCC" w14:textId="77777777" w:rsidTr="00113746">
        <w:trPr>
          <w:jc w:val="center"/>
        </w:trPr>
        <w:tc>
          <w:tcPr>
            <w:tcW w:w="4675" w:type="dxa"/>
            <w:tcBorders>
              <w:top w:val="nil"/>
              <w:left w:val="nil"/>
              <w:bottom w:val="dotted" w:sz="4" w:space="0" w:color="auto"/>
              <w:right w:val="nil"/>
            </w:tcBorders>
          </w:tcPr>
          <w:p w14:paraId="0F90AE3B" w14:textId="3E0F7D32" w:rsidR="0037085A" w:rsidRPr="00040AA9" w:rsidRDefault="000F7AA9" w:rsidP="00040AA9">
            <w:pPr>
              <w:suppressAutoHyphens/>
              <w:rPr>
                <w:rFonts w:ascii="Arial" w:hAnsi="Arial" w:cs="Arial"/>
                <w:sz w:val="20"/>
                <w:szCs w:val="20"/>
              </w:rPr>
            </w:pPr>
            <w:r w:rsidRPr="00040AA9">
              <w:rPr>
                <w:rFonts w:ascii="Arial" w:hAnsi="Arial" w:cs="Arial"/>
                <w:sz w:val="20"/>
                <w:szCs w:val="20"/>
              </w:rPr>
              <w:t>N/A</w:t>
            </w:r>
          </w:p>
        </w:tc>
        <w:tc>
          <w:tcPr>
            <w:tcW w:w="4775" w:type="dxa"/>
            <w:tcBorders>
              <w:top w:val="nil"/>
              <w:left w:val="nil"/>
              <w:bottom w:val="dotted" w:sz="4" w:space="0" w:color="auto"/>
              <w:right w:val="nil"/>
            </w:tcBorders>
            <w:vAlign w:val="center"/>
          </w:tcPr>
          <w:p w14:paraId="3C78C136" w14:textId="6389F01A" w:rsidR="0037085A" w:rsidRPr="00040AA9" w:rsidRDefault="00E4191B" w:rsidP="00040AA9">
            <w:pPr>
              <w:pStyle w:val="ListParagraph"/>
              <w:keepNext/>
              <w:keepLines/>
              <w:numPr>
                <w:ilvl w:val="0"/>
                <w:numId w:val="20"/>
              </w:numPr>
              <w:suppressAutoHyphens/>
              <w:ind w:left="432" w:hanging="270"/>
              <w:rPr>
                <w:rFonts w:cs="Arial"/>
                <w:sz w:val="20"/>
                <w:szCs w:val="20"/>
              </w:rPr>
            </w:pPr>
            <w:r w:rsidRPr="00040AA9">
              <w:rPr>
                <w:rFonts w:cs="Arial"/>
                <w:sz w:val="20"/>
                <w:szCs w:val="20"/>
              </w:rPr>
              <w:t>Macroeconomic stability</w:t>
            </w:r>
          </w:p>
        </w:tc>
      </w:tr>
      <w:tr w:rsidR="00521837" w:rsidRPr="00AD28B7" w14:paraId="18ADC945" w14:textId="77777777" w:rsidTr="00113746">
        <w:trPr>
          <w:trHeight w:val="240"/>
          <w:jc w:val="center"/>
        </w:trPr>
        <w:tc>
          <w:tcPr>
            <w:tcW w:w="4675" w:type="dxa"/>
            <w:tcBorders>
              <w:top w:val="dotted" w:sz="4" w:space="0" w:color="auto"/>
              <w:left w:val="nil"/>
              <w:bottom w:val="nil"/>
              <w:right w:val="nil"/>
            </w:tcBorders>
          </w:tcPr>
          <w:p w14:paraId="2B00B061" w14:textId="3DCCFF9F" w:rsidR="00521837" w:rsidRPr="00040AA9" w:rsidRDefault="00521837" w:rsidP="00040AA9">
            <w:pPr>
              <w:pStyle w:val="ListParagraph"/>
              <w:numPr>
                <w:ilvl w:val="0"/>
                <w:numId w:val="23"/>
              </w:numPr>
              <w:suppressAutoHyphens/>
              <w:ind w:left="432"/>
              <w:rPr>
                <w:rFonts w:cs="Arial"/>
                <w:sz w:val="20"/>
                <w:szCs w:val="20"/>
              </w:rPr>
            </w:pPr>
            <w:r w:rsidRPr="00040AA9">
              <w:rPr>
                <w:rFonts w:cs="Arial"/>
                <w:sz w:val="20"/>
                <w:szCs w:val="20"/>
              </w:rPr>
              <w:t xml:space="preserve">reducing tax distortions </w:t>
            </w:r>
          </w:p>
        </w:tc>
        <w:tc>
          <w:tcPr>
            <w:tcW w:w="4775" w:type="dxa"/>
            <w:vMerge w:val="restart"/>
            <w:tcBorders>
              <w:top w:val="dotted" w:sz="4" w:space="0" w:color="auto"/>
              <w:left w:val="nil"/>
              <w:bottom w:val="nil"/>
              <w:right w:val="nil"/>
            </w:tcBorders>
            <w:vAlign w:val="center"/>
          </w:tcPr>
          <w:p w14:paraId="547B4909" w14:textId="04D27E5C" w:rsidR="00521837" w:rsidRPr="00040AA9" w:rsidRDefault="00041E99" w:rsidP="00040AA9">
            <w:pPr>
              <w:pStyle w:val="ListParagraph"/>
              <w:keepNext/>
              <w:keepLines/>
              <w:numPr>
                <w:ilvl w:val="0"/>
                <w:numId w:val="20"/>
              </w:numPr>
              <w:suppressAutoHyphens/>
              <w:ind w:left="432" w:hanging="274"/>
              <w:rPr>
                <w:rFonts w:cs="Arial"/>
                <w:sz w:val="20"/>
                <w:szCs w:val="20"/>
              </w:rPr>
            </w:pPr>
            <w:r w:rsidRPr="00040AA9">
              <w:rPr>
                <w:rFonts w:cs="Arial"/>
                <w:sz w:val="20"/>
                <w:szCs w:val="20"/>
              </w:rPr>
              <w:t>Strengthening tax policy and administration</w:t>
            </w:r>
          </w:p>
        </w:tc>
      </w:tr>
      <w:tr w:rsidR="00521837" w:rsidRPr="00AD28B7" w14:paraId="77028597" w14:textId="77777777" w:rsidTr="00113746">
        <w:trPr>
          <w:jc w:val="center"/>
        </w:trPr>
        <w:tc>
          <w:tcPr>
            <w:tcW w:w="4675" w:type="dxa"/>
            <w:tcBorders>
              <w:top w:val="nil"/>
              <w:left w:val="nil"/>
              <w:bottom w:val="dotted" w:sz="4" w:space="0" w:color="auto"/>
              <w:right w:val="nil"/>
            </w:tcBorders>
          </w:tcPr>
          <w:p w14:paraId="1D262FDE" w14:textId="13844E9C" w:rsidR="00521837" w:rsidRPr="00040AA9" w:rsidRDefault="00521837" w:rsidP="00040AA9">
            <w:pPr>
              <w:pStyle w:val="ListParagraph"/>
              <w:numPr>
                <w:ilvl w:val="0"/>
                <w:numId w:val="23"/>
              </w:numPr>
              <w:suppressAutoHyphens/>
              <w:ind w:left="432"/>
              <w:rPr>
                <w:rFonts w:cs="Arial"/>
                <w:sz w:val="20"/>
                <w:szCs w:val="20"/>
              </w:rPr>
            </w:pPr>
            <w:r w:rsidRPr="00040AA9">
              <w:rPr>
                <w:rFonts w:cs="Arial"/>
                <w:sz w:val="20"/>
                <w:szCs w:val="20"/>
              </w:rPr>
              <w:t>strengthening revenue collection</w:t>
            </w:r>
          </w:p>
        </w:tc>
        <w:tc>
          <w:tcPr>
            <w:tcW w:w="4775" w:type="dxa"/>
            <w:vMerge/>
            <w:tcBorders>
              <w:top w:val="nil"/>
              <w:left w:val="nil"/>
              <w:bottom w:val="dotted" w:sz="4" w:space="0" w:color="auto"/>
              <w:right w:val="nil"/>
            </w:tcBorders>
            <w:vAlign w:val="center"/>
          </w:tcPr>
          <w:p w14:paraId="5D072AD1" w14:textId="77777777" w:rsidR="00521837" w:rsidRPr="00040AA9" w:rsidRDefault="00521837" w:rsidP="00040AA9">
            <w:pPr>
              <w:keepNext/>
              <w:keepLines/>
              <w:suppressAutoHyphens/>
              <w:ind w:left="432" w:hanging="180"/>
              <w:rPr>
                <w:rFonts w:ascii="Arial" w:hAnsi="Arial" w:cs="Arial"/>
                <w:sz w:val="20"/>
                <w:szCs w:val="20"/>
              </w:rPr>
            </w:pPr>
          </w:p>
        </w:tc>
      </w:tr>
      <w:tr w:rsidR="00BE4E1D" w:rsidRPr="00AD28B7" w14:paraId="73661217" w14:textId="77777777" w:rsidTr="00113746">
        <w:trPr>
          <w:trHeight w:val="494"/>
          <w:jc w:val="center"/>
        </w:trPr>
        <w:tc>
          <w:tcPr>
            <w:tcW w:w="4675" w:type="dxa"/>
            <w:tcBorders>
              <w:top w:val="dotted" w:sz="4" w:space="0" w:color="auto"/>
              <w:left w:val="nil"/>
              <w:bottom w:val="dotted" w:sz="4" w:space="0" w:color="auto"/>
              <w:right w:val="nil"/>
            </w:tcBorders>
          </w:tcPr>
          <w:p w14:paraId="76102EFB" w14:textId="55C87B15" w:rsidR="00BE4E1D" w:rsidRPr="00040AA9" w:rsidRDefault="00066FFD" w:rsidP="00040AA9">
            <w:pPr>
              <w:pStyle w:val="ListParagraph"/>
              <w:numPr>
                <w:ilvl w:val="0"/>
                <w:numId w:val="23"/>
              </w:numPr>
              <w:suppressAutoHyphens/>
              <w:ind w:left="432"/>
              <w:rPr>
                <w:rFonts w:cs="Arial"/>
                <w:sz w:val="20"/>
                <w:szCs w:val="20"/>
              </w:rPr>
            </w:pPr>
            <w:r w:rsidRPr="00040AA9">
              <w:rPr>
                <w:rFonts w:cs="Arial"/>
                <w:sz w:val="20"/>
                <w:szCs w:val="20"/>
              </w:rPr>
              <w:t>enhancing the control over budgetary expenditure</w:t>
            </w:r>
          </w:p>
        </w:tc>
        <w:tc>
          <w:tcPr>
            <w:tcW w:w="4775" w:type="dxa"/>
            <w:tcBorders>
              <w:top w:val="dotted" w:sz="4" w:space="0" w:color="auto"/>
              <w:left w:val="nil"/>
              <w:bottom w:val="dotted" w:sz="4" w:space="0" w:color="auto"/>
              <w:right w:val="nil"/>
            </w:tcBorders>
            <w:vAlign w:val="center"/>
          </w:tcPr>
          <w:p w14:paraId="65E73EEE" w14:textId="0726A841" w:rsidR="00BE4E1D" w:rsidRPr="00040AA9" w:rsidRDefault="00DC7A8D" w:rsidP="00040AA9">
            <w:pPr>
              <w:pStyle w:val="p1"/>
              <w:numPr>
                <w:ilvl w:val="0"/>
                <w:numId w:val="20"/>
              </w:numPr>
              <w:suppressAutoHyphens/>
              <w:ind w:left="432" w:hanging="274"/>
              <w:rPr>
                <w:rFonts w:ascii="Arial" w:hAnsi="Arial" w:cs="Arial"/>
                <w:sz w:val="20"/>
                <w:szCs w:val="20"/>
              </w:rPr>
            </w:pPr>
            <w:r w:rsidRPr="00040AA9">
              <w:rPr>
                <w:rFonts w:ascii="Arial" w:hAnsi="Arial" w:cs="Arial"/>
                <w:sz w:val="20"/>
                <w:szCs w:val="20"/>
              </w:rPr>
              <w:t>Rationalization of expenditure</w:t>
            </w:r>
          </w:p>
        </w:tc>
      </w:tr>
      <w:tr w:rsidR="0037085A" w:rsidRPr="00AD28B7" w14:paraId="4A7CA65A" w14:textId="77777777" w:rsidTr="00113746">
        <w:trPr>
          <w:trHeight w:val="458"/>
          <w:jc w:val="center"/>
        </w:trPr>
        <w:tc>
          <w:tcPr>
            <w:tcW w:w="4675" w:type="dxa"/>
            <w:tcBorders>
              <w:top w:val="dotted" w:sz="4" w:space="0" w:color="auto"/>
              <w:left w:val="nil"/>
              <w:bottom w:val="dotted" w:sz="4" w:space="0" w:color="auto"/>
              <w:right w:val="nil"/>
            </w:tcBorders>
          </w:tcPr>
          <w:p w14:paraId="4A9B890F" w14:textId="6DE18F03" w:rsidR="0037085A" w:rsidRPr="00040AA9" w:rsidRDefault="00041E99" w:rsidP="00040AA9">
            <w:pPr>
              <w:pStyle w:val="ListParagraph"/>
              <w:numPr>
                <w:ilvl w:val="0"/>
                <w:numId w:val="23"/>
              </w:numPr>
              <w:suppressAutoHyphens/>
              <w:ind w:left="432"/>
              <w:rPr>
                <w:rFonts w:cs="Arial"/>
                <w:sz w:val="20"/>
                <w:szCs w:val="20"/>
              </w:rPr>
            </w:pPr>
            <w:r w:rsidRPr="00040AA9">
              <w:rPr>
                <w:rFonts w:cs="Arial"/>
                <w:sz w:val="20"/>
                <w:szCs w:val="20"/>
              </w:rPr>
              <w:t xml:space="preserve">improving the fiscal sustainability of the </w:t>
            </w:r>
            <w:r w:rsidR="00725EF6">
              <w:rPr>
                <w:rFonts w:cs="Arial"/>
                <w:sz w:val="20"/>
                <w:szCs w:val="20"/>
              </w:rPr>
              <w:t>NIS</w:t>
            </w:r>
          </w:p>
        </w:tc>
        <w:tc>
          <w:tcPr>
            <w:tcW w:w="4775" w:type="dxa"/>
            <w:tcBorders>
              <w:top w:val="dotted" w:sz="4" w:space="0" w:color="auto"/>
              <w:left w:val="nil"/>
              <w:bottom w:val="dotted" w:sz="4" w:space="0" w:color="auto"/>
              <w:right w:val="nil"/>
            </w:tcBorders>
            <w:vAlign w:val="center"/>
          </w:tcPr>
          <w:p w14:paraId="4BE5D080" w14:textId="6AF9C27C" w:rsidR="0037085A" w:rsidRPr="00040AA9" w:rsidRDefault="00041E99" w:rsidP="00040AA9">
            <w:pPr>
              <w:pStyle w:val="ListParagraph"/>
              <w:keepNext/>
              <w:keepLines/>
              <w:numPr>
                <w:ilvl w:val="0"/>
                <w:numId w:val="20"/>
              </w:numPr>
              <w:suppressAutoHyphens/>
              <w:ind w:left="432" w:hanging="274"/>
              <w:jc w:val="both"/>
              <w:rPr>
                <w:rFonts w:cs="Arial"/>
                <w:sz w:val="20"/>
                <w:szCs w:val="20"/>
              </w:rPr>
            </w:pPr>
            <w:r w:rsidRPr="00040AA9">
              <w:rPr>
                <w:rFonts w:cs="Arial"/>
                <w:sz w:val="20"/>
                <w:szCs w:val="20"/>
              </w:rPr>
              <w:t>Ensuring fiscal sustainability of the NIS</w:t>
            </w:r>
          </w:p>
        </w:tc>
      </w:tr>
      <w:tr w:rsidR="0037085A" w:rsidRPr="00AD28B7" w14:paraId="2E13C338" w14:textId="77777777" w:rsidTr="00113746">
        <w:trPr>
          <w:jc w:val="center"/>
        </w:trPr>
        <w:tc>
          <w:tcPr>
            <w:tcW w:w="4675" w:type="dxa"/>
            <w:tcBorders>
              <w:top w:val="dotted" w:sz="4" w:space="0" w:color="auto"/>
              <w:left w:val="nil"/>
              <w:bottom w:val="dotted" w:sz="4" w:space="0" w:color="auto"/>
              <w:right w:val="nil"/>
            </w:tcBorders>
          </w:tcPr>
          <w:p w14:paraId="2B069B18" w14:textId="42D64078" w:rsidR="0037085A" w:rsidRPr="00040AA9" w:rsidRDefault="000F7AA9" w:rsidP="00040AA9">
            <w:pPr>
              <w:pStyle w:val="ListParagraph"/>
              <w:suppressAutoHyphens/>
              <w:ind w:left="162"/>
              <w:rPr>
                <w:rFonts w:cs="Arial"/>
                <w:sz w:val="20"/>
                <w:szCs w:val="20"/>
              </w:rPr>
            </w:pPr>
            <w:r w:rsidRPr="00040AA9">
              <w:rPr>
                <w:rFonts w:cs="Arial"/>
                <w:sz w:val="20"/>
                <w:szCs w:val="20"/>
              </w:rPr>
              <w:t>(v) strengthening the FRF</w:t>
            </w:r>
          </w:p>
        </w:tc>
        <w:tc>
          <w:tcPr>
            <w:tcW w:w="4775" w:type="dxa"/>
            <w:tcBorders>
              <w:top w:val="dotted" w:sz="4" w:space="0" w:color="auto"/>
              <w:left w:val="nil"/>
              <w:bottom w:val="dotted" w:sz="4" w:space="0" w:color="auto"/>
              <w:right w:val="nil"/>
            </w:tcBorders>
            <w:vAlign w:val="center"/>
          </w:tcPr>
          <w:p w14:paraId="3778BDBD" w14:textId="4CB33728" w:rsidR="0037085A" w:rsidRPr="00040AA9" w:rsidRDefault="000F7AA9" w:rsidP="00040AA9">
            <w:pPr>
              <w:pStyle w:val="ListParagraph"/>
              <w:keepNext/>
              <w:keepLines/>
              <w:numPr>
                <w:ilvl w:val="0"/>
                <w:numId w:val="20"/>
              </w:numPr>
              <w:suppressAutoHyphens/>
              <w:ind w:left="432" w:hanging="274"/>
              <w:jc w:val="both"/>
              <w:rPr>
                <w:rFonts w:cs="Arial"/>
                <w:sz w:val="20"/>
                <w:szCs w:val="20"/>
              </w:rPr>
            </w:pPr>
            <w:r w:rsidRPr="00040AA9">
              <w:rPr>
                <w:rFonts w:cs="Arial"/>
                <w:sz w:val="20"/>
                <w:szCs w:val="20"/>
              </w:rPr>
              <w:t xml:space="preserve">Strengthening the </w:t>
            </w:r>
            <w:r w:rsidR="00F47851">
              <w:rPr>
                <w:rFonts w:cs="Arial"/>
                <w:sz w:val="20"/>
                <w:szCs w:val="20"/>
              </w:rPr>
              <w:t>F</w:t>
            </w:r>
            <w:r w:rsidRPr="00040AA9">
              <w:rPr>
                <w:rFonts w:cs="Arial"/>
                <w:sz w:val="20"/>
                <w:szCs w:val="20"/>
              </w:rPr>
              <w:t>RF</w:t>
            </w:r>
          </w:p>
        </w:tc>
      </w:tr>
    </w:tbl>
    <w:p w14:paraId="169191A0" w14:textId="77777777" w:rsidR="009B4D7A" w:rsidRPr="00040AA9" w:rsidRDefault="009B4D7A" w:rsidP="00040AA9">
      <w:pPr>
        <w:pStyle w:val="Heading3"/>
        <w:keepNext w:val="0"/>
        <w:keepLines w:val="0"/>
        <w:numPr>
          <w:ilvl w:val="0"/>
          <w:numId w:val="6"/>
        </w:numPr>
        <w:suppressAutoHyphens/>
        <w:spacing w:before="240" w:after="120"/>
        <w:jc w:val="both"/>
        <w:rPr>
          <w:szCs w:val="22"/>
        </w:rPr>
      </w:pPr>
      <w:bookmarkStart w:id="17" w:name="_Toc469493898"/>
      <w:r w:rsidRPr="00040AA9">
        <w:rPr>
          <w:szCs w:val="22"/>
        </w:rPr>
        <w:t>Results Achieved</w:t>
      </w:r>
      <w:bookmarkEnd w:id="17"/>
    </w:p>
    <w:p w14:paraId="335856EE" w14:textId="47F90634" w:rsidR="00851F95" w:rsidRPr="00040AA9" w:rsidRDefault="00A15407" w:rsidP="00040AA9">
      <w:pPr>
        <w:suppressAutoHyphens/>
        <w:spacing w:before="120" w:after="120"/>
        <w:jc w:val="both"/>
        <w:rPr>
          <w:rFonts w:ascii="Arial" w:hAnsi="Arial" w:cs="Arial"/>
          <w:sz w:val="22"/>
          <w:szCs w:val="22"/>
        </w:rPr>
      </w:pPr>
      <w:r w:rsidRPr="00040AA9">
        <w:rPr>
          <w:rFonts w:ascii="Arial" w:hAnsi="Arial" w:cs="Arial"/>
          <w:sz w:val="22"/>
          <w:szCs w:val="22"/>
        </w:rPr>
        <w:t>The PCR Principles and Guidelines (OP-1242-5) were releas</w:t>
      </w:r>
      <w:r w:rsidR="000248D9" w:rsidRPr="00040AA9">
        <w:rPr>
          <w:rFonts w:ascii="Arial" w:hAnsi="Arial" w:cs="Arial"/>
          <w:sz w:val="22"/>
          <w:szCs w:val="22"/>
        </w:rPr>
        <w:t xml:space="preserve">ed in November 2016, one month </w:t>
      </w:r>
      <w:r w:rsidRPr="00040AA9">
        <w:rPr>
          <w:rFonts w:ascii="Arial" w:hAnsi="Arial" w:cs="Arial"/>
          <w:sz w:val="22"/>
          <w:szCs w:val="22"/>
        </w:rPr>
        <w:t xml:space="preserve">before the </w:t>
      </w:r>
      <w:r w:rsidR="00C833A9" w:rsidRPr="00040AA9">
        <w:rPr>
          <w:rFonts w:ascii="Arial" w:hAnsi="Arial" w:cs="Arial"/>
          <w:sz w:val="22"/>
          <w:szCs w:val="22"/>
        </w:rPr>
        <w:t xml:space="preserve">one </w:t>
      </w:r>
      <w:r w:rsidRPr="00040AA9">
        <w:rPr>
          <w:rFonts w:ascii="Arial" w:hAnsi="Arial" w:cs="Arial"/>
          <w:sz w:val="22"/>
          <w:szCs w:val="22"/>
        </w:rPr>
        <w:t>and only disbursement of the third loan (3880/OC-JA) in the three</w:t>
      </w:r>
      <w:r w:rsidR="00094C79">
        <w:rPr>
          <w:rFonts w:ascii="Arial" w:hAnsi="Arial" w:cs="Arial"/>
          <w:sz w:val="22"/>
          <w:szCs w:val="22"/>
        </w:rPr>
        <w:t>-</w:t>
      </w:r>
      <w:r w:rsidRPr="00040AA9">
        <w:rPr>
          <w:rFonts w:ascii="Arial" w:hAnsi="Arial" w:cs="Arial"/>
          <w:sz w:val="22"/>
          <w:szCs w:val="22"/>
        </w:rPr>
        <w:t>loan FISPEG series.</w:t>
      </w:r>
      <w:r w:rsidR="00BC6AC8" w:rsidRPr="00040AA9">
        <w:rPr>
          <w:rFonts w:ascii="Arial" w:hAnsi="Arial" w:cs="Arial"/>
          <w:sz w:val="22"/>
          <w:szCs w:val="22"/>
        </w:rPr>
        <w:t xml:space="preserve"> </w:t>
      </w:r>
      <w:r w:rsidR="003A2D06" w:rsidRPr="00040AA9">
        <w:rPr>
          <w:rFonts w:ascii="Arial" w:hAnsi="Arial" w:cs="Arial"/>
          <w:sz w:val="22"/>
          <w:szCs w:val="22"/>
        </w:rPr>
        <w:t>The prior edition o</w:t>
      </w:r>
      <w:r w:rsidR="00E65B5F" w:rsidRPr="00040AA9">
        <w:rPr>
          <w:rFonts w:ascii="Arial" w:hAnsi="Arial" w:cs="Arial"/>
          <w:sz w:val="22"/>
          <w:szCs w:val="22"/>
        </w:rPr>
        <w:t>f the Guidelines, OP-1242-3, was</w:t>
      </w:r>
      <w:r w:rsidR="003A2D06" w:rsidRPr="00040AA9">
        <w:rPr>
          <w:rFonts w:ascii="Arial" w:hAnsi="Arial" w:cs="Arial"/>
          <w:sz w:val="22"/>
          <w:szCs w:val="22"/>
        </w:rPr>
        <w:t xml:space="preserve"> issued in February 2015, more than one year after FISPEG II was presented to the Board.</w:t>
      </w:r>
      <w:r w:rsidR="000959DF" w:rsidRPr="00040AA9">
        <w:rPr>
          <w:rStyle w:val="FootnoteReference"/>
          <w:rFonts w:ascii="Arial" w:hAnsi="Arial" w:cs="Arial"/>
          <w:sz w:val="22"/>
          <w:szCs w:val="22"/>
        </w:rPr>
        <w:footnoteReference w:id="22"/>
      </w:r>
      <w:r w:rsidR="003A2D06" w:rsidRPr="00040AA9">
        <w:rPr>
          <w:rFonts w:ascii="Arial" w:hAnsi="Arial" w:cs="Arial"/>
          <w:sz w:val="22"/>
          <w:szCs w:val="22"/>
        </w:rPr>
        <w:t xml:space="preserve"> </w:t>
      </w:r>
      <w:r w:rsidR="00BC6AC8" w:rsidRPr="00040AA9">
        <w:rPr>
          <w:rFonts w:ascii="Arial" w:hAnsi="Arial" w:cs="Arial"/>
          <w:sz w:val="22"/>
          <w:szCs w:val="22"/>
        </w:rPr>
        <w:t>Th</w:t>
      </w:r>
      <w:r w:rsidR="00CE30A4" w:rsidRPr="00040AA9">
        <w:rPr>
          <w:rFonts w:ascii="Arial" w:hAnsi="Arial" w:cs="Arial"/>
          <w:sz w:val="22"/>
          <w:szCs w:val="22"/>
        </w:rPr>
        <w:t>us</w:t>
      </w:r>
      <w:r w:rsidR="00BC6AC8" w:rsidRPr="00040AA9">
        <w:rPr>
          <w:rFonts w:ascii="Arial" w:hAnsi="Arial" w:cs="Arial"/>
          <w:sz w:val="22"/>
          <w:szCs w:val="22"/>
        </w:rPr>
        <w:t xml:space="preserve"> </w:t>
      </w:r>
      <w:r w:rsidRPr="00040AA9">
        <w:rPr>
          <w:rFonts w:ascii="Arial" w:hAnsi="Arial" w:cs="Arial"/>
          <w:sz w:val="22"/>
          <w:szCs w:val="22"/>
        </w:rPr>
        <w:t xml:space="preserve">the </w:t>
      </w:r>
      <w:r w:rsidR="00BC6AC8" w:rsidRPr="00040AA9">
        <w:rPr>
          <w:rFonts w:ascii="Arial" w:hAnsi="Arial" w:cs="Arial"/>
          <w:sz w:val="22"/>
          <w:szCs w:val="22"/>
        </w:rPr>
        <w:t xml:space="preserve">preparation of the </w:t>
      </w:r>
      <w:r w:rsidRPr="00040AA9">
        <w:rPr>
          <w:rFonts w:ascii="Arial" w:hAnsi="Arial" w:cs="Arial"/>
          <w:sz w:val="22"/>
          <w:szCs w:val="22"/>
        </w:rPr>
        <w:t xml:space="preserve">three </w:t>
      </w:r>
      <w:r w:rsidR="00F47851">
        <w:rPr>
          <w:rFonts w:ascii="Arial" w:hAnsi="Arial" w:cs="Arial"/>
          <w:sz w:val="22"/>
          <w:szCs w:val="22"/>
        </w:rPr>
        <w:t>l</w:t>
      </w:r>
      <w:r w:rsidRPr="00040AA9">
        <w:rPr>
          <w:rFonts w:ascii="Arial" w:hAnsi="Arial" w:cs="Arial"/>
          <w:sz w:val="22"/>
          <w:szCs w:val="22"/>
        </w:rPr>
        <w:t xml:space="preserve">oan </w:t>
      </w:r>
      <w:r w:rsidR="00F47851">
        <w:rPr>
          <w:rFonts w:ascii="Arial" w:hAnsi="Arial" w:cs="Arial"/>
          <w:sz w:val="22"/>
          <w:szCs w:val="22"/>
        </w:rPr>
        <w:t>p</w:t>
      </w:r>
      <w:r w:rsidRPr="00040AA9">
        <w:rPr>
          <w:rFonts w:ascii="Arial" w:hAnsi="Arial" w:cs="Arial"/>
          <w:sz w:val="22"/>
          <w:szCs w:val="22"/>
        </w:rPr>
        <w:t>roposals did not benef</w:t>
      </w:r>
      <w:r w:rsidR="00BC6AC8" w:rsidRPr="00040AA9">
        <w:rPr>
          <w:rFonts w:ascii="Arial" w:hAnsi="Arial" w:cs="Arial"/>
          <w:sz w:val="22"/>
          <w:szCs w:val="22"/>
        </w:rPr>
        <w:t>it from the guidance provided by</w:t>
      </w:r>
      <w:r w:rsidRPr="00040AA9">
        <w:rPr>
          <w:rFonts w:ascii="Arial" w:hAnsi="Arial" w:cs="Arial"/>
          <w:sz w:val="22"/>
          <w:szCs w:val="22"/>
        </w:rPr>
        <w:t xml:space="preserve"> OP-1242-5</w:t>
      </w:r>
      <w:r w:rsidR="005D1F6F" w:rsidRPr="00040AA9">
        <w:rPr>
          <w:rFonts w:ascii="Arial" w:hAnsi="Arial" w:cs="Arial"/>
          <w:sz w:val="22"/>
          <w:szCs w:val="22"/>
        </w:rPr>
        <w:t xml:space="preserve"> or its predecessors</w:t>
      </w:r>
      <w:r w:rsidRPr="00040AA9">
        <w:rPr>
          <w:rFonts w:ascii="Arial" w:hAnsi="Arial" w:cs="Arial"/>
          <w:sz w:val="22"/>
          <w:szCs w:val="22"/>
        </w:rPr>
        <w:t xml:space="preserve"> </w:t>
      </w:r>
      <w:r w:rsidR="00BC6AC8" w:rsidRPr="00040AA9">
        <w:rPr>
          <w:rFonts w:ascii="Arial" w:hAnsi="Arial" w:cs="Arial"/>
          <w:sz w:val="22"/>
          <w:szCs w:val="22"/>
        </w:rPr>
        <w:t xml:space="preserve">on structure, content and </w:t>
      </w:r>
      <w:r w:rsidR="005E7A7E" w:rsidRPr="00040AA9">
        <w:rPr>
          <w:rFonts w:ascii="Arial" w:hAnsi="Arial" w:cs="Arial"/>
          <w:sz w:val="22"/>
          <w:szCs w:val="22"/>
        </w:rPr>
        <w:t>commonality</w:t>
      </w:r>
      <w:r w:rsidR="00BC6AC8" w:rsidRPr="00040AA9">
        <w:rPr>
          <w:rFonts w:ascii="Arial" w:hAnsi="Arial" w:cs="Arial"/>
          <w:sz w:val="22"/>
          <w:szCs w:val="22"/>
        </w:rPr>
        <w:t xml:space="preserve"> of </w:t>
      </w:r>
      <w:r w:rsidR="00F47851">
        <w:rPr>
          <w:rFonts w:ascii="Arial" w:hAnsi="Arial" w:cs="Arial"/>
          <w:sz w:val="22"/>
          <w:szCs w:val="22"/>
        </w:rPr>
        <w:t>RMs</w:t>
      </w:r>
      <w:r w:rsidR="00BC6AC8" w:rsidRPr="00040AA9">
        <w:rPr>
          <w:rFonts w:ascii="Arial" w:hAnsi="Arial" w:cs="Arial"/>
          <w:sz w:val="22"/>
          <w:szCs w:val="22"/>
        </w:rPr>
        <w:t xml:space="preserve"> </w:t>
      </w:r>
      <w:r w:rsidR="00851F95" w:rsidRPr="00040AA9">
        <w:rPr>
          <w:rFonts w:ascii="Arial" w:hAnsi="Arial" w:cs="Arial"/>
          <w:sz w:val="22"/>
          <w:szCs w:val="22"/>
        </w:rPr>
        <w:t xml:space="preserve">to be </w:t>
      </w:r>
      <w:r w:rsidR="00BC6AC8" w:rsidRPr="00040AA9">
        <w:rPr>
          <w:rFonts w:ascii="Arial" w:hAnsi="Arial" w:cs="Arial"/>
          <w:sz w:val="22"/>
          <w:szCs w:val="22"/>
        </w:rPr>
        <w:t xml:space="preserve">presented in the respective operations </w:t>
      </w:r>
      <w:r w:rsidR="007038C7" w:rsidRPr="00040AA9">
        <w:rPr>
          <w:rFonts w:ascii="Arial" w:hAnsi="Arial" w:cs="Arial"/>
          <w:sz w:val="22"/>
          <w:szCs w:val="22"/>
        </w:rPr>
        <w:t>of</w:t>
      </w:r>
      <w:r w:rsidR="00BC6AC8" w:rsidRPr="00040AA9">
        <w:rPr>
          <w:rFonts w:ascii="Arial" w:hAnsi="Arial" w:cs="Arial"/>
          <w:sz w:val="22"/>
          <w:szCs w:val="22"/>
        </w:rPr>
        <w:t xml:space="preserve"> a multistage P</w:t>
      </w:r>
      <w:r w:rsidR="00F47851">
        <w:rPr>
          <w:rFonts w:ascii="Arial" w:hAnsi="Arial" w:cs="Arial"/>
          <w:sz w:val="22"/>
          <w:szCs w:val="22"/>
        </w:rPr>
        <w:t>BP</w:t>
      </w:r>
      <w:r w:rsidR="00BC6AC8" w:rsidRPr="00040AA9">
        <w:rPr>
          <w:rFonts w:ascii="Arial" w:hAnsi="Arial" w:cs="Arial"/>
          <w:sz w:val="22"/>
          <w:szCs w:val="22"/>
        </w:rPr>
        <w:t>.</w:t>
      </w:r>
      <w:r w:rsidR="00A236B5" w:rsidRPr="00040AA9">
        <w:rPr>
          <w:rStyle w:val="FootnoteReference"/>
          <w:rFonts w:ascii="Arial" w:hAnsi="Arial" w:cs="Arial"/>
          <w:sz w:val="22"/>
          <w:szCs w:val="22"/>
        </w:rPr>
        <w:footnoteReference w:id="23"/>
      </w:r>
      <w:r w:rsidR="00BC6AC8" w:rsidRPr="00040AA9">
        <w:rPr>
          <w:rFonts w:ascii="Arial" w:hAnsi="Arial" w:cs="Arial"/>
          <w:sz w:val="22"/>
          <w:szCs w:val="22"/>
        </w:rPr>
        <w:t xml:space="preserve"> </w:t>
      </w:r>
      <w:r w:rsidR="00304782" w:rsidRPr="00040AA9">
        <w:rPr>
          <w:rFonts w:ascii="Arial" w:hAnsi="Arial" w:cs="Arial"/>
          <w:sz w:val="22"/>
          <w:szCs w:val="22"/>
        </w:rPr>
        <w:t>Consequently</w:t>
      </w:r>
      <w:r w:rsidR="00BC6AC8" w:rsidRPr="00040AA9">
        <w:rPr>
          <w:rFonts w:ascii="Arial" w:hAnsi="Arial" w:cs="Arial"/>
          <w:sz w:val="22"/>
          <w:szCs w:val="22"/>
        </w:rPr>
        <w:t xml:space="preserve">, while the statement of </w:t>
      </w:r>
      <w:r w:rsidR="00851F95" w:rsidRPr="00040AA9">
        <w:rPr>
          <w:rFonts w:ascii="Arial" w:hAnsi="Arial" w:cs="Arial"/>
          <w:sz w:val="22"/>
          <w:szCs w:val="22"/>
        </w:rPr>
        <w:t>FISPEG</w:t>
      </w:r>
      <w:r w:rsidR="00BC6AC8" w:rsidRPr="00040AA9">
        <w:rPr>
          <w:rFonts w:ascii="Arial" w:hAnsi="Arial" w:cs="Arial"/>
          <w:sz w:val="22"/>
          <w:szCs w:val="22"/>
        </w:rPr>
        <w:t xml:space="preserve"> objectives is identical in the three </w:t>
      </w:r>
      <w:r w:rsidR="00F47851">
        <w:rPr>
          <w:rFonts w:ascii="Arial" w:hAnsi="Arial" w:cs="Arial"/>
          <w:sz w:val="22"/>
          <w:szCs w:val="22"/>
        </w:rPr>
        <w:t>l</w:t>
      </w:r>
      <w:r w:rsidR="00BC6AC8" w:rsidRPr="00040AA9">
        <w:rPr>
          <w:rFonts w:ascii="Arial" w:hAnsi="Arial" w:cs="Arial"/>
          <w:sz w:val="22"/>
          <w:szCs w:val="22"/>
        </w:rPr>
        <w:t xml:space="preserve">oan </w:t>
      </w:r>
      <w:r w:rsidR="00F47851">
        <w:rPr>
          <w:rFonts w:ascii="Arial" w:hAnsi="Arial" w:cs="Arial"/>
          <w:sz w:val="22"/>
          <w:szCs w:val="22"/>
        </w:rPr>
        <w:t>p</w:t>
      </w:r>
      <w:r w:rsidR="00BC6AC8" w:rsidRPr="00040AA9">
        <w:rPr>
          <w:rFonts w:ascii="Arial" w:hAnsi="Arial" w:cs="Arial"/>
          <w:sz w:val="22"/>
          <w:szCs w:val="22"/>
        </w:rPr>
        <w:t xml:space="preserve">roposals and there is only a slight discrepancy in </w:t>
      </w:r>
      <w:r w:rsidR="00851F95" w:rsidRPr="00040AA9">
        <w:rPr>
          <w:rFonts w:ascii="Arial" w:hAnsi="Arial" w:cs="Arial"/>
          <w:sz w:val="22"/>
          <w:szCs w:val="22"/>
        </w:rPr>
        <w:t xml:space="preserve">the statement of </w:t>
      </w:r>
      <w:r w:rsidR="00BC6AC8" w:rsidRPr="00040AA9">
        <w:rPr>
          <w:rFonts w:ascii="Arial" w:hAnsi="Arial" w:cs="Arial"/>
          <w:sz w:val="22"/>
          <w:szCs w:val="22"/>
        </w:rPr>
        <w:t xml:space="preserve">intended Impacts, the respective RMs </w:t>
      </w:r>
      <w:r w:rsidR="00851F95" w:rsidRPr="00040AA9">
        <w:rPr>
          <w:rFonts w:ascii="Arial" w:hAnsi="Arial" w:cs="Arial"/>
          <w:sz w:val="22"/>
          <w:szCs w:val="22"/>
        </w:rPr>
        <w:t>for FISPEG I, II and III emphasize differing</w:t>
      </w:r>
      <w:r w:rsidR="00BC6AC8" w:rsidRPr="00040AA9">
        <w:rPr>
          <w:rFonts w:ascii="Arial" w:hAnsi="Arial" w:cs="Arial"/>
          <w:sz w:val="22"/>
          <w:szCs w:val="22"/>
        </w:rPr>
        <w:t xml:space="preserve"> </w:t>
      </w:r>
      <w:r w:rsidR="00851F95" w:rsidRPr="00040AA9">
        <w:rPr>
          <w:rFonts w:ascii="Arial" w:hAnsi="Arial" w:cs="Arial"/>
          <w:sz w:val="22"/>
          <w:szCs w:val="22"/>
        </w:rPr>
        <w:t xml:space="preserve">outcomes and outputs of the program. These </w:t>
      </w:r>
      <w:r w:rsidR="00183489" w:rsidRPr="00040AA9">
        <w:rPr>
          <w:rFonts w:ascii="Arial" w:hAnsi="Arial" w:cs="Arial"/>
          <w:sz w:val="22"/>
          <w:szCs w:val="22"/>
        </w:rPr>
        <w:t xml:space="preserve">separate </w:t>
      </w:r>
      <w:r w:rsidR="00851F95" w:rsidRPr="00040AA9">
        <w:rPr>
          <w:rFonts w:ascii="Arial" w:hAnsi="Arial" w:cs="Arial"/>
          <w:sz w:val="22"/>
          <w:szCs w:val="22"/>
        </w:rPr>
        <w:t>RMs also may treat the same outcome and/or output somewhat differently, by defining them differently or using different indicator</w:t>
      </w:r>
      <w:r w:rsidR="00EB6517" w:rsidRPr="00040AA9">
        <w:rPr>
          <w:rFonts w:ascii="Arial" w:hAnsi="Arial" w:cs="Arial"/>
          <w:sz w:val="22"/>
          <w:szCs w:val="22"/>
        </w:rPr>
        <w:t>s to measure their achievement.</w:t>
      </w:r>
      <w:r w:rsidR="00EB6517" w:rsidRPr="00040AA9">
        <w:rPr>
          <w:rStyle w:val="FootnoteReference"/>
          <w:rFonts w:ascii="Arial" w:hAnsi="Arial" w:cs="Arial"/>
          <w:sz w:val="22"/>
          <w:szCs w:val="22"/>
        </w:rPr>
        <w:footnoteReference w:id="24"/>
      </w:r>
      <w:r w:rsidR="00135603" w:rsidRPr="00040AA9">
        <w:rPr>
          <w:rFonts w:ascii="Arial" w:hAnsi="Arial" w:cs="Arial"/>
          <w:sz w:val="22"/>
          <w:szCs w:val="22"/>
        </w:rPr>
        <w:t xml:space="preserve"> </w:t>
      </w:r>
    </w:p>
    <w:p w14:paraId="31A3313A" w14:textId="63955DE7" w:rsidR="004C456A" w:rsidRPr="00040AA9" w:rsidRDefault="00851F95" w:rsidP="00040AA9">
      <w:pPr>
        <w:suppressAutoHyphens/>
        <w:spacing w:before="120" w:after="120"/>
        <w:jc w:val="both"/>
        <w:rPr>
          <w:rFonts w:ascii="Arial" w:hAnsi="Arial" w:cs="Arial"/>
          <w:sz w:val="22"/>
          <w:szCs w:val="22"/>
        </w:rPr>
      </w:pPr>
      <w:r w:rsidRPr="00040AA9">
        <w:rPr>
          <w:rFonts w:ascii="Arial" w:hAnsi="Arial" w:cs="Arial"/>
          <w:sz w:val="22"/>
          <w:szCs w:val="22"/>
        </w:rPr>
        <w:t>In order to be able to carry out the PCR of the FISPEG operation according to the Guidelines</w:t>
      </w:r>
      <w:r w:rsidR="00135603" w:rsidRPr="00040AA9">
        <w:rPr>
          <w:rFonts w:ascii="Arial" w:hAnsi="Arial" w:cs="Arial"/>
          <w:sz w:val="22"/>
          <w:szCs w:val="22"/>
        </w:rPr>
        <w:t xml:space="preserve"> (OP-1242-5</w:t>
      </w:r>
      <w:r w:rsidR="00196D2F" w:rsidRPr="009C40BB">
        <w:rPr>
          <w:rFonts w:ascii="Arial" w:hAnsi="Arial" w:cs="Arial"/>
          <w:sz w:val="22"/>
          <w:szCs w:val="22"/>
        </w:rPr>
        <w:t>), it</w:t>
      </w:r>
      <w:r w:rsidRPr="00040AA9">
        <w:rPr>
          <w:rFonts w:ascii="Arial" w:hAnsi="Arial" w:cs="Arial"/>
          <w:sz w:val="22"/>
          <w:szCs w:val="22"/>
        </w:rPr>
        <w:t xml:space="preserve"> was therefore necessary to develop </w:t>
      </w:r>
      <w:r w:rsidR="00A23A41" w:rsidRPr="00040AA9">
        <w:rPr>
          <w:rFonts w:ascii="Arial" w:hAnsi="Arial" w:cs="Arial"/>
          <w:sz w:val="22"/>
          <w:szCs w:val="22"/>
        </w:rPr>
        <w:t>ex</w:t>
      </w:r>
      <w:r w:rsidR="003C04AE">
        <w:rPr>
          <w:rFonts w:ascii="Arial" w:hAnsi="Arial" w:cs="Arial"/>
          <w:sz w:val="22"/>
          <w:szCs w:val="22"/>
        </w:rPr>
        <w:t>-</w:t>
      </w:r>
      <w:r w:rsidR="00A23A41" w:rsidRPr="00040AA9">
        <w:rPr>
          <w:rFonts w:ascii="Arial" w:hAnsi="Arial" w:cs="Arial"/>
          <w:sz w:val="22"/>
          <w:szCs w:val="22"/>
        </w:rPr>
        <w:t>post</w:t>
      </w:r>
      <w:r w:rsidRPr="00040AA9">
        <w:rPr>
          <w:rFonts w:ascii="Arial" w:hAnsi="Arial" w:cs="Arial"/>
          <w:sz w:val="22"/>
          <w:szCs w:val="22"/>
        </w:rPr>
        <w:t xml:space="preserve"> a consolidated R</w:t>
      </w:r>
      <w:r w:rsidR="00F47851">
        <w:rPr>
          <w:rFonts w:ascii="Arial" w:hAnsi="Arial" w:cs="Arial"/>
          <w:sz w:val="22"/>
          <w:szCs w:val="22"/>
        </w:rPr>
        <w:t>M</w:t>
      </w:r>
      <w:r w:rsidRPr="00040AA9">
        <w:rPr>
          <w:rFonts w:ascii="Arial" w:hAnsi="Arial" w:cs="Arial"/>
          <w:sz w:val="22"/>
          <w:szCs w:val="22"/>
        </w:rPr>
        <w:t xml:space="preserve"> in which th</w:t>
      </w:r>
      <w:r w:rsidR="00305FC1" w:rsidRPr="00040AA9">
        <w:rPr>
          <w:rFonts w:ascii="Arial" w:hAnsi="Arial" w:cs="Arial"/>
          <w:sz w:val="22"/>
          <w:szCs w:val="22"/>
        </w:rPr>
        <w:t xml:space="preserve">e </w:t>
      </w:r>
      <w:r w:rsidR="00F47851">
        <w:rPr>
          <w:rFonts w:ascii="Arial" w:hAnsi="Arial" w:cs="Arial"/>
          <w:sz w:val="22"/>
          <w:szCs w:val="22"/>
        </w:rPr>
        <w:t>i</w:t>
      </w:r>
      <w:r w:rsidR="00305FC1" w:rsidRPr="00040AA9">
        <w:rPr>
          <w:rFonts w:ascii="Arial" w:hAnsi="Arial" w:cs="Arial"/>
          <w:sz w:val="22"/>
          <w:szCs w:val="22"/>
        </w:rPr>
        <w:t xml:space="preserve">mpacts, </w:t>
      </w:r>
      <w:r w:rsidR="00F47851">
        <w:rPr>
          <w:rFonts w:ascii="Arial" w:hAnsi="Arial" w:cs="Arial"/>
          <w:sz w:val="22"/>
          <w:szCs w:val="22"/>
        </w:rPr>
        <w:t>o</w:t>
      </w:r>
      <w:r w:rsidR="00305FC1" w:rsidRPr="00040AA9">
        <w:rPr>
          <w:rFonts w:ascii="Arial" w:hAnsi="Arial" w:cs="Arial"/>
          <w:sz w:val="22"/>
          <w:szCs w:val="22"/>
        </w:rPr>
        <w:t xml:space="preserve">utcomes and </w:t>
      </w:r>
      <w:r w:rsidR="00F47851">
        <w:rPr>
          <w:rFonts w:ascii="Arial" w:hAnsi="Arial" w:cs="Arial"/>
          <w:sz w:val="22"/>
          <w:szCs w:val="22"/>
        </w:rPr>
        <w:t>o</w:t>
      </w:r>
      <w:r w:rsidR="00305FC1" w:rsidRPr="00040AA9">
        <w:rPr>
          <w:rFonts w:ascii="Arial" w:hAnsi="Arial" w:cs="Arial"/>
          <w:sz w:val="22"/>
          <w:szCs w:val="22"/>
        </w:rPr>
        <w:t xml:space="preserve">utputs </w:t>
      </w:r>
      <w:r w:rsidR="00A23A41" w:rsidRPr="00040AA9">
        <w:rPr>
          <w:rFonts w:ascii="Arial" w:hAnsi="Arial" w:cs="Arial"/>
          <w:sz w:val="22"/>
          <w:szCs w:val="22"/>
        </w:rPr>
        <w:t xml:space="preserve">and their associated indicators from </w:t>
      </w:r>
      <w:r w:rsidR="00305FC1" w:rsidRPr="00040AA9">
        <w:rPr>
          <w:rFonts w:ascii="Arial" w:hAnsi="Arial" w:cs="Arial"/>
          <w:sz w:val="22"/>
          <w:szCs w:val="22"/>
        </w:rPr>
        <w:t xml:space="preserve">each of the three </w:t>
      </w:r>
      <w:r w:rsidR="00F47851" w:rsidRPr="009C40BB">
        <w:rPr>
          <w:rFonts w:ascii="Arial" w:hAnsi="Arial" w:cs="Arial"/>
          <w:sz w:val="22"/>
          <w:szCs w:val="22"/>
        </w:rPr>
        <w:t>operations</w:t>
      </w:r>
      <w:r w:rsidR="00F47851">
        <w:rPr>
          <w:rFonts w:ascii="Arial" w:hAnsi="Arial" w:cs="Arial"/>
          <w:sz w:val="22"/>
          <w:szCs w:val="22"/>
        </w:rPr>
        <w:t xml:space="preserve"> </w:t>
      </w:r>
      <w:r w:rsidR="00A23A41" w:rsidRPr="00040AA9">
        <w:rPr>
          <w:rFonts w:ascii="Arial" w:hAnsi="Arial" w:cs="Arial"/>
          <w:sz w:val="22"/>
          <w:szCs w:val="22"/>
        </w:rPr>
        <w:t xml:space="preserve">specific RMs </w:t>
      </w:r>
      <w:r w:rsidR="00C33FD3" w:rsidRPr="00040AA9">
        <w:rPr>
          <w:rFonts w:ascii="Arial" w:hAnsi="Arial" w:cs="Arial"/>
          <w:sz w:val="22"/>
          <w:szCs w:val="22"/>
        </w:rPr>
        <w:t>were</w:t>
      </w:r>
      <w:r w:rsidR="00A23A41" w:rsidRPr="00040AA9">
        <w:rPr>
          <w:rFonts w:ascii="Arial" w:hAnsi="Arial" w:cs="Arial"/>
          <w:sz w:val="22"/>
          <w:szCs w:val="22"/>
        </w:rPr>
        <w:t xml:space="preserve"> incorporated. </w:t>
      </w:r>
      <w:r w:rsidR="00A23A41" w:rsidRPr="00547221">
        <w:rPr>
          <w:rFonts w:ascii="Arial" w:hAnsi="Arial" w:cs="Arial"/>
          <w:sz w:val="22"/>
          <w:szCs w:val="22"/>
        </w:rPr>
        <w:t xml:space="preserve">Table 2 below is this consolidated matrix and </w:t>
      </w:r>
      <w:r w:rsidR="00C33FD3" w:rsidRPr="00547221">
        <w:rPr>
          <w:rFonts w:ascii="Arial" w:hAnsi="Arial" w:cs="Arial"/>
          <w:sz w:val="22"/>
          <w:szCs w:val="22"/>
        </w:rPr>
        <w:t>is homologous to the RM in</w:t>
      </w:r>
      <w:r w:rsidR="00A23A41" w:rsidRPr="00547221">
        <w:rPr>
          <w:rFonts w:ascii="Arial" w:hAnsi="Arial" w:cs="Arial"/>
          <w:sz w:val="22"/>
          <w:szCs w:val="22"/>
        </w:rPr>
        <w:t xml:space="preserve"> Convergence.</w:t>
      </w:r>
      <w:r w:rsidR="000D24E3" w:rsidRPr="00547221">
        <w:rPr>
          <w:rStyle w:val="FootnoteReference"/>
          <w:rFonts w:ascii="Arial" w:hAnsi="Arial" w:cs="Arial"/>
          <w:sz w:val="22"/>
          <w:szCs w:val="22"/>
        </w:rPr>
        <w:footnoteReference w:id="25"/>
      </w:r>
      <w:r w:rsidR="00A23A41" w:rsidRPr="00547221">
        <w:rPr>
          <w:rFonts w:ascii="Arial" w:hAnsi="Arial" w:cs="Arial"/>
          <w:sz w:val="22"/>
          <w:szCs w:val="22"/>
        </w:rPr>
        <w:t xml:space="preserve"> </w:t>
      </w:r>
      <w:r w:rsidR="002D3419" w:rsidRPr="00547221">
        <w:rPr>
          <w:rFonts w:ascii="Arial" w:hAnsi="Arial" w:cs="Arial"/>
          <w:sz w:val="22"/>
          <w:szCs w:val="22"/>
        </w:rPr>
        <w:t xml:space="preserve">It follows </w:t>
      </w:r>
      <w:r w:rsidR="00B73A52" w:rsidRPr="00547221">
        <w:rPr>
          <w:rFonts w:ascii="Arial" w:hAnsi="Arial" w:cs="Arial"/>
          <w:sz w:val="22"/>
          <w:szCs w:val="22"/>
        </w:rPr>
        <w:t>the</w:t>
      </w:r>
      <w:r w:rsidR="00B73A52" w:rsidRPr="00040AA9">
        <w:rPr>
          <w:rFonts w:ascii="Arial" w:hAnsi="Arial" w:cs="Arial"/>
          <w:sz w:val="22"/>
          <w:szCs w:val="22"/>
        </w:rPr>
        <w:t xml:space="preserve"> </w:t>
      </w:r>
      <w:r w:rsidR="00FF7412" w:rsidRPr="00040AA9">
        <w:rPr>
          <w:rFonts w:ascii="Arial" w:hAnsi="Arial" w:cs="Arial"/>
          <w:sz w:val="22"/>
          <w:szCs w:val="22"/>
        </w:rPr>
        <w:t xml:space="preserve">structure of the </w:t>
      </w:r>
      <w:r w:rsidR="00B73A52" w:rsidRPr="00040AA9">
        <w:rPr>
          <w:rFonts w:ascii="Arial" w:hAnsi="Arial" w:cs="Arial"/>
          <w:sz w:val="22"/>
          <w:szCs w:val="22"/>
        </w:rPr>
        <w:t xml:space="preserve">original three </w:t>
      </w:r>
      <w:r w:rsidR="00194533" w:rsidRPr="00040AA9">
        <w:rPr>
          <w:rFonts w:ascii="Arial" w:hAnsi="Arial" w:cs="Arial"/>
          <w:sz w:val="22"/>
          <w:szCs w:val="22"/>
        </w:rPr>
        <w:t xml:space="preserve">RMs </w:t>
      </w:r>
      <w:r w:rsidR="002D3419" w:rsidRPr="00040AA9">
        <w:rPr>
          <w:rFonts w:ascii="Arial" w:hAnsi="Arial" w:cs="Arial"/>
          <w:sz w:val="22"/>
          <w:szCs w:val="22"/>
        </w:rPr>
        <w:t xml:space="preserve">and groups </w:t>
      </w:r>
      <w:r w:rsidR="00F47851">
        <w:rPr>
          <w:rFonts w:ascii="Arial" w:hAnsi="Arial" w:cs="Arial"/>
          <w:sz w:val="22"/>
          <w:szCs w:val="22"/>
        </w:rPr>
        <w:t>o</w:t>
      </w:r>
      <w:r w:rsidR="00A94573" w:rsidRPr="00040AA9">
        <w:rPr>
          <w:rFonts w:ascii="Arial" w:hAnsi="Arial" w:cs="Arial"/>
          <w:sz w:val="22"/>
          <w:szCs w:val="22"/>
        </w:rPr>
        <w:t xml:space="preserve">utcomes and </w:t>
      </w:r>
      <w:r w:rsidR="00F47851">
        <w:rPr>
          <w:rFonts w:ascii="Arial" w:hAnsi="Arial" w:cs="Arial"/>
          <w:sz w:val="22"/>
          <w:szCs w:val="22"/>
        </w:rPr>
        <w:t>o</w:t>
      </w:r>
      <w:r w:rsidR="00C33FD3" w:rsidRPr="00040AA9">
        <w:rPr>
          <w:rFonts w:ascii="Arial" w:hAnsi="Arial" w:cs="Arial"/>
          <w:sz w:val="22"/>
          <w:szCs w:val="22"/>
        </w:rPr>
        <w:t xml:space="preserve">utputs </w:t>
      </w:r>
      <w:r w:rsidR="00067D63" w:rsidRPr="00040AA9">
        <w:rPr>
          <w:rFonts w:ascii="Arial" w:hAnsi="Arial" w:cs="Arial"/>
          <w:sz w:val="22"/>
          <w:szCs w:val="22"/>
        </w:rPr>
        <w:t xml:space="preserve">according to </w:t>
      </w:r>
      <w:r w:rsidR="00145FB2" w:rsidRPr="00040AA9">
        <w:rPr>
          <w:rFonts w:ascii="Arial" w:hAnsi="Arial" w:cs="Arial"/>
          <w:sz w:val="22"/>
          <w:szCs w:val="22"/>
        </w:rPr>
        <w:t xml:space="preserve">the </w:t>
      </w:r>
      <w:r w:rsidR="0048593C" w:rsidRPr="00040AA9">
        <w:rPr>
          <w:rFonts w:ascii="Arial" w:hAnsi="Arial" w:cs="Arial"/>
          <w:sz w:val="22"/>
          <w:szCs w:val="22"/>
        </w:rPr>
        <w:t xml:space="preserve">four </w:t>
      </w:r>
      <w:r w:rsidR="00EE6AB3" w:rsidRPr="00040AA9">
        <w:rPr>
          <w:rFonts w:ascii="Arial" w:hAnsi="Arial" w:cs="Arial"/>
          <w:sz w:val="22"/>
          <w:szCs w:val="22"/>
        </w:rPr>
        <w:t xml:space="preserve">operational components of the program (i.e. </w:t>
      </w:r>
      <w:r w:rsidR="00F47851">
        <w:rPr>
          <w:rFonts w:ascii="Arial" w:hAnsi="Arial" w:cs="Arial"/>
          <w:sz w:val="22"/>
          <w:szCs w:val="22"/>
        </w:rPr>
        <w:t>C</w:t>
      </w:r>
      <w:r w:rsidR="00FF7412" w:rsidRPr="00040AA9">
        <w:rPr>
          <w:rFonts w:ascii="Arial" w:hAnsi="Arial" w:cs="Arial"/>
          <w:sz w:val="22"/>
          <w:szCs w:val="22"/>
        </w:rPr>
        <w:t xml:space="preserve">omponents II through V and </w:t>
      </w:r>
      <w:r w:rsidR="00EE6AB3" w:rsidRPr="00040AA9">
        <w:rPr>
          <w:rFonts w:ascii="Arial" w:hAnsi="Arial" w:cs="Arial"/>
          <w:sz w:val="22"/>
          <w:szCs w:val="22"/>
        </w:rPr>
        <w:t>excluding the macroeconomic stability</w:t>
      </w:r>
      <w:r w:rsidR="00F47851">
        <w:rPr>
          <w:rFonts w:ascii="Arial" w:hAnsi="Arial" w:cs="Arial"/>
          <w:sz w:val="22"/>
          <w:szCs w:val="22"/>
        </w:rPr>
        <w:t xml:space="preserve"> C</w:t>
      </w:r>
      <w:r w:rsidR="006C32E9" w:rsidRPr="00040AA9">
        <w:rPr>
          <w:rFonts w:ascii="Arial" w:hAnsi="Arial" w:cs="Arial"/>
          <w:sz w:val="22"/>
          <w:szCs w:val="22"/>
        </w:rPr>
        <w:t xml:space="preserve">omponent </w:t>
      </w:r>
      <w:r w:rsidR="006F7030" w:rsidRPr="00040AA9">
        <w:rPr>
          <w:rFonts w:ascii="Arial" w:hAnsi="Arial" w:cs="Arial"/>
          <w:sz w:val="22"/>
          <w:szCs w:val="22"/>
        </w:rPr>
        <w:t>I)</w:t>
      </w:r>
      <w:r w:rsidR="00FF7412" w:rsidRPr="00040AA9">
        <w:rPr>
          <w:rFonts w:ascii="Arial" w:hAnsi="Arial" w:cs="Arial"/>
          <w:sz w:val="22"/>
          <w:szCs w:val="22"/>
        </w:rPr>
        <w:t>.</w:t>
      </w:r>
      <w:r w:rsidR="006F7030" w:rsidRPr="00040AA9">
        <w:rPr>
          <w:rFonts w:ascii="Arial" w:hAnsi="Arial" w:cs="Arial"/>
          <w:sz w:val="22"/>
          <w:szCs w:val="22"/>
        </w:rPr>
        <w:t xml:space="preserve"> </w:t>
      </w:r>
      <w:r w:rsidR="00FF7412" w:rsidRPr="00040AA9">
        <w:rPr>
          <w:rFonts w:ascii="Arial" w:hAnsi="Arial" w:cs="Arial"/>
          <w:sz w:val="22"/>
          <w:szCs w:val="22"/>
        </w:rPr>
        <w:t>W</w:t>
      </w:r>
      <w:r w:rsidR="004C71D7" w:rsidRPr="00040AA9">
        <w:rPr>
          <w:rFonts w:ascii="Arial" w:hAnsi="Arial" w:cs="Arial"/>
          <w:sz w:val="22"/>
          <w:szCs w:val="22"/>
        </w:rPr>
        <w:t xml:space="preserve">ithin </w:t>
      </w:r>
      <w:r w:rsidR="00E600D3" w:rsidRPr="00040AA9">
        <w:rPr>
          <w:rFonts w:ascii="Arial" w:hAnsi="Arial" w:cs="Arial"/>
          <w:sz w:val="22"/>
          <w:szCs w:val="22"/>
        </w:rPr>
        <w:t xml:space="preserve">each of </w:t>
      </w:r>
      <w:r w:rsidR="0028585A" w:rsidRPr="00040AA9">
        <w:rPr>
          <w:rFonts w:ascii="Arial" w:hAnsi="Arial" w:cs="Arial"/>
          <w:sz w:val="22"/>
          <w:szCs w:val="22"/>
        </w:rPr>
        <w:t>these c</w:t>
      </w:r>
      <w:r w:rsidR="00243D70" w:rsidRPr="00040AA9">
        <w:rPr>
          <w:rFonts w:ascii="Arial" w:hAnsi="Arial" w:cs="Arial"/>
          <w:sz w:val="22"/>
          <w:szCs w:val="22"/>
        </w:rPr>
        <w:t xml:space="preserve">omponents </w:t>
      </w:r>
      <w:r w:rsidR="0028585A" w:rsidRPr="00040AA9">
        <w:rPr>
          <w:rFonts w:ascii="Arial" w:hAnsi="Arial" w:cs="Arial"/>
          <w:sz w:val="22"/>
          <w:szCs w:val="22"/>
        </w:rPr>
        <w:t>every attempt wa</w:t>
      </w:r>
      <w:r w:rsidR="00D87778" w:rsidRPr="00040AA9">
        <w:rPr>
          <w:rFonts w:ascii="Arial" w:hAnsi="Arial" w:cs="Arial"/>
          <w:sz w:val="22"/>
          <w:szCs w:val="22"/>
        </w:rPr>
        <w:t xml:space="preserve">s made to </w:t>
      </w:r>
      <w:r w:rsidR="00502B52" w:rsidRPr="00040AA9">
        <w:rPr>
          <w:rFonts w:ascii="Arial" w:hAnsi="Arial" w:cs="Arial"/>
          <w:sz w:val="22"/>
          <w:szCs w:val="22"/>
        </w:rPr>
        <w:t xml:space="preserve">group </w:t>
      </w:r>
      <w:r w:rsidR="00FA4D5A" w:rsidRPr="00040AA9">
        <w:rPr>
          <w:rFonts w:ascii="Arial" w:hAnsi="Arial" w:cs="Arial"/>
          <w:sz w:val="22"/>
          <w:szCs w:val="22"/>
        </w:rPr>
        <w:t>similar</w:t>
      </w:r>
      <w:r w:rsidR="005D3124" w:rsidRPr="00040AA9">
        <w:rPr>
          <w:rFonts w:ascii="Arial" w:hAnsi="Arial" w:cs="Arial"/>
          <w:sz w:val="22"/>
          <w:szCs w:val="22"/>
        </w:rPr>
        <w:t xml:space="preserve"> outcomes and</w:t>
      </w:r>
      <w:r w:rsidR="00FA4D5A" w:rsidRPr="00040AA9">
        <w:rPr>
          <w:rFonts w:ascii="Arial" w:hAnsi="Arial" w:cs="Arial"/>
          <w:sz w:val="22"/>
          <w:szCs w:val="22"/>
        </w:rPr>
        <w:t xml:space="preserve"> outputs together</w:t>
      </w:r>
      <w:r w:rsidR="00D434FC" w:rsidRPr="00040AA9">
        <w:rPr>
          <w:rFonts w:ascii="Arial" w:hAnsi="Arial" w:cs="Arial"/>
          <w:sz w:val="22"/>
          <w:szCs w:val="22"/>
        </w:rPr>
        <w:t>.</w:t>
      </w:r>
      <w:r w:rsidR="00E93A93" w:rsidRPr="00040AA9">
        <w:rPr>
          <w:rFonts w:ascii="Arial" w:hAnsi="Arial" w:cs="Arial"/>
          <w:sz w:val="22"/>
          <w:szCs w:val="22"/>
        </w:rPr>
        <w:t xml:space="preserve"> </w:t>
      </w:r>
      <w:r w:rsidR="0010306C" w:rsidRPr="00040AA9">
        <w:rPr>
          <w:rFonts w:ascii="Arial" w:hAnsi="Arial" w:cs="Arial"/>
          <w:sz w:val="22"/>
          <w:szCs w:val="22"/>
        </w:rPr>
        <w:t xml:space="preserve">The first column of </w:t>
      </w:r>
      <w:r w:rsidR="00CC7B4D" w:rsidRPr="00040AA9">
        <w:rPr>
          <w:rFonts w:ascii="Arial" w:hAnsi="Arial" w:cs="Arial"/>
          <w:sz w:val="22"/>
          <w:szCs w:val="22"/>
        </w:rPr>
        <w:t>Table 2</w:t>
      </w:r>
      <w:r w:rsidR="0010306C" w:rsidRPr="00040AA9">
        <w:rPr>
          <w:rFonts w:ascii="Arial" w:hAnsi="Arial" w:cs="Arial"/>
          <w:sz w:val="22"/>
          <w:szCs w:val="22"/>
        </w:rPr>
        <w:t xml:space="preserve"> identifies each indicator </w:t>
      </w:r>
      <w:r w:rsidR="000E5121" w:rsidRPr="00040AA9">
        <w:rPr>
          <w:rFonts w:ascii="Arial" w:hAnsi="Arial" w:cs="Arial"/>
          <w:sz w:val="22"/>
          <w:szCs w:val="22"/>
        </w:rPr>
        <w:t>by using its</w:t>
      </w:r>
      <w:r w:rsidR="0010306C" w:rsidRPr="00040AA9">
        <w:rPr>
          <w:rFonts w:ascii="Arial" w:hAnsi="Arial" w:cs="Arial"/>
          <w:sz w:val="22"/>
          <w:szCs w:val="22"/>
        </w:rPr>
        <w:t xml:space="preserve"> original wording </w:t>
      </w:r>
      <w:r w:rsidR="000E5121" w:rsidRPr="00040AA9">
        <w:rPr>
          <w:rFonts w:ascii="Arial" w:hAnsi="Arial" w:cs="Arial"/>
          <w:sz w:val="22"/>
          <w:szCs w:val="22"/>
        </w:rPr>
        <w:t xml:space="preserve">and </w:t>
      </w:r>
      <w:r w:rsidR="00950169" w:rsidRPr="00040AA9">
        <w:rPr>
          <w:rFonts w:ascii="Arial" w:hAnsi="Arial" w:cs="Arial"/>
          <w:sz w:val="22"/>
          <w:szCs w:val="22"/>
        </w:rPr>
        <w:t>cross references</w:t>
      </w:r>
      <w:r w:rsidR="000E5121" w:rsidRPr="00040AA9">
        <w:rPr>
          <w:rFonts w:ascii="Arial" w:hAnsi="Arial" w:cs="Arial"/>
          <w:sz w:val="22"/>
          <w:szCs w:val="22"/>
        </w:rPr>
        <w:t xml:space="preserve"> the corresponding indicator number in</w:t>
      </w:r>
      <w:r w:rsidR="0010306C" w:rsidRPr="00040AA9">
        <w:rPr>
          <w:rFonts w:ascii="Arial" w:hAnsi="Arial" w:cs="Arial"/>
          <w:sz w:val="22"/>
          <w:szCs w:val="22"/>
        </w:rPr>
        <w:t xml:space="preserve"> the original RMs of FISPEG I, II,</w:t>
      </w:r>
      <w:r w:rsidR="000E5121" w:rsidRPr="00040AA9">
        <w:rPr>
          <w:rFonts w:ascii="Arial" w:hAnsi="Arial" w:cs="Arial"/>
          <w:sz w:val="22"/>
          <w:szCs w:val="22"/>
        </w:rPr>
        <w:t xml:space="preserve"> </w:t>
      </w:r>
      <w:r w:rsidR="0010306C" w:rsidRPr="00040AA9">
        <w:rPr>
          <w:rFonts w:ascii="Arial" w:hAnsi="Arial" w:cs="Arial"/>
          <w:sz w:val="22"/>
          <w:szCs w:val="22"/>
        </w:rPr>
        <w:t>and III respectively</w:t>
      </w:r>
      <w:r w:rsidR="00430C3A" w:rsidRPr="00040AA9">
        <w:rPr>
          <w:rFonts w:ascii="Arial" w:hAnsi="Arial" w:cs="Arial"/>
          <w:sz w:val="22"/>
          <w:szCs w:val="22"/>
        </w:rPr>
        <w:t xml:space="preserve">. In the case of </w:t>
      </w:r>
      <w:r w:rsidR="00F47851">
        <w:rPr>
          <w:rFonts w:ascii="Arial" w:hAnsi="Arial" w:cs="Arial"/>
          <w:sz w:val="22"/>
          <w:szCs w:val="22"/>
        </w:rPr>
        <w:t>o</w:t>
      </w:r>
      <w:r w:rsidR="00430C3A" w:rsidRPr="00040AA9">
        <w:rPr>
          <w:rFonts w:ascii="Arial" w:hAnsi="Arial" w:cs="Arial"/>
          <w:sz w:val="22"/>
          <w:szCs w:val="22"/>
        </w:rPr>
        <w:t xml:space="preserve">utput indicators, the section in the corresponding loan contract is also </w:t>
      </w:r>
      <w:r w:rsidR="00950169" w:rsidRPr="00040AA9">
        <w:rPr>
          <w:rFonts w:ascii="Arial" w:hAnsi="Arial" w:cs="Arial"/>
          <w:sz w:val="22"/>
          <w:szCs w:val="22"/>
        </w:rPr>
        <w:t>cross</w:t>
      </w:r>
      <w:r w:rsidR="00F47851">
        <w:rPr>
          <w:rFonts w:ascii="Arial" w:hAnsi="Arial" w:cs="Arial"/>
          <w:sz w:val="22"/>
          <w:szCs w:val="22"/>
        </w:rPr>
        <w:t xml:space="preserve"> </w:t>
      </w:r>
      <w:r w:rsidR="00950169" w:rsidRPr="00040AA9">
        <w:rPr>
          <w:rFonts w:ascii="Arial" w:hAnsi="Arial" w:cs="Arial"/>
          <w:sz w:val="22"/>
          <w:szCs w:val="22"/>
        </w:rPr>
        <w:t>referenced</w:t>
      </w:r>
      <w:r w:rsidR="00430C3A" w:rsidRPr="00040AA9">
        <w:rPr>
          <w:rFonts w:ascii="Arial" w:hAnsi="Arial" w:cs="Arial"/>
          <w:sz w:val="22"/>
          <w:szCs w:val="22"/>
        </w:rPr>
        <w:t>.</w:t>
      </w:r>
      <w:r w:rsidR="00950169" w:rsidRPr="00040AA9">
        <w:rPr>
          <w:rFonts w:ascii="Arial" w:hAnsi="Arial" w:cs="Arial"/>
          <w:sz w:val="22"/>
          <w:szCs w:val="22"/>
        </w:rPr>
        <w:t xml:space="preserve"> </w:t>
      </w:r>
      <w:r w:rsidR="00E93A93" w:rsidRPr="00040AA9">
        <w:rPr>
          <w:rFonts w:ascii="Arial" w:hAnsi="Arial" w:cs="Arial"/>
          <w:sz w:val="22"/>
          <w:szCs w:val="22"/>
        </w:rPr>
        <w:t xml:space="preserve">The </w:t>
      </w:r>
      <w:r w:rsidR="00196D2F" w:rsidRPr="009C40BB">
        <w:rPr>
          <w:rFonts w:ascii="Arial" w:hAnsi="Arial" w:cs="Arial"/>
          <w:sz w:val="22"/>
          <w:szCs w:val="22"/>
        </w:rPr>
        <w:t>resulting consolidated</w:t>
      </w:r>
      <w:r w:rsidR="00E93A93" w:rsidRPr="00040AA9">
        <w:rPr>
          <w:rFonts w:ascii="Arial" w:hAnsi="Arial" w:cs="Arial"/>
          <w:sz w:val="22"/>
          <w:szCs w:val="22"/>
        </w:rPr>
        <w:t xml:space="preserve"> RM has </w:t>
      </w:r>
      <w:r w:rsidR="00725D33" w:rsidRPr="00040AA9">
        <w:rPr>
          <w:rFonts w:ascii="Arial" w:hAnsi="Arial" w:cs="Arial"/>
          <w:sz w:val="22"/>
          <w:szCs w:val="22"/>
        </w:rPr>
        <w:t xml:space="preserve">a total of 44 </w:t>
      </w:r>
      <w:r w:rsidR="00FF7412" w:rsidRPr="00040AA9">
        <w:rPr>
          <w:rFonts w:ascii="Arial" w:hAnsi="Arial" w:cs="Arial"/>
          <w:sz w:val="22"/>
          <w:szCs w:val="22"/>
        </w:rPr>
        <w:t xml:space="preserve">results in the categories of </w:t>
      </w:r>
      <w:r w:rsidR="00725D33" w:rsidRPr="00040AA9">
        <w:rPr>
          <w:rFonts w:ascii="Arial" w:hAnsi="Arial" w:cs="Arial"/>
          <w:sz w:val="22"/>
          <w:szCs w:val="22"/>
        </w:rPr>
        <w:t xml:space="preserve">impact, outcome and output </w:t>
      </w:r>
      <w:r w:rsidR="00FF7412" w:rsidRPr="00040AA9">
        <w:rPr>
          <w:rFonts w:ascii="Arial" w:hAnsi="Arial" w:cs="Arial"/>
          <w:sz w:val="22"/>
          <w:szCs w:val="22"/>
        </w:rPr>
        <w:t>and</w:t>
      </w:r>
      <w:r w:rsidR="00725D33" w:rsidRPr="00040AA9">
        <w:rPr>
          <w:rFonts w:ascii="Arial" w:hAnsi="Arial" w:cs="Arial"/>
          <w:sz w:val="22"/>
          <w:szCs w:val="22"/>
        </w:rPr>
        <w:t xml:space="preserve"> a combined total of 80 indicators to quantify these </w:t>
      </w:r>
      <w:r w:rsidR="008701E0" w:rsidRPr="00040AA9">
        <w:rPr>
          <w:rFonts w:ascii="Arial" w:hAnsi="Arial" w:cs="Arial"/>
          <w:sz w:val="22"/>
          <w:szCs w:val="22"/>
        </w:rPr>
        <w:t>results</w:t>
      </w:r>
      <w:r w:rsidR="00AF7A28" w:rsidRPr="00040AA9">
        <w:rPr>
          <w:rFonts w:ascii="Arial" w:hAnsi="Arial" w:cs="Arial"/>
          <w:sz w:val="22"/>
          <w:szCs w:val="22"/>
        </w:rPr>
        <w:t>, t</w:t>
      </w:r>
      <w:r w:rsidR="003F23F8" w:rsidRPr="00040AA9">
        <w:rPr>
          <w:rFonts w:ascii="Arial" w:hAnsi="Arial" w:cs="Arial"/>
          <w:sz w:val="22"/>
          <w:szCs w:val="22"/>
        </w:rPr>
        <w:t>he distribution of</w:t>
      </w:r>
      <w:r w:rsidR="00AF7A28" w:rsidRPr="00040AA9">
        <w:rPr>
          <w:rFonts w:ascii="Arial" w:hAnsi="Arial" w:cs="Arial"/>
          <w:sz w:val="22"/>
          <w:szCs w:val="22"/>
        </w:rPr>
        <w:t xml:space="preserve"> which</w:t>
      </w:r>
      <w:r w:rsidR="003F23F8" w:rsidRPr="00040AA9">
        <w:rPr>
          <w:rFonts w:ascii="Arial" w:hAnsi="Arial" w:cs="Arial"/>
          <w:sz w:val="22"/>
          <w:szCs w:val="22"/>
        </w:rPr>
        <w:t xml:space="preserve"> is displayed in </w:t>
      </w:r>
      <w:r w:rsidR="003F23F8" w:rsidRPr="003C04AE">
        <w:rPr>
          <w:rFonts w:ascii="Arial" w:hAnsi="Arial" w:cs="Arial"/>
          <w:sz w:val="22"/>
          <w:szCs w:val="22"/>
        </w:rPr>
        <w:t xml:space="preserve">Table </w:t>
      </w:r>
      <w:r w:rsidR="00830797" w:rsidRPr="003C04AE">
        <w:rPr>
          <w:rFonts w:ascii="Arial" w:hAnsi="Arial" w:cs="Arial"/>
          <w:sz w:val="22"/>
          <w:szCs w:val="22"/>
        </w:rPr>
        <w:t>B</w:t>
      </w:r>
      <w:r w:rsidR="00830797" w:rsidRPr="00040AA9">
        <w:rPr>
          <w:rFonts w:ascii="Arial" w:hAnsi="Arial" w:cs="Arial"/>
          <w:sz w:val="22"/>
          <w:szCs w:val="22"/>
        </w:rPr>
        <w:t xml:space="preserve"> </w:t>
      </w:r>
      <w:r w:rsidR="003F23F8" w:rsidRPr="00040AA9">
        <w:rPr>
          <w:rFonts w:ascii="Arial" w:hAnsi="Arial" w:cs="Arial"/>
          <w:sz w:val="22"/>
          <w:szCs w:val="22"/>
        </w:rPr>
        <w:t>below</w:t>
      </w:r>
      <w:r w:rsidR="004C456A" w:rsidRPr="00040AA9">
        <w:rPr>
          <w:rFonts w:ascii="Arial" w:hAnsi="Arial" w:cs="Arial"/>
          <w:sz w:val="22"/>
          <w:szCs w:val="22"/>
        </w:rPr>
        <w:t>.</w:t>
      </w:r>
    </w:p>
    <w:p w14:paraId="0E7C1A2C" w14:textId="15145EF3" w:rsidR="009B02C5" w:rsidRDefault="004C456A" w:rsidP="007156D7">
      <w:pPr>
        <w:suppressAutoHyphens/>
        <w:spacing w:before="120" w:after="120"/>
        <w:jc w:val="both"/>
        <w:rPr>
          <w:rFonts w:ascii="Arial" w:hAnsi="Arial" w:cs="Arial"/>
          <w:sz w:val="22"/>
          <w:szCs w:val="22"/>
        </w:rPr>
      </w:pPr>
      <w:r w:rsidRPr="00040AA9">
        <w:rPr>
          <w:rFonts w:ascii="Arial" w:hAnsi="Arial" w:cs="Arial"/>
          <w:sz w:val="22"/>
          <w:szCs w:val="22"/>
        </w:rPr>
        <w:t>It should be noted that</w:t>
      </w:r>
      <w:r w:rsidR="00C03516" w:rsidRPr="00040AA9">
        <w:rPr>
          <w:rFonts w:ascii="Arial" w:hAnsi="Arial" w:cs="Arial"/>
          <w:sz w:val="22"/>
          <w:szCs w:val="22"/>
        </w:rPr>
        <w:t xml:space="preserve"> End of Program (EOP) data</w:t>
      </w:r>
      <w:r w:rsidRPr="00040AA9">
        <w:rPr>
          <w:rFonts w:ascii="Arial" w:hAnsi="Arial" w:cs="Arial"/>
          <w:sz w:val="22"/>
          <w:szCs w:val="22"/>
        </w:rPr>
        <w:t xml:space="preserve"> </w:t>
      </w:r>
      <w:r w:rsidR="00C03516" w:rsidRPr="00040AA9">
        <w:rPr>
          <w:rFonts w:ascii="Arial" w:hAnsi="Arial" w:cs="Arial"/>
          <w:sz w:val="22"/>
          <w:szCs w:val="22"/>
        </w:rPr>
        <w:t xml:space="preserve">for </w:t>
      </w:r>
      <w:r w:rsidR="00196D2F">
        <w:rPr>
          <w:rFonts w:ascii="Arial" w:hAnsi="Arial" w:cs="Arial"/>
          <w:sz w:val="22"/>
          <w:szCs w:val="22"/>
        </w:rPr>
        <w:t>six</w:t>
      </w:r>
      <w:r w:rsidR="00C03516" w:rsidRPr="00040AA9">
        <w:rPr>
          <w:rFonts w:ascii="Arial" w:hAnsi="Arial" w:cs="Arial"/>
          <w:sz w:val="22"/>
          <w:szCs w:val="22"/>
        </w:rPr>
        <w:t xml:space="preserve"> of the </w:t>
      </w:r>
      <w:r w:rsidR="009B02C5">
        <w:rPr>
          <w:rFonts w:ascii="Arial" w:hAnsi="Arial" w:cs="Arial"/>
          <w:sz w:val="22"/>
          <w:szCs w:val="22"/>
        </w:rPr>
        <w:t>o</w:t>
      </w:r>
      <w:r w:rsidR="00C03516" w:rsidRPr="00040AA9">
        <w:rPr>
          <w:rFonts w:ascii="Arial" w:hAnsi="Arial" w:cs="Arial"/>
          <w:sz w:val="22"/>
          <w:szCs w:val="22"/>
        </w:rPr>
        <w:t>utcome indicators</w:t>
      </w:r>
      <w:r w:rsidR="003C04AE">
        <w:rPr>
          <w:rFonts w:ascii="Arial" w:hAnsi="Arial" w:cs="Arial"/>
          <w:sz w:val="22"/>
          <w:szCs w:val="22"/>
        </w:rPr>
        <w:t xml:space="preserve"> and one output indicator</w:t>
      </w:r>
      <w:r w:rsidR="00C03516" w:rsidRPr="00040AA9">
        <w:rPr>
          <w:rFonts w:ascii="Arial" w:hAnsi="Arial" w:cs="Arial"/>
          <w:sz w:val="22"/>
          <w:szCs w:val="22"/>
        </w:rPr>
        <w:t xml:space="preserve"> </w:t>
      </w:r>
      <w:r w:rsidR="006B0A58" w:rsidRPr="00040AA9">
        <w:rPr>
          <w:rFonts w:ascii="Arial" w:hAnsi="Arial" w:cs="Arial"/>
          <w:sz w:val="22"/>
          <w:szCs w:val="22"/>
        </w:rPr>
        <w:t xml:space="preserve">were unavailable and therefore their degree of achievement could not be assessed. </w:t>
      </w:r>
      <w:r w:rsidR="009B02C5">
        <w:rPr>
          <w:rFonts w:ascii="Arial" w:hAnsi="Arial" w:cs="Arial"/>
          <w:sz w:val="22"/>
          <w:szCs w:val="22"/>
        </w:rPr>
        <w:br w:type="page"/>
      </w:r>
    </w:p>
    <w:p w14:paraId="502E5D34" w14:textId="74406039" w:rsidR="00725D33" w:rsidRPr="00040AA9" w:rsidRDefault="00982680" w:rsidP="00040AA9">
      <w:pPr>
        <w:widowControl w:val="0"/>
        <w:suppressAutoHyphens/>
        <w:jc w:val="center"/>
        <w:rPr>
          <w:rFonts w:ascii="Arial" w:hAnsi="Arial" w:cs="Arial"/>
          <w:b/>
          <w:sz w:val="20"/>
          <w:szCs w:val="20"/>
        </w:rPr>
      </w:pPr>
      <w:r w:rsidRPr="00040AA9">
        <w:rPr>
          <w:rFonts w:ascii="Arial" w:hAnsi="Arial" w:cs="Arial"/>
          <w:b/>
          <w:sz w:val="20"/>
          <w:szCs w:val="20"/>
        </w:rPr>
        <w:t xml:space="preserve">Table </w:t>
      </w:r>
      <w:r w:rsidR="00854E45">
        <w:rPr>
          <w:rFonts w:ascii="Arial" w:hAnsi="Arial" w:cs="Arial"/>
          <w:b/>
          <w:sz w:val="20"/>
          <w:szCs w:val="20"/>
        </w:rPr>
        <w:t>B</w:t>
      </w:r>
    </w:p>
    <w:p w14:paraId="2F2A1291" w14:textId="34D40180" w:rsidR="00982680" w:rsidRPr="00040AA9" w:rsidRDefault="00982680" w:rsidP="00040AA9">
      <w:pPr>
        <w:widowControl w:val="0"/>
        <w:suppressAutoHyphens/>
        <w:spacing w:after="120"/>
        <w:jc w:val="center"/>
        <w:rPr>
          <w:rFonts w:ascii="Arial" w:hAnsi="Arial" w:cs="Arial"/>
          <w:sz w:val="22"/>
          <w:szCs w:val="22"/>
        </w:rPr>
      </w:pPr>
      <w:r w:rsidRPr="00040AA9">
        <w:rPr>
          <w:rFonts w:ascii="Arial" w:hAnsi="Arial" w:cs="Arial"/>
          <w:b/>
          <w:sz w:val="20"/>
          <w:szCs w:val="20"/>
        </w:rPr>
        <w:t xml:space="preserve">Tally </w:t>
      </w:r>
      <w:r w:rsidR="0097533A" w:rsidRPr="00040AA9">
        <w:rPr>
          <w:rFonts w:ascii="Arial" w:hAnsi="Arial" w:cs="Arial"/>
          <w:b/>
          <w:sz w:val="20"/>
          <w:szCs w:val="20"/>
        </w:rPr>
        <w:t>of Total Number of Results Measured and Indicators Used to Quantify Them</w:t>
      </w:r>
    </w:p>
    <w:tbl>
      <w:tblPr>
        <w:tblStyle w:val="TableGrid"/>
        <w:tblW w:w="7513" w:type="dxa"/>
        <w:jc w:val="center"/>
        <w:tblLook w:val="04A0" w:firstRow="1" w:lastRow="0" w:firstColumn="1" w:lastColumn="0" w:noHBand="0" w:noVBand="1"/>
      </w:tblPr>
      <w:tblGrid>
        <w:gridCol w:w="1967"/>
        <w:gridCol w:w="2950"/>
        <w:gridCol w:w="2596"/>
      </w:tblGrid>
      <w:tr w:rsidR="00C64D02" w:rsidRPr="00BF076D" w14:paraId="78C3E362" w14:textId="58855494" w:rsidTr="00C64D02">
        <w:trPr>
          <w:trHeight w:val="422"/>
          <w:tblHeader/>
          <w:jc w:val="center"/>
        </w:trPr>
        <w:tc>
          <w:tcPr>
            <w:tcW w:w="1967" w:type="dxa"/>
            <w:shd w:val="clear" w:color="auto" w:fill="D9D9D9" w:themeFill="background1" w:themeFillShade="D9"/>
          </w:tcPr>
          <w:p w14:paraId="33CB0D66" w14:textId="21ED6000" w:rsidR="00BF076D" w:rsidRPr="00BF076D" w:rsidRDefault="0070209C" w:rsidP="00040AA9">
            <w:pPr>
              <w:widowControl w:val="0"/>
              <w:suppressAutoHyphens/>
              <w:rPr>
                <w:rFonts w:ascii="Arial" w:hAnsi="Arial" w:cs="Arial"/>
                <w:b/>
                <w:sz w:val="20"/>
                <w:szCs w:val="20"/>
              </w:rPr>
            </w:pPr>
            <w:r w:rsidRPr="00040AA9">
              <w:rPr>
                <w:rFonts w:ascii="Arial" w:hAnsi="Arial" w:cs="Arial"/>
                <w:b/>
                <w:sz w:val="20"/>
                <w:szCs w:val="20"/>
              </w:rPr>
              <w:t>Categor</w:t>
            </w:r>
            <w:r w:rsidR="006B7728" w:rsidRPr="00040AA9">
              <w:rPr>
                <w:rFonts w:ascii="Arial" w:hAnsi="Arial" w:cs="Arial"/>
                <w:b/>
                <w:sz w:val="20"/>
                <w:szCs w:val="20"/>
              </w:rPr>
              <w:t>y</w:t>
            </w:r>
            <w:r w:rsidR="00196D2F" w:rsidRPr="00BF076D">
              <w:rPr>
                <w:rFonts w:ascii="Arial" w:hAnsi="Arial" w:cs="Arial"/>
                <w:b/>
                <w:sz w:val="20"/>
                <w:szCs w:val="20"/>
              </w:rPr>
              <w:t xml:space="preserve"> </w:t>
            </w:r>
            <w:r w:rsidR="006B7728" w:rsidRPr="00040AA9">
              <w:rPr>
                <w:rFonts w:ascii="Arial" w:hAnsi="Arial" w:cs="Arial"/>
                <w:b/>
                <w:sz w:val="20"/>
                <w:szCs w:val="20"/>
              </w:rPr>
              <w:t>by</w:t>
            </w:r>
          </w:p>
          <w:p w14:paraId="3B85179A" w14:textId="2A88A336" w:rsidR="0070209C" w:rsidRPr="00040AA9" w:rsidRDefault="006E1856" w:rsidP="00040AA9">
            <w:pPr>
              <w:widowControl w:val="0"/>
              <w:suppressAutoHyphens/>
              <w:rPr>
                <w:rFonts w:ascii="Arial" w:hAnsi="Arial" w:cs="Arial"/>
                <w:b/>
                <w:sz w:val="20"/>
                <w:szCs w:val="20"/>
                <w:u w:val="single"/>
              </w:rPr>
            </w:pPr>
            <w:r w:rsidRPr="00040AA9">
              <w:rPr>
                <w:rFonts w:ascii="Arial" w:hAnsi="Arial" w:cs="Arial"/>
                <w:b/>
                <w:sz w:val="20"/>
                <w:szCs w:val="20"/>
              </w:rPr>
              <w:t>Component</w:t>
            </w:r>
          </w:p>
        </w:tc>
        <w:tc>
          <w:tcPr>
            <w:tcW w:w="2950" w:type="dxa"/>
            <w:shd w:val="clear" w:color="auto" w:fill="D9D9D9" w:themeFill="background1" w:themeFillShade="D9"/>
          </w:tcPr>
          <w:p w14:paraId="7BE7440F" w14:textId="34751C72" w:rsidR="0070209C" w:rsidRPr="00040AA9" w:rsidRDefault="0070209C" w:rsidP="00040AA9">
            <w:pPr>
              <w:widowControl w:val="0"/>
              <w:suppressAutoHyphens/>
              <w:rPr>
                <w:rFonts w:ascii="Arial" w:hAnsi="Arial" w:cs="Arial"/>
                <w:b/>
                <w:sz w:val="20"/>
                <w:szCs w:val="20"/>
              </w:rPr>
            </w:pPr>
            <w:r w:rsidRPr="00040AA9">
              <w:rPr>
                <w:rFonts w:ascii="Arial" w:hAnsi="Arial" w:cs="Arial"/>
                <w:b/>
                <w:sz w:val="20"/>
                <w:szCs w:val="20"/>
              </w:rPr>
              <w:t>Number of Results</w:t>
            </w:r>
            <w:r w:rsidR="00B63340" w:rsidRPr="00040AA9">
              <w:rPr>
                <w:rFonts w:ascii="Arial" w:hAnsi="Arial" w:cs="Arial"/>
                <w:b/>
                <w:sz w:val="20"/>
                <w:szCs w:val="20"/>
              </w:rPr>
              <w:t>/Products</w:t>
            </w:r>
            <w:r w:rsidR="006B7728" w:rsidRPr="00040AA9">
              <w:rPr>
                <w:rFonts w:ascii="Arial" w:hAnsi="Arial" w:cs="Arial"/>
                <w:b/>
                <w:sz w:val="20"/>
                <w:szCs w:val="20"/>
              </w:rPr>
              <w:t xml:space="preserve"> </w:t>
            </w:r>
            <w:r w:rsidR="003E6B16" w:rsidRPr="00040AA9">
              <w:rPr>
                <w:rFonts w:ascii="Arial" w:hAnsi="Arial" w:cs="Arial"/>
                <w:b/>
                <w:sz w:val="20"/>
                <w:szCs w:val="20"/>
              </w:rPr>
              <w:t xml:space="preserve">in </w:t>
            </w:r>
            <w:r w:rsidRPr="00040AA9">
              <w:rPr>
                <w:rFonts w:ascii="Arial" w:hAnsi="Arial" w:cs="Arial"/>
                <w:b/>
                <w:sz w:val="20"/>
                <w:szCs w:val="20"/>
              </w:rPr>
              <w:t>each category</w:t>
            </w:r>
            <w:r w:rsidR="00BF306C" w:rsidRPr="00040AA9">
              <w:rPr>
                <w:rStyle w:val="FootnoteReference"/>
                <w:rFonts w:ascii="Arial" w:hAnsi="Arial" w:cs="Arial"/>
                <w:b/>
                <w:sz w:val="20"/>
                <w:szCs w:val="20"/>
              </w:rPr>
              <w:footnoteReference w:id="26"/>
            </w:r>
          </w:p>
        </w:tc>
        <w:tc>
          <w:tcPr>
            <w:tcW w:w="2596" w:type="dxa"/>
            <w:shd w:val="clear" w:color="auto" w:fill="D9D9D9" w:themeFill="background1" w:themeFillShade="D9"/>
          </w:tcPr>
          <w:p w14:paraId="479D3630" w14:textId="56EA25D5" w:rsidR="0070209C" w:rsidRPr="00040AA9" w:rsidRDefault="0070209C" w:rsidP="00040AA9">
            <w:pPr>
              <w:widowControl w:val="0"/>
              <w:suppressAutoHyphens/>
              <w:rPr>
                <w:rFonts w:ascii="Arial" w:hAnsi="Arial" w:cs="Arial"/>
                <w:b/>
                <w:sz w:val="20"/>
                <w:szCs w:val="20"/>
              </w:rPr>
            </w:pPr>
            <w:r w:rsidRPr="00040AA9">
              <w:rPr>
                <w:rFonts w:ascii="Arial" w:hAnsi="Arial" w:cs="Arial"/>
                <w:b/>
                <w:sz w:val="20"/>
                <w:szCs w:val="20"/>
              </w:rPr>
              <w:t>Number of Indicators in each category</w:t>
            </w:r>
          </w:p>
        </w:tc>
      </w:tr>
      <w:tr w:rsidR="00BF076D" w:rsidRPr="00BF076D" w14:paraId="0EDA0ED7" w14:textId="77777777" w:rsidTr="00040AA9">
        <w:trPr>
          <w:trHeight w:val="270"/>
          <w:jc w:val="center"/>
        </w:trPr>
        <w:tc>
          <w:tcPr>
            <w:tcW w:w="7513" w:type="dxa"/>
            <w:gridSpan w:val="3"/>
          </w:tcPr>
          <w:p w14:paraId="327D6009" w14:textId="77777777" w:rsidR="00BF076D" w:rsidRPr="00BF076D" w:rsidRDefault="00BF076D">
            <w:pPr>
              <w:widowControl w:val="0"/>
              <w:suppressAutoHyphens/>
              <w:jc w:val="center"/>
              <w:rPr>
                <w:rFonts w:ascii="Arial" w:hAnsi="Arial" w:cs="Arial"/>
                <w:sz w:val="20"/>
                <w:szCs w:val="20"/>
              </w:rPr>
            </w:pPr>
          </w:p>
        </w:tc>
      </w:tr>
      <w:tr w:rsidR="00196D2F" w:rsidRPr="00BF076D" w14:paraId="48A90B01" w14:textId="15708F77" w:rsidTr="00040AA9">
        <w:trPr>
          <w:trHeight w:val="270"/>
          <w:jc w:val="center"/>
        </w:trPr>
        <w:tc>
          <w:tcPr>
            <w:tcW w:w="1967" w:type="dxa"/>
            <w:shd w:val="clear" w:color="auto" w:fill="DDD9C3" w:themeFill="background2" w:themeFillShade="E6"/>
          </w:tcPr>
          <w:p w14:paraId="371F12F2" w14:textId="57A300D1" w:rsidR="00196D2F" w:rsidRPr="00040AA9" w:rsidRDefault="00196D2F" w:rsidP="00040AA9">
            <w:pPr>
              <w:widowControl w:val="0"/>
              <w:suppressAutoHyphens/>
              <w:rPr>
                <w:rFonts w:ascii="Arial" w:hAnsi="Arial" w:cs="Arial"/>
                <w:sz w:val="20"/>
                <w:szCs w:val="20"/>
              </w:rPr>
            </w:pPr>
            <w:r w:rsidRPr="00040AA9">
              <w:rPr>
                <w:rFonts w:ascii="Arial" w:hAnsi="Arial" w:cs="Arial"/>
                <w:sz w:val="20"/>
                <w:szCs w:val="20"/>
              </w:rPr>
              <w:t xml:space="preserve">Impact </w:t>
            </w:r>
          </w:p>
        </w:tc>
        <w:tc>
          <w:tcPr>
            <w:tcW w:w="2950" w:type="dxa"/>
          </w:tcPr>
          <w:p w14:paraId="7CC82B7E" w14:textId="7A0AEC44"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2</w:t>
            </w:r>
          </w:p>
        </w:tc>
        <w:tc>
          <w:tcPr>
            <w:tcW w:w="2596" w:type="dxa"/>
          </w:tcPr>
          <w:p w14:paraId="06F5033B" w14:textId="3217D666"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2</w:t>
            </w:r>
          </w:p>
        </w:tc>
      </w:tr>
      <w:tr w:rsidR="00BF076D" w:rsidRPr="00BF076D" w14:paraId="0D96FE88" w14:textId="1F14ACE6" w:rsidTr="00040AA9">
        <w:trPr>
          <w:trHeight w:val="188"/>
          <w:jc w:val="center"/>
        </w:trPr>
        <w:tc>
          <w:tcPr>
            <w:tcW w:w="7513" w:type="dxa"/>
            <w:gridSpan w:val="3"/>
          </w:tcPr>
          <w:p w14:paraId="1C4E942B" w14:textId="77777777" w:rsidR="00BF076D" w:rsidRPr="00040AA9" w:rsidRDefault="00BF076D" w:rsidP="00040AA9">
            <w:pPr>
              <w:widowControl w:val="0"/>
              <w:suppressAutoHyphens/>
              <w:jc w:val="center"/>
              <w:rPr>
                <w:rFonts w:ascii="Arial" w:hAnsi="Arial" w:cs="Arial"/>
                <w:sz w:val="20"/>
                <w:szCs w:val="20"/>
              </w:rPr>
            </w:pPr>
          </w:p>
        </w:tc>
      </w:tr>
      <w:tr w:rsidR="00C64D02" w:rsidRPr="00BF076D" w14:paraId="41192B24" w14:textId="7E335CC0" w:rsidTr="00040AA9">
        <w:trPr>
          <w:trHeight w:val="188"/>
          <w:jc w:val="center"/>
        </w:trPr>
        <w:tc>
          <w:tcPr>
            <w:tcW w:w="7513" w:type="dxa"/>
            <w:gridSpan w:val="3"/>
            <w:shd w:val="clear" w:color="auto" w:fill="F2F2F2" w:themeFill="background1" w:themeFillShade="F2"/>
          </w:tcPr>
          <w:p w14:paraId="38ED5226" w14:textId="25C0E638" w:rsidR="00C64D02" w:rsidRPr="00040AA9" w:rsidRDefault="00C64D02" w:rsidP="00040AA9">
            <w:pPr>
              <w:widowControl w:val="0"/>
              <w:suppressAutoHyphens/>
              <w:rPr>
                <w:rFonts w:ascii="Arial" w:hAnsi="Arial" w:cs="Arial"/>
                <w:sz w:val="20"/>
                <w:szCs w:val="20"/>
              </w:rPr>
            </w:pPr>
            <w:r w:rsidRPr="00040AA9">
              <w:rPr>
                <w:rFonts w:ascii="Arial" w:hAnsi="Arial" w:cs="Arial"/>
                <w:sz w:val="20"/>
                <w:szCs w:val="20"/>
              </w:rPr>
              <w:t>Outcome</w:t>
            </w:r>
          </w:p>
        </w:tc>
      </w:tr>
      <w:tr w:rsidR="00196D2F" w:rsidRPr="00BF076D" w14:paraId="7356D9F1" w14:textId="508DBE63" w:rsidTr="00040AA9">
        <w:trPr>
          <w:jc w:val="center"/>
        </w:trPr>
        <w:tc>
          <w:tcPr>
            <w:tcW w:w="1967" w:type="dxa"/>
          </w:tcPr>
          <w:p w14:paraId="6E075248" w14:textId="6FBA46B3"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II</w:t>
            </w:r>
          </w:p>
        </w:tc>
        <w:tc>
          <w:tcPr>
            <w:tcW w:w="2950" w:type="dxa"/>
          </w:tcPr>
          <w:p w14:paraId="72BCADE9" w14:textId="36368F69"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11</w:t>
            </w:r>
          </w:p>
        </w:tc>
        <w:tc>
          <w:tcPr>
            <w:tcW w:w="2596" w:type="dxa"/>
          </w:tcPr>
          <w:p w14:paraId="09D2B42D" w14:textId="0CB7BE07"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15</w:t>
            </w:r>
          </w:p>
        </w:tc>
      </w:tr>
      <w:tr w:rsidR="00196D2F" w:rsidRPr="00BF076D" w14:paraId="2FBE79B8" w14:textId="3A64E7BC" w:rsidTr="00040AA9">
        <w:trPr>
          <w:trHeight w:val="65"/>
          <w:jc w:val="center"/>
        </w:trPr>
        <w:tc>
          <w:tcPr>
            <w:tcW w:w="1967" w:type="dxa"/>
          </w:tcPr>
          <w:p w14:paraId="65F3EA36" w14:textId="58373790"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III</w:t>
            </w:r>
          </w:p>
        </w:tc>
        <w:tc>
          <w:tcPr>
            <w:tcW w:w="2950" w:type="dxa"/>
          </w:tcPr>
          <w:p w14:paraId="443D5BBE" w14:textId="60AAC2B5"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4</w:t>
            </w:r>
          </w:p>
        </w:tc>
        <w:tc>
          <w:tcPr>
            <w:tcW w:w="2596" w:type="dxa"/>
          </w:tcPr>
          <w:p w14:paraId="63758D66" w14:textId="02710C6B"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5</w:t>
            </w:r>
          </w:p>
        </w:tc>
      </w:tr>
      <w:tr w:rsidR="00196D2F" w:rsidRPr="00BF076D" w14:paraId="2B7164FC" w14:textId="424DEA1E" w:rsidTr="00040AA9">
        <w:trPr>
          <w:jc w:val="center"/>
        </w:trPr>
        <w:tc>
          <w:tcPr>
            <w:tcW w:w="1967" w:type="dxa"/>
          </w:tcPr>
          <w:p w14:paraId="1E2569B2" w14:textId="595B76F0"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IV</w:t>
            </w:r>
          </w:p>
        </w:tc>
        <w:tc>
          <w:tcPr>
            <w:tcW w:w="2950" w:type="dxa"/>
          </w:tcPr>
          <w:p w14:paraId="72172127" w14:textId="7F20D737"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2</w:t>
            </w:r>
          </w:p>
        </w:tc>
        <w:tc>
          <w:tcPr>
            <w:tcW w:w="2596" w:type="dxa"/>
          </w:tcPr>
          <w:p w14:paraId="00B7EFA6" w14:textId="4F91DB7F"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3</w:t>
            </w:r>
          </w:p>
        </w:tc>
      </w:tr>
      <w:tr w:rsidR="00196D2F" w:rsidRPr="00BF076D" w14:paraId="0475D951" w14:textId="2E5AF77F" w:rsidTr="00040AA9">
        <w:trPr>
          <w:trHeight w:val="207"/>
          <w:jc w:val="center"/>
        </w:trPr>
        <w:tc>
          <w:tcPr>
            <w:tcW w:w="1967" w:type="dxa"/>
          </w:tcPr>
          <w:p w14:paraId="383BDB6F" w14:textId="24EEB70C"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V</w:t>
            </w:r>
          </w:p>
        </w:tc>
        <w:tc>
          <w:tcPr>
            <w:tcW w:w="2950" w:type="dxa"/>
          </w:tcPr>
          <w:p w14:paraId="111A34D4" w14:textId="60293FE7"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2</w:t>
            </w:r>
          </w:p>
        </w:tc>
        <w:tc>
          <w:tcPr>
            <w:tcW w:w="2596" w:type="dxa"/>
          </w:tcPr>
          <w:p w14:paraId="2892027A" w14:textId="416BC58B"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2</w:t>
            </w:r>
          </w:p>
        </w:tc>
      </w:tr>
      <w:tr w:rsidR="00196D2F" w:rsidRPr="00BF076D" w14:paraId="217AE305" w14:textId="07B1D778" w:rsidTr="00040AA9">
        <w:trPr>
          <w:jc w:val="center"/>
        </w:trPr>
        <w:tc>
          <w:tcPr>
            <w:tcW w:w="1967" w:type="dxa"/>
          </w:tcPr>
          <w:p w14:paraId="17B838B2" w14:textId="3BFB3A09" w:rsidR="00196D2F" w:rsidRPr="00040AA9" w:rsidRDefault="00196D2F" w:rsidP="00040AA9">
            <w:pPr>
              <w:widowControl w:val="0"/>
              <w:suppressAutoHyphens/>
              <w:rPr>
                <w:rFonts w:ascii="Arial" w:hAnsi="Arial" w:cs="Arial"/>
                <w:sz w:val="20"/>
                <w:szCs w:val="20"/>
              </w:rPr>
            </w:pPr>
            <w:r w:rsidRPr="00040AA9">
              <w:rPr>
                <w:rFonts w:ascii="Arial" w:hAnsi="Arial" w:cs="Arial"/>
                <w:sz w:val="20"/>
                <w:szCs w:val="20"/>
              </w:rPr>
              <w:t>Subtotal Outcome</w:t>
            </w:r>
          </w:p>
        </w:tc>
        <w:tc>
          <w:tcPr>
            <w:tcW w:w="2950" w:type="dxa"/>
          </w:tcPr>
          <w:p w14:paraId="3945D2A1" w14:textId="716320FE"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19</w:t>
            </w:r>
          </w:p>
        </w:tc>
        <w:tc>
          <w:tcPr>
            <w:tcW w:w="2596" w:type="dxa"/>
          </w:tcPr>
          <w:p w14:paraId="27B68E39" w14:textId="2A7AA22D"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25</w:t>
            </w:r>
          </w:p>
        </w:tc>
      </w:tr>
      <w:tr w:rsidR="00BF076D" w:rsidRPr="00BF076D" w14:paraId="5E208BDA" w14:textId="453247B1" w:rsidTr="00040AA9">
        <w:trPr>
          <w:jc w:val="center"/>
        </w:trPr>
        <w:tc>
          <w:tcPr>
            <w:tcW w:w="7513" w:type="dxa"/>
            <w:gridSpan w:val="3"/>
          </w:tcPr>
          <w:p w14:paraId="3961204A" w14:textId="77777777" w:rsidR="00BF076D" w:rsidRPr="00040AA9" w:rsidRDefault="00BF076D" w:rsidP="00040AA9">
            <w:pPr>
              <w:widowControl w:val="0"/>
              <w:suppressAutoHyphens/>
              <w:jc w:val="center"/>
              <w:rPr>
                <w:rFonts w:ascii="Arial" w:hAnsi="Arial" w:cs="Arial"/>
                <w:sz w:val="20"/>
                <w:szCs w:val="20"/>
              </w:rPr>
            </w:pPr>
          </w:p>
        </w:tc>
      </w:tr>
      <w:tr w:rsidR="00C64D02" w:rsidRPr="00BF076D" w14:paraId="08ADA4FE" w14:textId="3A6E2DCE" w:rsidTr="00040AA9">
        <w:trPr>
          <w:jc w:val="center"/>
        </w:trPr>
        <w:tc>
          <w:tcPr>
            <w:tcW w:w="7513" w:type="dxa"/>
            <w:gridSpan w:val="3"/>
            <w:shd w:val="clear" w:color="auto" w:fill="F2F2F2" w:themeFill="background1" w:themeFillShade="F2"/>
          </w:tcPr>
          <w:p w14:paraId="452A51AF" w14:textId="21E3E395" w:rsidR="00C64D02" w:rsidRPr="00040AA9" w:rsidRDefault="00C64D02" w:rsidP="00040AA9">
            <w:pPr>
              <w:widowControl w:val="0"/>
              <w:suppressAutoHyphens/>
              <w:rPr>
                <w:rFonts w:ascii="Arial" w:hAnsi="Arial" w:cs="Arial"/>
                <w:sz w:val="20"/>
                <w:szCs w:val="20"/>
              </w:rPr>
            </w:pPr>
            <w:r w:rsidRPr="00040AA9">
              <w:rPr>
                <w:rFonts w:ascii="Arial" w:hAnsi="Arial" w:cs="Arial"/>
                <w:sz w:val="20"/>
                <w:szCs w:val="20"/>
              </w:rPr>
              <w:t>Output</w:t>
            </w:r>
          </w:p>
        </w:tc>
      </w:tr>
      <w:tr w:rsidR="00196D2F" w:rsidRPr="00BF076D" w14:paraId="3936A8D3" w14:textId="41E4ED97" w:rsidTr="00040AA9">
        <w:trPr>
          <w:jc w:val="center"/>
        </w:trPr>
        <w:tc>
          <w:tcPr>
            <w:tcW w:w="1967" w:type="dxa"/>
          </w:tcPr>
          <w:p w14:paraId="089F5EF2" w14:textId="74F10360"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II</w:t>
            </w:r>
          </w:p>
        </w:tc>
        <w:tc>
          <w:tcPr>
            <w:tcW w:w="2950" w:type="dxa"/>
          </w:tcPr>
          <w:p w14:paraId="2B8517BD" w14:textId="00A8A234"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14</w:t>
            </w:r>
          </w:p>
        </w:tc>
        <w:tc>
          <w:tcPr>
            <w:tcW w:w="2596" w:type="dxa"/>
          </w:tcPr>
          <w:p w14:paraId="406F10F2" w14:textId="4FBDD8FA"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29</w:t>
            </w:r>
          </w:p>
        </w:tc>
      </w:tr>
      <w:tr w:rsidR="00196D2F" w:rsidRPr="00BF076D" w14:paraId="71E6F0C9" w14:textId="4C2EB8BC" w:rsidTr="00040AA9">
        <w:trPr>
          <w:jc w:val="center"/>
        </w:trPr>
        <w:tc>
          <w:tcPr>
            <w:tcW w:w="1967" w:type="dxa"/>
          </w:tcPr>
          <w:p w14:paraId="00F778C7" w14:textId="5D1B66AB"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III</w:t>
            </w:r>
          </w:p>
        </w:tc>
        <w:tc>
          <w:tcPr>
            <w:tcW w:w="2950" w:type="dxa"/>
          </w:tcPr>
          <w:p w14:paraId="290C0E39" w14:textId="5C590F60"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5</w:t>
            </w:r>
          </w:p>
        </w:tc>
        <w:tc>
          <w:tcPr>
            <w:tcW w:w="2596" w:type="dxa"/>
          </w:tcPr>
          <w:p w14:paraId="4E1062BD" w14:textId="6FB3274D"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10</w:t>
            </w:r>
          </w:p>
        </w:tc>
      </w:tr>
      <w:tr w:rsidR="00196D2F" w:rsidRPr="00BF076D" w14:paraId="3AF79DED" w14:textId="26F92FAA" w:rsidTr="00040AA9">
        <w:trPr>
          <w:jc w:val="center"/>
        </w:trPr>
        <w:tc>
          <w:tcPr>
            <w:tcW w:w="1967" w:type="dxa"/>
          </w:tcPr>
          <w:p w14:paraId="43B031C6" w14:textId="7F3EA46E"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IV</w:t>
            </w:r>
          </w:p>
        </w:tc>
        <w:tc>
          <w:tcPr>
            <w:tcW w:w="2950" w:type="dxa"/>
          </w:tcPr>
          <w:p w14:paraId="2C5EFA27" w14:textId="04CD29B0"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3</w:t>
            </w:r>
          </w:p>
        </w:tc>
        <w:tc>
          <w:tcPr>
            <w:tcW w:w="2596" w:type="dxa"/>
          </w:tcPr>
          <w:p w14:paraId="18C817AC" w14:textId="7674D6A7"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11</w:t>
            </w:r>
          </w:p>
        </w:tc>
      </w:tr>
      <w:tr w:rsidR="00196D2F" w:rsidRPr="00BF076D" w14:paraId="6BEC6179" w14:textId="474B34D4" w:rsidTr="00040AA9">
        <w:trPr>
          <w:jc w:val="center"/>
        </w:trPr>
        <w:tc>
          <w:tcPr>
            <w:tcW w:w="1967" w:type="dxa"/>
          </w:tcPr>
          <w:p w14:paraId="48724D9C" w14:textId="213708E6" w:rsidR="00196D2F" w:rsidRPr="00040AA9" w:rsidRDefault="00196D2F" w:rsidP="00040AA9">
            <w:pPr>
              <w:widowControl w:val="0"/>
              <w:suppressAutoHyphens/>
              <w:ind w:left="252"/>
              <w:rPr>
                <w:rFonts w:ascii="Arial" w:hAnsi="Arial" w:cs="Arial"/>
                <w:sz w:val="20"/>
                <w:szCs w:val="20"/>
              </w:rPr>
            </w:pPr>
            <w:r w:rsidRPr="00040AA9">
              <w:rPr>
                <w:rFonts w:ascii="Arial" w:hAnsi="Arial" w:cs="Arial"/>
                <w:sz w:val="20"/>
                <w:szCs w:val="20"/>
              </w:rPr>
              <w:t>Component V</w:t>
            </w:r>
          </w:p>
        </w:tc>
        <w:tc>
          <w:tcPr>
            <w:tcW w:w="2950" w:type="dxa"/>
          </w:tcPr>
          <w:p w14:paraId="2F9692DC" w14:textId="1089490A"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1</w:t>
            </w:r>
          </w:p>
        </w:tc>
        <w:tc>
          <w:tcPr>
            <w:tcW w:w="2596" w:type="dxa"/>
          </w:tcPr>
          <w:p w14:paraId="06EB9F63" w14:textId="2979640A"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3</w:t>
            </w:r>
          </w:p>
        </w:tc>
      </w:tr>
      <w:tr w:rsidR="00196D2F" w:rsidRPr="00BF076D" w14:paraId="504D22F5" w14:textId="6477E68A" w:rsidTr="00040AA9">
        <w:trPr>
          <w:jc w:val="center"/>
        </w:trPr>
        <w:tc>
          <w:tcPr>
            <w:tcW w:w="1967" w:type="dxa"/>
          </w:tcPr>
          <w:p w14:paraId="06620A31" w14:textId="000F08F8" w:rsidR="00196D2F" w:rsidRPr="00040AA9" w:rsidRDefault="00196D2F" w:rsidP="00040AA9">
            <w:pPr>
              <w:widowControl w:val="0"/>
              <w:suppressAutoHyphens/>
              <w:rPr>
                <w:rFonts w:ascii="Arial" w:hAnsi="Arial" w:cs="Arial"/>
                <w:sz w:val="20"/>
                <w:szCs w:val="20"/>
              </w:rPr>
            </w:pPr>
            <w:r w:rsidRPr="00040AA9">
              <w:rPr>
                <w:rFonts w:ascii="Arial" w:hAnsi="Arial" w:cs="Arial"/>
                <w:sz w:val="20"/>
                <w:szCs w:val="20"/>
              </w:rPr>
              <w:t>Subtotal Output</w:t>
            </w:r>
          </w:p>
        </w:tc>
        <w:tc>
          <w:tcPr>
            <w:tcW w:w="2950" w:type="dxa"/>
          </w:tcPr>
          <w:p w14:paraId="4734B941" w14:textId="66A07FBC"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23</w:t>
            </w:r>
          </w:p>
        </w:tc>
        <w:tc>
          <w:tcPr>
            <w:tcW w:w="2596" w:type="dxa"/>
          </w:tcPr>
          <w:p w14:paraId="2ADF36FC" w14:textId="6EDDD6BE"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53</w:t>
            </w:r>
          </w:p>
        </w:tc>
      </w:tr>
      <w:tr w:rsidR="00BF076D" w:rsidRPr="00BF076D" w14:paraId="6B0C080C" w14:textId="75835346" w:rsidTr="00040AA9">
        <w:trPr>
          <w:jc w:val="center"/>
        </w:trPr>
        <w:tc>
          <w:tcPr>
            <w:tcW w:w="7513" w:type="dxa"/>
            <w:gridSpan w:val="3"/>
          </w:tcPr>
          <w:p w14:paraId="0CE3333B" w14:textId="68052615" w:rsidR="00BF076D" w:rsidRPr="00040AA9" w:rsidRDefault="00BF076D" w:rsidP="00040AA9">
            <w:pPr>
              <w:widowControl w:val="0"/>
              <w:suppressAutoHyphens/>
              <w:jc w:val="center"/>
              <w:rPr>
                <w:rFonts w:ascii="Arial" w:hAnsi="Arial" w:cs="Arial"/>
                <w:sz w:val="20"/>
                <w:szCs w:val="20"/>
              </w:rPr>
            </w:pPr>
            <w:r w:rsidRPr="00040AA9">
              <w:rPr>
                <w:rFonts w:ascii="Arial" w:hAnsi="Arial" w:cs="Arial"/>
                <w:sz w:val="20"/>
                <w:szCs w:val="20"/>
              </w:rPr>
              <w:t xml:space="preserve"> </w:t>
            </w:r>
          </w:p>
        </w:tc>
      </w:tr>
      <w:tr w:rsidR="00196D2F" w:rsidRPr="00BF076D" w14:paraId="49E22FBE" w14:textId="16031C91" w:rsidTr="00040AA9">
        <w:trPr>
          <w:trHeight w:val="225"/>
          <w:jc w:val="center"/>
        </w:trPr>
        <w:tc>
          <w:tcPr>
            <w:tcW w:w="1967" w:type="dxa"/>
            <w:shd w:val="clear" w:color="auto" w:fill="DBE5F1" w:themeFill="accent1" w:themeFillTint="33"/>
          </w:tcPr>
          <w:p w14:paraId="479D96BD" w14:textId="7CDDA513" w:rsidR="00196D2F" w:rsidRPr="00040AA9" w:rsidRDefault="00196D2F" w:rsidP="00040AA9">
            <w:pPr>
              <w:widowControl w:val="0"/>
              <w:suppressAutoHyphens/>
              <w:rPr>
                <w:rFonts w:ascii="Arial" w:hAnsi="Arial" w:cs="Arial"/>
                <w:sz w:val="20"/>
                <w:szCs w:val="20"/>
              </w:rPr>
            </w:pPr>
            <w:r w:rsidRPr="00040AA9">
              <w:rPr>
                <w:rFonts w:ascii="Arial" w:hAnsi="Arial" w:cs="Arial"/>
                <w:sz w:val="20"/>
                <w:szCs w:val="20"/>
              </w:rPr>
              <w:t>Total all categories</w:t>
            </w:r>
          </w:p>
        </w:tc>
        <w:tc>
          <w:tcPr>
            <w:tcW w:w="2950" w:type="dxa"/>
          </w:tcPr>
          <w:p w14:paraId="0DE30958" w14:textId="4593DDD1" w:rsidR="00196D2F" w:rsidRPr="00040AA9" w:rsidRDefault="00196D2F" w:rsidP="00040AA9">
            <w:pPr>
              <w:widowControl w:val="0"/>
              <w:suppressAutoHyphens/>
              <w:ind w:right="1332"/>
              <w:jc w:val="right"/>
              <w:rPr>
                <w:rFonts w:ascii="Arial" w:hAnsi="Arial" w:cs="Arial"/>
                <w:sz w:val="20"/>
                <w:szCs w:val="20"/>
              </w:rPr>
            </w:pPr>
            <w:r w:rsidRPr="00040AA9">
              <w:rPr>
                <w:rFonts w:ascii="Arial" w:hAnsi="Arial" w:cs="Arial"/>
                <w:sz w:val="20"/>
                <w:szCs w:val="20"/>
              </w:rPr>
              <w:t>44</w:t>
            </w:r>
          </w:p>
        </w:tc>
        <w:tc>
          <w:tcPr>
            <w:tcW w:w="2596" w:type="dxa"/>
          </w:tcPr>
          <w:p w14:paraId="0AB17E88" w14:textId="55655545" w:rsidR="00196D2F" w:rsidRPr="00040AA9" w:rsidRDefault="00196D2F" w:rsidP="00040AA9">
            <w:pPr>
              <w:widowControl w:val="0"/>
              <w:suppressAutoHyphens/>
              <w:ind w:right="1422"/>
              <w:jc w:val="right"/>
              <w:rPr>
                <w:rFonts w:ascii="Arial" w:hAnsi="Arial" w:cs="Arial"/>
                <w:sz w:val="20"/>
                <w:szCs w:val="20"/>
              </w:rPr>
            </w:pPr>
            <w:r w:rsidRPr="00040AA9">
              <w:rPr>
                <w:rFonts w:ascii="Arial" w:hAnsi="Arial" w:cs="Arial"/>
                <w:sz w:val="20"/>
                <w:szCs w:val="20"/>
              </w:rPr>
              <w:t>80</w:t>
            </w:r>
          </w:p>
        </w:tc>
      </w:tr>
    </w:tbl>
    <w:p w14:paraId="0BA2878B" w14:textId="125A596D" w:rsidR="009B02C5" w:rsidRDefault="007E6404" w:rsidP="007156D7">
      <w:pPr>
        <w:suppressAutoHyphens/>
        <w:spacing w:before="240" w:after="120"/>
        <w:jc w:val="both"/>
        <w:rPr>
          <w:rFonts w:ascii="Arial" w:hAnsi="Arial" w:cs="Arial"/>
          <w:sz w:val="22"/>
          <w:szCs w:val="22"/>
        </w:rPr>
      </w:pPr>
      <w:r w:rsidRPr="00040AA9">
        <w:rPr>
          <w:rFonts w:ascii="Arial" w:hAnsi="Arial" w:cs="Arial"/>
          <w:sz w:val="22"/>
          <w:szCs w:val="22"/>
        </w:rPr>
        <w:t xml:space="preserve">Before discussing the findings reported in Table 2 it is useful to </w:t>
      </w:r>
      <w:r w:rsidR="00FB5BBA" w:rsidRPr="00040AA9">
        <w:rPr>
          <w:rFonts w:ascii="Arial" w:hAnsi="Arial" w:cs="Arial"/>
          <w:sz w:val="22"/>
          <w:szCs w:val="22"/>
        </w:rPr>
        <w:t>summarize the ratings received by the 80</w:t>
      </w:r>
      <w:r w:rsidR="00BF076D" w:rsidRPr="00040AA9">
        <w:rPr>
          <w:rFonts w:ascii="Arial" w:hAnsi="Arial" w:cs="Arial"/>
          <w:sz w:val="22"/>
          <w:szCs w:val="22"/>
        </w:rPr>
        <w:t> </w:t>
      </w:r>
      <w:r w:rsidR="00FB5BBA" w:rsidRPr="00040AA9">
        <w:rPr>
          <w:rFonts w:ascii="Arial" w:hAnsi="Arial" w:cs="Arial"/>
          <w:sz w:val="22"/>
          <w:szCs w:val="22"/>
        </w:rPr>
        <w:t xml:space="preserve">indicators according to </w:t>
      </w:r>
      <w:r w:rsidR="007F1E01" w:rsidRPr="00040AA9">
        <w:rPr>
          <w:rFonts w:ascii="Arial" w:hAnsi="Arial" w:cs="Arial"/>
          <w:sz w:val="22"/>
          <w:szCs w:val="22"/>
        </w:rPr>
        <w:t xml:space="preserve">category and program component. </w:t>
      </w:r>
      <w:r w:rsidR="00771E5A" w:rsidRPr="00040AA9">
        <w:rPr>
          <w:rFonts w:ascii="Arial" w:hAnsi="Arial" w:cs="Arial"/>
          <w:sz w:val="22"/>
          <w:szCs w:val="22"/>
        </w:rPr>
        <w:t xml:space="preserve">Annex II contains a full discussion of these ratings, which are </w:t>
      </w:r>
      <w:r w:rsidR="00812174" w:rsidRPr="00040AA9">
        <w:rPr>
          <w:rFonts w:ascii="Arial" w:hAnsi="Arial" w:cs="Arial"/>
          <w:sz w:val="22"/>
          <w:szCs w:val="22"/>
        </w:rPr>
        <w:t xml:space="preserve">summarized in </w:t>
      </w:r>
      <w:r w:rsidR="00B27067" w:rsidRPr="003C04AE">
        <w:rPr>
          <w:rFonts w:ascii="Arial" w:hAnsi="Arial" w:cs="Arial"/>
          <w:sz w:val="22"/>
          <w:szCs w:val="22"/>
        </w:rPr>
        <w:t xml:space="preserve">Table </w:t>
      </w:r>
      <w:r w:rsidR="00854E45" w:rsidRPr="003C04AE">
        <w:rPr>
          <w:rFonts w:ascii="Arial" w:hAnsi="Arial" w:cs="Arial"/>
          <w:sz w:val="22"/>
          <w:szCs w:val="22"/>
        </w:rPr>
        <w:t>C</w:t>
      </w:r>
      <w:r w:rsidR="00B27067" w:rsidRPr="00040AA9">
        <w:rPr>
          <w:rFonts w:ascii="Arial" w:hAnsi="Arial" w:cs="Arial"/>
          <w:sz w:val="22"/>
          <w:szCs w:val="22"/>
        </w:rPr>
        <w:t xml:space="preserve"> below</w:t>
      </w:r>
      <w:r w:rsidR="00812174" w:rsidRPr="00040AA9">
        <w:rPr>
          <w:rFonts w:ascii="Arial" w:hAnsi="Arial" w:cs="Arial"/>
          <w:sz w:val="22"/>
          <w:szCs w:val="22"/>
        </w:rPr>
        <w:t xml:space="preserve">. </w:t>
      </w:r>
      <w:r w:rsidR="00EA5D30" w:rsidRPr="00040AA9">
        <w:rPr>
          <w:rFonts w:ascii="Arial" w:hAnsi="Arial" w:cs="Arial"/>
          <w:sz w:val="22"/>
          <w:szCs w:val="22"/>
        </w:rPr>
        <w:t>Notab</w:t>
      </w:r>
      <w:r w:rsidR="003A28E9" w:rsidRPr="00040AA9">
        <w:rPr>
          <w:rFonts w:ascii="Arial" w:hAnsi="Arial" w:cs="Arial"/>
          <w:sz w:val="22"/>
          <w:szCs w:val="22"/>
        </w:rPr>
        <w:t xml:space="preserve">ly, </w:t>
      </w:r>
      <w:r w:rsidR="007F1E01" w:rsidRPr="00040AA9">
        <w:rPr>
          <w:rFonts w:ascii="Arial" w:hAnsi="Arial" w:cs="Arial"/>
          <w:sz w:val="22"/>
          <w:szCs w:val="22"/>
        </w:rPr>
        <w:t>full</w:t>
      </w:r>
      <w:r w:rsidR="00E81B4B" w:rsidRPr="00040AA9">
        <w:rPr>
          <w:rFonts w:ascii="Arial" w:hAnsi="Arial" w:cs="Arial"/>
          <w:sz w:val="22"/>
          <w:szCs w:val="22"/>
        </w:rPr>
        <w:t xml:space="preserve"> </w:t>
      </w:r>
      <w:r w:rsidR="007143AB" w:rsidRPr="00040AA9">
        <w:rPr>
          <w:rFonts w:ascii="Arial" w:hAnsi="Arial" w:cs="Arial"/>
          <w:sz w:val="22"/>
          <w:szCs w:val="22"/>
        </w:rPr>
        <w:t xml:space="preserve">achievement </w:t>
      </w:r>
      <w:r w:rsidR="00E81B4B" w:rsidRPr="00040AA9">
        <w:rPr>
          <w:rFonts w:ascii="Arial" w:hAnsi="Arial" w:cs="Arial"/>
          <w:sz w:val="22"/>
          <w:szCs w:val="22"/>
        </w:rPr>
        <w:t xml:space="preserve">by </w:t>
      </w:r>
      <w:r w:rsidR="009B02C5">
        <w:rPr>
          <w:rFonts w:ascii="Arial" w:hAnsi="Arial" w:cs="Arial"/>
          <w:sz w:val="22"/>
          <w:szCs w:val="22"/>
        </w:rPr>
        <w:t>o</w:t>
      </w:r>
      <w:r w:rsidR="003A28E9" w:rsidRPr="00040AA9">
        <w:rPr>
          <w:rFonts w:ascii="Arial" w:hAnsi="Arial" w:cs="Arial"/>
          <w:sz w:val="22"/>
          <w:szCs w:val="22"/>
        </w:rPr>
        <w:t xml:space="preserve">utcome indicators </w:t>
      </w:r>
      <w:r w:rsidR="00E81B4B" w:rsidRPr="00040AA9">
        <w:rPr>
          <w:rFonts w:ascii="Arial" w:hAnsi="Arial" w:cs="Arial"/>
          <w:sz w:val="22"/>
          <w:szCs w:val="22"/>
        </w:rPr>
        <w:t xml:space="preserve">was more </w:t>
      </w:r>
      <w:r w:rsidR="007143AB" w:rsidRPr="00040AA9">
        <w:rPr>
          <w:rFonts w:ascii="Arial" w:hAnsi="Arial" w:cs="Arial"/>
          <w:sz w:val="22"/>
          <w:szCs w:val="22"/>
        </w:rPr>
        <w:t xml:space="preserve">problematic in relative terms </w:t>
      </w:r>
      <w:r w:rsidR="00157C7C" w:rsidRPr="00040AA9">
        <w:rPr>
          <w:rFonts w:ascii="Arial" w:hAnsi="Arial" w:cs="Arial"/>
          <w:sz w:val="22"/>
          <w:szCs w:val="22"/>
        </w:rPr>
        <w:t xml:space="preserve">than was the case for </w:t>
      </w:r>
      <w:r w:rsidR="009B02C5">
        <w:rPr>
          <w:rFonts w:ascii="Arial" w:hAnsi="Arial" w:cs="Arial"/>
          <w:sz w:val="22"/>
          <w:szCs w:val="22"/>
        </w:rPr>
        <w:t>o</w:t>
      </w:r>
      <w:r w:rsidR="00E81B4B" w:rsidRPr="00040AA9">
        <w:rPr>
          <w:rFonts w:ascii="Arial" w:hAnsi="Arial" w:cs="Arial"/>
          <w:sz w:val="22"/>
          <w:szCs w:val="22"/>
        </w:rPr>
        <w:t>utput</w:t>
      </w:r>
      <w:r w:rsidR="003A28E9" w:rsidRPr="00040AA9">
        <w:rPr>
          <w:rFonts w:ascii="Arial" w:hAnsi="Arial" w:cs="Arial"/>
          <w:sz w:val="22"/>
          <w:szCs w:val="22"/>
        </w:rPr>
        <w:t xml:space="preserve"> indicators</w:t>
      </w:r>
      <w:r w:rsidR="00D93037" w:rsidRPr="00040AA9">
        <w:rPr>
          <w:rFonts w:ascii="Arial" w:hAnsi="Arial" w:cs="Arial"/>
          <w:sz w:val="22"/>
          <w:szCs w:val="22"/>
        </w:rPr>
        <w:t xml:space="preserve">. </w:t>
      </w:r>
      <w:r w:rsidR="006E06EB" w:rsidRPr="00040AA9">
        <w:rPr>
          <w:rFonts w:ascii="Arial" w:hAnsi="Arial" w:cs="Arial"/>
          <w:sz w:val="22"/>
          <w:szCs w:val="22"/>
        </w:rPr>
        <w:t>T</w:t>
      </w:r>
      <w:r w:rsidR="00D93037" w:rsidRPr="00040AA9">
        <w:rPr>
          <w:rFonts w:ascii="Arial" w:hAnsi="Arial" w:cs="Arial"/>
          <w:sz w:val="22"/>
          <w:szCs w:val="22"/>
        </w:rPr>
        <w:t xml:space="preserve">his has to do with the inherently more complex nature of outcomes and the greater difficulty in measuring them adequately. </w:t>
      </w:r>
      <w:r w:rsidR="00C43B26">
        <w:rPr>
          <w:rFonts w:ascii="Arial" w:hAnsi="Arial" w:cs="Arial"/>
          <w:sz w:val="22"/>
          <w:szCs w:val="22"/>
        </w:rPr>
        <w:t>O</w:t>
      </w:r>
      <w:r w:rsidR="00E508AF" w:rsidRPr="00040AA9">
        <w:rPr>
          <w:rFonts w:ascii="Arial" w:hAnsi="Arial" w:cs="Arial"/>
          <w:sz w:val="22"/>
          <w:szCs w:val="22"/>
        </w:rPr>
        <w:t xml:space="preserve">utputs are almost invariably linked directly to compliance with policy conditions, </w:t>
      </w:r>
      <w:r w:rsidR="004E4793" w:rsidRPr="00040AA9">
        <w:rPr>
          <w:rFonts w:ascii="Arial" w:hAnsi="Arial" w:cs="Arial"/>
          <w:sz w:val="22"/>
          <w:szCs w:val="22"/>
        </w:rPr>
        <w:t xml:space="preserve">which were specified in great detail in the three FISPEG policy matrices. This </w:t>
      </w:r>
      <w:r w:rsidR="00E508AF" w:rsidRPr="00040AA9">
        <w:rPr>
          <w:rFonts w:ascii="Arial" w:hAnsi="Arial" w:cs="Arial"/>
          <w:sz w:val="22"/>
          <w:szCs w:val="22"/>
        </w:rPr>
        <w:t>assur</w:t>
      </w:r>
      <w:r w:rsidR="004E4793" w:rsidRPr="00040AA9">
        <w:rPr>
          <w:rFonts w:ascii="Arial" w:hAnsi="Arial" w:cs="Arial"/>
          <w:sz w:val="22"/>
          <w:szCs w:val="22"/>
        </w:rPr>
        <w:t xml:space="preserve">ed that evidence would </w:t>
      </w:r>
      <w:r w:rsidR="00E508AF" w:rsidRPr="00040AA9">
        <w:rPr>
          <w:rFonts w:ascii="Arial" w:hAnsi="Arial" w:cs="Arial"/>
          <w:sz w:val="22"/>
          <w:szCs w:val="22"/>
        </w:rPr>
        <w:t xml:space="preserve">be collected for their measurement and that </w:t>
      </w:r>
      <w:r w:rsidR="004E4793" w:rsidRPr="00040AA9">
        <w:rPr>
          <w:rFonts w:ascii="Arial" w:hAnsi="Arial" w:cs="Arial"/>
          <w:sz w:val="22"/>
          <w:szCs w:val="22"/>
        </w:rPr>
        <w:t>they would</w:t>
      </w:r>
      <w:r w:rsidR="008D6E9B" w:rsidRPr="00040AA9">
        <w:rPr>
          <w:rFonts w:ascii="Arial" w:hAnsi="Arial" w:cs="Arial"/>
          <w:sz w:val="22"/>
          <w:szCs w:val="22"/>
        </w:rPr>
        <w:t xml:space="preserve"> achieve the intended result (or else disbursement of the corresponding loan would </w:t>
      </w:r>
      <w:r w:rsidR="006115DC" w:rsidRPr="00040AA9">
        <w:rPr>
          <w:rFonts w:ascii="Arial" w:hAnsi="Arial" w:cs="Arial"/>
          <w:sz w:val="22"/>
          <w:szCs w:val="22"/>
        </w:rPr>
        <w:t xml:space="preserve">have </w:t>
      </w:r>
      <w:r w:rsidR="008D6E9B" w:rsidRPr="00040AA9">
        <w:rPr>
          <w:rFonts w:ascii="Arial" w:hAnsi="Arial" w:cs="Arial"/>
          <w:sz w:val="22"/>
          <w:szCs w:val="22"/>
        </w:rPr>
        <w:t>be</w:t>
      </w:r>
      <w:r w:rsidR="006115DC" w:rsidRPr="00040AA9">
        <w:rPr>
          <w:rFonts w:ascii="Arial" w:hAnsi="Arial" w:cs="Arial"/>
          <w:sz w:val="22"/>
          <w:szCs w:val="22"/>
        </w:rPr>
        <w:t>en</w:t>
      </w:r>
      <w:r w:rsidR="008D6E9B" w:rsidRPr="00040AA9">
        <w:rPr>
          <w:rFonts w:ascii="Arial" w:hAnsi="Arial" w:cs="Arial"/>
          <w:sz w:val="22"/>
          <w:szCs w:val="22"/>
        </w:rPr>
        <w:t xml:space="preserve"> in jeopardy).</w:t>
      </w:r>
      <w:r w:rsidR="009B02C5">
        <w:rPr>
          <w:rFonts w:ascii="Arial" w:hAnsi="Arial" w:cs="Arial"/>
          <w:sz w:val="22"/>
          <w:szCs w:val="22"/>
        </w:rPr>
        <w:br w:type="page"/>
      </w:r>
    </w:p>
    <w:p w14:paraId="71245277" w14:textId="2F25644B" w:rsidR="00B27067" w:rsidRPr="00040AA9" w:rsidRDefault="00B27067" w:rsidP="00040AA9">
      <w:pPr>
        <w:suppressAutoHyphens/>
        <w:jc w:val="center"/>
        <w:rPr>
          <w:rFonts w:ascii="Arial" w:hAnsi="Arial" w:cs="Arial"/>
          <w:b/>
          <w:sz w:val="20"/>
          <w:szCs w:val="20"/>
        </w:rPr>
      </w:pPr>
      <w:r w:rsidRPr="00040AA9">
        <w:rPr>
          <w:rFonts w:ascii="Arial" w:hAnsi="Arial" w:cs="Arial"/>
          <w:b/>
          <w:sz w:val="20"/>
          <w:szCs w:val="20"/>
        </w:rPr>
        <w:t xml:space="preserve">Table </w:t>
      </w:r>
      <w:r w:rsidR="00854E45">
        <w:rPr>
          <w:rFonts w:ascii="Arial" w:hAnsi="Arial" w:cs="Arial"/>
          <w:b/>
          <w:sz w:val="20"/>
          <w:szCs w:val="20"/>
        </w:rPr>
        <w:t>C</w:t>
      </w:r>
    </w:p>
    <w:p w14:paraId="197C8104" w14:textId="06DA36FB" w:rsidR="00B27067" w:rsidRPr="00040AA9" w:rsidRDefault="00B27067" w:rsidP="00040AA9">
      <w:pPr>
        <w:suppressAutoHyphens/>
        <w:spacing w:after="120"/>
        <w:jc w:val="center"/>
        <w:rPr>
          <w:rFonts w:ascii="Arial" w:hAnsi="Arial" w:cs="Arial"/>
          <w:b/>
          <w:sz w:val="20"/>
          <w:szCs w:val="20"/>
        </w:rPr>
      </w:pPr>
      <w:r w:rsidRPr="00040AA9">
        <w:rPr>
          <w:rFonts w:ascii="Arial" w:hAnsi="Arial" w:cs="Arial"/>
          <w:b/>
          <w:sz w:val="20"/>
          <w:szCs w:val="20"/>
        </w:rPr>
        <w:t xml:space="preserve">Tally of </w:t>
      </w:r>
      <w:r w:rsidR="004B7418" w:rsidRPr="00040AA9">
        <w:rPr>
          <w:rFonts w:ascii="Arial" w:hAnsi="Arial" w:cs="Arial"/>
          <w:b/>
          <w:sz w:val="20"/>
          <w:szCs w:val="20"/>
        </w:rPr>
        <w:t xml:space="preserve">All </w:t>
      </w:r>
      <w:r w:rsidR="00EE259A" w:rsidRPr="00040AA9">
        <w:rPr>
          <w:rFonts w:ascii="Arial" w:hAnsi="Arial" w:cs="Arial"/>
          <w:b/>
          <w:sz w:val="20"/>
          <w:szCs w:val="20"/>
        </w:rPr>
        <w:t>Indicator Values by Category and Program Component</w:t>
      </w:r>
    </w:p>
    <w:tbl>
      <w:tblPr>
        <w:tblStyle w:val="TableGrid"/>
        <w:tblW w:w="8910" w:type="dxa"/>
        <w:tblInd w:w="-5" w:type="dxa"/>
        <w:tblLayout w:type="fixed"/>
        <w:tblLook w:val="04A0" w:firstRow="1" w:lastRow="0" w:firstColumn="1" w:lastColumn="0" w:noHBand="0" w:noVBand="1"/>
      </w:tblPr>
      <w:tblGrid>
        <w:gridCol w:w="1980"/>
        <w:gridCol w:w="1530"/>
        <w:gridCol w:w="1800"/>
        <w:gridCol w:w="1350"/>
        <w:gridCol w:w="1350"/>
        <w:gridCol w:w="900"/>
      </w:tblGrid>
      <w:tr w:rsidR="006C2DF5" w:rsidRPr="004D67A2" w14:paraId="0C9F9A07" w14:textId="77A6AC1E" w:rsidTr="00040AA9">
        <w:trPr>
          <w:trHeight w:val="252"/>
          <w:tblHeader/>
        </w:trPr>
        <w:tc>
          <w:tcPr>
            <w:tcW w:w="1980" w:type="dxa"/>
            <w:shd w:val="clear" w:color="auto" w:fill="D9D9D9" w:themeFill="background1" w:themeFillShade="D9"/>
          </w:tcPr>
          <w:p w14:paraId="70F1E0E7" w14:textId="65AD517D" w:rsidR="006C2DF5" w:rsidRPr="00040AA9" w:rsidRDefault="006C2DF5" w:rsidP="00040AA9">
            <w:pPr>
              <w:suppressAutoHyphens/>
              <w:spacing w:before="120" w:after="120"/>
              <w:rPr>
                <w:rFonts w:ascii="Arial" w:hAnsi="Arial" w:cs="Arial"/>
                <w:b/>
                <w:sz w:val="20"/>
                <w:szCs w:val="20"/>
              </w:rPr>
            </w:pPr>
            <w:r w:rsidRPr="00040AA9">
              <w:rPr>
                <w:rFonts w:ascii="Arial" w:hAnsi="Arial" w:cs="Arial"/>
                <w:b/>
                <w:sz w:val="20"/>
                <w:szCs w:val="20"/>
              </w:rPr>
              <w:t xml:space="preserve">Categories </w:t>
            </w:r>
          </w:p>
        </w:tc>
        <w:tc>
          <w:tcPr>
            <w:tcW w:w="1530" w:type="dxa"/>
            <w:shd w:val="clear" w:color="auto" w:fill="D9D9D9" w:themeFill="background1" w:themeFillShade="D9"/>
          </w:tcPr>
          <w:p w14:paraId="00787989" w14:textId="7C10C3E0" w:rsidR="006C2DF5" w:rsidRPr="00040AA9" w:rsidRDefault="006C2DF5" w:rsidP="00040AA9">
            <w:pPr>
              <w:suppressAutoHyphens/>
              <w:spacing w:before="120" w:after="120"/>
              <w:rPr>
                <w:rFonts w:ascii="Arial" w:hAnsi="Arial" w:cs="Arial"/>
                <w:b/>
                <w:sz w:val="20"/>
                <w:szCs w:val="20"/>
              </w:rPr>
            </w:pPr>
            <w:r w:rsidRPr="00040AA9">
              <w:rPr>
                <w:rFonts w:ascii="Arial" w:hAnsi="Arial" w:cs="Arial"/>
                <w:b/>
                <w:sz w:val="20"/>
                <w:szCs w:val="20"/>
              </w:rPr>
              <w:t>100% or more</w:t>
            </w:r>
            <w:r w:rsidRPr="00040AA9" w:rsidDel="00FA68C8">
              <w:rPr>
                <w:rFonts w:ascii="Arial" w:hAnsi="Arial" w:cs="Arial"/>
                <w:b/>
                <w:sz w:val="20"/>
                <w:szCs w:val="20"/>
              </w:rPr>
              <w:t xml:space="preserve"> </w:t>
            </w:r>
          </w:p>
        </w:tc>
        <w:tc>
          <w:tcPr>
            <w:tcW w:w="1800" w:type="dxa"/>
            <w:shd w:val="clear" w:color="auto" w:fill="D9D9D9" w:themeFill="background1" w:themeFillShade="D9"/>
            <w:vAlign w:val="bottom"/>
          </w:tcPr>
          <w:p w14:paraId="7B5563E0" w14:textId="451C1056" w:rsidR="006C2DF5" w:rsidRPr="00040AA9" w:rsidRDefault="006C2DF5" w:rsidP="00040AA9">
            <w:pPr>
              <w:suppressAutoHyphens/>
              <w:spacing w:before="120" w:after="120"/>
              <w:rPr>
                <w:rFonts w:ascii="Arial" w:hAnsi="Arial" w:cs="Arial"/>
                <w:b/>
                <w:sz w:val="20"/>
                <w:szCs w:val="20"/>
              </w:rPr>
            </w:pPr>
            <w:r w:rsidRPr="00040AA9">
              <w:rPr>
                <w:rFonts w:ascii="Arial" w:hAnsi="Arial" w:cs="Arial"/>
                <w:b/>
                <w:sz w:val="20"/>
                <w:szCs w:val="20"/>
              </w:rPr>
              <w:t>Less than 100%</w:t>
            </w:r>
          </w:p>
        </w:tc>
        <w:tc>
          <w:tcPr>
            <w:tcW w:w="1350" w:type="dxa"/>
            <w:shd w:val="clear" w:color="auto" w:fill="D9D9D9" w:themeFill="background1" w:themeFillShade="D9"/>
            <w:vAlign w:val="bottom"/>
          </w:tcPr>
          <w:p w14:paraId="15C2860D" w14:textId="2A37705F" w:rsidR="006C2DF5" w:rsidRPr="00040AA9" w:rsidRDefault="006C2DF5" w:rsidP="00040AA9">
            <w:pPr>
              <w:suppressAutoHyphens/>
              <w:spacing w:before="120" w:after="120"/>
              <w:rPr>
                <w:rFonts w:ascii="Arial" w:hAnsi="Arial" w:cs="Arial"/>
                <w:b/>
                <w:sz w:val="20"/>
                <w:szCs w:val="20"/>
              </w:rPr>
            </w:pPr>
            <w:r w:rsidRPr="00040AA9">
              <w:rPr>
                <w:rFonts w:ascii="Arial" w:hAnsi="Arial" w:cs="Arial"/>
                <w:b/>
                <w:sz w:val="20"/>
                <w:szCs w:val="20"/>
              </w:rPr>
              <w:t>Zero Rated</w:t>
            </w:r>
            <w:r w:rsidRPr="00040AA9" w:rsidDel="00C87B38">
              <w:rPr>
                <w:rFonts w:ascii="Arial" w:hAnsi="Arial" w:cs="Arial"/>
                <w:b/>
                <w:sz w:val="20"/>
                <w:szCs w:val="20"/>
              </w:rPr>
              <w:t xml:space="preserve"> </w:t>
            </w:r>
          </w:p>
        </w:tc>
        <w:tc>
          <w:tcPr>
            <w:tcW w:w="1350" w:type="dxa"/>
            <w:shd w:val="clear" w:color="auto" w:fill="D9D9D9" w:themeFill="background1" w:themeFillShade="D9"/>
            <w:vAlign w:val="bottom"/>
          </w:tcPr>
          <w:p w14:paraId="5E2EBDFE" w14:textId="1A94D194" w:rsidR="006C2DF5" w:rsidRPr="00040AA9" w:rsidRDefault="006C2DF5" w:rsidP="00040AA9">
            <w:pPr>
              <w:suppressAutoHyphens/>
              <w:spacing w:before="120" w:after="120"/>
              <w:rPr>
                <w:rFonts w:ascii="Arial" w:hAnsi="Arial" w:cs="Arial"/>
                <w:b/>
                <w:sz w:val="20"/>
                <w:szCs w:val="20"/>
              </w:rPr>
            </w:pPr>
            <w:r w:rsidRPr="00040AA9">
              <w:rPr>
                <w:rFonts w:ascii="Arial" w:hAnsi="Arial" w:cs="Arial"/>
                <w:b/>
                <w:sz w:val="20"/>
                <w:szCs w:val="20"/>
              </w:rPr>
              <w:t>Deactivated</w:t>
            </w:r>
          </w:p>
        </w:tc>
        <w:tc>
          <w:tcPr>
            <w:tcW w:w="900" w:type="dxa"/>
            <w:shd w:val="clear" w:color="auto" w:fill="D9D9D9" w:themeFill="background1" w:themeFillShade="D9"/>
            <w:vAlign w:val="bottom"/>
          </w:tcPr>
          <w:p w14:paraId="5025E226" w14:textId="4F02500E" w:rsidR="006C2DF5" w:rsidRPr="00040AA9" w:rsidRDefault="006C2DF5" w:rsidP="00040AA9">
            <w:pPr>
              <w:suppressAutoHyphens/>
              <w:spacing w:before="120" w:after="120"/>
              <w:rPr>
                <w:rFonts w:ascii="Arial" w:hAnsi="Arial" w:cs="Arial"/>
                <w:b/>
                <w:sz w:val="20"/>
                <w:szCs w:val="20"/>
              </w:rPr>
            </w:pPr>
            <w:r w:rsidRPr="00040AA9">
              <w:rPr>
                <w:rFonts w:ascii="Arial" w:hAnsi="Arial" w:cs="Arial"/>
                <w:b/>
                <w:sz w:val="20"/>
                <w:szCs w:val="20"/>
              </w:rPr>
              <w:t>Total</w:t>
            </w:r>
          </w:p>
        </w:tc>
      </w:tr>
      <w:tr w:rsidR="006C2DF5" w:rsidRPr="004D67A2" w14:paraId="4A4C26DE" w14:textId="5861B155" w:rsidTr="00040AA9">
        <w:trPr>
          <w:trHeight w:val="180"/>
        </w:trPr>
        <w:tc>
          <w:tcPr>
            <w:tcW w:w="8910" w:type="dxa"/>
            <w:gridSpan w:val="6"/>
          </w:tcPr>
          <w:p w14:paraId="36DCE870" w14:textId="77777777" w:rsidR="006C2DF5" w:rsidRPr="00040AA9" w:rsidRDefault="006C2DF5" w:rsidP="00040AA9">
            <w:pPr>
              <w:suppressAutoHyphens/>
              <w:rPr>
                <w:rFonts w:ascii="Arial" w:hAnsi="Arial" w:cs="Arial"/>
                <w:sz w:val="20"/>
                <w:szCs w:val="20"/>
              </w:rPr>
            </w:pPr>
          </w:p>
        </w:tc>
      </w:tr>
      <w:tr w:rsidR="006C2DF5" w:rsidRPr="004D67A2" w14:paraId="5593C006" w14:textId="53CDF35E" w:rsidTr="00040AA9">
        <w:trPr>
          <w:trHeight w:val="188"/>
        </w:trPr>
        <w:tc>
          <w:tcPr>
            <w:tcW w:w="1980" w:type="dxa"/>
            <w:shd w:val="clear" w:color="auto" w:fill="DDD9C3" w:themeFill="background2" w:themeFillShade="E6"/>
          </w:tcPr>
          <w:p w14:paraId="61E4B444" w14:textId="77777777" w:rsidR="006C2DF5" w:rsidRPr="00040AA9" w:rsidRDefault="006C2DF5" w:rsidP="00040AA9">
            <w:pPr>
              <w:suppressAutoHyphens/>
              <w:rPr>
                <w:rFonts w:ascii="Arial" w:hAnsi="Arial" w:cs="Arial"/>
                <w:sz w:val="20"/>
                <w:szCs w:val="20"/>
              </w:rPr>
            </w:pPr>
            <w:r w:rsidRPr="00040AA9">
              <w:rPr>
                <w:rFonts w:ascii="Arial" w:hAnsi="Arial" w:cs="Arial"/>
                <w:sz w:val="20"/>
                <w:szCs w:val="20"/>
              </w:rPr>
              <w:t xml:space="preserve">Impact </w:t>
            </w:r>
          </w:p>
        </w:tc>
        <w:tc>
          <w:tcPr>
            <w:tcW w:w="1530" w:type="dxa"/>
          </w:tcPr>
          <w:p w14:paraId="4EB2DFA7" w14:textId="6F55460C" w:rsidR="006C2DF5" w:rsidRPr="00040AA9" w:rsidRDefault="006C2DF5" w:rsidP="00040AA9">
            <w:pPr>
              <w:suppressAutoHyphens/>
              <w:ind w:left="-108" w:right="608"/>
              <w:jc w:val="right"/>
              <w:rPr>
                <w:rFonts w:ascii="Arial" w:hAnsi="Arial" w:cs="Arial"/>
                <w:sz w:val="20"/>
                <w:szCs w:val="20"/>
              </w:rPr>
            </w:pPr>
            <w:r w:rsidRPr="00040AA9">
              <w:rPr>
                <w:rFonts w:ascii="Arial" w:hAnsi="Arial" w:cs="Arial"/>
                <w:sz w:val="20"/>
                <w:szCs w:val="20"/>
              </w:rPr>
              <w:t>1</w:t>
            </w:r>
          </w:p>
        </w:tc>
        <w:tc>
          <w:tcPr>
            <w:tcW w:w="1800" w:type="dxa"/>
          </w:tcPr>
          <w:p w14:paraId="52F44FDA" w14:textId="19C26C89" w:rsidR="006C2DF5" w:rsidRPr="00040AA9" w:rsidRDefault="006C2DF5" w:rsidP="00040AA9">
            <w:pPr>
              <w:suppressAutoHyphens/>
              <w:ind w:left="-204" w:right="798"/>
              <w:jc w:val="right"/>
              <w:rPr>
                <w:rFonts w:ascii="Arial" w:hAnsi="Arial" w:cs="Arial"/>
                <w:sz w:val="20"/>
                <w:szCs w:val="20"/>
              </w:rPr>
            </w:pPr>
            <w:r w:rsidRPr="00040AA9">
              <w:rPr>
                <w:rFonts w:ascii="Arial" w:hAnsi="Arial" w:cs="Arial"/>
                <w:sz w:val="20"/>
                <w:szCs w:val="20"/>
              </w:rPr>
              <w:t>1</w:t>
            </w:r>
          </w:p>
        </w:tc>
        <w:tc>
          <w:tcPr>
            <w:tcW w:w="1350" w:type="dxa"/>
          </w:tcPr>
          <w:p w14:paraId="5B7E9652" w14:textId="1A4AAB45" w:rsidR="006C2DF5" w:rsidRPr="00040AA9" w:rsidRDefault="006C2DF5" w:rsidP="00040AA9">
            <w:pPr>
              <w:suppressAutoHyphens/>
              <w:ind w:left="-204" w:right="512"/>
              <w:jc w:val="right"/>
              <w:rPr>
                <w:rFonts w:ascii="Arial" w:hAnsi="Arial" w:cs="Arial"/>
                <w:sz w:val="20"/>
                <w:szCs w:val="20"/>
              </w:rPr>
            </w:pPr>
            <w:r w:rsidRPr="00040AA9">
              <w:rPr>
                <w:rFonts w:ascii="Arial" w:hAnsi="Arial" w:cs="Arial"/>
                <w:sz w:val="20"/>
                <w:szCs w:val="20"/>
              </w:rPr>
              <w:t>0</w:t>
            </w:r>
          </w:p>
        </w:tc>
        <w:tc>
          <w:tcPr>
            <w:tcW w:w="1350" w:type="dxa"/>
          </w:tcPr>
          <w:p w14:paraId="2F6BCC92" w14:textId="259BFAEC" w:rsidR="006C2DF5" w:rsidRPr="00040AA9" w:rsidRDefault="006C2DF5" w:rsidP="00040AA9">
            <w:pPr>
              <w:suppressAutoHyphens/>
              <w:ind w:left="-558" w:right="528"/>
              <w:jc w:val="right"/>
              <w:rPr>
                <w:rFonts w:ascii="Arial" w:hAnsi="Arial" w:cs="Arial"/>
                <w:sz w:val="20"/>
                <w:szCs w:val="20"/>
              </w:rPr>
            </w:pPr>
            <w:r w:rsidRPr="00040AA9">
              <w:rPr>
                <w:rFonts w:ascii="Arial" w:hAnsi="Arial" w:cs="Arial"/>
                <w:sz w:val="20"/>
                <w:szCs w:val="20"/>
              </w:rPr>
              <w:t>0</w:t>
            </w:r>
          </w:p>
        </w:tc>
        <w:tc>
          <w:tcPr>
            <w:tcW w:w="900" w:type="dxa"/>
          </w:tcPr>
          <w:p w14:paraId="1EFE3F75" w14:textId="1847FF64" w:rsidR="006C2DF5" w:rsidRPr="00040AA9" w:rsidRDefault="006C2DF5" w:rsidP="00040AA9">
            <w:pPr>
              <w:suppressAutoHyphens/>
              <w:ind w:left="-744" w:right="258"/>
              <w:jc w:val="right"/>
              <w:rPr>
                <w:rFonts w:ascii="Arial" w:hAnsi="Arial" w:cs="Arial"/>
                <w:sz w:val="20"/>
                <w:szCs w:val="20"/>
              </w:rPr>
            </w:pPr>
            <w:r w:rsidRPr="00040AA9">
              <w:rPr>
                <w:rFonts w:ascii="Arial" w:hAnsi="Arial" w:cs="Arial"/>
                <w:sz w:val="20"/>
                <w:szCs w:val="20"/>
              </w:rPr>
              <w:t>2</w:t>
            </w:r>
          </w:p>
        </w:tc>
      </w:tr>
      <w:tr w:rsidR="006C2DF5" w:rsidRPr="004D67A2" w14:paraId="40632FDB" w14:textId="1AD52AF9" w:rsidTr="00040AA9">
        <w:trPr>
          <w:trHeight w:val="126"/>
        </w:trPr>
        <w:tc>
          <w:tcPr>
            <w:tcW w:w="8910" w:type="dxa"/>
            <w:gridSpan w:val="6"/>
          </w:tcPr>
          <w:p w14:paraId="7EDE4029" w14:textId="77777777" w:rsidR="006C2DF5" w:rsidRPr="00040AA9" w:rsidRDefault="006C2DF5" w:rsidP="00040AA9">
            <w:pPr>
              <w:suppressAutoHyphens/>
              <w:rPr>
                <w:rFonts w:ascii="Arial" w:hAnsi="Arial" w:cs="Arial"/>
                <w:sz w:val="20"/>
                <w:szCs w:val="20"/>
              </w:rPr>
            </w:pPr>
          </w:p>
        </w:tc>
      </w:tr>
      <w:tr w:rsidR="006C2DF5" w:rsidRPr="004D67A2" w14:paraId="2E2F53F1" w14:textId="2F505D75" w:rsidTr="00040AA9">
        <w:trPr>
          <w:trHeight w:val="225"/>
        </w:trPr>
        <w:tc>
          <w:tcPr>
            <w:tcW w:w="8910" w:type="dxa"/>
            <w:gridSpan w:val="6"/>
            <w:shd w:val="clear" w:color="auto" w:fill="F2F2F2" w:themeFill="background1" w:themeFillShade="F2"/>
          </w:tcPr>
          <w:p w14:paraId="391E0F05" w14:textId="3DAA077F" w:rsidR="006C2DF5" w:rsidRPr="00040AA9" w:rsidRDefault="006C2DF5" w:rsidP="00040AA9">
            <w:pPr>
              <w:suppressAutoHyphens/>
              <w:rPr>
                <w:rFonts w:ascii="Arial" w:hAnsi="Arial" w:cs="Arial"/>
                <w:sz w:val="20"/>
                <w:szCs w:val="20"/>
              </w:rPr>
            </w:pPr>
            <w:r w:rsidRPr="00040AA9">
              <w:rPr>
                <w:rFonts w:ascii="Arial" w:hAnsi="Arial" w:cs="Arial"/>
                <w:sz w:val="20"/>
                <w:szCs w:val="20"/>
              </w:rPr>
              <w:t>Outcome</w:t>
            </w:r>
          </w:p>
        </w:tc>
      </w:tr>
      <w:tr w:rsidR="006C2DF5" w:rsidRPr="004D67A2" w14:paraId="71F59AFF" w14:textId="51331186" w:rsidTr="00040AA9">
        <w:trPr>
          <w:trHeight w:val="234"/>
        </w:trPr>
        <w:tc>
          <w:tcPr>
            <w:tcW w:w="1980" w:type="dxa"/>
          </w:tcPr>
          <w:p w14:paraId="68B413E6" w14:textId="60AB8A9B"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II</w:t>
            </w:r>
          </w:p>
        </w:tc>
        <w:tc>
          <w:tcPr>
            <w:tcW w:w="1530" w:type="dxa"/>
          </w:tcPr>
          <w:p w14:paraId="1AEC959F" w14:textId="59F406F6" w:rsidR="006C2DF5" w:rsidRPr="00040AA9" w:rsidRDefault="006C2DF5" w:rsidP="00040AA9">
            <w:pPr>
              <w:suppressAutoHyphens/>
              <w:ind w:left="-108" w:right="608"/>
              <w:jc w:val="right"/>
              <w:rPr>
                <w:rFonts w:ascii="Arial" w:hAnsi="Arial" w:cs="Arial"/>
                <w:sz w:val="20"/>
                <w:szCs w:val="20"/>
              </w:rPr>
            </w:pPr>
            <w:r w:rsidRPr="00040AA9">
              <w:rPr>
                <w:rFonts w:ascii="Arial" w:hAnsi="Arial" w:cs="Arial"/>
                <w:sz w:val="20"/>
                <w:szCs w:val="20"/>
              </w:rPr>
              <w:t>10</w:t>
            </w:r>
          </w:p>
        </w:tc>
        <w:tc>
          <w:tcPr>
            <w:tcW w:w="1800" w:type="dxa"/>
          </w:tcPr>
          <w:p w14:paraId="5EA800FE" w14:textId="426916BA" w:rsidR="006C2DF5" w:rsidRPr="00040AA9" w:rsidRDefault="006C2DF5" w:rsidP="00040AA9">
            <w:pPr>
              <w:suppressAutoHyphens/>
              <w:ind w:left="-204" w:right="798"/>
              <w:jc w:val="right"/>
              <w:rPr>
                <w:rFonts w:ascii="Arial" w:hAnsi="Arial" w:cs="Arial"/>
                <w:sz w:val="20"/>
                <w:szCs w:val="20"/>
              </w:rPr>
            </w:pPr>
            <w:r w:rsidRPr="00040AA9">
              <w:rPr>
                <w:rFonts w:ascii="Arial" w:hAnsi="Arial" w:cs="Arial"/>
                <w:sz w:val="20"/>
                <w:szCs w:val="20"/>
              </w:rPr>
              <w:t>2</w:t>
            </w:r>
          </w:p>
        </w:tc>
        <w:tc>
          <w:tcPr>
            <w:tcW w:w="1350" w:type="dxa"/>
          </w:tcPr>
          <w:p w14:paraId="78A4C17F" w14:textId="4CF87501" w:rsidR="006C2DF5" w:rsidRPr="00040AA9" w:rsidRDefault="006C2DF5" w:rsidP="00040AA9">
            <w:pPr>
              <w:suppressAutoHyphens/>
              <w:ind w:left="-294" w:right="522"/>
              <w:jc w:val="right"/>
              <w:rPr>
                <w:rFonts w:ascii="Arial" w:hAnsi="Arial" w:cs="Arial"/>
                <w:sz w:val="20"/>
                <w:szCs w:val="20"/>
              </w:rPr>
            </w:pPr>
            <w:r w:rsidRPr="00040AA9">
              <w:rPr>
                <w:rFonts w:ascii="Arial" w:hAnsi="Arial" w:cs="Arial"/>
                <w:sz w:val="20"/>
                <w:szCs w:val="20"/>
              </w:rPr>
              <w:t>2</w:t>
            </w:r>
          </w:p>
        </w:tc>
        <w:tc>
          <w:tcPr>
            <w:tcW w:w="1350" w:type="dxa"/>
          </w:tcPr>
          <w:p w14:paraId="65651578" w14:textId="0DA989C0" w:rsidR="006C2DF5" w:rsidRPr="00040AA9" w:rsidRDefault="006C2DF5" w:rsidP="00040AA9">
            <w:pPr>
              <w:suppressAutoHyphens/>
              <w:ind w:left="-738" w:right="528"/>
              <w:jc w:val="right"/>
              <w:rPr>
                <w:rFonts w:ascii="Arial" w:hAnsi="Arial" w:cs="Arial"/>
                <w:sz w:val="20"/>
                <w:szCs w:val="20"/>
              </w:rPr>
            </w:pPr>
            <w:r w:rsidRPr="00040AA9">
              <w:rPr>
                <w:rFonts w:ascii="Arial" w:hAnsi="Arial" w:cs="Arial"/>
                <w:sz w:val="20"/>
                <w:szCs w:val="20"/>
              </w:rPr>
              <w:t>1</w:t>
            </w:r>
          </w:p>
        </w:tc>
        <w:tc>
          <w:tcPr>
            <w:tcW w:w="900" w:type="dxa"/>
          </w:tcPr>
          <w:p w14:paraId="2F34324C" w14:textId="39D005F0"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15</w:t>
            </w:r>
          </w:p>
        </w:tc>
      </w:tr>
      <w:tr w:rsidR="006C2DF5" w:rsidRPr="004D67A2" w14:paraId="6F862126" w14:textId="007A67AD" w:rsidTr="00040AA9">
        <w:trPr>
          <w:trHeight w:val="108"/>
        </w:trPr>
        <w:tc>
          <w:tcPr>
            <w:tcW w:w="1980" w:type="dxa"/>
          </w:tcPr>
          <w:p w14:paraId="764812E2" w14:textId="2FF15492"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III</w:t>
            </w:r>
          </w:p>
        </w:tc>
        <w:tc>
          <w:tcPr>
            <w:tcW w:w="1530" w:type="dxa"/>
          </w:tcPr>
          <w:p w14:paraId="2BC3A19E" w14:textId="5B64ED9D" w:rsidR="006C2DF5" w:rsidRPr="00040AA9" w:rsidRDefault="006C2DF5" w:rsidP="00040AA9">
            <w:pPr>
              <w:suppressAutoHyphens/>
              <w:ind w:left="-108" w:right="608"/>
              <w:jc w:val="right"/>
              <w:rPr>
                <w:rFonts w:ascii="Arial" w:hAnsi="Arial" w:cs="Arial"/>
                <w:sz w:val="20"/>
                <w:szCs w:val="20"/>
              </w:rPr>
            </w:pPr>
            <w:r w:rsidRPr="00040AA9">
              <w:rPr>
                <w:rFonts w:ascii="Arial" w:hAnsi="Arial" w:cs="Arial"/>
                <w:sz w:val="20"/>
                <w:szCs w:val="20"/>
              </w:rPr>
              <w:t>1</w:t>
            </w:r>
          </w:p>
        </w:tc>
        <w:tc>
          <w:tcPr>
            <w:tcW w:w="1800" w:type="dxa"/>
          </w:tcPr>
          <w:p w14:paraId="48214047" w14:textId="1A36ABB4" w:rsidR="006C2DF5" w:rsidRPr="00040AA9" w:rsidRDefault="006C2DF5" w:rsidP="00040AA9">
            <w:pPr>
              <w:suppressAutoHyphens/>
              <w:ind w:left="-204" w:right="798"/>
              <w:jc w:val="right"/>
              <w:rPr>
                <w:rFonts w:ascii="Arial" w:hAnsi="Arial" w:cs="Arial"/>
                <w:sz w:val="20"/>
                <w:szCs w:val="20"/>
              </w:rPr>
            </w:pPr>
            <w:r w:rsidRPr="00040AA9">
              <w:rPr>
                <w:rFonts w:ascii="Arial" w:hAnsi="Arial" w:cs="Arial"/>
                <w:sz w:val="20"/>
                <w:szCs w:val="20"/>
              </w:rPr>
              <w:t>2</w:t>
            </w:r>
          </w:p>
        </w:tc>
        <w:tc>
          <w:tcPr>
            <w:tcW w:w="1350" w:type="dxa"/>
          </w:tcPr>
          <w:p w14:paraId="11FEC9C5" w14:textId="72AD8F36" w:rsidR="006C2DF5" w:rsidRPr="00040AA9" w:rsidRDefault="006C2DF5" w:rsidP="00040AA9">
            <w:pPr>
              <w:suppressAutoHyphens/>
              <w:ind w:left="-294" w:right="522"/>
              <w:jc w:val="right"/>
              <w:rPr>
                <w:rFonts w:ascii="Arial" w:hAnsi="Arial" w:cs="Arial"/>
                <w:sz w:val="20"/>
                <w:szCs w:val="20"/>
              </w:rPr>
            </w:pPr>
            <w:r w:rsidRPr="00040AA9">
              <w:rPr>
                <w:rFonts w:ascii="Arial" w:hAnsi="Arial" w:cs="Arial"/>
                <w:sz w:val="20"/>
                <w:szCs w:val="20"/>
              </w:rPr>
              <w:t>0</w:t>
            </w:r>
          </w:p>
        </w:tc>
        <w:tc>
          <w:tcPr>
            <w:tcW w:w="1350" w:type="dxa"/>
          </w:tcPr>
          <w:p w14:paraId="5ED0136D" w14:textId="7CEBB304" w:rsidR="006C2DF5" w:rsidRPr="00040AA9" w:rsidRDefault="006C2DF5" w:rsidP="00040AA9">
            <w:pPr>
              <w:suppressAutoHyphens/>
              <w:ind w:left="-738" w:right="528"/>
              <w:jc w:val="right"/>
              <w:rPr>
                <w:rFonts w:ascii="Arial" w:hAnsi="Arial" w:cs="Arial"/>
                <w:sz w:val="20"/>
                <w:szCs w:val="20"/>
              </w:rPr>
            </w:pPr>
            <w:r w:rsidRPr="00040AA9">
              <w:rPr>
                <w:rFonts w:ascii="Arial" w:hAnsi="Arial" w:cs="Arial"/>
                <w:sz w:val="20"/>
                <w:szCs w:val="20"/>
              </w:rPr>
              <w:t>2</w:t>
            </w:r>
          </w:p>
        </w:tc>
        <w:tc>
          <w:tcPr>
            <w:tcW w:w="900" w:type="dxa"/>
          </w:tcPr>
          <w:p w14:paraId="325FBDC1" w14:textId="28D3A7C2"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5</w:t>
            </w:r>
          </w:p>
        </w:tc>
      </w:tr>
      <w:tr w:rsidR="006C2DF5" w:rsidRPr="004D67A2" w14:paraId="212ACB48" w14:textId="4CEFEAD7" w:rsidTr="00040AA9">
        <w:tc>
          <w:tcPr>
            <w:tcW w:w="1980" w:type="dxa"/>
          </w:tcPr>
          <w:p w14:paraId="07B2A5DF" w14:textId="58462CF8"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IV</w:t>
            </w:r>
          </w:p>
        </w:tc>
        <w:tc>
          <w:tcPr>
            <w:tcW w:w="1530" w:type="dxa"/>
          </w:tcPr>
          <w:p w14:paraId="4D90AE45" w14:textId="7B09F837" w:rsidR="006C2DF5" w:rsidRPr="00040AA9" w:rsidRDefault="006C2DF5" w:rsidP="00040AA9">
            <w:pPr>
              <w:suppressAutoHyphens/>
              <w:ind w:left="-108" w:right="608"/>
              <w:jc w:val="right"/>
              <w:rPr>
                <w:rFonts w:ascii="Arial" w:hAnsi="Arial" w:cs="Arial"/>
                <w:sz w:val="20"/>
                <w:szCs w:val="20"/>
              </w:rPr>
            </w:pPr>
            <w:r w:rsidRPr="00040AA9">
              <w:rPr>
                <w:rFonts w:ascii="Arial" w:hAnsi="Arial" w:cs="Arial"/>
                <w:sz w:val="20"/>
                <w:szCs w:val="20"/>
              </w:rPr>
              <w:t>0</w:t>
            </w:r>
          </w:p>
        </w:tc>
        <w:tc>
          <w:tcPr>
            <w:tcW w:w="1800" w:type="dxa"/>
          </w:tcPr>
          <w:p w14:paraId="6D9F5A61" w14:textId="0D3EBC21" w:rsidR="006C2DF5" w:rsidRPr="00040AA9" w:rsidRDefault="006C2DF5" w:rsidP="00040AA9">
            <w:pPr>
              <w:suppressAutoHyphens/>
              <w:ind w:left="-204" w:right="798"/>
              <w:jc w:val="right"/>
              <w:rPr>
                <w:rFonts w:ascii="Arial" w:hAnsi="Arial" w:cs="Arial"/>
                <w:sz w:val="20"/>
                <w:szCs w:val="20"/>
              </w:rPr>
            </w:pPr>
            <w:r w:rsidRPr="00040AA9">
              <w:rPr>
                <w:rFonts w:ascii="Arial" w:hAnsi="Arial" w:cs="Arial"/>
                <w:sz w:val="20"/>
                <w:szCs w:val="20"/>
              </w:rPr>
              <w:t>0</w:t>
            </w:r>
          </w:p>
        </w:tc>
        <w:tc>
          <w:tcPr>
            <w:tcW w:w="1350" w:type="dxa"/>
          </w:tcPr>
          <w:p w14:paraId="706B9C3E" w14:textId="075C0162" w:rsidR="006C2DF5" w:rsidRPr="00040AA9" w:rsidRDefault="006C2DF5" w:rsidP="00040AA9">
            <w:pPr>
              <w:suppressAutoHyphens/>
              <w:ind w:left="-294" w:right="522"/>
              <w:jc w:val="right"/>
              <w:rPr>
                <w:rFonts w:ascii="Arial" w:hAnsi="Arial" w:cs="Arial"/>
                <w:sz w:val="20"/>
                <w:szCs w:val="20"/>
              </w:rPr>
            </w:pPr>
            <w:r w:rsidRPr="00040AA9">
              <w:rPr>
                <w:rFonts w:ascii="Arial" w:hAnsi="Arial" w:cs="Arial"/>
                <w:sz w:val="20"/>
                <w:szCs w:val="20"/>
              </w:rPr>
              <w:t>0</w:t>
            </w:r>
          </w:p>
        </w:tc>
        <w:tc>
          <w:tcPr>
            <w:tcW w:w="1350" w:type="dxa"/>
          </w:tcPr>
          <w:p w14:paraId="683DAD35" w14:textId="214864D9" w:rsidR="006C2DF5" w:rsidRPr="00040AA9" w:rsidRDefault="006C2DF5" w:rsidP="00040AA9">
            <w:pPr>
              <w:suppressAutoHyphens/>
              <w:ind w:left="-738" w:right="528"/>
              <w:jc w:val="right"/>
              <w:rPr>
                <w:rFonts w:ascii="Arial" w:hAnsi="Arial" w:cs="Arial"/>
                <w:sz w:val="20"/>
                <w:szCs w:val="20"/>
              </w:rPr>
            </w:pPr>
            <w:r w:rsidRPr="00040AA9">
              <w:rPr>
                <w:rFonts w:ascii="Arial" w:hAnsi="Arial" w:cs="Arial"/>
                <w:sz w:val="20"/>
                <w:szCs w:val="20"/>
              </w:rPr>
              <w:t>3</w:t>
            </w:r>
          </w:p>
        </w:tc>
        <w:tc>
          <w:tcPr>
            <w:tcW w:w="900" w:type="dxa"/>
          </w:tcPr>
          <w:p w14:paraId="68F4B378" w14:textId="5AD7991D"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3</w:t>
            </w:r>
          </w:p>
        </w:tc>
      </w:tr>
      <w:tr w:rsidR="006C2DF5" w:rsidRPr="004D67A2" w14:paraId="4213F0E1" w14:textId="495F3AC6" w:rsidTr="00040AA9">
        <w:tc>
          <w:tcPr>
            <w:tcW w:w="1980" w:type="dxa"/>
          </w:tcPr>
          <w:p w14:paraId="01C55AC2" w14:textId="17380E52"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V</w:t>
            </w:r>
          </w:p>
        </w:tc>
        <w:tc>
          <w:tcPr>
            <w:tcW w:w="1530" w:type="dxa"/>
          </w:tcPr>
          <w:p w14:paraId="5FD0FE39" w14:textId="432AC780" w:rsidR="006C2DF5" w:rsidRPr="00040AA9" w:rsidRDefault="006C2DF5" w:rsidP="00040AA9">
            <w:pPr>
              <w:suppressAutoHyphens/>
              <w:ind w:left="-108" w:right="608"/>
              <w:jc w:val="right"/>
              <w:rPr>
                <w:rFonts w:ascii="Arial" w:hAnsi="Arial" w:cs="Arial"/>
                <w:sz w:val="20"/>
                <w:szCs w:val="20"/>
              </w:rPr>
            </w:pPr>
            <w:r w:rsidRPr="00040AA9">
              <w:rPr>
                <w:rFonts w:ascii="Arial" w:hAnsi="Arial" w:cs="Arial"/>
                <w:sz w:val="20"/>
                <w:szCs w:val="20"/>
              </w:rPr>
              <w:t>1</w:t>
            </w:r>
          </w:p>
        </w:tc>
        <w:tc>
          <w:tcPr>
            <w:tcW w:w="1800" w:type="dxa"/>
          </w:tcPr>
          <w:p w14:paraId="2B59009F" w14:textId="2964C546" w:rsidR="006C2DF5" w:rsidRPr="00040AA9" w:rsidRDefault="006C2DF5" w:rsidP="00040AA9">
            <w:pPr>
              <w:suppressAutoHyphens/>
              <w:ind w:left="-204" w:right="798"/>
              <w:jc w:val="right"/>
              <w:rPr>
                <w:rFonts w:ascii="Arial" w:hAnsi="Arial" w:cs="Arial"/>
                <w:sz w:val="20"/>
                <w:szCs w:val="20"/>
              </w:rPr>
            </w:pPr>
            <w:r w:rsidRPr="00040AA9">
              <w:rPr>
                <w:rFonts w:ascii="Arial" w:hAnsi="Arial" w:cs="Arial"/>
                <w:sz w:val="20"/>
                <w:szCs w:val="20"/>
              </w:rPr>
              <w:t>1</w:t>
            </w:r>
          </w:p>
        </w:tc>
        <w:tc>
          <w:tcPr>
            <w:tcW w:w="1350" w:type="dxa"/>
          </w:tcPr>
          <w:p w14:paraId="5ACD5BFD" w14:textId="25FE2DF9" w:rsidR="006C2DF5" w:rsidRPr="00040AA9" w:rsidRDefault="006C2DF5" w:rsidP="00040AA9">
            <w:pPr>
              <w:suppressAutoHyphens/>
              <w:ind w:left="-294" w:right="522"/>
              <w:jc w:val="right"/>
              <w:rPr>
                <w:rFonts w:ascii="Arial" w:hAnsi="Arial" w:cs="Arial"/>
                <w:sz w:val="20"/>
                <w:szCs w:val="20"/>
              </w:rPr>
            </w:pPr>
            <w:r w:rsidRPr="00040AA9">
              <w:rPr>
                <w:rFonts w:ascii="Arial" w:hAnsi="Arial" w:cs="Arial"/>
                <w:sz w:val="20"/>
                <w:szCs w:val="20"/>
              </w:rPr>
              <w:t>0</w:t>
            </w:r>
          </w:p>
        </w:tc>
        <w:tc>
          <w:tcPr>
            <w:tcW w:w="1350" w:type="dxa"/>
          </w:tcPr>
          <w:p w14:paraId="26310830" w14:textId="73538B1E" w:rsidR="006C2DF5" w:rsidRPr="00040AA9" w:rsidRDefault="006C2DF5" w:rsidP="00040AA9">
            <w:pPr>
              <w:suppressAutoHyphens/>
              <w:ind w:left="-738" w:right="528"/>
              <w:jc w:val="right"/>
              <w:rPr>
                <w:rFonts w:ascii="Arial" w:hAnsi="Arial" w:cs="Arial"/>
                <w:sz w:val="20"/>
                <w:szCs w:val="20"/>
              </w:rPr>
            </w:pPr>
            <w:r w:rsidRPr="00040AA9">
              <w:rPr>
                <w:rFonts w:ascii="Arial" w:hAnsi="Arial" w:cs="Arial"/>
                <w:sz w:val="20"/>
                <w:szCs w:val="20"/>
              </w:rPr>
              <w:t>0</w:t>
            </w:r>
          </w:p>
        </w:tc>
        <w:tc>
          <w:tcPr>
            <w:tcW w:w="900" w:type="dxa"/>
          </w:tcPr>
          <w:p w14:paraId="295B3BC9" w14:textId="1C19CCFF"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2</w:t>
            </w:r>
          </w:p>
        </w:tc>
      </w:tr>
      <w:tr w:rsidR="006C2DF5" w:rsidRPr="004D67A2" w14:paraId="6995E307" w14:textId="7BBA122A" w:rsidTr="00040AA9">
        <w:trPr>
          <w:trHeight w:val="224"/>
        </w:trPr>
        <w:tc>
          <w:tcPr>
            <w:tcW w:w="1980" w:type="dxa"/>
          </w:tcPr>
          <w:p w14:paraId="3896E127" w14:textId="77777777" w:rsidR="006C2DF5" w:rsidRPr="00040AA9" w:rsidRDefault="006C2DF5" w:rsidP="00040AA9">
            <w:pPr>
              <w:suppressAutoHyphens/>
              <w:rPr>
                <w:rFonts w:ascii="Arial" w:hAnsi="Arial" w:cs="Arial"/>
                <w:sz w:val="20"/>
                <w:szCs w:val="20"/>
              </w:rPr>
            </w:pPr>
            <w:r w:rsidRPr="00040AA9">
              <w:rPr>
                <w:rFonts w:ascii="Arial" w:hAnsi="Arial" w:cs="Arial"/>
                <w:sz w:val="20"/>
                <w:szCs w:val="20"/>
              </w:rPr>
              <w:t>Subtotal Outcome</w:t>
            </w:r>
          </w:p>
        </w:tc>
        <w:tc>
          <w:tcPr>
            <w:tcW w:w="1530" w:type="dxa"/>
          </w:tcPr>
          <w:p w14:paraId="22420DF4" w14:textId="0FF57F44" w:rsidR="006C2DF5" w:rsidRPr="00040AA9" w:rsidRDefault="006C2DF5" w:rsidP="00040AA9">
            <w:pPr>
              <w:suppressAutoHyphens/>
              <w:ind w:left="-108" w:right="608"/>
              <w:jc w:val="right"/>
              <w:rPr>
                <w:rFonts w:ascii="Arial" w:hAnsi="Arial" w:cs="Arial"/>
                <w:sz w:val="20"/>
                <w:szCs w:val="20"/>
              </w:rPr>
            </w:pPr>
            <w:r w:rsidRPr="00040AA9">
              <w:rPr>
                <w:rFonts w:ascii="Arial" w:hAnsi="Arial" w:cs="Arial"/>
                <w:sz w:val="20"/>
                <w:szCs w:val="20"/>
              </w:rPr>
              <w:t>12</w:t>
            </w:r>
          </w:p>
        </w:tc>
        <w:tc>
          <w:tcPr>
            <w:tcW w:w="1800" w:type="dxa"/>
          </w:tcPr>
          <w:p w14:paraId="2C8F0B04" w14:textId="0E26A1B2" w:rsidR="006C2DF5" w:rsidRPr="00040AA9" w:rsidRDefault="006C2DF5" w:rsidP="00040AA9">
            <w:pPr>
              <w:suppressAutoHyphens/>
              <w:ind w:left="-204" w:right="798"/>
              <w:jc w:val="right"/>
              <w:rPr>
                <w:rFonts w:ascii="Arial" w:hAnsi="Arial" w:cs="Arial"/>
                <w:sz w:val="20"/>
                <w:szCs w:val="20"/>
              </w:rPr>
            </w:pPr>
            <w:r w:rsidRPr="00040AA9">
              <w:rPr>
                <w:rFonts w:ascii="Arial" w:hAnsi="Arial" w:cs="Arial"/>
                <w:sz w:val="20"/>
                <w:szCs w:val="20"/>
              </w:rPr>
              <w:t>5</w:t>
            </w:r>
          </w:p>
        </w:tc>
        <w:tc>
          <w:tcPr>
            <w:tcW w:w="1350" w:type="dxa"/>
          </w:tcPr>
          <w:p w14:paraId="1C5581F1" w14:textId="6FADBC54" w:rsidR="006C2DF5" w:rsidRPr="00040AA9" w:rsidRDefault="006C2DF5" w:rsidP="00040AA9">
            <w:pPr>
              <w:suppressAutoHyphens/>
              <w:ind w:left="-294" w:right="522"/>
              <w:jc w:val="right"/>
              <w:rPr>
                <w:rFonts w:ascii="Arial" w:hAnsi="Arial" w:cs="Arial"/>
                <w:sz w:val="20"/>
                <w:szCs w:val="20"/>
              </w:rPr>
            </w:pPr>
            <w:r w:rsidRPr="00040AA9">
              <w:rPr>
                <w:rFonts w:ascii="Arial" w:hAnsi="Arial" w:cs="Arial"/>
                <w:sz w:val="20"/>
                <w:szCs w:val="20"/>
              </w:rPr>
              <w:t>2</w:t>
            </w:r>
          </w:p>
        </w:tc>
        <w:tc>
          <w:tcPr>
            <w:tcW w:w="1350" w:type="dxa"/>
          </w:tcPr>
          <w:p w14:paraId="368D662F" w14:textId="384286CF" w:rsidR="006C2DF5" w:rsidRPr="00040AA9" w:rsidRDefault="006C2DF5" w:rsidP="00040AA9">
            <w:pPr>
              <w:suppressAutoHyphens/>
              <w:ind w:left="-738" w:right="528"/>
              <w:jc w:val="right"/>
              <w:rPr>
                <w:rFonts w:ascii="Arial" w:hAnsi="Arial" w:cs="Arial"/>
                <w:sz w:val="20"/>
                <w:szCs w:val="20"/>
              </w:rPr>
            </w:pPr>
            <w:r w:rsidRPr="00040AA9">
              <w:rPr>
                <w:rFonts w:ascii="Arial" w:hAnsi="Arial" w:cs="Arial"/>
                <w:sz w:val="20"/>
                <w:szCs w:val="20"/>
              </w:rPr>
              <w:t>6</w:t>
            </w:r>
          </w:p>
        </w:tc>
        <w:tc>
          <w:tcPr>
            <w:tcW w:w="900" w:type="dxa"/>
          </w:tcPr>
          <w:p w14:paraId="1E45B992" w14:textId="24DA15D9"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25</w:t>
            </w:r>
          </w:p>
        </w:tc>
      </w:tr>
      <w:tr w:rsidR="006C2DF5" w:rsidRPr="004D67A2" w14:paraId="0ED76D08" w14:textId="3CE4CCCF" w:rsidTr="00040AA9">
        <w:tc>
          <w:tcPr>
            <w:tcW w:w="8910" w:type="dxa"/>
            <w:gridSpan w:val="6"/>
          </w:tcPr>
          <w:p w14:paraId="3091FCEA" w14:textId="77777777" w:rsidR="006C2DF5" w:rsidRPr="00040AA9" w:rsidRDefault="006C2DF5" w:rsidP="00040AA9">
            <w:pPr>
              <w:suppressAutoHyphens/>
              <w:rPr>
                <w:rFonts w:ascii="Arial" w:hAnsi="Arial" w:cs="Arial"/>
                <w:sz w:val="20"/>
                <w:szCs w:val="20"/>
              </w:rPr>
            </w:pPr>
          </w:p>
        </w:tc>
      </w:tr>
      <w:tr w:rsidR="006C2DF5" w:rsidRPr="004D67A2" w14:paraId="6CC4513F" w14:textId="6BA05D12" w:rsidTr="00040AA9">
        <w:tc>
          <w:tcPr>
            <w:tcW w:w="8910" w:type="dxa"/>
            <w:gridSpan w:val="6"/>
            <w:shd w:val="clear" w:color="auto" w:fill="F2F2F2" w:themeFill="background1" w:themeFillShade="F2"/>
          </w:tcPr>
          <w:p w14:paraId="021F60FF" w14:textId="265457FC" w:rsidR="006C2DF5" w:rsidRPr="00040AA9" w:rsidRDefault="006C2DF5" w:rsidP="00040AA9">
            <w:pPr>
              <w:suppressAutoHyphens/>
              <w:rPr>
                <w:rFonts w:ascii="Arial" w:hAnsi="Arial" w:cs="Arial"/>
                <w:sz w:val="20"/>
                <w:szCs w:val="20"/>
              </w:rPr>
            </w:pPr>
            <w:r w:rsidRPr="00040AA9">
              <w:rPr>
                <w:rFonts w:ascii="Arial" w:hAnsi="Arial" w:cs="Arial"/>
                <w:sz w:val="20"/>
                <w:szCs w:val="20"/>
              </w:rPr>
              <w:t>Output</w:t>
            </w:r>
          </w:p>
        </w:tc>
      </w:tr>
      <w:tr w:rsidR="006C2DF5" w:rsidRPr="004D67A2" w14:paraId="3B41A73B" w14:textId="08D8C805" w:rsidTr="00040AA9">
        <w:tc>
          <w:tcPr>
            <w:tcW w:w="1980" w:type="dxa"/>
          </w:tcPr>
          <w:p w14:paraId="426DBEEB" w14:textId="5C8A2CAA"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II</w:t>
            </w:r>
          </w:p>
        </w:tc>
        <w:tc>
          <w:tcPr>
            <w:tcW w:w="1530" w:type="dxa"/>
          </w:tcPr>
          <w:p w14:paraId="1BA019EB" w14:textId="273517FC" w:rsidR="006C2DF5" w:rsidRPr="00040AA9" w:rsidRDefault="006C2DF5" w:rsidP="00040AA9">
            <w:pPr>
              <w:suppressAutoHyphens/>
              <w:ind w:left="-108" w:right="618"/>
              <w:jc w:val="right"/>
              <w:rPr>
                <w:rFonts w:ascii="Arial" w:hAnsi="Arial" w:cs="Arial"/>
                <w:sz w:val="20"/>
                <w:szCs w:val="20"/>
              </w:rPr>
            </w:pPr>
            <w:r w:rsidRPr="00040AA9">
              <w:rPr>
                <w:rFonts w:ascii="Arial" w:hAnsi="Arial" w:cs="Arial"/>
                <w:sz w:val="20"/>
                <w:szCs w:val="20"/>
              </w:rPr>
              <w:t>29</w:t>
            </w:r>
          </w:p>
        </w:tc>
        <w:tc>
          <w:tcPr>
            <w:tcW w:w="1800" w:type="dxa"/>
          </w:tcPr>
          <w:p w14:paraId="24966131" w14:textId="2BC6CCCF" w:rsidR="006C2DF5" w:rsidRPr="00040AA9" w:rsidRDefault="006C2DF5" w:rsidP="00040AA9">
            <w:pPr>
              <w:suppressAutoHyphens/>
              <w:ind w:left="-336" w:right="798"/>
              <w:jc w:val="right"/>
              <w:rPr>
                <w:rFonts w:ascii="Arial" w:hAnsi="Arial" w:cs="Arial"/>
                <w:sz w:val="20"/>
                <w:szCs w:val="20"/>
              </w:rPr>
            </w:pPr>
            <w:r w:rsidRPr="00040AA9">
              <w:rPr>
                <w:rFonts w:ascii="Arial" w:hAnsi="Arial" w:cs="Arial"/>
                <w:sz w:val="20"/>
                <w:szCs w:val="20"/>
              </w:rPr>
              <w:t>0</w:t>
            </w:r>
          </w:p>
        </w:tc>
        <w:tc>
          <w:tcPr>
            <w:tcW w:w="1350" w:type="dxa"/>
          </w:tcPr>
          <w:p w14:paraId="6C5D2E9F" w14:textId="2AB98528" w:rsidR="006C2DF5" w:rsidRPr="00040AA9" w:rsidRDefault="006C2DF5" w:rsidP="00040AA9">
            <w:pPr>
              <w:suppressAutoHyphens/>
              <w:ind w:left="-474" w:right="522"/>
              <w:jc w:val="right"/>
              <w:rPr>
                <w:rFonts w:ascii="Arial" w:hAnsi="Arial" w:cs="Arial"/>
                <w:sz w:val="20"/>
                <w:szCs w:val="20"/>
              </w:rPr>
            </w:pPr>
            <w:r w:rsidRPr="00040AA9">
              <w:rPr>
                <w:rFonts w:ascii="Arial" w:hAnsi="Arial" w:cs="Arial"/>
                <w:sz w:val="20"/>
                <w:szCs w:val="20"/>
              </w:rPr>
              <w:t>0</w:t>
            </w:r>
          </w:p>
        </w:tc>
        <w:tc>
          <w:tcPr>
            <w:tcW w:w="1350" w:type="dxa"/>
          </w:tcPr>
          <w:p w14:paraId="0E3FA8F6" w14:textId="345BD607" w:rsidR="006C2DF5" w:rsidRPr="00040AA9" w:rsidRDefault="006C2DF5" w:rsidP="00040AA9">
            <w:pPr>
              <w:suppressAutoHyphens/>
              <w:ind w:left="-378" w:right="528"/>
              <w:jc w:val="right"/>
              <w:rPr>
                <w:rFonts w:ascii="Arial" w:hAnsi="Arial" w:cs="Arial"/>
                <w:sz w:val="20"/>
                <w:szCs w:val="20"/>
              </w:rPr>
            </w:pPr>
            <w:r w:rsidRPr="00040AA9">
              <w:rPr>
                <w:rFonts w:ascii="Arial" w:hAnsi="Arial" w:cs="Arial"/>
                <w:sz w:val="20"/>
                <w:szCs w:val="20"/>
              </w:rPr>
              <w:t>0</w:t>
            </w:r>
          </w:p>
        </w:tc>
        <w:tc>
          <w:tcPr>
            <w:tcW w:w="900" w:type="dxa"/>
          </w:tcPr>
          <w:p w14:paraId="6E3DED3A" w14:textId="5D84FD0C"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29</w:t>
            </w:r>
          </w:p>
        </w:tc>
      </w:tr>
      <w:tr w:rsidR="006C2DF5" w:rsidRPr="004D67A2" w14:paraId="1BB747EF" w14:textId="223228B3" w:rsidTr="00040AA9">
        <w:tc>
          <w:tcPr>
            <w:tcW w:w="1980" w:type="dxa"/>
          </w:tcPr>
          <w:p w14:paraId="60B94F4F" w14:textId="3BE05D89"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III</w:t>
            </w:r>
          </w:p>
        </w:tc>
        <w:tc>
          <w:tcPr>
            <w:tcW w:w="1530" w:type="dxa"/>
          </w:tcPr>
          <w:p w14:paraId="2E4DFB51" w14:textId="1DAC11FA" w:rsidR="006C2DF5" w:rsidRPr="00040AA9" w:rsidRDefault="006C2DF5" w:rsidP="00040AA9">
            <w:pPr>
              <w:suppressAutoHyphens/>
              <w:ind w:left="-108" w:right="618"/>
              <w:jc w:val="right"/>
              <w:rPr>
                <w:rFonts w:ascii="Arial" w:hAnsi="Arial" w:cs="Arial"/>
                <w:sz w:val="20"/>
                <w:szCs w:val="20"/>
              </w:rPr>
            </w:pPr>
            <w:r w:rsidRPr="00040AA9">
              <w:rPr>
                <w:rFonts w:ascii="Arial" w:hAnsi="Arial" w:cs="Arial"/>
                <w:sz w:val="20"/>
                <w:szCs w:val="20"/>
              </w:rPr>
              <w:t>9</w:t>
            </w:r>
          </w:p>
        </w:tc>
        <w:tc>
          <w:tcPr>
            <w:tcW w:w="1800" w:type="dxa"/>
          </w:tcPr>
          <w:p w14:paraId="57BE46DA" w14:textId="0340A025" w:rsidR="006C2DF5" w:rsidRPr="00040AA9" w:rsidRDefault="006C2DF5" w:rsidP="00040AA9">
            <w:pPr>
              <w:suppressAutoHyphens/>
              <w:ind w:left="-336" w:right="798"/>
              <w:jc w:val="right"/>
              <w:rPr>
                <w:rFonts w:ascii="Arial" w:hAnsi="Arial" w:cs="Arial"/>
                <w:sz w:val="20"/>
                <w:szCs w:val="20"/>
              </w:rPr>
            </w:pPr>
            <w:r w:rsidRPr="00040AA9">
              <w:rPr>
                <w:rFonts w:ascii="Arial" w:hAnsi="Arial" w:cs="Arial"/>
                <w:sz w:val="20"/>
                <w:szCs w:val="20"/>
              </w:rPr>
              <w:t>0</w:t>
            </w:r>
          </w:p>
        </w:tc>
        <w:tc>
          <w:tcPr>
            <w:tcW w:w="1350" w:type="dxa"/>
          </w:tcPr>
          <w:p w14:paraId="1DB0C0C3" w14:textId="71ABF708" w:rsidR="006C2DF5" w:rsidRPr="00040AA9" w:rsidRDefault="006C2DF5" w:rsidP="00040AA9">
            <w:pPr>
              <w:suppressAutoHyphens/>
              <w:ind w:left="-474" w:right="522"/>
              <w:jc w:val="right"/>
              <w:rPr>
                <w:rFonts w:ascii="Arial" w:hAnsi="Arial" w:cs="Arial"/>
                <w:sz w:val="20"/>
                <w:szCs w:val="20"/>
              </w:rPr>
            </w:pPr>
            <w:r w:rsidRPr="00040AA9">
              <w:rPr>
                <w:rFonts w:ascii="Arial" w:hAnsi="Arial" w:cs="Arial"/>
                <w:sz w:val="20"/>
                <w:szCs w:val="20"/>
              </w:rPr>
              <w:t>0</w:t>
            </w:r>
          </w:p>
        </w:tc>
        <w:tc>
          <w:tcPr>
            <w:tcW w:w="1350" w:type="dxa"/>
          </w:tcPr>
          <w:p w14:paraId="57EC34ED" w14:textId="5D48B876" w:rsidR="006C2DF5" w:rsidRPr="00040AA9" w:rsidRDefault="006C2DF5" w:rsidP="00040AA9">
            <w:pPr>
              <w:suppressAutoHyphens/>
              <w:ind w:left="-378" w:right="528"/>
              <w:jc w:val="right"/>
              <w:rPr>
                <w:rFonts w:ascii="Arial" w:hAnsi="Arial" w:cs="Arial"/>
                <w:sz w:val="20"/>
                <w:szCs w:val="20"/>
              </w:rPr>
            </w:pPr>
            <w:r w:rsidRPr="00040AA9">
              <w:rPr>
                <w:rFonts w:ascii="Arial" w:hAnsi="Arial" w:cs="Arial"/>
                <w:sz w:val="20"/>
                <w:szCs w:val="20"/>
              </w:rPr>
              <w:t>1</w:t>
            </w:r>
          </w:p>
        </w:tc>
        <w:tc>
          <w:tcPr>
            <w:tcW w:w="900" w:type="dxa"/>
          </w:tcPr>
          <w:p w14:paraId="415E4DA1" w14:textId="51EC9FAF"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10</w:t>
            </w:r>
          </w:p>
        </w:tc>
      </w:tr>
      <w:tr w:rsidR="006C2DF5" w:rsidRPr="004D67A2" w14:paraId="2E247CA5" w14:textId="13D84808" w:rsidTr="00040AA9">
        <w:trPr>
          <w:trHeight w:val="225"/>
        </w:trPr>
        <w:tc>
          <w:tcPr>
            <w:tcW w:w="1980" w:type="dxa"/>
          </w:tcPr>
          <w:p w14:paraId="614F5B83" w14:textId="29711A33"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IV</w:t>
            </w:r>
          </w:p>
        </w:tc>
        <w:tc>
          <w:tcPr>
            <w:tcW w:w="1530" w:type="dxa"/>
          </w:tcPr>
          <w:p w14:paraId="620656C9" w14:textId="12A02294" w:rsidR="006C2DF5" w:rsidRPr="00040AA9" w:rsidRDefault="006C2DF5" w:rsidP="00040AA9">
            <w:pPr>
              <w:suppressAutoHyphens/>
              <w:ind w:left="-108" w:right="618"/>
              <w:jc w:val="right"/>
              <w:rPr>
                <w:rFonts w:ascii="Arial" w:hAnsi="Arial" w:cs="Arial"/>
                <w:sz w:val="20"/>
                <w:szCs w:val="20"/>
              </w:rPr>
            </w:pPr>
            <w:r w:rsidRPr="00040AA9">
              <w:rPr>
                <w:rFonts w:ascii="Arial" w:hAnsi="Arial" w:cs="Arial"/>
                <w:sz w:val="20"/>
                <w:szCs w:val="20"/>
              </w:rPr>
              <w:t>11</w:t>
            </w:r>
          </w:p>
        </w:tc>
        <w:tc>
          <w:tcPr>
            <w:tcW w:w="1800" w:type="dxa"/>
          </w:tcPr>
          <w:p w14:paraId="2B7B6BCA" w14:textId="15CF6882" w:rsidR="006C2DF5" w:rsidRPr="00040AA9" w:rsidRDefault="006C2DF5" w:rsidP="00040AA9">
            <w:pPr>
              <w:suppressAutoHyphens/>
              <w:ind w:left="-336" w:right="798"/>
              <w:jc w:val="right"/>
              <w:rPr>
                <w:rFonts w:ascii="Arial" w:hAnsi="Arial" w:cs="Arial"/>
                <w:sz w:val="20"/>
                <w:szCs w:val="20"/>
              </w:rPr>
            </w:pPr>
            <w:r w:rsidRPr="00040AA9">
              <w:rPr>
                <w:rFonts w:ascii="Arial" w:hAnsi="Arial" w:cs="Arial"/>
                <w:sz w:val="20"/>
                <w:szCs w:val="20"/>
              </w:rPr>
              <w:t>0</w:t>
            </w:r>
          </w:p>
        </w:tc>
        <w:tc>
          <w:tcPr>
            <w:tcW w:w="1350" w:type="dxa"/>
          </w:tcPr>
          <w:p w14:paraId="3FB1934C" w14:textId="249F4AC4" w:rsidR="006C2DF5" w:rsidRPr="00040AA9" w:rsidRDefault="006C2DF5" w:rsidP="00040AA9">
            <w:pPr>
              <w:suppressAutoHyphens/>
              <w:ind w:left="-474" w:right="522"/>
              <w:jc w:val="right"/>
              <w:rPr>
                <w:rFonts w:ascii="Arial" w:hAnsi="Arial" w:cs="Arial"/>
                <w:sz w:val="20"/>
                <w:szCs w:val="20"/>
              </w:rPr>
            </w:pPr>
            <w:r w:rsidRPr="00040AA9">
              <w:rPr>
                <w:rFonts w:ascii="Arial" w:hAnsi="Arial" w:cs="Arial"/>
                <w:sz w:val="20"/>
                <w:szCs w:val="20"/>
              </w:rPr>
              <w:t>0</w:t>
            </w:r>
          </w:p>
        </w:tc>
        <w:tc>
          <w:tcPr>
            <w:tcW w:w="1350" w:type="dxa"/>
          </w:tcPr>
          <w:p w14:paraId="76A1897D" w14:textId="2F56C270" w:rsidR="006C2DF5" w:rsidRPr="00040AA9" w:rsidRDefault="006C2DF5" w:rsidP="00040AA9">
            <w:pPr>
              <w:suppressAutoHyphens/>
              <w:ind w:left="-378" w:right="528"/>
              <w:jc w:val="right"/>
              <w:rPr>
                <w:rFonts w:ascii="Arial" w:hAnsi="Arial" w:cs="Arial"/>
                <w:sz w:val="20"/>
                <w:szCs w:val="20"/>
              </w:rPr>
            </w:pPr>
            <w:r w:rsidRPr="00040AA9">
              <w:rPr>
                <w:rFonts w:ascii="Arial" w:hAnsi="Arial" w:cs="Arial"/>
                <w:sz w:val="20"/>
                <w:szCs w:val="20"/>
              </w:rPr>
              <w:t>0</w:t>
            </w:r>
          </w:p>
        </w:tc>
        <w:tc>
          <w:tcPr>
            <w:tcW w:w="900" w:type="dxa"/>
          </w:tcPr>
          <w:p w14:paraId="58655C40" w14:textId="7DB6CCBE"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11</w:t>
            </w:r>
          </w:p>
        </w:tc>
      </w:tr>
      <w:tr w:rsidR="006C2DF5" w:rsidRPr="004D67A2" w14:paraId="41240998" w14:textId="7B6C7E71" w:rsidTr="00040AA9">
        <w:tc>
          <w:tcPr>
            <w:tcW w:w="1980" w:type="dxa"/>
          </w:tcPr>
          <w:p w14:paraId="48CE7FB6" w14:textId="7306F0AA" w:rsidR="006C2DF5" w:rsidRPr="00040AA9" w:rsidRDefault="006C2DF5" w:rsidP="00040AA9">
            <w:pPr>
              <w:suppressAutoHyphens/>
              <w:ind w:left="162"/>
              <w:rPr>
                <w:rFonts w:ascii="Arial" w:hAnsi="Arial" w:cs="Arial"/>
                <w:sz w:val="20"/>
                <w:szCs w:val="20"/>
              </w:rPr>
            </w:pPr>
            <w:r w:rsidRPr="00040AA9">
              <w:rPr>
                <w:rFonts w:ascii="Arial" w:hAnsi="Arial" w:cs="Arial"/>
                <w:sz w:val="20"/>
                <w:szCs w:val="20"/>
              </w:rPr>
              <w:t>Component V</w:t>
            </w:r>
          </w:p>
        </w:tc>
        <w:tc>
          <w:tcPr>
            <w:tcW w:w="1530" w:type="dxa"/>
          </w:tcPr>
          <w:p w14:paraId="1805CFBD" w14:textId="0864970A" w:rsidR="006C2DF5" w:rsidRPr="00040AA9" w:rsidRDefault="006C2DF5" w:rsidP="00040AA9">
            <w:pPr>
              <w:suppressAutoHyphens/>
              <w:ind w:left="-108" w:right="618"/>
              <w:jc w:val="right"/>
              <w:rPr>
                <w:rFonts w:ascii="Arial" w:hAnsi="Arial" w:cs="Arial"/>
                <w:sz w:val="20"/>
                <w:szCs w:val="20"/>
              </w:rPr>
            </w:pPr>
            <w:r w:rsidRPr="00040AA9">
              <w:rPr>
                <w:rFonts w:ascii="Arial" w:hAnsi="Arial" w:cs="Arial"/>
                <w:sz w:val="20"/>
                <w:szCs w:val="20"/>
              </w:rPr>
              <w:t>3</w:t>
            </w:r>
          </w:p>
        </w:tc>
        <w:tc>
          <w:tcPr>
            <w:tcW w:w="1800" w:type="dxa"/>
          </w:tcPr>
          <w:p w14:paraId="27F4DD3E" w14:textId="27C1B53C" w:rsidR="006C2DF5" w:rsidRPr="00040AA9" w:rsidRDefault="006C2DF5" w:rsidP="00040AA9">
            <w:pPr>
              <w:suppressAutoHyphens/>
              <w:ind w:left="-336" w:right="798"/>
              <w:jc w:val="right"/>
              <w:rPr>
                <w:rFonts w:ascii="Arial" w:hAnsi="Arial" w:cs="Arial"/>
                <w:sz w:val="20"/>
                <w:szCs w:val="20"/>
              </w:rPr>
            </w:pPr>
            <w:r w:rsidRPr="00040AA9">
              <w:rPr>
                <w:rFonts w:ascii="Arial" w:hAnsi="Arial" w:cs="Arial"/>
                <w:sz w:val="20"/>
                <w:szCs w:val="20"/>
              </w:rPr>
              <w:t>0</w:t>
            </w:r>
          </w:p>
        </w:tc>
        <w:tc>
          <w:tcPr>
            <w:tcW w:w="1350" w:type="dxa"/>
          </w:tcPr>
          <w:p w14:paraId="53DC8DBC" w14:textId="6362F308" w:rsidR="006C2DF5" w:rsidRPr="00040AA9" w:rsidRDefault="006C2DF5" w:rsidP="00040AA9">
            <w:pPr>
              <w:suppressAutoHyphens/>
              <w:ind w:left="-474" w:right="522"/>
              <w:jc w:val="right"/>
              <w:rPr>
                <w:rFonts w:ascii="Arial" w:hAnsi="Arial" w:cs="Arial"/>
                <w:sz w:val="20"/>
                <w:szCs w:val="20"/>
              </w:rPr>
            </w:pPr>
            <w:r w:rsidRPr="00040AA9">
              <w:rPr>
                <w:rFonts w:ascii="Arial" w:hAnsi="Arial" w:cs="Arial"/>
                <w:sz w:val="20"/>
                <w:szCs w:val="20"/>
              </w:rPr>
              <w:t>0</w:t>
            </w:r>
          </w:p>
        </w:tc>
        <w:tc>
          <w:tcPr>
            <w:tcW w:w="1350" w:type="dxa"/>
          </w:tcPr>
          <w:p w14:paraId="406D6E0F" w14:textId="72F97FFA" w:rsidR="006C2DF5" w:rsidRPr="00040AA9" w:rsidRDefault="006C2DF5" w:rsidP="00040AA9">
            <w:pPr>
              <w:suppressAutoHyphens/>
              <w:ind w:left="-378" w:right="528"/>
              <w:jc w:val="right"/>
              <w:rPr>
                <w:rFonts w:ascii="Arial" w:hAnsi="Arial" w:cs="Arial"/>
                <w:sz w:val="20"/>
                <w:szCs w:val="20"/>
              </w:rPr>
            </w:pPr>
            <w:r w:rsidRPr="00040AA9">
              <w:rPr>
                <w:rFonts w:ascii="Arial" w:hAnsi="Arial" w:cs="Arial"/>
                <w:sz w:val="20"/>
                <w:szCs w:val="20"/>
              </w:rPr>
              <w:t>0</w:t>
            </w:r>
          </w:p>
        </w:tc>
        <w:tc>
          <w:tcPr>
            <w:tcW w:w="900" w:type="dxa"/>
          </w:tcPr>
          <w:p w14:paraId="268FF7C3" w14:textId="68D9A2DC"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3</w:t>
            </w:r>
          </w:p>
        </w:tc>
      </w:tr>
      <w:tr w:rsidR="006C2DF5" w:rsidRPr="004D67A2" w14:paraId="6B589536" w14:textId="6601FA42" w:rsidTr="00040AA9">
        <w:tc>
          <w:tcPr>
            <w:tcW w:w="1980" w:type="dxa"/>
          </w:tcPr>
          <w:p w14:paraId="23BAC2EC" w14:textId="77777777" w:rsidR="006C2DF5" w:rsidRPr="00040AA9" w:rsidRDefault="006C2DF5" w:rsidP="00040AA9">
            <w:pPr>
              <w:suppressAutoHyphens/>
              <w:rPr>
                <w:rFonts w:ascii="Arial" w:hAnsi="Arial" w:cs="Arial"/>
                <w:sz w:val="20"/>
                <w:szCs w:val="20"/>
              </w:rPr>
            </w:pPr>
            <w:r w:rsidRPr="00040AA9">
              <w:rPr>
                <w:rFonts w:ascii="Arial" w:hAnsi="Arial" w:cs="Arial"/>
                <w:sz w:val="20"/>
                <w:szCs w:val="20"/>
              </w:rPr>
              <w:t>Subtotal Output</w:t>
            </w:r>
          </w:p>
        </w:tc>
        <w:tc>
          <w:tcPr>
            <w:tcW w:w="1530" w:type="dxa"/>
          </w:tcPr>
          <w:p w14:paraId="2931DDAA" w14:textId="240C63C7" w:rsidR="006C2DF5" w:rsidRPr="00040AA9" w:rsidRDefault="006C2DF5" w:rsidP="00040AA9">
            <w:pPr>
              <w:suppressAutoHyphens/>
              <w:ind w:left="-108" w:right="618"/>
              <w:jc w:val="right"/>
              <w:rPr>
                <w:rFonts w:ascii="Arial" w:hAnsi="Arial" w:cs="Arial"/>
                <w:sz w:val="20"/>
                <w:szCs w:val="20"/>
              </w:rPr>
            </w:pPr>
            <w:r w:rsidRPr="00040AA9">
              <w:rPr>
                <w:rFonts w:ascii="Arial" w:hAnsi="Arial" w:cs="Arial"/>
                <w:sz w:val="20"/>
                <w:szCs w:val="20"/>
              </w:rPr>
              <w:t>52</w:t>
            </w:r>
          </w:p>
        </w:tc>
        <w:tc>
          <w:tcPr>
            <w:tcW w:w="1800" w:type="dxa"/>
          </w:tcPr>
          <w:p w14:paraId="3127C87C" w14:textId="49AB4DF9" w:rsidR="006C2DF5" w:rsidRPr="00040AA9" w:rsidRDefault="006C2DF5" w:rsidP="00040AA9">
            <w:pPr>
              <w:suppressAutoHyphens/>
              <w:ind w:left="-336" w:right="798"/>
              <w:jc w:val="right"/>
              <w:rPr>
                <w:rFonts w:ascii="Arial" w:hAnsi="Arial" w:cs="Arial"/>
                <w:sz w:val="20"/>
                <w:szCs w:val="20"/>
              </w:rPr>
            </w:pPr>
            <w:r w:rsidRPr="00040AA9">
              <w:rPr>
                <w:rFonts w:ascii="Arial" w:hAnsi="Arial" w:cs="Arial"/>
                <w:sz w:val="20"/>
                <w:szCs w:val="20"/>
              </w:rPr>
              <w:t>0</w:t>
            </w:r>
          </w:p>
        </w:tc>
        <w:tc>
          <w:tcPr>
            <w:tcW w:w="1350" w:type="dxa"/>
          </w:tcPr>
          <w:p w14:paraId="37EBD35C" w14:textId="0A4C5B41" w:rsidR="006C2DF5" w:rsidRPr="00040AA9" w:rsidRDefault="006C2DF5" w:rsidP="00040AA9">
            <w:pPr>
              <w:suppressAutoHyphens/>
              <w:ind w:left="-474" w:right="522"/>
              <w:jc w:val="right"/>
              <w:rPr>
                <w:rFonts w:ascii="Arial" w:hAnsi="Arial" w:cs="Arial"/>
                <w:sz w:val="20"/>
                <w:szCs w:val="20"/>
              </w:rPr>
            </w:pPr>
            <w:r w:rsidRPr="00040AA9">
              <w:rPr>
                <w:rFonts w:ascii="Arial" w:hAnsi="Arial" w:cs="Arial"/>
                <w:sz w:val="20"/>
                <w:szCs w:val="20"/>
              </w:rPr>
              <w:t>0</w:t>
            </w:r>
          </w:p>
        </w:tc>
        <w:tc>
          <w:tcPr>
            <w:tcW w:w="1350" w:type="dxa"/>
          </w:tcPr>
          <w:p w14:paraId="4A9904C3" w14:textId="68974D9B" w:rsidR="006C2DF5" w:rsidRPr="00040AA9" w:rsidRDefault="006C2DF5" w:rsidP="00040AA9">
            <w:pPr>
              <w:suppressAutoHyphens/>
              <w:ind w:left="-378" w:right="528"/>
              <w:jc w:val="right"/>
              <w:rPr>
                <w:rFonts w:ascii="Arial" w:hAnsi="Arial" w:cs="Arial"/>
                <w:sz w:val="20"/>
                <w:szCs w:val="20"/>
              </w:rPr>
            </w:pPr>
            <w:r w:rsidRPr="00040AA9">
              <w:rPr>
                <w:rFonts w:ascii="Arial" w:hAnsi="Arial" w:cs="Arial"/>
                <w:sz w:val="20"/>
                <w:szCs w:val="20"/>
              </w:rPr>
              <w:t>1</w:t>
            </w:r>
          </w:p>
        </w:tc>
        <w:tc>
          <w:tcPr>
            <w:tcW w:w="900" w:type="dxa"/>
          </w:tcPr>
          <w:p w14:paraId="7052B5EE" w14:textId="0049CC49"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53</w:t>
            </w:r>
          </w:p>
        </w:tc>
      </w:tr>
      <w:tr w:rsidR="006C2DF5" w:rsidRPr="004D67A2" w14:paraId="1E7B2CE0" w14:textId="6B367610" w:rsidTr="00040AA9">
        <w:trPr>
          <w:trHeight w:val="216"/>
        </w:trPr>
        <w:tc>
          <w:tcPr>
            <w:tcW w:w="8910" w:type="dxa"/>
            <w:gridSpan w:val="6"/>
          </w:tcPr>
          <w:p w14:paraId="00C3A8F5" w14:textId="72AE11EF" w:rsidR="006C2DF5" w:rsidRPr="00040AA9" w:rsidRDefault="006C2DF5" w:rsidP="00040AA9">
            <w:pPr>
              <w:suppressAutoHyphens/>
              <w:rPr>
                <w:rFonts w:ascii="Arial" w:hAnsi="Arial" w:cs="Arial"/>
                <w:sz w:val="20"/>
                <w:szCs w:val="20"/>
              </w:rPr>
            </w:pPr>
            <w:r w:rsidRPr="00040AA9">
              <w:rPr>
                <w:rFonts w:ascii="Arial" w:hAnsi="Arial" w:cs="Arial"/>
                <w:sz w:val="20"/>
                <w:szCs w:val="20"/>
              </w:rPr>
              <w:t xml:space="preserve"> </w:t>
            </w:r>
          </w:p>
        </w:tc>
      </w:tr>
      <w:tr w:rsidR="006C2DF5" w:rsidRPr="004D67A2" w14:paraId="0F904769" w14:textId="222387CF" w:rsidTr="00040AA9">
        <w:trPr>
          <w:trHeight w:val="225"/>
        </w:trPr>
        <w:tc>
          <w:tcPr>
            <w:tcW w:w="1980" w:type="dxa"/>
            <w:shd w:val="clear" w:color="auto" w:fill="DBE5F1" w:themeFill="accent1" w:themeFillTint="33"/>
          </w:tcPr>
          <w:p w14:paraId="767557ED" w14:textId="77777777" w:rsidR="006C2DF5" w:rsidRPr="00040AA9" w:rsidRDefault="006C2DF5" w:rsidP="00040AA9">
            <w:pPr>
              <w:suppressAutoHyphens/>
              <w:rPr>
                <w:rFonts w:ascii="Arial" w:hAnsi="Arial" w:cs="Arial"/>
                <w:sz w:val="20"/>
                <w:szCs w:val="20"/>
              </w:rPr>
            </w:pPr>
            <w:r w:rsidRPr="00040AA9">
              <w:rPr>
                <w:rFonts w:ascii="Arial" w:hAnsi="Arial" w:cs="Arial"/>
                <w:sz w:val="20"/>
                <w:szCs w:val="20"/>
              </w:rPr>
              <w:t>Total all categories</w:t>
            </w:r>
          </w:p>
        </w:tc>
        <w:tc>
          <w:tcPr>
            <w:tcW w:w="1530" w:type="dxa"/>
          </w:tcPr>
          <w:p w14:paraId="14387792" w14:textId="790D5C0A" w:rsidR="006C2DF5" w:rsidRPr="00040AA9" w:rsidRDefault="006C2DF5" w:rsidP="00040AA9">
            <w:pPr>
              <w:suppressAutoHyphens/>
              <w:ind w:left="-198" w:right="618"/>
              <w:jc w:val="right"/>
              <w:rPr>
                <w:rFonts w:ascii="Arial" w:hAnsi="Arial" w:cs="Arial"/>
                <w:sz w:val="20"/>
                <w:szCs w:val="20"/>
              </w:rPr>
            </w:pPr>
            <w:r w:rsidRPr="00040AA9">
              <w:rPr>
                <w:rFonts w:ascii="Arial" w:hAnsi="Arial" w:cs="Arial"/>
                <w:sz w:val="20"/>
                <w:szCs w:val="20"/>
              </w:rPr>
              <w:t>65</w:t>
            </w:r>
          </w:p>
        </w:tc>
        <w:tc>
          <w:tcPr>
            <w:tcW w:w="1800" w:type="dxa"/>
          </w:tcPr>
          <w:p w14:paraId="713D939B" w14:textId="3C89587A" w:rsidR="006C2DF5" w:rsidRPr="00040AA9" w:rsidRDefault="006C2DF5" w:rsidP="00040AA9">
            <w:pPr>
              <w:suppressAutoHyphens/>
              <w:ind w:left="-336" w:right="798"/>
              <w:jc w:val="right"/>
              <w:rPr>
                <w:rFonts w:ascii="Arial" w:hAnsi="Arial" w:cs="Arial"/>
                <w:sz w:val="20"/>
                <w:szCs w:val="20"/>
              </w:rPr>
            </w:pPr>
            <w:r w:rsidRPr="00040AA9">
              <w:rPr>
                <w:rFonts w:ascii="Arial" w:hAnsi="Arial" w:cs="Arial"/>
                <w:sz w:val="20"/>
                <w:szCs w:val="20"/>
              </w:rPr>
              <w:t>6</w:t>
            </w:r>
          </w:p>
        </w:tc>
        <w:tc>
          <w:tcPr>
            <w:tcW w:w="1350" w:type="dxa"/>
          </w:tcPr>
          <w:p w14:paraId="4A71E789" w14:textId="0C221040" w:rsidR="006C2DF5" w:rsidRPr="00040AA9" w:rsidRDefault="006C2DF5" w:rsidP="00040AA9">
            <w:pPr>
              <w:suppressAutoHyphens/>
              <w:ind w:left="-474" w:right="522"/>
              <w:jc w:val="right"/>
              <w:rPr>
                <w:rFonts w:ascii="Arial" w:hAnsi="Arial" w:cs="Arial"/>
                <w:sz w:val="20"/>
                <w:szCs w:val="20"/>
              </w:rPr>
            </w:pPr>
            <w:r w:rsidRPr="00040AA9">
              <w:rPr>
                <w:rFonts w:ascii="Arial" w:hAnsi="Arial" w:cs="Arial"/>
                <w:sz w:val="20"/>
                <w:szCs w:val="20"/>
              </w:rPr>
              <w:t>2</w:t>
            </w:r>
          </w:p>
        </w:tc>
        <w:tc>
          <w:tcPr>
            <w:tcW w:w="1350" w:type="dxa"/>
          </w:tcPr>
          <w:p w14:paraId="628E7E4D" w14:textId="40AD4E49" w:rsidR="006C2DF5" w:rsidRPr="00040AA9" w:rsidRDefault="006C2DF5" w:rsidP="00040AA9">
            <w:pPr>
              <w:suppressAutoHyphens/>
              <w:ind w:left="-198" w:right="518"/>
              <w:jc w:val="right"/>
              <w:rPr>
                <w:rFonts w:ascii="Arial" w:hAnsi="Arial" w:cs="Arial"/>
                <w:sz w:val="20"/>
                <w:szCs w:val="20"/>
              </w:rPr>
            </w:pPr>
            <w:r w:rsidRPr="00040AA9">
              <w:rPr>
                <w:rFonts w:ascii="Arial" w:hAnsi="Arial" w:cs="Arial"/>
                <w:sz w:val="20"/>
                <w:szCs w:val="20"/>
              </w:rPr>
              <w:t>7</w:t>
            </w:r>
          </w:p>
        </w:tc>
        <w:tc>
          <w:tcPr>
            <w:tcW w:w="900" w:type="dxa"/>
          </w:tcPr>
          <w:p w14:paraId="35C6523F" w14:textId="2A2EB163" w:rsidR="006C2DF5" w:rsidRPr="00040AA9" w:rsidRDefault="006C2DF5" w:rsidP="00040AA9">
            <w:pPr>
              <w:suppressAutoHyphens/>
              <w:ind w:left="-564" w:right="258"/>
              <w:jc w:val="right"/>
              <w:rPr>
                <w:rFonts w:ascii="Arial" w:hAnsi="Arial" w:cs="Arial"/>
                <w:sz w:val="20"/>
                <w:szCs w:val="20"/>
              </w:rPr>
            </w:pPr>
            <w:r w:rsidRPr="00040AA9">
              <w:rPr>
                <w:rFonts w:ascii="Arial" w:hAnsi="Arial" w:cs="Arial"/>
                <w:sz w:val="20"/>
                <w:szCs w:val="20"/>
              </w:rPr>
              <w:t>80</w:t>
            </w:r>
          </w:p>
        </w:tc>
      </w:tr>
    </w:tbl>
    <w:p w14:paraId="6B168AE9" w14:textId="2AF85465" w:rsidR="00595878" w:rsidRPr="00040AA9" w:rsidRDefault="001F5D33" w:rsidP="00040AA9">
      <w:pPr>
        <w:suppressAutoHyphens/>
        <w:spacing w:before="240" w:after="120"/>
        <w:jc w:val="both"/>
        <w:rPr>
          <w:rFonts w:ascii="Arial" w:hAnsi="Arial" w:cs="Arial"/>
          <w:sz w:val="22"/>
          <w:szCs w:val="22"/>
          <w:u w:val="single"/>
        </w:rPr>
      </w:pPr>
      <w:r w:rsidRPr="00040AA9">
        <w:rPr>
          <w:rFonts w:ascii="Arial" w:hAnsi="Arial" w:cs="Arial"/>
          <w:b/>
          <w:sz w:val="22"/>
          <w:szCs w:val="22"/>
        </w:rPr>
        <w:t xml:space="preserve">General discussion of </w:t>
      </w:r>
      <w:r w:rsidR="009B02C5">
        <w:rPr>
          <w:rFonts w:ascii="Arial" w:hAnsi="Arial" w:cs="Arial"/>
          <w:b/>
          <w:sz w:val="22"/>
          <w:szCs w:val="22"/>
        </w:rPr>
        <w:t>o</w:t>
      </w:r>
      <w:r w:rsidR="00DA2FE8" w:rsidRPr="00040AA9">
        <w:rPr>
          <w:rFonts w:ascii="Arial" w:hAnsi="Arial" w:cs="Arial"/>
          <w:b/>
          <w:sz w:val="22"/>
          <w:szCs w:val="22"/>
        </w:rPr>
        <w:t xml:space="preserve">utput </w:t>
      </w:r>
      <w:r w:rsidR="00C43527" w:rsidRPr="00040AA9">
        <w:rPr>
          <w:rFonts w:ascii="Arial" w:hAnsi="Arial" w:cs="Arial"/>
          <w:b/>
          <w:sz w:val="22"/>
          <w:szCs w:val="22"/>
        </w:rPr>
        <w:t xml:space="preserve">and </w:t>
      </w:r>
      <w:r w:rsidR="009B02C5">
        <w:rPr>
          <w:rFonts w:ascii="Arial" w:hAnsi="Arial" w:cs="Arial"/>
          <w:b/>
          <w:sz w:val="22"/>
          <w:szCs w:val="22"/>
        </w:rPr>
        <w:t>o</w:t>
      </w:r>
      <w:r w:rsidRPr="00040AA9">
        <w:rPr>
          <w:rFonts w:ascii="Arial" w:hAnsi="Arial" w:cs="Arial"/>
          <w:b/>
          <w:sz w:val="22"/>
          <w:szCs w:val="22"/>
        </w:rPr>
        <w:t>utcome</w:t>
      </w:r>
      <w:r w:rsidR="00DA2FE8" w:rsidRPr="00040AA9">
        <w:rPr>
          <w:rFonts w:ascii="Arial" w:hAnsi="Arial" w:cs="Arial"/>
          <w:b/>
          <w:sz w:val="22"/>
          <w:szCs w:val="22"/>
        </w:rPr>
        <w:t xml:space="preserve"> performance</w:t>
      </w:r>
    </w:p>
    <w:p w14:paraId="2E94663D" w14:textId="40A0C5B8" w:rsidR="0042184D" w:rsidRPr="00040AA9" w:rsidRDefault="0042184D" w:rsidP="00040AA9">
      <w:pPr>
        <w:suppressAutoHyphens/>
        <w:spacing w:before="120" w:after="120"/>
        <w:jc w:val="both"/>
        <w:rPr>
          <w:rFonts w:ascii="Arial" w:hAnsi="Arial" w:cs="Arial"/>
          <w:sz w:val="22"/>
          <w:szCs w:val="22"/>
        </w:rPr>
      </w:pPr>
      <w:r w:rsidRPr="00040AA9">
        <w:rPr>
          <w:rFonts w:ascii="Arial" w:hAnsi="Arial" w:cs="Arial"/>
          <w:b/>
          <w:sz w:val="22"/>
          <w:szCs w:val="22"/>
        </w:rPr>
        <w:t>Outputs</w:t>
      </w:r>
      <w:r w:rsidR="003B0344" w:rsidRPr="00040AA9">
        <w:rPr>
          <w:rFonts w:ascii="Arial" w:hAnsi="Arial" w:cs="Arial"/>
          <w:sz w:val="22"/>
          <w:szCs w:val="22"/>
        </w:rPr>
        <w:t>:</w:t>
      </w:r>
      <w:r w:rsidRPr="00040AA9">
        <w:rPr>
          <w:rFonts w:ascii="Arial" w:hAnsi="Arial" w:cs="Arial"/>
          <w:sz w:val="22"/>
          <w:szCs w:val="22"/>
        </w:rPr>
        <w:t xml:space="preserve"> As noted in </w:t>
      </w:r>
      <w:r w:rsidRPr="003C04AE">
        <w:rPr>
          <w:rFonts w:ascii="Arial" w:hAnsi="Arial" w:cs="Arial"/>
          <w:sz w:val="22"/>
          <w:szCs w:val="22"/>
        </w:rPr>
        <w:t xml:space="preserve">Table </w:t>
      </w:r>
      <w:r w:rsidR="00854E45" w:rsidRPr="003C04AE">
        <w:rPr>
          <w:rFonts w:ascii="Arial" w:hAnsi="Arial" w:cs="Arial"/>
          <w:sz w:val="22"/>
          <w:szCs w:val="22"/>
        </w:rPr>
        <w:t>B</w:t>
      </w:r>
      <w:r w:rsidR="00854E45" w:rsidRPr="00040AA9">
        <w:rPr>
          <w:rFonts w:ascii="Arial" w:hAnsi="Arial" w:cs="Arial"/>
          <w:sz w:val="22"/>
          <w:szCs w:val="22"/>
        </w:rPr>
        <w:t xml:space="preserve"> </w:t>
      </w:r>
      <w:r w:rsidRPr="00040AA9">
        <w:rPr>
          <w:rFonts w:ascii="Arial" w:hAnsi="Arial" w:cs="Arial"/>
          <w:sz w:val="22"/>
          <w:szCs w:val="22"/>
        </w:rPr>
        <w:t>the consolidated Results Matrix contains 23 outputs which are quantified by 53 indicators</w:t>
      </w:r>
      <w:r w:rsidR="003E4212" w:rsidRPr="00040AA9">
        <w:rPr>
          <w:rFonts w:ascii="Arial" w:hAnsi="Arial" w:cs="Arial"/>
          <w:sz w:val="22"/>
          <w:szCs w:val="22"/>
        </w:rPr>
        <w:t>.</w:t>
      </w:r>
      <w:r w:rsidRPr="00040AA9">
        <w:rPr>
          <w:rFonts w:ascii="Arial" w:hAnsi="Arial" w:cs="Arial"/>
          <w:sz w:val="22"/>
          <w:szCs w:val="22"/>
        </w:rPr>
        <w:t xml:space="preserve"> </w:t>
      </w:r>
      <w:r w:rsidRPr="003C04AE">
        <w:rPr>
          <w:rFonts w:ascii="Arial" w:hAnsi="Arial" w:cs="Arial"/>
          <w:sz w:val="22"/>
          <w:szCs w:val="22"/>
        </w:rPr>
        <w:t xml:space="preserve">Table </w:t>
      </w:r>
      <w:r w:rsidR="00854E45" w:rsidRPr="003C04AE">
        <w:rPr>
          <w:rFonts w:ascii="Arial" w:hAnsi="Arial" w:cs="Arial"/>
          <w:sz w:val="22"/>
          <w:szCs w:val="22"/>
        </w:rPr>
        <w:t>C</w:t>
      </w:r>
      <w:r w:rsidRPr="00040AA9">
        <w:rPr>
          <w:rFonts w:ascii="Arial" w:hAnsi="Arial" w:cs="Arial"/>
          <w:sz w:val="22"/>
          <w:szCs w:val="22"/>
        </w:rPr>
        <w:t xml:space="preserve"> contains a summary of the achievement of </w:t>
      </w:r>
      <w:r w:rsidR="002D4483" w:rsidRPr="00040AA9">
        <w:rPr>
          <w:rFonts w:ascii="Arial" w:hAnsi="Arial" w:cs="Arial"/>
          <w:sz w:val="22"/>
          <w:szCs w:val="22"/>
        </w:rPr>
        <w:t xml:space="preserve">all </w:t>
      </w:r>
      <w:r w:rsidRPr="00040AA9">
        <w:rPr>
          <w:rFonts w:ascii="Arial" w:hAnsi="Arial" w:cs="Arial"/>
          <w:sz w:val="22"/>
          <w:szCs w:val="22"/>
        </w:rPr>
        <w:t xml:space="preserve">output indicators </w:t>
      </w:r>
      <w:r w:rsidR="003E4212" w:rsidRPr="00040AA9">
        <w:rPr>
          <w:rFonts w:ascii="Arial" w:hAnsi="Arial" w:cs="Arial"/>
          <w:sz w:val="22"/>
          <w:szCs w:val="22"/>
        </w:rPr>
        <w:t xml:space="preserve">in total and </w:t>
      </w:r>
      <w:r w:rsidR="002D4483" w:rsidRPr="00040AA9">
        <w:rPr>
          <w:rFonts w:ascii="Arial" w:hAnsi="Arial" w:cs="Arial"/>
          <w:sz w:val="22"/>
          <w:szCs w:val="22"/>
        </w:rPr>
        <w:t xml:space="preserve">as </w:t>
      </w:r>
      <w:r w:rsidRPr="00040AA9">
        <w:rPr>
          <w:rFonts w:ascii="Arial" w:hAnsi="Arial" w:cs="Arial"/>
          <w:sz w:val="22"/>
          <w:szCs w:val="22"/>
        </w:rPr>
        <w:t>broken down by the four</w:t>
      </w:r>
      <w:r w:rsidR="003E4212" w:rsidRPr="00040AA9">
        <w:rPr>
          <w:rFonts w:ascii="Arial" w:hAnsi="Arial" w:cs="Arial"/>
          <w:sz w:val="22"/>
          <w:szCs w:val="22"/>
        </w:rPr>
        <w:t xml:space="preserve"> operational program components. In all</w:t>
      </w:r>
      <w:r w:rsidR="007E6C3D" w:rsidRPr="00040AA9">
        <w:rPr>
          <w:rFonts w:ascii="Arial" w:hAnsi="Arial" w:cs="Arial"/>
          <w:sz w:val="22"/>
          <w:szCs w:val="22"/>
        </w:rPr>
        <w:t>,</w:t>
      </w:r>
      <w:r w:rsidR="003E4212" w:rsidRPr="00040AA9">
        <w:rPr>
          <w:rFonts w:ascii="Arial" w:hAnsi="Arial" w:cs="Arial"/>
          <w:sz w:val="22"/>
          <w:szCs w:val="22"/>
        </w:rPr>
        <w:t xml:space="preserve"> FISPEG fully achieved </w:t>
      </w:r>
      <w:r w:rsidR="005C2292" w:rsidRPr="00040AA9">
        <w:rPr>
          <w:rFonts w:ascii="Arial" w:hAnsi="Arial" w:cs="Arial"/>
          <w:sz w:val="22"/>
          <w:szCs w:val="22"/>
        </w:rPr>
        <w:t xml:space="preserve">52 </w:t>
      </w:r>
      <w:r w:rsidR="003E4212" w:rsidRPr="00040AA9">
        <w:rPr>
          <w:rFonts w:ascii="Arial" w:hAnsi="Arial" w:cs="Arial"/>
          <w:sz w:val="22"/>
          <w:szCs w:val="22"/>
        </w:rPr>
        <w:t>(</w:t>
      </w:r>
      <w:r w:rsidR="005C2292" w:rsidRPr="00040AA9">
        <w:rPr>
          <w:rFonts w:ascii="Arial" w:hAnsi="Arial" w:cs="Arial"/>
          <w:sz w:val="22"/>
          <w:szCs w:val="22"/>
        </w:rPr>
        <w:t>98</w:t>
      </w:r>
      <w:r w:rsidR="003E4212" w:rsidRPr="00040AA9">
        <w:rPr>
          <w:rFonts w:ascii="Arial" w:hAnsi="Arial" w:cs="Arial"/>
          <w:sz w:val="22"/>
          <w:szCs w:val="22"/>
        </w:rPr>
        <w:t xml:space="preserve">%) of these </w:t>
      </w:r>
      <w:r w:rsidR="002D4483" w:rsidRPr="00040AA9">
        <w:rPr>
          <w:rFonts w:ascii="Arial" w:hAnsi="Arial" w:cs="Arial"/>
          <w:sz w:val="22"/>
          <w:szCs w:val="22"/>
        </w:rPr>
        <w:t xml:space="preserve">output </w:t>
      </w:r>
      <w:r w:rsidR="003E4212" w:rsidRPr="00040AA9">
        <w:rPr>
          <w:rFonts w:ascii="Arial" w:hAnsi="Arial" w:cs="Arial"/>
          <w:sz w:val="22"/>
          <w:szCs w:val="22"/>
        </w:rPr>
        <w:t>indicators</w:t>
      </w:r>
      <w:r w:rsidR="00C12EA6" w:rsidRPr="00040AA9">
        <w:rPr>
          <w:rFonts w:ascii="Arial" w:hAnsi="Arial" w:cs="Arial"/>
          <w:sz w:val="22"/>
          <w:szCs w:val="22"/>
        </w:rPr>
        <w:t>.</w:t>
      </w:r>
      <w:r w:rsidRPr="00040AA9">
        <w:rPr>
          <w:rFonts w:ascii="Arial" w:hAnsi="Arial" w:cs="Arial"/>
          <w:sz w:val="22"/>
          <w:szCs w:val="22"/>
        </w:rPr>
        <w:t xml:space="preserve"> The </w:t>
      </w:r>
      <w:r w:rsidR="006A5B24">
        <w:rPr>
          <w:rFonts w:ascii="Arial" w:hAnsi="Arial" w:cs="Arial"/>
          <w:sz w:val="22"/>
          <w:szCs w:val="22"/>
        </w:rPr>
        <w:t>o</w:t>
      </w:r>
      <w:r w:rsidRPr="00040AA9">
        <w:rPr>
          <w:rFonts w:ascii="Arial" w:hAnsi="Arial" w:cs="Arial"/>
          <w:sz w:val="22"/>
          <w:szCs w:val="22"/>
        </w:rPr>
        <w:t xml:space="preserve">utputs section of Annex II provides a complete accounting of the achievement level of each of the 53 </w:t>
      </w:r>
      <w:r w:rsidR="006A5B24">
        <w:rPr>
          <w:rFonts w:ascii="Arial" w:hAnsi="Arial" w:cs="Arial"/>
          <w:sz w:val="22"/>
          <w:szCs w:val="22"/>
        </w:rPr>
        <w:t>o</w:t>
      </w:r>
      <w:r w:rsidRPr="00040AA9">
        <w:rPr>
          <w:rFonts w:ascii="Arial" w:hAnsi="Arial" w:cs="Arial"/>
          <w:sz w:val="22"/>
          <w:szCs w:val="22"/>
        </w:rPr>
        <w:t xml:space="preserve">utput indicators, with a direct cross reference to their full description, units of measure, baseline and target values, and means of verification in </w:t>
      </w:r>
      <w:r w:rsidR="006A5B24">
        <w:rPr>
          <w:rFonts w:ascii="Arial" w:hAnsi="Arial" w:cs="Arial"/>
          <w:sz w:val="22"/>
          <w:szCs w:val="22"/>
        </w:rPr>
        <w:t>t</w:t>
      </w:r>
      <w:r w:rsidRPr="00040AA9">
        <w:rPr>
          <w:rFonts w:ascii="Arial" w:hAnsi="Arial" w:cs="Arial"/>
          <w:sz w:val="22"/>
          <w:szCs w:val="22"/>
        </w:rPr>
        <w:t xml:space="preserve">able 2 below. In </w:t>
      </w:r>
      <w:r w:rsidR="006A5B24" w:rsidRPr="00CF5903">
        <w:rPr>
          <w:rFonts w:ascii="Arial" w:hAnsi="Arial" w:cs="Arial"/>
          <w:sz w:val="22"/>
          <w:szCs w:val="22"/>
        </w:rPr>
        <w:t>short,</w:t>
      </w:r>
      <w:r w:rsidRPr="00040AA9">
        <w:rPr>
          <w:rFonts w:ascii="Arial" w:hAnsi="Arial" w:cs="Arial"/>
          <w:sz w:val="22"/>
          <w:szCs w:val="22"/>
        </w:rPr>
        <w:t xml:space="preserve"> the FISPEG program </w:t>
      </w:r>
      <w:r w:rsidR="007E784E" w:rsidRPr="00040AA9">
        <w:rPr>
          <w:rFonts w:ascii="Arial" w:hAnsi="Arial" w:cs="Arial"/>
          <w:sz w:val="22"/>
          <w:szCs w:val="22"/>
        </w:rPr>
        <w:t xml:space="preserve">did very well in achieving its </w:t>
      </w:r>
      <w:r w:rsidR="006A5B24">
        <w:rPr>
          <w:rFonts w:ascii="Arial" w:hAnsi="Arial" w:cs="Arial"/>
          <w:sz w:val="22"/>
          <w:szCs w:val="22"/>
        </w:rPr>
        <w:t>o</w:t>
      </w:r>
      <w:r w:rsidR="00EA536E" w:rsidRPr="00040AA9">
        <w:rPr>
          <w:rFonts w:ascii="Arial" w:hAnsi="Arial" w:cs="Arial"/>
          <w:sz w:val="22"/>
          <w:szCs w:val="22"/>
        </w:rPr>
        <w:t xml:space="preserve">utput indicators, </w:t>
      </w:r>
      <w:r w:rsidRPr="00040AA9">
        <w:rPr>
          <w:rFonts w:ascii="Arial" w:hAnsi="Arial" w:cs="Arial"/>
          <w:sz w:val="22"/>
          <w:szCs w:val="22"/>
        </w:rPr>
        <w:t xml:space="preserve">with only </w:t>
      </w:r>
      <w:r w:rsidR="00C12EA6" w:rsidRPr="00040AA9">
        <w:rPr>
          <w:rFonts w:ascii="Arial" w:hAnsi="Arial" w:cs="Arial"/>
          <w:sz w:val="22"/>
          <w:szCs w:val="22"/>
        </w:rPr>
        <w:t>one that was deactivated due to unavailability of EOP data</w:t>
      </w:r>
      <w:r w:rsidRPr="00040AA9">
        <w:rPr>
          <w:rFonts w:ascii="Arial" w:hAnsi="Arial" w:cs="Arial"/>
          <w:sz w:val="22"/>
          <w:szCs w:val="22"/>
        </w:rPr>
        <w:t>.</w:t>
      </w:r>
      <w:r w:rsidR="00353341" w:rsidRPr="00040AA9">
        <w:rPr>
          <w:rFonts w:ascii="Arial" w:hAnsi="Arial" w:cs="Arial"/>
          <w:sz w:val="22"/>
          <w:szCs w:val="22"/>
        </w:rPr>
        <w:t xml:space="preserve"> </w:t>
      </w:r>
    </w:p>
    <w:p w14:paraId="00F63451" w14:textId="72CDEACC" w:rsidR="0042184D" w:rsidRPr="00040AA9" w:rsidRDefault="0042184D" w:rsidP="00040AA9">
      <w:pPr>
        <w:suppressAutoHyphens/>
        <w:spacing w:before="120" w:after="120"/>
        <w:jc w:val="both"/>
        <w:rPr>
          <w:rFonts w:ascii="Arial" w:hAnsi="Arial" w:cs="Arial"/>
          <w:sz w:val="22"/>
          <w:szCs w:val="22"/>
        </w:rPr>
      </w:pPr>
      <w:r w:rsidRPr="00040AA9">
        <w:rPr>
          <w:rFonts w:ascii="Arial" w:hAnsi="Arial" w:cs="Arial"/>
          <w:b/>
          <w:sz w:val="22"/>
          <w:szCs w:val="22"/>
        </w:rPr>
        <w:t>Outcomes</w:t>
      </w:r>
      <w:r w:rsidR="003B0344" w:rsidRPr="00040AA9">
        <w:rPr>
          <w:rFonts w:ascii="Arial" w:hAnsi="Arial" w:cs="Arial"/>
          <w:sz w:val="22"/>
          <w:szCs w:val="22"/>
        </w:rPr>
        <w:t xml:space="preserve">: </w:t>
      </w:r>
      <w:r w:rsidRPr="00040AA9">
        <w:rPr>
          <w:rFonts w:ascii="Arial" w:hAnsi="Arial" w:cs="Arial"/>
          <w:sz w:val="22"/>
          <w:szCs w:val="22"/>
        </w:rPr>
        <w:t xml:space="preserve">The </w:t>
      </w:r>
      <w:r w:rsidR="006A5B24">
        <w:rPr>
          <w:rFonts w:ascii="Arial" w:hAnsi="Arial" w:cs="Arial"/>
          <w:sz w:val="22"/>
          <w:szCs w:val="22"/>
        </w:rPr>
        <w:t>o</w:t>
      </w:r>
      <w:r w:rsidRPr="00040AA9">
        <w:rPr>
          <w:rFonts w:ascii="Arial" w:hAnsi="Arial" w:cs="Arial"/>
          <w:sz w:val="22"/>
          <w:szCs w:val="22"/>
        </w:rPr>
        <w:t>utcomes attributable to the program are divided into the four operational components (II, III, IV, and V).</w:t>
      </w:r>
      <w:r w:rsidR="0059614B" w:rsidRPr="00040AA9">
        <w:rPr>
          <w:rFonts w:ascii="Arial" w:hAnsi="Arial" w:cs="Arial"/>
          <w:sz w:val="22"/>
          <w:szCs w:val="22"/>
        </w:rPr>
        <w:t xml:space="preserve"> </w:t>
      </w:r>
      <w:r w:rsidRPr="00040AA9">
        <w:rPr>
          <w:rFonts w:ascii="Arial" w:hAnsi="Arial" w:cs="Arial"/>
          <w:sz w:val="22"/>
          <w:szCs w:val="22"/>
        </w:rPr>
        <w:t xml:space="preserve">The </w:t>
      </w:r>
      <w:r w:rsidR="006A5B24">
        <w:rPr>
          <w:rFonts w:ascii="Arial" w:hAnsi="Arial" w:cs="Arial"/>
          <w:sz w:val="22"/>
          <w:szCs w:val="22"/>
        </w:rPr>
        <w:t>o</w:t>
      </w:r>
      <w:r w:rsidRPr="00040AA9">
        <w:rPr>
          <w:rFonts w:ascii="Arial" w:hAnsi="Arial" w:cs="Arial"/>
          <w:sz w:val="22"/>
          <w:szCs w:val="22"/>
        </w:rPr>
        <w:t xml:space="preserve">utcomes section of Annex </w:t>
      </w:r>
      <w:r w:rsidR="00C43527" w:rsidRPr="00040AA9">
        <w:rPr>
          <w:rFonts w:ascii="Arial" w:hAnsi="Arial" w:cs="Arial"/>
          <w:sz w:val="22"/>
          <w:szCs w:val="22"/>
        </w:rPr>
        <w:t>II</w:t>
      </w:r>
      <w:r w:rsidRPr="00040AA9">
        <w:rPr>
          <w:rFonts w:ascii="Arial" w:hAnsi="Arial" w:cs="Arial"/>
          <w:sz w:val="22"/>
          <w:szCs w:val="22"/>
        </w:rPr>
        <w:t xml:space="preserve"> contains the abstract from Table</w:t>
      </w:r>
      <w:r w:rsidR="006A5B24">
        <w:rPr>
          <w:rFonts w:ascii="Arial" w:hAnsi="Arial" w:cs="Arial"/>
          <w:sz w:val="22"/>
          <w:szCs w:val="22"/>
        </w:rPr>
        <w:t> </w:t>
      </w:r>
      <w:r w:rsidRPr="00040AA9">
        <w:rPr>
          <w:rFonts w:ascii="Arial" w:hAnsi="Arial" w:cs="Arial"/>
          <w:sz w:val="22"/>
          <w:szCs w:val="22"/>
        </w:rPr>
        <w:t xml:space="preserve">2 of the performance of the indicators for each of the 19 </w:t>
      </w:r>
      <w:r w:rsidR="006A5B24">
        <w:rPr>
          <w:rFonts w:ascii="Arial" w:hAnsi="Arial" w:cs="Arial"/>
          <w:sz w:val="22"/>
          <w:szCs w:val="22"/>
        </w:rPr>
        <w:t>o</w:t>
      </w:r>
      <w:r w:rsidRPr="00040AA9">
        <w:rPr>
          <w:rFonts w:ascii="Arial" w:hAnsi="Arial" w:cs="Arial"/>
          <w:sz w:val="22"/>
          <w:szCs w:val="22"/>
        </w:rPr>
        <w:t xml:space="preserve">utcomes for the program. These findings are further summarized in </w:t>
      </w:r>
      <w:r w:rsidRPr="003C04AE">
        <w:rPr>
          <w:rFonts w:ascii="Arial" w:hAnsi="Arial" w:cs="Arial"/>
          <w:sz w:val="22"/>
          <w:szCs w:val="22"/>
        </w:rPr>
        <w:t xml:space="preserve">Table </w:t>
      </w:r>
      <w:r w:rsidR="00D95A2D" w:rsidRPr="003C04AE">
        <w:rPr>
          <w:rFonts w:ascii="Arial" w:hAnsi="Arial" w:cs="Arial"/>
          <w:sz w:val="22"/>
          <w:szCs w:val="22"/>
        </w:rPr>
        <w:t>C</w:t>
      </w:r>
      <w:r w:rsidRPr="00040AA9">
        <w:rPr>
          <w:rFonts w:ascii="Arial" w:hAnsi="Arial" w:cs="Arial"/>
          <w:sz w:val="22"/>
          <w:szCs w:val="22"/>
        </w:rPr>
        <w:t xml:space="preserve">, which provides an overview of the performance of the corresponding 25 indicators. As noted there, </w:t>
      </w:r>
      <w:r w:rsidR="00197B79" w:rsidRPr="00040AA9">
        <w:rPr>
          <w:rFonts w:ascii="Arial" w:hAnsi="Arial" w:cs="Arial"/>
          <w:sz w:val="22"/>
          <w:szCs w:val="22"/>
        </w:rPr>
        <w:t>1</w:t>
      </w:r>
      <w:r w:rsidR="00935237" w:rsidRPr="00040AA9">
        <w:rPr>
          <w:rFonts w:ascii="Arial" w:hAnsi="Arial" w:cs="Arial"/>
          <w:sz w:val="22"/>
          <w:szCs w:val="22"/>
        </w:rPr>
        <w:t>2</w:t>
      </w:r>
      <w:r w:rsidR="00197B79" w:rsidRPr="00040AA9">
        <w:rPr>
          <w:rFonts w:ascii="Arial" w:hAnsi="Arial" w:cs="Arial"/>
          <w:sz w:val="22"/>
          <w:szCs w:val="22"/>
        </w:rPr>
        <w:t xml:space="preserve"> </w:t>
      </w:r>
      <w:r w:rsidR="00785FEA" w:rsidRPr="00040AA9">
        <w:rPr>
          <w:rFonts w:ascii="Arial" w:hAnsi="Arial" w:cs="Arial"/>
          <w:sz w:val="22"/>
          <w:szCs w:val="22"/>
        </w:rPr>
        <w:t>of the indicators achieved or surp</w:t>
      </w:r>
      <w:r w:rsidR="00935237" w:rsidRPr="00040AA9">
        <w:rPr>
          <w:rFonts w:ascii="Arial" w:hAnsi="Arial" w:cs="Arial"/>
          <w:sz w:val="22"/>
          <w:szCs w:val="22"/>
        </w:rPr>
        <w:t>assed their targets while only 5</w:t>
      </w:r>
      <w:r w:rsidR="00785FEA" w:rsidRPr="00040AA9">
        <w:rPr>
          <w:rFonts w:ascii="Arial" w:hAnsi="Arial" w:cs="Arial"/>
          <w:sz w:val="22"/>
          <w:szCs w:val="22"/>
        </w:rPr>
        <w:t xml:space="preserve"> fell short</w:t>
      </w:r>
      <w:r w:rsidR="004A6181" w:rsidRPr="00040AA9">
        <w:rPr>
          <w:rFonts w:ascii="Arial" w:hAnsi="Arial" w:cs="Arial"/>
          <w:sz w:val="22"/>
          <w:szCs w:val="22"/>
        </w:rPr>
        <w:t xml:space="preserve"> </w:t>
      </w:r>
      <w:r w:rsidR="00785FEA" w:rsidRPr="00040AA9">
        <w:rPr>
          <w:rFonts w:ascii="Arial" w:hAnsi="Arial" w:cs="Arial"/>
          <w:sz w:val="22"/>
          <w:szCs w:val="22"/>
        </w:rPr>
        <w:t xml:space="preserve">and </w:t>
      </w:r>
      <w:r w:rsidR="00197B79" w:rsidRPr="00040AA9">
        <w:rPr>
          <w:rFonts w:ascii="Arial" w:hAnsi="Arial" w:cs="Arial"/>
          <w:sz w:val="22"/>
          <w:szCs w:val="22"/>
        </w:rPr>
        <w:t xml:space="preserve">6 </w:t>
      </w:r>
      <w:r w:rsidR="00785FEA" w:rsidRPr="00040AA9">
        <w:rPr>
          <w:rFonts w:ascii="Arial" w:hAnsi="Arial" w:cs="Arial"/>
          <w:sz w:val="22"/>
          <w:szCs w:val="22"/>
        </w:rPr>
        <w:t xml:space="preserve">had to be deactivated due to the unavailability of actual EOP data. </w:t>
      </w:r>
      <w:r w:rsidR="00AB39BF" w:rsidRPr="00040AA9">
        <w:rPr>
          <w:rFonts w:ascii="Arial" w:hAnsi="Arial" w:cs="Arial"/>
          <w:sz w:val="22"/>
          <w:szCs w:val="22"/>
        </w:rPr>
        <w:t xml:space="preserve">Two </w:t>
      </w:r>
      <w:r w:rsidR="00D975FB" w:rsidRPr="00040AA9">
        <w:rPr>
          <w:rFonts w:ascii="Arial" w:hAnsi="Arial" w:cs="Arial"/>
          <w:sz w:val="22"/>
          <w:szCs w:val="22"/>
        </w:rPr>
        <w:t xml:space="preserve">outcome indicators were zero rated due to the EOP actual value having increased when it was expected to decrease. In one </w:t>
      </w:r>
      <w:r w:rsidR="00680DD8" w:rsidRPr="00040AA9">
        <w:rPr>
          <w:rFonts w:ascii="Arial" w:hAnsi="Arial" w:cs="Arial"/>
          <w:sz w:val="22"/>
          <w:szCs w:val="22"/>
        </w:rPr>
        <w:t>instance</w:t>
      </w:r>
      <w:r w:rsidR="00D975FB" w:rsidRPr="00040AA9">
        <w:rPr>
          <w:rFonts w:ascii="Arial" w:hAnsi="Arial" w:cs="Arial"/>
          <w:sz w:val="22"/>
          <w:szCs w:val="22"/>
        </w:rPr>
        <w:t xml:space="preserve"> </w:t>
      </w:r>
      <w:r w:rsidR="00340C4F" w:rsidRPr="00040AA9">
        <w:rPr>
          <w:rFonts w:ascii="Arial" w:hAnsi="Arial" w:cs="Arial"/>
          <w:sz w:val="22"/>
          <w:szCs w:val="22"/>
        </w:rPr>
        <w:t xml:space="preserve">this clearly was a case of non-performance, but in the other the result represents an unexpectedly favorable change in the collection of tax receipts. </w:t>
      </w:r>
      <w:r w:rsidRPr="00040AA9">
        <w:rPr>
          <w:rFonts w:ascii="Arial" w:hAnsi="Arial" w:cs="Arial"/>
          <w:sz w:val="22"/>
          <w:szCs w:val="22"/>
        </w:rPr>
        <w:t xml:space="preserve">These </w:t>
      </w:r>
      <w:r w:rsidR="00340C4F" w:rsidRPr="00040AA9">
        <w:rPr>
          <w:rFonts w:ascii="Arial" w:hAnsi="Arial" w:cs="Arial"/>
          <w:sz w:val="22"/>
          <w:szCs w:val="22"/>
        </w:rPr>
        <w:t xml:space="preserve">issues </w:t>
      </w:r>
      <w:r w:rsidRPr="00040AA9">
        <w:rPr>
          <w:rFonts w:ascii="Arial" w:hAnsi="Arial" w:cs="Arial"/>
          <w:sz w:val="22"/>
          <w:szCs w:val="22"/>
        </w:rPr>
        <w:t>are discussed more fully</w:t>
      </w:r>
      <w:r w:rsidR="00CA1B2F" w:rsidRPr="00040AA9">
        <w:rPr>
          <w:rFonts w:ascii="Arial" w:hAnsi="Arial" w:cs="Arial"/>
          <w:sz w:val="22"/>
          <w:szCs w:val="22"/>
        </w:rPr>
        <w:t xml:space="preserve"> in the next section</w:t>
      </w:r>
      <w:r w:rsidRPr="00040AA9">
        <w:rPr>
          <w:rFonts w:ascii="Arial" w:hAnsi="Arial" w:cs="Arial"/>
          <w:sz w:val="22"/>
          <w:szCs w:val="22"/>
        </w:rPr>
        <w:t xml:space="preserve">. </w:t>
      </w:r>
    </w:p>
    <w:p w14:paraId="05A4FA09" w14:textId="60B594D6" w:rsidR="00894040" w:rsidRPr="00040AA9" w:rsidRDefault="00A23E27" w:rsidP="00040AA9">
      <w:pPr>
        <w:widowControl w:val="0"/>
        <w:suppressAutoHyphens/>
        <w:spacing w:before="120" w:after="120"/>
        <w:jc w:val="both"/>
        <w:rPr>
          <w:rFonts w:ascii="Arial" w:hAnsi="Arial" w:cs="Arial"/>
          <w:sz w:val="22"/>
          <w:szCs w:val="22"/>
        </w:rPr>
      </w:pPr>
      <w:r w:rsidRPr="00040AA9">
        <w:rPr>
          <w:rFonts w:ascii="Arial" w:hAnsi="Arial" w:cs="Arial"/>
          <w:sz w:val="22"/>
          <w:szCs w:val="22"/>
        </w:rPr>
        <w:t>Breaking</w:t>
      </w:r>
      <w:r w:rsidR="001E5E8B" w:rsidRPr="00040AA9">
        <w:rPr>
          <w:rFonts w:ascii="Arial" w:hAnsi="Arial" w:cs="Arial"/>
          <w:sz w:val="22"/>
          <w:szCs w:val="22"/>
        </w:rPr>
        <w:t xml:space="preserve"> performance down by program component,</w:t>
      </w:r>
      <w:r w:rsidR="00EE1859">
        <w:rPr>
          <w:rFonts w:ascii="Arial" w:hAnsi="Arial" w:cs="Arial"/>
          <w:sz w:val="22"/>
          <w:szCs w:val="22"/>
        </w:rPr>
        <w:t xml:space="preserve"> in</w:t>
      </w:r>
      <w:r w:rsidR="001E5E8B" w:rsidRPr="00040AA9">
        <w:rPr>
          <w:rFonts w:ascii="Arial" w:hAnsi="Arial" w:cs="Arial"/>
          <w:sz w:val="22"/>
          <w:szCs w:val="22"/>
        </w:rPr>
        <w:t xml:space="preserve"> Component II, </w:t>
      </w:r>
      <w:r w:rsidR="006A5B24" w:rsidRPr="00CF5903">
        <w:rPr>
          <w:rFonts w:ascii="Arial" w:hAnsi="Arial" w:cs="Arial"/>
          <w:sz w:val="22"/>
          <w:szCs w:val="22"/>
        </w:rPr>
        <w:t>strengthening</w:t>
      </w:r>
      <w:r w:rsidR="001E5E8B" w:rsidRPr="00040AA9">
        <w:rPr>
          <w:rFonts w:ascii="Arial" w:hAnsi="Arial" w:cs="Arial"/>
          <w:sz w:val="22"/>
          <w:szCs w:val="22"/>
        </w:rPr>
        <w:t xml:space="preserve"> tax policy and administration, </w:t>
      </w:r>
      <w:r w:rsidR="00900BC9" w:rsidRPr="00040AA9">
        <w:rPr>
          <w:rFonts w:ascii="Arial" w:hAnsi="Arial" w:cs="Arial"/>
          <w:sz w:val="22"/>
          <w:szCs w:val="22"/>
        </w:rPr>
        <w:t xml:space="preserve">two thirds (10 out of 15) of the indicators </w:t>
      </w:r>
      <w:r w:rsidR="0090048E" w:rsidRPr="00040AA9">
        <w:rPr>
          <w:rFonts w:ascii="Arial" w:hAnsi="Arial" w:cs="Arial"/>
          <w:sz w:val="22"/>
          <w:szCs w:val="22"/>
        </w:rPr>
        <w:t>met or exceed</w:t>
      </w:r>
      <w:r w:rsidR="00EE1859">
        <w:rPr>
          <w:rFonts w:ascii="Arial" w:hAnsi="Arial" w:cs="Arial"/>
          <w:sz w:val="22"/>
          <w:szCs w:val="22"/>
        </w:rPr>
        <w:t>ed</w:t>
      </w:r>
      <w:r w:rsidR="0090048E" w:rsidRPr="00040AA9">
        <w:rPr>
          <w:rFonts w:ascii="Arial" w:hAnsi="Arial" w:cs="Arial"/>
          <w:sz w:val="22"/>
          <w:szCs w:val="22"/>
        </w:rPr>
        <w:t xml:space="preserve"> </w:t>
      </w:r>
      <w:r w:rsidR="00900BC9" w:rsidRPr="00040AA9">
        <w:rPr>
          <w:rFonts w:ascii="Arial" w:hAnsi="Arial" w:cs="Arial"/>
          <w:sz w:val="22"/>
          <w:szCs w:val="22"/>
        </w:rPr>
        <w:t>their</w:t>
      </w:r>
      <w:r w:rsidR="0090048E" w:rsidRPr="00040AA9">
        <w:rPr>
          <w:rFonts w:ascii="Arial" w:hAnsi="Arial" w:cs="Arial"/>
          <w:sz w:val="22"/>
          <w:szCs w:val="22"/>
        </w:rPr>
        <w:t xml:space="preserve"> targets, while </w:t>
      </w:r>
      <w:r w:rsidR="009B02C5">
        <w:rPr>
          <w:rFonts w:ascii="Arial" w:hAnsi="Arial" w:cs="Arial"/>
          <w:sz w:val="22"/>
          <w:szCs w:val="22"/>
        </w:rPr>
        <w:t>C</w:t>
      </w:r>
      <w:r w:rsidR="0090048E" w:rsidRPr="00040AA9">
        <w:rPr>
          <w:rFonts w:ascii="Arial" w:hAnsi="Arial" w:cs="Arial"/>
          <w:sz w:val="22"/>
          <w:szCs w:val="22"/>
        </w:rPr>
        <w:t xml:space="preserve">omponent III </w:t>
      </w:r>
      <w:r w:rsidR="004A6181" w:rsidRPr="00040AA9">
        <w:rPr>
          <w:rFonts w:ascii="Arial" w:hAnsi="Arial" w:cs="Arial"/>
          <w:sz w:val="22"/>
          <w:szCs w:val="22"/>
        </w:rPr>
        <w:t>ha</w:t>
      </w:r>
      <w:r w:rsidR="00EE1859">
        <w:rPr>
          <w:rFonts w:ascii="Arial" w:hAnsi="Arial" w:cs="Arial"/>
          <w:sz w:val="22"/>
          <w:szCs w:val="22"/>
        </w:rPr>
        <w:t>d</w:t>
      </w:r>
      <w:r w:rsidR="004A6181" w:rsidRPr="00040AA9">
        <w:rPr>
          <w:rFonts w:ascii="Arial" w:hAnsi="Arial" w:cs="Arial"/>
          <w:sz w:val="22"/>
          <w:szCs w:val="22"/>
        </w:rPr>
        <w:t xml:space="preserve"> 1</w:t>
      </w:r>
      <w:r w:rsidR="00D957CB" w:rsidRPr="00040AA9">
        <w:rPr>
          <w:rFonts w:ascii="Arial" w:hAnsi="Arial" w:cs="Arial"/>
          <w:sz w:val="22"/>
          <w:szCs w:val="22"/>
        </w:rPr>
        <w:t xml:space="preserve">, </w:t>
      </w:r>
      <w:r w:rsidR="009B02C5">
        <w:rPr>
          <w:rFonts w:ascii="Arial" w:hAnsi="Arial" w:cs="Arial"/>
          <w:sz w:val="22"/>
          <w:szCs w:val="22"/>
        </w:rPr>
        <w:t>C</w:t>
      </w:r>
      <w:r w:rsidR="00D957CB" w:rsidRPr="00040AA9">
        <w:rPr>
          <w:rFonts w:ascii="Arial" w:hAnsi="Arial" w:cs="Arial"/>
          <w:sz w:val="22"/>
          <w:szCs w:val="22"/>
        </w:rPr>
        <w:t xml:space="preserve">omponent </w:t>
      </w:r>
      <w:r w:rsidR="0090048E" w:rsidRPr="00040AA9">
        <w:rPr>
          <w:rFonts w:ascii="Arial" w:hAnsi="Arial" w:cs="Arial"/>
          <w:sz w:val="22"/>
          <w:szCs w:val="22"/>
        </w:rPr>
        <w:t xml:space="preserve">IV </w:t>
      </w:r>
      <w:r w:rsidR="00D957CB" w:rsidRPr="00040AA9">
        <w:rPr>
          <w:rFonts w:ascii="Arial" w:hAnsi="Arial" w:cs="Arial"/>
          <w:sz w:val="22"/>
          <w:szCs w:val="22"/>
        </w:rPr>
        <w:t>ha</w:t>
      </w:r>
      <w:r w:rsidR="00EE1859">
        <w:rPr>
          <w:rFonts w:ascii="Arial" w:hAnsi="Arial" w:cs="Arial"/>
          <w:sz w:val="22"/>
          <w:szCs w:val="22"/>
        </w:rPr>
        <w:t>d</w:t>
      </w:r>
      <w:r w:rsidR="00D957CB" w:rsidRPr="00040AA9">
        <w:rPr>
          <w:rFonts w:ascii="Arial" w:hAnsi="Arial" w:cs="Arial"/>
          <w:sz w:val="22"/>
          <w:szCs w:val="22"/>
        </w:rPr>
        <w:t xml:space="preserve"> none</w:t>
      </w:r>
      <w:r w:rsidR="00830797">
        <w:rPr>
          <w:rFonts w:ascii="Arial" w:hAnsi="Arial" w:cs="Arial"/>
          <w:sz w:val="22"/>
          <w:szCs w:val="22"/>
        </w:rPr>
        <w:t>,</w:t>
      </w:r>
      <w:r w:rsidR="00D957CB" w:rsidRPr="00040AA9">
        <w:rPr>
          <w:rFonts w:ascii="Arial" w:hAnsi="Arial" w:cs="Arial"/>
          <w:sz w:val="22"/>
          <w:szCs w:val="22"/>
        </w:rPr>
        <w:t xml:space="preserve"> </w:t>
      </w:r>
      <w:r w:rsidR="0090048E" w:rsidRPr="00040AA9">
        <w:rPr>
          <w:rFonts w:ascii="Arial" w:hAnsi="Arial" w:cs="Arial"/>
          <w:sz w:val="22"/>
          <w:szCs w:val="22"/>
        </w:rPr>
        <w:t xml:space="preserve">and </w:t>
      </w:r>
      <w:r w:rsidR="009B02C5">
        <w:rPr>
          <w:rFonts w:ascii="Arial" w:hAnsi="Arial" w:cs="Arial"/>
          <w:sz w:val="22"/>
          <w:szCs w:val="22"/>
        </w:rPr>
        <w:t>C</w:t>
      </w:r>
      <w:r w:rsidR="0090048E" w:rsidRPr="00040AA9">
        <w:rPr>
          <w:rFonts w:ascii="Arial" w:hAnsi="Arial" w:cs="Arial"/>
          <w:sz w:val="22"/>
          <w:szCs w:val="22"/>
        </w:rPr>
        <w:t>omponent V ha</w:t>
      </w:r>
      <w:r w:rsidR="00EE1859">
        <w:rPr>
          <w:rFonts w:ascii="Arial" w:hAnsi="Arial" w:cs="Arial"/>
          <w:sz w:val="22"/>
          <w:szCs w:val="22"/>
        </w:rPr>
        <w:t>d</w:t>
      </w:r>
      <w:r w:rsidR="0090048E" w:rsidRPr="00040AA9">
        <w:rPr>
          <w:rFonts w:ascii="Arial" w:hAnsi="Arial" w:cs="Arial"/>
          <w:sz w:val="22"/>
          <w:szCs w:val="22"/>
        </w:rPr>
        <w:t xml:space="preserve"> </w:t>
      </w:r>
      <w:r w:rsidR="00830797">
        <w:rPr>
          <w:rFonts w:ascii="Arial" w:hAnsi="Arial" w:cs="Arial"/>
          <w:sz w:val="22"/>
          <w:szCs w:val="22"/>
        </w:rPr>
        <w:t>one</w:t>
      </w:r>
      <w:r w:rsidR="004A6181" w:rsidRPr="00040AA9">
        <w:rPr>
          <w:rFonts w:ascii="Arial" w:hAnsi="Arial" w:cs="Arial"/>
          <w:sz w:val="22"/>
          <w:szCs w:val="22"/>
        </w:rPr>
        <w:t xml:space="preserve"> </w:t>
      </w:r>
      <w:r w:rsidR="00AB4618" w:rsidRPr="00040AA9">
        <w:rPr>
          <w:rFonts w:ascii="Arial" w:hAnsi="Arial" w:cs="Arial"/>
          <w:sz w:val="22"/>
          <w:szCs w:val="22"/>
        </w:rPr>
        <w:t>in this category</w:t>
      </w:r>
      <w:r w:rsidR="0090048E" w:rsidRPr="00040AA9">
        <w:rPr>
          <w:rFonts w:ascii="Arial" w:hAnsi="Arial" w:cs="Arial"/>
          <w:sz w:val="22"/>
          <w:szCs w:val="22"/>
        </w:rPr>
        <w:t>.</w:t>
      </w:r>
    </w:p>
    <w:p w14:paraId="5FE780D2" w14:textId="1BF8BB57" w:rsidR="001F5D33" w:rsidRPr="00040AA9" w:rsidRDefault="0042184D" w:rsidP="00040AA9">
      <w:pPr>
        <w:widowControl w:val="0"/>
        <w:suppressAutoHyphens/>
        <w:spacing w:before="120" w:after="120"/>
        <w:jc w:val="both"/>
        <w:rPr>
          <w:rFonts w:ascii="Arial" w:hAnsi="Arial" w:cs="Arial"/>
          <w:sz w:val="22"/>
          <w:szCs w:val="22"/>
        </w:rPr>
      </w:pPr>
      <w:r w:rsidRPr="00040AA9">
        <w:rPr>
          <w:rFonts w:ascii="Arial" w:hAnsi="Arial" w:cs="Arial"/>
          <w:sz w:val="22"/>
          <w:szCs w:val="22"/>
        </w:rPr>
        <w:t xml:space="preserve">Among the best performing </w:t>
      </w:r>
      <w:r w:rsidR="00A23E27" w:rsidRPr="00040AA9">
        <w:rPr>
          <w:rFonts w:ascii="Arial" w:hAnsi="Arial" w:cs="Arial"/>
          <w:sz w:val="22"/>
          <w:szCs w:val="22"/>
        </w:rPr>
        <w:t xml:space="preserve">individual </w:t>
      </w:r>
      <w:r w:rsidRPr="00040AA9">
        <w:rPr>
          <w:rFonts w:ascii="Arial" w:hAnsi="Arial" w:cs="Arial"/>
          <w:sz w:val="22"/>
          <w:szCs w:val="22"/>
        </w:rPr>
        <w:t>ind</w:t>
      </w:r>
      <w:r w:rsidR="00E71656" w:rsidRPr="00040AA9">
        <w:rPr>
          <w:rFonts w:ascii="Arial" w:hAnsi="Arial" w:cs="Arial"/>
          <w:sz w:val="22"/>
          <w:szCs w:val="22"/>
        </w:rPr>
        <w:t xml:space="preserve">icators </w:t>
      </w:r>
      <w:r w:rsidR="00B840E2" w:rsidRPr="00040AA9">
        <w:rPr>
          <w:rFonts w:ascii="Arial" w:hAnsi="Arial" w:cs="Arial"/>
          <w:sz w:val="22"/>
          <w:szCs w:val="22"/>
        </w:rPr>
        <w:t xml:space="preserve">were those measuring </w:t>
      </w:r>
      <w:r w:rsidR="009B02C5">
        <w:rPr>
          <w:rFonts w:ascii="Arial" w:hAnsi="Arial" w:cs="Arial"/>
          <w:sz w:val="22"/>
          <w:szCs w:val="22"/>
        </w:rPr>
        <w:t>O</w:t>
      </w:r>
      <w:r w:rsidR="00B840E2" w:rsidRPr="00040AA9">
        <w:rPr>
          <w:rFonts w:ascii="Arial" w:hAnsi="Arial" w:cs="Arial"/>
          <w:sz w:val="22"/>
          <w:szCs w:val="22"/>
        </w:rPr>
        <w:t xml:space="preserve">utcome </w:t>
      </w:r>
      <w:r w:rsidR="001210E5" w:rsidRPr="00040AA9">
        <w:rPr>
          <w:rFonts w:ascii="Arial" w:hAnsi="Arial" w:cs="Arial"/>
          <w:sz w:val="22"/>
          <w:szCs w:val="22"/>
        </w:rPr>
        <w:t>II.</w:t>
      </w:r>
      <w:r w:rsidR="00B840E2" w:rsidRPr="00040AA9">
        <w:rPr>
          <w:rFonts w:ascii="Arial" w:hAnsi="Arial" w:cs="Arial"/>
          <w:sz w:val="22"/>
          <w:szCs w:val="22"/>
        </w:rPr>
        <w:t>7</w:t>
      </w:r>
      <w:r w:rsidR="00E71656" w:rsidRPr="00040AA9">
        <w:rPr>
          <w:rFonts w:ascii="Arial" w:hAnsi="Arial" w:cs="Arial"/>
          <w:sz w:val="22"/>
          <w:szCs w:val="22"/>
        </w:rPr>
        <w:t xml:space="preserve"> regarding</w:t>
      </w:r>
      <w:r w:rsidRPr="00040AA9">
        <w:rPr>
          <w:rFonts w:ascii="Arial" w:hAnsi="Arial" w:cs="Arial"/>
          <w:sz w:val="22"/>
          <w:szCs w:val="22"/>
        </w:rPr>
        <w:t xml:space="preserve"> number of audits performed on large and medium taxpayers. Starting from a base of 8 and 100, the</w:t>
      </w:r>
      <w:r w:rsidR="00B840E2" w:rsidRPr="00040AA9">
        <w:rPr>
          <w:rFonts w:ascii="Arial" w:hAnsi="Arial" w:cs="Arial"/>
          <w:sz w:val="22"/>
          <w:szCs w:val="22"/>
        </w:rPr>
        <w:t>y were expected</w:t>
      </w:r>
      <w:r w:rsidRPr="00040AA9">
        <w:rPr>
          <w:rFonts w:ascii="Arial" w:hAnsi="Arial" w:cs="Arial"/>
          <w:sz w:val="22"/>
          <w:szCs w:val="22"/>
        </w:rPr>
        <w:t xml:space="preserve"> increase to 156 and 200 </w:t>
      </w:r>
      <w:r w:rsidR="00F012D4" w:rsidRPr="00040AA9">
        <w:rPr>
          <w:rFonts w:ascii="Arial" w:hAnsi="Arial" w:cs="Arial"/>
          <w:sz w:val="22"/>
          <w:szCs w:val="22"/>
        </w:rPr>
        <w:t xml:space="preserve">returns </w:t>
      </w:r>
      <w:r w:rsidRPr="00040AA9">
        <w:rPr>
          <w:rFonts w:ascii="Arial" w:hAnsi="Arial" w:cs="Arial"/>
          <w:sz w:val="22"/>
          <w:szCs w:val="22"/>
        </w:rPr>
        <w:t xml:space="preserve">respectively. In </w:t>
      </w:r>
      <w:r w:rsidR="006A5B24" w:rsidRPr="00CF5903">
        <w:rPr>
          <w:rFonts w:ascii="Arial" w:hAnsi="Arial" w:cs="Arial"/>
          <w:sz w:val="22"/>
          <w:szCs w:val="22"/>
        </w:rPr>
        <w:t>fact,</w:t>
      </w:r>
      <w:r w:rsidRPr="00040AA9">
        <w:rPr>
          <w:rFonts w:ascii="Arial" w:hAnsi="Arial" w:cs="Arial"/>
          <w:sz w:val="22"/>
          <w:szCs w:val="22"/>
        </w:rPr>
        <w:t xml:space="preserve"> the reported actual EOP values were 178 and 1,374 returns audited in the target year of 2016/</w:t>
      </w:r>
      <w:r w:rsidR="009B02C5">
        <w:rPr>
          <w:rFonts w:ascii="Arial" w:hAnsi="Arial" w:cs="Arial"/>
          <w:sz w:val="22"/>
          <w:szCs w:val="22"/>
        </w:rPr>
        <w:t>20</w:t>
      </w:r>
      <w:r w:rsidRPr="00040AA9">
        <w:rPr>
          <w:rFonts w:ascii="Arial" w:hAnsi="Arial" w:cs="Arial"/>
          <w:sz w:val="22"/>
          <w:szCs w:val="22"/>
        </w:rPr>
        <w:t>17. Using the measure of achievement against baseline value described above yields achievement levels of 120% and 1,174% respectively.</w:t>
      </w:r>
      <w:r w:rsidR="00AA2698" w:rsidRPr="00040AA9">
        <w:rPr>
          <w:rFonts w:ascii="Arial" w:hAnsi="Arial" w:cs="Arial"/>
          <w:sz w:val="22"/>
          <w:szCs w:val="22"/>
        </w:rPr>
        <w:t xml:space="preserve"> </w:t>
      </w:r>
      <w:r w:rsidR="00674B1E" w:rsidRPr="00040AA9">
        <w:rPr>
          <w:rFonts w:ascii="Arial" w:hAnsi="Arial" w:cs="Arial"/>
          <w:sz w:val="22"/>
          <w:szCs w:val="22"/>
        </w:rPr>
        <w:t>GCT revenues collected on</w:t>
      </w:r>
      <w:r w:rsidR="00CF0AF8" w:rsidRPr="00040AA9">
        <w:rPr>
          <w:rFonts w:ascii="Arial" w:hAnsi="Arial" w:cs="Arial"/>
          <w:sz w:val="22"/>
          <w:szCs w:val="22"/>
        </w:rPr>
        <w:t xml:space="preserve"> government purchases </w:t>
      </w:r>
      <w:r w:rsidR="003F1DFC" w:rsidRPr="00040AA9">
        <w:rPr>
          <w:rFonts w:ascii="Arial" w:hAnsi="Arial" w:cs="Arial"/>
          <w:sz w:val="22"/>
          <w:szCs w:val="22"/>
        </w:rPr>
        <w:t>(</w:t>
      </w:r>
      <w:r w:rsidR="006A5B24">
        <w:rPr>
          <w:rFonts w:ascii="Arial" w:hAnsi="Arial" w:cs="Arial"/>
          <w:sz w:val="22"/>
          <w:szCs w:val="22"/>
        </w:rPr>
        <w:t>o</w:t>
      </w:r>
      <w:r w:rsidR="003F1DFC" w:rsidRPr="00040AA9">
        <w:rPr>
          <w:rFonts w:ascii="Arial" w:hAnsi="Arial" w:cs="Arial"/>
          <w:sz w:val="22"/>
          <w:szCs w:val="22"/>
        </w:rPr>
        <w:t xml:space="preserve">utcome </w:t>
      </w:r>
      <w:r w:rsidR="001210E5" w:rsidRPr="00040AA9">
        <w:rPr>
          <w:rFonts w:ascii="Arial" w:hAnsi="Arial" w:cs="Arial"/>
          <w:sz w:val="22"/>
          <w:szCs w:val="22"/>
        </w:rPr>
        <w:t>II.</w:t>
      </w:r>
      <w:r w:rsidR="003F1DFC" w:rsidRPr="00040AA9">
        <w:rPr>
          <w:rFonts w:ascii="Arial" w:hAnsi="Arial" w:cs="Arial"/>
          <w:sz w:val="22"/>
          <w:szCs w:val="22"/>
        </w:rPr>
        <w:t xml:space="preserve">3) </w:t>
      </w:r>
      <w:r w:rsidR="00CF0AF8" w:rsidRPr="00040AA9">
        <w:rPr>
          <w:rFonts w:ascii="Arial" w:hAnsi="Arial" w:cs="Arial"/>
          <w:sz w:val="22"/>
          <w:szCs w:val="22"/>
        </w:rPr>
        <w:t xml:space="preserve">was another </w:t>
      </w:r>
      <w:r w:rsidR="003F1DFC" w:rsidRPr="00040AA9">
        <w:rPr>
          <w:rFonts w:ascii="Arial" w:hAnsi="Arial" w:cs="Arial"/>
          <w:sz w:val="22"/>
          <w:szCs w:val="22"/>
        </w:rPr>
        <w:t>case where expectations were surpassed</w:t>
      </w:r>
      <w:r w:rsidR="006C7B7F" w:rsidRPr="00040AA9">
        <w:rPr>
          <w:rFonts w:ascii="Arial" w:hAnsi="Arial" w:cs="Arial"/>
          <w:sz w:val="22"/>
          <w:szCs w:val="22"/>
        </w:rPr>
        <w:t xml:space="preserve"> substantially</w:t>
      </w:r>
      <w:r w:rsidR="00AB310D" w:rsidRPr="00040AA9">
        <w:rPr>
          <w:rFonts w:ascii="Arial" w:hAnsi="Arial" w:cs="Arial"/>
          <w:sz w:val="22"/>
          <w:szCs w:val="22"/>
        </w:rPr>
        <w:t xml:space="preserve"> (322% of expected)</w:t>
      </w:r>
      <w:r w:rsidR="006C7B7F" w:rsidRPr="00040AA9">
        <w:rPr>
          <w:rFonts w:ascii="Arial" w:hAnsi="Arial" w:cs="Arial"/>
          <w:sz w:val="22"/>
          <w:szCs w:val="22"/>
        </w:rPr>
        <w:t xml:space="preserve">, despite delayed adoption </w:t>
      </w:r>
      <w:r w:rsidR="00DC0170" w:rsidRPr="00040AA9">
        <w:rPr>
          <w:rFonts w:ascii="Arial" w:hAnsi="Arial" w:cs="Arial"/>
          <w:sz w:val="22"/>
          <w:szCs w:val="22"/>
        </w:rPr>
        <w:t xml:space="preserve">of the </w:t>
      </w:r>
      <w:r w:rsidR="003F1DFC" w:rsidRPr="00040AA9">
        <w:rPr>
          <w:rFonts w:ascii="Arial" w:hAnsi="Arial" w:cs="Arial"/>
          <w:sz w:val="22"/>
          <w:szCs w:val="22"/>
        </w:rPr>
        <w:t xml:space="preserve">provision and its </w:t>
      </w:r>
      <w:r w:rsidR="006C7B7F" w:rsidRPr="00040AA9">
        <w:rPr>
          <w:rFonts w:ascii="Arial" w:hAnsi="Arial" w:cs="Arial"/>
          <w:sz w:val="22"/>
          <w:szCs w:val="22"/>
        </w:rPr>
        <w:t>and phased</w:t>
      </w:r>
      <w:r w:rsidR="00740EE8">
        <w:rPr>
          <w:rFonts w:ascii="Arial" w:hAnsi="Arial" w:cs="Arial"/>
          <w:sz w:val="22"/>
          <w:szCs w:val="22"/>
        </w:rPr>
        <w:t xml:space="preserve"> </w:t>
      </w:r>
      <w:r w:rsidR="006C7B7F" w:rsidRPr="00040AA9">
        <w:rPr>
          <w:rFonts w:ascii="Arial" w:hAnsi="Arial" w:cs="Arial"/>
          <w:sz w:val="22"/>
          <w:szCs w:val="22"/>
        </w:rPr>
        <w:t>in application.</w:t>
      </w:r>
      <w:r w:rsidR="00674B1E" w:rsidRPr="00040AA9">
        <w:rPr>
          <w:rFonts w:ascii="Arial" w:hAnsi="Arial" w:cs="Arial"/>
          <w:sz w:val="22"/>
          <w:szCs w:val="22"/>
        </w:rPr>
        <w:t xml:space="preserve"> </w:t>
      </w:r>
      <w:r w:rsidR="006A5B24" w:rsidRPr="00CF5903">
        <w:rPr>
          <w:rFonts w:ascii="Arial" w:hAnsi="Arial" w:cs="Arial"/>
          <w:sz w:val="22"/>
          <w:szCs w:val="22"/>
        </w:rPr>
        <w:t>Also,</w:t>
      </w:r>
      <w:r w:rsidR="00713DAE" w:rsidRPr="00040AA9">
        <w:rPr>
          <w:rFonts w:ascii="Arial" w:hAnsi="Arial" w:cs="Arial"/>
          <w:sz w:val="22"/>
          <w:szCs w:val="22"/>
        </w:rPr>
        <w:t xml:space="preserve"> notable i</w:t>
      </w:r>
      <w:r w:rsidR="001C7F83" w:rsidRPr="00040AA9">
        <w:rPr>
          <w:rFonts w:ascii="Arial" w:hAnsi="Arial" w:cs="Arial"/>
          <w:sz w:val="22"/>
          <w:szCs w:val="22"/>
        </w:rPr>
        <w:t xml:space="preserve">n exceeding expectations were the savings achieved by employers in labor costs </w:t>
      </w:r>
      <w:r w:rsidR="001210E5" w:rsidRPr="00040AA9">
        <w:rPr>
          <w:rFonts w:ascii="Arial" w:hAnsi="Arial" w:cs="Arial"/>
          <w:sz w:val="22"/>
          <w:szCs w:val="22"/>
        </w:rPr>
        <w:t>(</w:t>
      </w:r>
      <w:r w:rsidR="00740EE8">
        <w:rPr>
          <w:rFonts w:ascii="Arial" w:hAnsi="Arial" w:cs="Arial"/>
          <w:sz w:val="22"/>
          <w:szCs w:val="22"/>
        </w:rPr>
        <w:t>O</w:t>
      </w:r>
      <w:r w:rsidR="001210E5" w:rsidRPr="00040AA9">
        <w:rPr>
          <w:rFonts w:ascii="Arial" w:hAnsi="Arial" w:cs="Arial"/>
          <w:sz w:val="22"/>
          <w:szCs w:val="22"/>
        </w:rPr>
        <w:t>utcome II.</w:t>
      </w:r>
      <w:r w:rsidR="00920BC6" w:rsidRPr="00040AA9">
        <w:rPr>
          <w:rFonts w:ascii="Arial" w:hAnsi="Arial" w:cs="Arial"/>
          <w:sz w:val="22"/>
          <w:szCs w:val="22"/>
        </w:rPr>
        <w:t xml:space="preserve">5) </w:t>
      </w:r>
      <w:r w:rsidR="001C7F83" w:rsidRPr="00040AA9">
        <w:rPr>
          <w:rFonts w:ascii="Arial" w:hAnsi="Arial" w:cs="Arial"/>
          <w:sz w:val="22"/>
          <w:szCs w:val="22"/>
        </w:rPr>
        <w:t xml:space="preserve">due to </w:t>
      </w:r>
      <w:r w:rsidR="000D63FD" w:rsidRPr="00040AA9">
        <w:rPr>
          <w:rFonts w:ascii="Arial" w:hAnsi="Arial" w:cs="Arial"/>
          <w:sz w:val="22"/>
          <w:szCs w:val="22"/>
        </w:rPr>
        <w:t xml:space="preserve">the application of ETC and the e-filing of tax returns by large taxpayers. </w:t>
      </w:r>
    </w:p>
    <w:p w14:paraId="53A8A636" w14:textId="5488A43D" w:rsidR="00AC31F2" w:rsidRPr="00040AA9" w:rsidRDefault="00217B33" w:rsidP="00040AA9">
      <w:pPr>
        <w:suppressAutoHyphens/>
        <w:spacing w:before="240" w:after="120"/>
        <w:jc w:val="both"/>
        <w:rPr>
          <w:rFonts w:ascii="Arial" w:hAnsi="Arial" w:cs="Arial"/>
          <w:sz w:val="22"/>
          <w:szCs w:val="22"/>
        </w:rPr>
      </w:pPr>
      <w:r w:rsidRPr="00040AA9">
        <w:rPr>
          <w:rFonts w:ascii="Arial" w:hAnsi="Arial" w:cs="Arial"/>
          <w:sz w:val="22"/>
          <w:szCs w:val="22"/>
        </w:rPr>
        <w:t>Following is a discussion of the results</w:t>
      </w:r>
      <w:r w:rsidR="00C04D37" w:rsidRPr="00040AA9">
        <w:rPr>
          <w:rFonts w:ascii="Arial" w:hAnsi="Arial" w:cs="Arial"/>
          <w:sz w:val="22"/>
          <w:szCs w:val="22"/>
        </w:rPr>
        <w:t xml:space="preserve"> </w:t>
      </w:r>
      <w:r w:rsidRPr="00040AA9">
        <w:rPr>
          <w:rFonts w:ascii="Arial" w:hAnsi="Arial" w:cs="Arial"/>
          <w:sz w:val="22"/>
          <w:szCs w:val="22"/>
        </w:rPr>
        <w:t xml:space="preserve">in terms of their relationship to the </w:t>
      </w:r>
      <w:r w:rsidR="00F92F80" w:rsidRPr="00040AA9">
        <w:rPr>
          <w:rFonts w:ascii="Arial" w:hAnsi="Arial" w:cs="Arial"/>
          <w:sz w:val="22"/>
          <w:szCs w:val="22"/>
        </w:rPr>
        <w:t xml:space="preserve">FISPEG </w:t>
      </w:r>
      <w:r w:rsidRPr="00040AA9">
        <w:rPr>
          <w:rFonts w:ascii="Arial" w:hAnsi="Arial" w:cs="Arial"/>
          <w:sz w:val="22"/>
          <w:szCs w:val="22"/>
        </w:rPr>
        <w:t>objectives</w:t>
      </w:r>
      <w:r w:rsidR="00714BB5" w:rsidRPr="00040AA9">
        <w:rPr>
          <w:rFonts w:ascii="Arial" w:hAnsi="Arial" w:cs="Arial"/>
          <w:sz w:val="22"/>
          <w:szCs w:val="22"/>
        </w:rPr>
        <w:t xml:space="preserve"> as </w:t>
      </w:r>
      <w:r w:rsidR="00240E2D" w:rsidRPr="00040AA9">
        <w:rPr>
          <w:rFonts w:ascii="Arial" w:hAnsi="Arial" w:cs="Arial"/>
          <w:sz w:val="22"/>
          <w:szCs w:val="22"/>
        </w:rPr>
        <w:t xml:space="preserve">summarized </w:t>
      </w:r>
      <w:r w:rsidR="00714BB5" w:rsidRPr="00040AA9">
        <w:rPr>
          <w:rFonts w:ascii="Arial" w:hAnsi="Arial" w:cs="Arial"/>
          <w:sz w:val="22"/>
          <w:szCs w:val="22"/>
        </w:rPr>
        <w:t xml:space="preserve">in </w:t>
      </w:r>
      <w:r w:rsidR="00714BB5" w:rsidRPr="007E47F5">
        <w:rPr>
          <w:rFonts w:ascii="Arial" w:hAnsi="Arial" w:cs="Arial"/>
          <w:sz w:val="22"/>
          <w:szCs w:val="22"/>
        </w:rPr>
        <w:t xml:space="preserve">Table </w:t>
      </w:r>
      <w:r w:rsidR="00830797" w:rsidRPr="007E47F5">
        <w:rPr>
          <w:rFonts w:ascii="Arial" w:hAnsi="Arial" w:cs="Arial"/>
          <w:sz w:val="22"/>
          <w:szCs w:val="22"/>
        </w:rPr>
        <w:t>A</w:t>
      </w:r>
      <w:r w:rsidR="008B3A15" w:rsidRPr="00040AA9">
        <w:rPr>
          <w:rFonts w:ascii="Arial" w:hAnsi="Arial" w:cs="Arial"/>
          <w:sz w:val="22"/>
          <w:szCs w:val="22"/>
        </w:rPr>
        <w:t xml:space="preserve"> above</w:t>
      </w:r>
      <w:r w:rsidR="004720A8" w:rsidRPr="00040AA9">
        <w:rPr>
          <w:rFonts w:ascii="Arial" w:hAnsi="Arial" w:cs="Arial"/>
          <w:sz w:val="22"/>
          <w:szCs w:val="22"/>
        </w:rPr>
        <w:t>:</w:t>
      </w:r>
    </w:p>
    <w:p w14:paraId="568C87FB" w14:textId="1B5E6FBA" w:rsidR="004720A8" w:rsidRPr="00040AA9" w:rsidRDefault="00CC1B50" w:rsidP="00040AA9">
      <w:pPr>
        <w:suppressAutoHyphens/>
        <w:spacing w:before="120" w:after="120"/>
        <w:jc w:val="both"/>
        <w:rPr>
          <w:rFonts w:ascii="Arial" w:hAnsi="Arial" w:cs="Arial"/>
          <w:sz w:val="22"/>
          <w:szCs w:val="22"/>
        </w:rPr>
      </w:pPr>
      <w:r w:rsidRPr="00040AA9">
        <w:rPr>
          <w:rFonts w:ascii="Arial" w:hAnsi="Arial" w:cs="Arial"/>
          <w:b/>
          <w:sz w:val="22"/>
          <w:szCs w:val="22"/>
        </w:rPr>
        <w:t>General o</w:t>
      </w:r>
      <w:r w:rsidR="004720A8" w:rsidRPr="00040AA9">
        <w:rPr>
          <w:rFonts w:ascii="Arial" w:hAnsi="Arial" w:cs="Arial"/>
          <w:b/>
          <w:sz w:val="22"/>
          <w:szCs w:val="22"/>
        </w:rPr>
        <w:t xml:space="preserve">bjective: Support the efforts of the </w:t>
      </w:r>
      <w:proofErr w:type="spellStart"/>
      <w:r w:rsidR="004720A8" w:rsidRPr="00040AA9">
        <w:rPr>
          <w:rFonts w:ascii="Arial" w:hAnsi="Arial" w:cs="Arial"/>
          <w:b/>
          <w:sz w:val="22"/>
          <w:szCs w:val="22"/>
        </w:rPr>
        <w:t>Go</w:t>
      </w:r>
      <w:r w:rsidR="00740EE8">
        <w:rPr>
          <w:rFonts w:ascii="Arial" w:hAnsi="Arial" w:cs="Arial"/>
          <w:b/>
          <w:sz w:val="22"/>
          <w:szCs w:val="22"/>
        </w:rPr>
        <w:t>J</w:t>
      </w:r>
      <w:proofErr w:type="spellEnd"/>
      <w:r w:rsidR="004720A8" w:rsidRPr="00040AA9">
        <w:rPr>
          <w:rFonts w:ascii="Arial" w:hAnsi="Arial" w:cs="Arial"/>
          <w:b/>
          <w:sz w:val="22"/>
          <w:szCs w:val="22"/>
        </w:rPr>
        <w:t xml:space="preserve"> to achieve a sustainable fiscal path and higher economic growth</w:t>
      </w:r>
      <w:r w:rsidR="004720A8" w:rsidRPr="00040AA9">
        <w:rPr>
          <w:rFonts w:ascii="Arial" w:hAnsi="Arial" w:cs="Arial"/>
          <w:sz w:val="22"/>
          <w:szCs w:val="22"/>
        </w:rPr>
        <w:t xml:space="preserve"> </w:t>
      </w:r>
    </w:p>
    <w:p w14:paraId="153F4507" w14:textId="50B94B94" w:rsidR="00D55637" w:rsidRPr="00040AA9" w:rsidRDefault="00682FEC" w:rsidP="00040AA9">
      <w:pPr>
        <w:suppressAutoHyphens/>
        <w:spacing w:before="120" w:after="120"/>
        <w:jc w:val="both"/>
        <w:rPr>
          <w:rFonts w:ascii="Arial" w:hAnsi="Arial" w:cs="Arial"/>
          <w:sz w:val="22"/>
          <w:szCs w:val="22"/>
        </w:rPr>
      </w:pPr>
      <w:r w:rsidRPr="00040AA9">
        <w:rPr>
          <w:rFonts w:ascii="Arial" w:hAnsi="Arial" w:cs="Arial"/>
          <w:sz w:val="22"/>
          <w:szCs w:val="22"/>
        </w:rPr>
        <w:t>Directly related to this general objective are t</w:t>
      </w:r>
      <w:r w:rsidR="0088349B" w:rsidRPr="00040AA9">
        <w:rPr>
          <w:rFonts w:ascii="Arial" w:hAnsi="Arial" w:cs="Arial"/>
          <w:sz w:val="22"/>
          <w:szCs w:val="22"/>
        </w:rPr>
        <w:t xml:space="preserve">he </w:t>
      </w:r>
      <w:r w:rsidR="004720A8" w:rsidRPr="00040AA9">
        <w:rPr>
          <w:rFonts w:ascii="Arial" w:hAnsi="Arial" w:cs="Arial"/>
          <w:sz w:val="22"/>
          <w:szCs w:val="22"/>
        </w:rPr>
        <w:t xml:space="preserve">program’s </w:t>
      </w:r>
      <w:r w:rsidRPr="00040AA9">
        <w:rPr>
          <w:rFonts w:ascii="Arial" w:hAnsi="Arial" w:cs="Arial"/>
          <w:sz w:val="22"/>
          <w:szCs w:val="22"/>
        </w:rPr>
        <w:t xml:space="preserve">two broad </w:t>
      </w:r>
      <w:r w:rsidR="00404C9B" w:rsidRPr="00040AA9">
        <w:rPr>
          <w:rFonts w:ascii="Arial" w:hAnsi="Arial" w:cs="Arial"/>
          <w:sz w:val="22"/>
          <w:szCs w:val="22"/>
        </w:rPr>
        <w:t>expected impacts</w:t>
      </w:r>
      <w:r w:rsidRPr="00040AA9">
        <w:rPr>
          <w:rFonts w:ascii="Arial" w:hAnsi="Arial" w:cs="Arial"/>
          <w:sz w:val="22"/>
          <w:szCs w:val="22"/>
        </w:rPr>
        <w:t>, namely; an</w:t>
      </w:r>
      <w:r w:rsidR="00404C9B" w:rsidRPr="00040AA9">
        <w:rPr>
          <w:rFonts w:ascii="Arial" w:hAnsi="Arial" w:cs="Arial"/>
          <w:sz w:val="22"/>
          <w:szCs w:val="22"/>
        </w:rPr>
        <w:t xml:space="preserve"> </w:t>
      </w:r>
      <w:r w:rsidR="0088349B" w:rsidRPr="00040AA9">
        <w:rPr>
          <w:rFonts w:ascii="Arial" w:hAnsi="Arial" w:cs="Arial"/>
          <w:sz w:val="22"/>
          <w:szCs w:val="22"/>
        </w:rPr>
        <w:t xml:space="preserve">improved </w:t>
      </w:r>
      <w:r w:rsidR="00740EE8" w:rsidRPr="00CF5903">
        <w:rPr>
          <w:rFonts w:ascii="Arial" w:hAnsi="Arial" w:cs="Arial"/>
          <w:sz w:val="22"/>
          <w:szCs w:val="22"/>
        </w:rPr>
        <w:t>public-sector</w:t>
      </w:r>
      <w:r w:rsidR="0088349B" w:rsidRPr="00040AA9">
        <w:rPr>
          <w:rFonts w:ascii="Arial" w:hAnsi="Arial" w:cs="Arial"/>
          <w:sz w:val="22"/>
          <w:szCs w:val="22"/>
        </w:rPr>
        <w:t xml:space="preserve"> balance and </w:t>
      </w:r>
      <w:r w:rsidRPr="00040AA9">
        <w:rPr>
          <w:rFonts w:ascii="Arial" w:hAnsi="Arial" w:cs="Arial"/>
          <w:sz w:val="22"/>
          <w:szCs w:val="22"/>
        </w:rPr>
        <w:t xml:space="preserve">an </w:t>
      </w:r>
      <w:r w:rsidR="0088349B" w:rsidRPr="00040AA9">
        <w:rPr>
          <w:rFonts w:ascii="Arial" w:hAnsi="Arial" w:cs="Arial"/>
          <w:sz w:val="22"/>
          <w:szCs w:val="22"/>
        </w:rPr>
        <w:t xml:space="preserve">uptick in real GDP growth. On both scores FISPEG performed with values at the end of project </w:t>
      </w:r>
      <w:r w:rsidR="00D140CD" w:rsidRPr="00040AA9">
        <w:rPr>
          <w:rFonts w:ascii="Arial" w:hAnsi="Arial" w:cs="Arial"/>
          <w:sz w:val="22"/>
          <w:szCs w:val="22"/>
        </w:rPr>
        <w:t xml:space="preserve">substantially exceeding the baseline values and, in the case of the </w:t>
      </w:r>
      <w:r w:rsidR="00740EE8" w:rsidRPr="00CF5903">
        <w:rPr>
          <w:rFonts w:ascii="Arial" w:hAnsi="Arial" w:cs="Arial"/>
          <w:sz w:val="22"/>
          <w:szCs w:val="22"/>
        </w:rPr>
        <w:t>public-sector</w:t>
      </w:r>
      <w:r w:rsidR="00D140CD" w:rsidRPr="00040AA9">
        <w:rPr>
          <w:rFonts w:ascii="Arial" w:hAnsi="Arial" w:cs="Arial"/>
          <w:sz w:val="22"/>
          <w:szCs w:val="22"/>
        </w:rPr>
        <w:t xml:space="preserve"> balance</w:t>
      </w:r>
      <w:r w:rsidR="00E952C7">
        <w:rPr>
          <w:rFonts w:ascii="Arial" w:hAnsi="Arial" w:cs="Arial"/>
          <w:sz w:val="22"/>
          <w:szCs w:val="22"/>
        </w:rPr>
        <w:t xml:space="preserve"> (Impact indicator 1.1)</w:t>
      </w:r>
      <w:r w:rsidR="00D140CD" w:rsidRPr="00040AA9">
        <w:rPr>
          <w:rFonts w:ascii="Arial" w:hAnsi="Arial" w:cs="Arial"/>
          <w:sz w:val="22"/>
          <w:szCs w:val="22"/>
        </w:rPr>
        <w:t xml:space="preserve">, </w:t>
      </w:r>
      <w:r w:rsidR="0034329B" w:rsidRPr="00040AA9">
        <w:rPr>
          <w:rFonts w:ascii="Arial" w:hAnsi="Arial" w:cs="Arial"/>
          <w:sz w:val="22"/>
          <w:szCs w:val="22"/>
        </w:rPr>
        <w:t xml:space="preserve">achieving </w:t>
      </w:r>
      <w:r w:rsidR="00426598">
        <w:rPr>
          <w:rFonts w:ascii="Arial" w:hAnsi="Arial" w:cs="Arial"/>
          <w:sz w:val="22"/>
          <w:szCs w:val="22"/>
        </w:rPr>
        <w:t>100</w:t>
      </w:r>
      <w:r w:rsidR="0034329B" w:rsidRPr="00040AA9">
        <w:rPr>
          <w:rFonts w:ascii="Arial" w:hAnsi="Arial" w:cs="Arial"/>
          <w:sz w:val="22"/>
          <w:szCs w:val="22"/>
        </w:rPr>
        <w:t xml:space="preserve">% </w:t>
      </w:r>
      <w:r w:rsidR="006E04EF" w:rsidRPr="00040AA9">
        <w:rPr>
          <w:rFonts w:ascii="Arial" w:hAnsi="Arial" w:cs="Arial"/>
          <w:sz w:val="22"/>
          <w:szCs w:val="22"/>
        </w:rPr>
        <w:t xml:space="preserve">of the </w:t>
      </w:r>
      <w:r w:rsidR="00D140CD" w:rsidRPr="00040AA9">
        <w:rPr>
          <w:rFonts w:ascii="Arial" w:hAnsi="Arial" w:cs="Arial"/>
          <w:sz w:val="22"/>
          <w:szCs w:val="22"/>
        </w:rPr>
        <w:t xml:space="preserve">adjusted “P(a)” </w:t>
      </w:r>
      <w:r w:rsidR="006E04EF" w:rsidRPr="00040AA9">
        <w:rPr>
          <w:rFonts w:ascii="Arial" w:hAnsi="Arial" w:cs="Arial"/>
          <w:sz w:val="22"/>
          <w:szCs w:val="22"/>
        </w:rPr>
        <w:t xml:space="preserve">target </w:t>
      </w:r>
      <w:r w:rsidR="00D140CD" w:rsidRPr="00040AA9">
        <w:rPr>
          <w:rFonts w:ascii="Arial" w:hAnsi="Arial" w:cs="Arial"/>
          <w:sz w:val="22"/>
          <w:szCs w:val="22"/>
        </w:rPr>
        <w:t>value</w:t>
      </w:r>
      <w:r w:rsidR="004C78A5" w:rsidRPr="00040AA9">
        <w:rPr>
          <w:rFonts w:ascii="Arial" w:hAnsi="Arial" w:cs="Arial"/>
          <w:sz w:val="22"/>
          <w:szCs w:val="22"/>
        </w:rPr>
        <w:t>.</w:t>
      </w:r>
      <w:r w:rsidR="001A767F" w:rsidRPr="00040AA9">
        <w:rPr>
          <w:rFonts w:ascii="Arial" w:hAnsi="Arial" w:cs="Arial"/>
          <w:sz w:val="22"/>
          <w:szCs w:val="22"/>
        </w:rPr>
        <w:t xml:space="preserve"> </w:t>
      </w:r>
      <w:r w:rsidR="00740EE8" w:rsidRPr="00CF5903">
        <w:rPr>
          <w:rFonts w:ascii="Arial" w:hAnsi="Arial" w:cs="Arial"/>
          <w:sz w:val="22"/>
          <w:szCs w:val="22"/>
        </w:rPr>
        <w:t>However,</w:t>
      </w:r>
      <w:r w:rsidR="004C78A5" w:rsidRPr="00040AA9">
        <w:rPr>
          <w:rFonts w:ascii="Arial" w:hAnsi="Arial" w:cs="Arial"/>
          <w:sz w:val="22"/>
          <w:szCs w:val="22"/>
        </w:rPr>
        <w:t xml:space="preserve"> the indicator for GDP growth fell short of its target by 67%</w:t>
      </w:r>
      <w:r w:rsidR="001A767F" w:rsidRPr="00040AA9">
        <w:rPr>
          <w:rFonts w:ascii="Arial" w:hAnsi="Arial" w:cs="Arial"/>
          <w:sz w:val="22"/>
          <w:szCs w:val="22"/>
        </w:rPr>
        <w:t>, which reflects the continuing anemic growth during the program period for reasons disc</w:t>
      </w:r>
      <w:r w:rsidR="007C39A4" w:rsidRPr="00040AA9">
        <w:rPr>
          <w:rFonts w:ascii="Arial" w:hAnsi="Arial" w:cs="Arial"/>
          <w:sz w:val="22"/>
          <w:szCs w:val="22"/>
        </w:rPr>
        <w:t xml:space="preserve">ussed in the introduction above. This may also </w:t>
      </w:r>
      <w:r w:rsidR="00F1767D">
        <w:rPr>
          <w:rFonts w:ascii="Arial" w:hAnsi="Arial" w:cs="Arial"/>
          <w:sz w:val="22"/>
          <w:szCs w:val="22"/>
        </w:rPr>
        <w:t xml:space="preserve">be a </w:t>
      </w:r>
      <w:r w:rsidR="007C39A4" w:rsidRPr="00040AA9">
        <w:rPr>
          <w:rFonts w:ascii="Arial" w:hAnsi="Arial" w:cs="Arial"/>
          <w:sz w:val="22"/>
          <w:szCs w:val="22"/>
        </w:rPr>
        <w:t xml:space="preserve">case of a delayed impact that will not be fully realized until well after </w:t>
      </w:r>
      <w:r w:rsidR="00CC1B50" w:rsidRPr="00040AA9">
        <w:rPr>
          <w:rFonts w:ascii="Arial" w:hAnsi="Arial" w:cs="Arial"/>
          <w:sz w:val="22"/>
          <w:szCs w:val="22"/>
        </w:rPr>
        <w:t>FISPEG’s</w:t>
      </w:r>
      <w:r w:rsidR="007C39A4" w:rsidRPr="00040AA9">
        <w:rPr>
          <w:rFonts w:ascii="Arial" w:hAnsi="Arial" w:cs="Arial"/>
          <w:sz w:val="22"/>
          <w:szCs w:val="22"/>
        </w:rPr>
        <w:t xml:space="preserve"> formal closing date</w:t>
      </w:r>
      <w:r w:rsidR="00CC1B50" w:rsidRPr="00040AA9">
        <w:rPr>
          <w:rFonts w:ascii="Arial" w:hAnsi="Arial" w:cs="Arial"/>
          <w:sz w:val="22"/>
          <w:szCs w:val="22"/>
        </w:rPr>
        <w:t xml:space="preserve">. </w:t>
      </w:r>
      <w:r w:rsidR="00D013AF" w:rsidRPr="00CF5903">
        <w:rPr>
          <w:rFonts w:ascii="Arial" w:hAnsi="Arial" w:cs="Arial"/>
          <w:sz w:val="22"/>
          <w:szCs w:val="22"/>
        </w:rPr>
        <w:t>Furthermore,</w:t>
      </w:r>
      <w:r w:rsidR="00CC1B50" w:rsidRPr="00040AA9">
        <w:rPr>
          <w:rFonts w:ascii="Arial" w:hAnsi="Arial" w:cs="Arial"/>
          <w:sz w:val="22"/>
          <w:szCs w:val="22"/>
        </w:rPr>
        <w:t xml:space="preserve"> i</w:t>
      </w:r>
      <w:r w:rsidR="00D140CD" w:rsidRPr="00040AA9">
        <w:rPr>
          <w:rFonts w:ascii="Arial" w:hAnsi="Arial" w:cs="Arial"/>
          <w:sz w:val="22"/>
          <w:szCs w:val="22"/>
        </w:rPr>
        <w:t>t should be noted that numerous exogenous factors influence measures of economic and fiscal performance that are as broad as these two</w:t>
      </w:r>
      <w:r w:rsidR="00CE4527" w:rsidRPr="00040AA9">
        <w:rPr>
          <w:rFonts w:ascii="Arial" w:hAnsi="Arial" w:cs="Arial"/>
          <w:sz w:val="22"/>
          <w:szCs w:val="22"/>
        </w:rPr>
        <w:t>.</w:t>
      </w:r>
      <w:r w:rsidR="00D140CD" w:rsidRPr="00040AA9">
        <w:rPr>
          <w:rFonts w:ascii="Arial" w:hAnsi="Arial" w:cs="Arial"/>
          <w:sz w:val="22"/>
          <w:szCs w:val="22"/>
        </w:rPr>
        <w:t xml:space="preserve"> and in recognition of this the target value for the first (public sector balance) measure was adjusted downward to reflect </w:t>
      </w:r>
      <w:r w:rsidR="004F1C7E" w:rsidRPr="00040AA9">
        <w:rPr>
          <w:rFonts w:ascii="Arial" w:hAnsi="Arial" w:cs="Arial"/>
          <w:sz w:val="22"/>
          <w:szCs w:val="22"/>
        </w:rPr>
        <w:t>these factors</w:t>
      </w:r>
      <w:r w:rsidR="00CC1B50" w:rsidRPr="00040AA9">
        <w:rPr>
          <w:rFonts w:ascii="Arial" w:hAnsi="Arial" w:cs="Arial"/>
          <w:i/>
          <w:sz w:val="22"/>
          <w:szCs w:val="22"/>
        </w:rPr>
        <w:t xml:space="preserve">. </w:t>
      </w:r>
      <w:r w:rsidR="00BC3D7B" w:rsidRPr="00040AA9">
        <w:rPr>
          <w:rFonts w:ascii="Arial" w:hAnsi="Arial" w:cs="Arial"/>
          <w:sz w:val="22"/>
          <w:szCs w:val="22"/>
        </w:rPr>
        <w:t>(See T</w:t>
      </w:r>
      <w:r w:rsidR="00CC1B50" w:rsidRPr="00040AA9">
        <w:rPr>
          <w:rFonts w:ascii="Arial" w:hAnsi="Arial" w:cs="Arial"/>
          <w:sz w:val="22"/>
          <w:szCs w:val="22"/>
        </w:rPr>
        <w:t>able 2.)</w:t>
      </w:r>
    </w:p>
    <w:p w14:paraId="59DCD248" w14:textId="365434F9" w:rsidR="00F36C81" w:rsidRPr="00040AA9" w:rsidRDefault="00F36C81" w:rsidP="00040AA9">
      <w:pPr>
        <w:suppressAutoHyphens/>
        <w:spacing w:before="120" w:after="120"/>
        <w:jc w:val="both"/>
        <w:rPr>
          <w:rFonts w:ascii="Arial" w:hAnsi="Arial" w:cs="Arial"/>
          <w:sz w:val="22"/>
          <w:szCs w:val="22"/>
        </w:rPr>
      </w:pPr>
      <w:r w:rsidRPr="00040AA9">
        <w:rPr>
          <w:rFonts w:ascii="Arial" w:hAnsi="Arial" w:cs="Arial"/>
          <w:sz w:val="22"/>
          <w:szCs w:val="22"/>
        </w:rPr>
        <w:t>Important to</w:t>
      </w:r>
      <w:r w:rsidR="00C221A6" w:rsidRPr="00040AA9">
        <w:rPr>
          <w:rFonts w:ascii="Arial" w:hAnsi="Arial" w:cs="Arial"/>
          <w:sz w:val="22"/>
          <w:szCs w:val="22"/>
        </w:rPr>
        <w:t xml:space="preserve"> also highlight in this regard are </w:t>
      </w:r>
      <w:r w:rsidR="002A0112" w:rsidRPr="00040AA9">
        <w:rPr>
          <w:rFonts w:ascii="Arial" w:hAnsi="Arial" w:cs="Arial"/>
          <w:sz w:val="22"/>
          <w:szCs w:val="22"/>
        </w:rPr>
        <w:t xml:space="preserve">the </w:t>
      </w:r>
      <w:r w:rsidRPr="00040AA9">
        <w:rPr>
          <w:rFonts w:ascii="Arial" w:hAnsi="Arial" w:cs="Arial"/>
          <w:sz w:val="22"/>
          <w:szCs w:val="22"/>
        </w:rPr>
        <w:t>finding</w:t>
      </w:r>
      <w:r w:rsidR="00C221A6" w:rsidRPr="00040AA9">
        <w:rPr>
          <w:rFonts w:ascii="Arial" w:hAnsi="Arial" w:cs="Arial"/>
          <w:sz w:val="22"/>
          <w:szCs w:val="22"/>
        </w:rPr>
        <w:t>s</w:t>
      </w:r>
      <w:r w:rsidRPr="00040AA9">
        <w:rPr>
          <w:rFonts w:ascii="Arial" w:hAnsi="Arial" w:cs="Arial"/>
          <w:sz w:val="22"/>
          <w:szCs w:val="22"/>
        </w:rPr>
        <w:t xml:space="preserve"> of the counterfactual analysis</w:t>
      </w:r>
      <w:r w:rsidR="00C221A6" w:rsidRPr="00040AA9">
        <w:rPr>
          <w:rFonts w:ascii="Arial" w:hAnsi="Arial" w:cs="Arial"/>
          <w:sz w:val="22"/>
          <w:szCs w:val="22"/>
        </w:rPr>
        <w:t xml:space="preserve"> carried out in Annex III and</w:t>
      </w:r>
      <w:r w:rsidRPr="00040AA9">
        <w:rPr>
          <w:rFonts w:ascii="Arial" w:hAnsi="Arial" w:cs="Arial"/>
          <w:sz w:val="22"/>
          <w:szCs w:val="22"/>
        </w:rPr>
        <w:t xml:space="preserve"> </w:t>
      </w:r>
      <w:r w:rsidR="002A0112" w:rsidRPr="00040AA9">
        <w:rPr>
          <w:rFonts w:ascii="Arial" w:hAnsi="Arial" w:cs="Arial"/>
          <w:sz w:val="22"/>
          <w:szCs w:val="22"/>
        </w:rPr>
        <w:t xml:space="preserve">discussed below the </w:t>
      </w:r>
      <w:r w:rsidR="00EC06AB" w:rsidRPr="00040AA9">
        <w:rPr>
          <w:rFonts w:ascii="Arial" w:hAnsi="Arial" w:cs="Arial"/>
          <w:sz w:val="22"/>
          <w:szCs w:val="22"/>
        </w:rPr>
        <w:t>section on Results Attribution</w:t>
      </w:r>
      <w:r w:rsidR="00C221A6" w:rsidRPr="00040AA9">
        <w:rPr>
          <w:rFonts w:ascii="Arial" w:hAnsi="Arial" w:cs="Arial"/>
          <w:sz w:val="22"/>
          <w:szCs w:val="22"/>
        </w:rPr>
        <w:t>. In brief</w:t>
      </w:r>
      <w:r w:rsidR="003470FB" w:rsidRPr="00040AA9">
        <w:rPr>
          <w:rFonts w:ascii="Arial" w:hAnsi="Arial" w:cs="Arial"/>
          <w:sz w:val="22"/>
          <w:szCs w:val="22"/>
        </w:rPr>
        <w:t>,</w:t>
      </w:r>
      <w:r w:rsidR="00C221A6" w:rsidRPr="00040AA9">
        <w:rPr>
          <w:rFonts w:ascii="Arial" w:hAnsi="Arial" w:cs="Arial"/>
          <w:sz w:val="22"/>
          <w:szCs w:val="22"/>
        </w:rPr>
        <w:t xml:space="preserve"> </w:t>
      </w:r>
      <w:r w:rsidR="007174AF" w:rsidRPr="00040AA9">
        <w:rPr>
          <w:rFonts w:ascii="Arial" w:hAnsi="Arial" w:cs="Arial"/>
          <w:sz w:val="22"/>
          <w:szCs w:val="22"/>
        </w:rPr>
        <w:t xml:space="preserve">the simulations found that </w:t>
      </w:r>
      <w:r w:rsidR="007174AF" w:rsidRPr="00040AA9">
        <w:rPr>
          <w:rFonts w:ascii="Arial" w:eastAsia="SimSun" w:hAnsi="Arial" w:cs="Arial"/>
          <w:color w:val="000000"/>
          <w:sz w:val="22"/>
          <w:szCs w:val="22"/>
        </w:rPr>
        <w:t xml:space="preserve">GDP real growth would have been lower if no tax policy and tax expenditure </w:t>
      </w:r>
      <w:r w:rsidR="002A0112" w:rsidRPr="00040AA9">
        <w:rPr>
          <w:rFonts w:ascii="Arial" w:eastAsia="SimSun" w:hAnsi="Arial" w:cs="Arial"/>
          <w:color w:val="000000"/>
          <w:sz w:val="22"/>
          <w:szCs w:val="22"/>
        </w:rPr>
        <w:t>m</w:t>
      </w:r>
      <w:r w:rsidR="007174AF" w:rsidRPr="00040AA9">
        <w:rPr>
          <w:rFonts w:ascii="Arial" w:eastAsia="SimSun" w:hAnsi="Arial" w:cs="Arial"/>
          <w:color w:val="000000"/>
          <w:sz w:val="22"/>
          <w:szCs w:val="22"/>
        </w:rPr>
        <w:t>easures had taken place</w:t>
      </w:r>
      <w:r w:rsidR="007174AF" w:rsidRPr="00040AA9">
        <w:rPr>
          <w:rFonts w:ascii="Arial" w:eastAsia="SimSun" w:hAnsi="Arial" w:cs="Arial"/>
          <w:b/>
          <w:color w:val="000000"/>
          <w:sz w:val="22"/>
          <w:szCs w:val="22"/>
        </w:rPr>
        <w:t xml:space="preserve">. </w:t>
      </w:r>
      <w:r w:rsidR="00176527" w:rsidRPr="00CF5903">
        <w:rPr>
          <w:rFonts w:ascii="Arial" w:eastAsia="SimSun" w:hAnsi="Arial" w:cs="Arial"/>
          <w:color w:val="000000"/>
          <w:sz w:val="22"/>
          <w:szCs w:val="22"/>
        </w:rPr>
        <w:t>Specifically,</w:t>
      </w:r>
      <w:r w:rsidR="007174AF" w:rsidRPr="00040AA9">
        <w:rPr>
          <w:rFonts w:ascii="Arial" w:eastAsia="SimSun" w:hAnsi="Arial" w:cs="Arial"/>
          <w:color w:val="000000"/>
          <w:sz w:val="22"/>
          <w:szCs w:val="22"/>
        </w:rPr>
        <w:t xml:space="preserve"> in the absence of the tax reform the economy would have experienced 4.79% lower growth over the 2012 – </w:t>
      </w:r>
      <w:r w:rsidR="001C5D02">
        <w:rPr>
          <w:rFonts w:ascii="Arial" w:eastAsia="SimSun" w:hAnsi="Arial" w:cs="Arial"/>
          <w:color w:val="000000"/>
          <w:sz w:val="22"/>
          <w:szCs w:val="22"/>
        </w:rPr>
        <w:t>20</w:t>
      </w:r>
      <w:r w:rsidR="007174AF" w:rsidRPr="00040AA9">
        <w:rPr>
          <w:rFonts w:ascii="Arial" w:eastAsia="SimSun" w:hAnsi="Arial" w:cs="Arial"/>
          <w:color w:val="000000"/>
          <w:sz w:val="22"/>
          <w:szCs w:val="22"/>
        </w:rPr>
        <w:t>18 period</w:t>
      </w:r>
      <w:r w:rsidR="005910DF" w:rsidRPr="00040AA9">
        <w:rPr>
          <w:rFonts w:ascii="Arial" w:eastAsia="SimSun" w:hAnsi="Arial" w:cs="Arial"/>
          <w:color w:val="000000"/>
          <w:sz w:val="22"/>
          <w:szCs w:val="22"/>
        </w:rPr>
        <w:t>,</w:t>
      </w:r>
      <w:r w:rsidR="007174AF" w:rsidRPr="00040AA9">
        <w:rPr>
          <w:rFonts w:ascii="Arial" w:eastAsia="SimSun" w:hAnsi="Arial" w:cs="Arial"/>
          <w:color w:val="000000"/>
          <w:sz w:val="22"/>
          <w:szCs w:val="22"/>
        </w:rPr>
        <w:t xml:space="preserve"> equivalent to 0.94% lower real growth rate per year.</w:t>
      </w:r>
      <w:r w:rsidR="005910DF" w:rsidRPr="00040AA9">
        <w:rPr>
          <w:rStyle w:val="FootnoteReference"/>
          <w:rFonts w:ascii="Arial" w:eastAsia="SimSun" w:hAnsi="Arial" w:cs="Arial"/>
          <w:color w:val="000000"/>
          <w:sz w:val="22"/>
          <w:szCs w:val="22"/>
        </w:rPr>
        <w:footnoteReference w:id="27"/>
      </w:r>
    </w:p>
    <w:p w14:paraId="467E1E16" w14:textId="28469F64" w:rsidR="00CC1B50" w:rsidRPr="00040AA9" w:rsidRDefault="00270990" w:rsidP="00040AA9">
      <w:pPr>
        <w:suppressAutoHyphens/>
        <w:spacing w:before="120" w:after="120"/>
        <w:jc w:val="both"/>
        <w:rPr>
          <w:rFonts w:ascii="Arial" w:eastAsia="Times New Roman" w:hAnsi="Arial" w:cs="Arial"/>
          <w:b/>
          <w:iCs/>
          <w:color w:val="222222"/>
          <w:sz w:val="22"/>
          <w:szCs w:val="22"/>
        </w:rPr>
      </w:pPr>
      <w:r w:rsidRPr="00040AA9">
        <w:rPr>
          <w:rFonts w:ascii="Arial" w:hAnsi="Arial" w:cs="Arial"/>
          <w:b/>
          <w:sz w:val="22"/>
          <w:szCs w:val="22"/>
        </w:rPr>
        <w:t>Specific objective</w:t>
      </w:r>
      <w:r w:rsidR="00176527" w:rsidRPr="00040AA9">
        <w:rPr>
          <w:rFonts w:ascii="Arial" w:hAnsi="Arial" w:cs="Arial"/>
          <w:b/>
          <w:sz w:val="22"/>
          <w:szCs w:val="22"/>
        </w:rPr>
        <w:t>:</w:t>
      </w:r>
      <w:r w:rsidRPr="00040AA9">
        <w:rPr>
          <w:rFonts w:ascii="Arial" w:hAnsi="Arial" w:cs="Arial"/>
          <w:b/>
          <w:sz w:val="22"/>
          <w:szCs w:val="22"/>
        </w:rPr>
        <w:t xml:space="preserve"> </w:t>
      </w:r>
      <w:r w:rsidRPr="00040AA9">
        <w:rPr>
          <w:rFonts w:ascii="Arial" w:eastAsia="Times New Roman" w:hAnsi="Arial" w:cs="Arial"/>
          <w:b/>
          <w:iCs/>
          <w:color w:val="222222"/>
          <w:sz w:val="22"/>
          <w:szCs w:val="22"/>
        </w:rPr>
        <w:t>(</w:t>
      </w:r>
      <w:proofErr w:type="spellStart"/>
      <w:r w:rsidRPr="00040AA9">
        <w:rPr>
          <w:rFonts w:ascii="Arial" w:eastAsia="Times New Roman" w:hAnsi="Arial" w:cs="Arial"/>
          <w:b/>
          <w:iCs/>
          <w:color w:val="222222"/>
          <w:sz w:val="22"/>
          <w:szCs w:val="22"/>
        </w:rPr>
        <w:t>i</w:t>
      </w:r>
      <w:proofErr w:type="spellEnd"/>
      <w:r w:rsidRPr="00040AA9">
        <w:rPr>
          <w:rFonts w:ascii="Arial" w:eastAsia="Times New Roman" w:hAnsi="Arial" w:cs="Arial"/>
          <w:b/>
          <w:iCs/>
          <w:color w:val="222222"/>
          <w:sz w:val="22"/>
          <w:szCs w:val="22"/>
        </w:rPr>
        <w:t xml:space="preserve">) </w:t>
      </w:r>
      <w:r w:rsidR="00CC1B50" w:rsidRPr="00040AA9">
        <w:rPr>
          <w:rFonts w:ascii="Arial" w:eastAsia="Times New Roman" w:hAnsi="Arial" w:cs="Arial"/>
          <w:b/>
          <w:iCs/>
          <w:color w:val="222222"/>
          <w:sz w:val="22"/>
          <w:szCs w:val="22"/>
        </w:rPr>
        <w:t>Reducing tax distortions which hinder private investment, employment and competitiveness</w:t>
      </w:r>
    </w:p>
    <w:p w14:paraId="45C06950" w14:textId="781F623D" w:rsidR="00E6026D" w:rsidRPr="00040AA9" w:rsidRDefault="00E6026D" w:rsidP="00040AA9">
      <w:pPr>
        <w:pStyle w:val="ListParagraph"/>
        <w:numPr>
          <w:ilvl w:val="0"/>
          <w:numId w:val="21"/>
        </w:numPr>
        <w:suppressAutoHyphens/>
        <w:spacing w:before="120" w:after="120"/>
        <w:ind w:left="360"/>
        <w:contextualSpacing w:val="0"/>
        <w:jc w:val="both"/>
        <w:rPr>
          <w:rFonts w:cs="Arial"/>
        </w:rPr>
      </w:pPr>
      <w:r w:rsidRPr="00040AA9">
        <w:rPr>
          <w:rFonts w:cs="Arial"/>
        </w:rPr>
        <w:t>CIT revenue reductions (</w:t>
      </w:r>
      <w:r w:rsidR="00B2052A" w:rsidRPr="00040AA9">
        <w:rPr>
          <w:rFonts w:cs="Arial"/>
        </w:rPr>
        <w:t xml:space="preserve">Outcome </w:t>
      </w:r>
      <w:r w:rsidR="001A6F79" w:rsidRPr="00040AA9">
        <w:rPr>
          <w:rFonts w:cs="Arial"/>
        </w:rPr>
        <w:t>II.</w:t>
      </w:r>
      <w:r w:rsidR="00B2052A" w:rsidRPr="00040AA9">
        <w:rPr>
          <w:rFonts w:cs="Arial"/>
        </w:rPr>
        <w:t>4</w:t>
      </w:r>
      <w:r w:rsidRPr="00040AA9">
        <w:rPr>
          <w:rFonts w:cs="Arial"/>
        </w:rPr>
        <w:t>): This is an example of an indicator that performed perversely</w:t>
      </w:r>
      <w:r w:rsidR="00F43909" w:rsidRPr="00040AA9">
        <w:rPr>
          <w:rFonts w:cs="Arial"/>
        </w:rPr>
        <w:t xml:space="preserve"> (and therefore received a 0% achievement rating)</w:t>
      </w:r>
      <w:r w:rsidRPr="00040AA9">
        <w:rPr>
          <w:rFonts w:cs="Arial"/>
        </w:rPr>
        <w:t xml:space="preserve"> but for an entirely beneficial reason. FISPEG supported the reduction of the CIT for large taxpayers</w:t>
      </w:r>
      <w:r w:rsidR="00401C2D" w:rsidRPr="00040AA9">
        <w:rPr>
          <w:rFonts w:cs="Arial"/>
        </w:rPr>
        <w:t xml:space="preserve"> (Output II.2)</w:t>
      </w:r>
      <w:r w:rsidRPr="00040AA9">
        <w:rPr>
          <w:rFonts w:cs="Arial"/>
        </w:rPr>
        <w:t xml:space="preserve"> from 33.3% to 25%,</w:t>
      </w:r>
      <w:r w:rsidRPr="00040AA9">
        <w:rPr>
          <w:rStyle w:val="FootnoteReference"/>
          <w:rFonts w:cs="Arial"/>
        </w:rPr>
        <w:footnoteReference w:id="28"/>
      </w:r>
      <w:r w:rsidRPr="00040AA9">
        <w:rPr>
          <w:rFonts w:cs="Arial"/>
        </w:rPr>
        <w:t xml:space="preserve"> and the expectation therefore was that CIT revenues would decrease. </w:t>
      </w:r>
      <w:r w:rsidR="00176527" w:rsidRPr="00040AA9">
        <w:rPr>
          <w:rFonts w:cs="Arial"/>
        </w:rPr>
        <w:t>However,</w:t>
      </w:r>
      <w:r w:rsidRPr="00040AA9">
        <w:rPr>
          <w:rFonts w:cs="Arial"/>
        </w:rPr>
        <w:t xml:space="preserve"> at the same time the parallel F</w:t>
      </w:r>
      <w:r w:rsidR="00740EE8">
        <w:rPr>
          <w:rFonts w:cs="Arial"/>
        </w:rPr>
        <w:t xml:space="preserve">AMP </w:t>
      </w:r>
      <w:r w:rsidRPr="00040AA9">
        <w:rPr>
          <w:rFonts w:cs="Arial"/>
        </w:rPr>
        <w:t xml:space="preserve">(JA-L1039) was improving the efficiency and effectiveness of tax collections in general and corporate income tax in particular. Furthermore, economic activity picked up more than expected </w:t>
      </w:r>
      <w:r w:rsidR="00A31ACC" w:rsidRPr="00040AA9">
        <w:rPr>
          <w:rFonts w:cs="Arial"/>
        </w:rPr>
        <w:t xml:space="preserve">for the affected corporations </w:t>
      </w:r>
      <w:r w:rsidRPr="00040AA9">
        <w:rPr>
          <w:rFonts w:cs="Arial"/>
        </w:rPr>
        <w:t xml:space="preserve">thus raising </w:t>
      </w:r>
      <w:r w:rsidR="00A31ACC" w:rsidRPr="00040AA9">
        <w:rPr>
          <w:rFonts w:cs="Arial"/>
        </w:rPr>
        <w:t>their</w:t>
      </w:r>
      <w:r w:rsidRPr="00040AA9">
        <w:rPr>
          <w:rFonts w:cs="Arial"/>
        </w:rPr>
        <w:t xml:space="preserve"> sales. </w:t>
      </w:r>
      <w:r w:rsidR="00A31ACC" w:rsidRPr="00040AA9">
        <w:rPr>
          <w:rFonts w:cs="Arial"/>
        </w:rPr>
        <w:t>The upshot was that</w:t>
      </w:r>
      <w:r w:rsidRPr="00040AA9">
        <w:rPr>
          <w:rFonts w:cs="Arial"/>
        </w:rPr>
        <w:t xml:space="preserve"> while CIT collections were expected to drop by JD$6,762 million they in fact increased by almost the same amount (JD$6,484</w:t>
      </w:r>
      <w:r w:rsidR="00377B27">
        <w:rPr>
          <w:rFonts w:cs="Arial"/>
        </w:rPr>
        <w:t xml:space="preserve"> </w:t>
      </w:r>
      <w:r w:rsidR="008B3B95">
        <w:rPr>
          <w:rFonts w:cs="Arial"/>
        </w:rPr>
        <w:t>m</w:t>
      </w:r>
      <w:r w:rsidR="00377B27">
        <w:rPr>
          <w:rFonts w:cs="Arial"/>
        </w:rPr>
        <w:t>illion</w:t>
      </w:r>
      <w:r w:rsidRPr="00040AA9">
        <w:rPr>
          <w:rFonts w:cs="Arial"/>
        </w:rPr>
        <w:t xml:space="preserve">), yielding the government unexpected additional revenues of over JD$13 billion. </w:t>
      </w:r>
    </w:p>
    <w:p w14:paraId="39351DAE" w14:textId="549FBC61" w:rsidR="00E6026D" w:rsidRPr="00040AA9" w:rsidRDefault="00743FC2" w:rsidP="00040AA9">
      <w:pPr>
        <w:pStyle w:val="ListParagraph"/>
        <w:numPr>
          <w:ilvl w:val="0"/>
          <w:numId w:val="21"/>
        </w:numPr>
        <w:suppressAutoHyphens/>
        <w:spacing w:before="120" w:after="120"/>
        <w:ind w:left="360"/>
        <w:contextualSpacing w:val="0"/>
        <w:jc w:val="both"/>
        <w:rPr>
          <w:rFonts w:eastAsia="Times New Roman"/>
        </w:rPr>
      </w:pPr>
      <w:r w:rsidRPr="00040AA9">
        <w:t>E</w:t>
      </w:r>
      <w:r w:rsidR="00740EE8">
        <w:t>TC</w:t>
      </w:r>
      <w:r w:rsidRPr="00040AA9">
        <w:t xml:space="preserve"> savings (</w:t>
      </w:r>
      <w:r w:rsidR="00AE1DD6" w:rsidRPr="00040AA9">
        <w:t xml:space="preserve">Outcome </w:t>
      </w:r>
      <w:r w:rsidR="000A788E" w:rsidRPr="00040AA9">
        <w:t>II.</w:t>
      </w:r>
      <w:r w:rsidR="00AE1DD6" w:rsidRPr="00040AA9">
        <w:t>5</w:t>
      </w:r>
      <w:r w:rsidRPr="00040AA9">
        <w:t>)</w:t>
      </w:r>
      <w:r w:rsidR="00786D66">
        <w:t>:</w:t>
      </w:r>
      <w:r w:rsidRPr="00040AA9">
        <w:t xml:space="preserve"> This is another indicator that exceeded expectations yielding savings in labor costs 4</w:t>
      </w:r>
      <w:r w:rsidR="0008174B" w:rsidRPr="00040AA9">
        <w:t>3% above the anticipated target-</w:t>
      </w:r>
      <w:r w:rsidRPr="00040AA9">
        <w:t>year levels. FISPEG sponsored the design and implementation of the ETC,</w:t>
      </w:r>
      <w:r w:rsidRPr="00040AA9">
        <w:rPr>
          <w:rStyle w:val="FootnoteReference"/>
          <w:rFonts w:cs="Arial"/>
        </w:rPr>
        <w:footnoteReference w:id="29"/>
      </w:r>
      <w:r w:rsidRPr="00040AA9">
        <w:t xml:space="preserve"> and as noted </w:t>
      </w:r>
      <w:r w:rsidR="0049738C" w:rsidRPr="00040AA9">
        <w:t>in</w:t>
      </w:r>
      <w:r w:rsidRPr="00040AA9">
        <w:t xml:space="preserve"> the Jamaica Tax Reform Assessment</w:t>
      </w:r>
      <w:r w:rsidR="00740EE8">
        <w:t>,</w:t>
      </w:r>
      <w:r w:rsidRPr="00040AA9">
        <w:t xml:space="preserve"> the ETC has had a positive impact on formal sector employment as indicated by the sharp rise in the number of active employees paying NIS contributions on a monthly basis. It does this by “…</w:t>
      </w:r>
      <w:r w:rsidRPr="00040AA9">
        <w:rPr>
          <w:rFonts w:eastAsia="Times New Roman"/>
        </w:rPr>
        <w:t xml:space="preserve">granting a tax credit proportional to the employers’ contributions NIS and other </w:t>
      </w:r>
      <w:r w:rsidR="00F43909" w:rsidRPr="00040AA9">
        <w:rPr>
          <w:rFonts w:eastAsia="Times New Roman"/>
        </w:rPr>
        <w:t>payroll related taxes (E</w:t>
      </w:r>
      <w:r w:rsidR="00740EE8">
        <w:rPr>
          <w:rFonts w:eastAsia="Times New Roman"/>
        </w:rPr>
        <w:t>TC</w:t>
      </w:r>
      <w:r w:rsidR="00F43909" w:rsidRPr="00040AA9">
        <w:rPr>
          <w:rFonts w:eastAsia="Times New Roman"/>
        </w:rPr>
        <w:t>) and by granting tax credit for capital investments.”</w:t>
      </w:r>
      <w:r w:rsidR="00F43909" w:rsidRPr="00040AA9">
        <w:rPr>
          <w:rStyle w:val="FootnoteReference"/>
          <w:rFonts w:eastAsia="Times New Roman" w:cs="Arial"/>
        </w:rPr>
        <w:footnoteReference w:id="30"/>
      </w:r>
    </w:p>
    <w:p w14:paraId="33E8D5E2" w14:textId="5AC88104" w:rsidR="00B2052A" w:rsidRPr="00040AA9" w:rsidRDefault="00AE1DD6" w:rsidP="00040AA9">
      <w:pPr>
        <w:pStyle w:val="p1"/>
        <w:numPr>
          <w:ilvl w:val="0"/>
          <w:numId w:val="21"/>
        </w:numPr>
        <w:suppressAutoHyphens/>
        <w:spacing w:before="120" w:after="120"/>
        <w:ind w:left="360"/>
        <w:jc w:val="both"/>
        <w:rPr>
          <w:rFonts w:ascii="Arial" w:eastAsia="Times New Roman" w:hAnsi="Arial" w:cs="Arial"/>
          <w:sz w:val="22"/>
          <w:szCs w:val="22"/>
        </w:rPr>
      </w:pPr>
      <w:r w:rsidRPr="00040AA9">
        <w:rPr>
          <w:rFonts w:ascii="Arial" w:hAnsi="Arial" w:cs="Arial"/>
          <w:sz w:val="22"/>
          <w:szCs w:val="22"/>
        </w:rPr>
        <w:t>Decrease the ratio between tax expenditures and the GDP (tax distortion)</w:t>
      </w:r>
      <w:r w:rsidRPr="00040AA9">
        <w:rPr>
          <w:rFonts w:ascii="Arial" w:hAnsi="Arial" w:cs="Arial"/>
          <w:b/>
          <w:sz w:val="22"/>
          <w:szCs w:val="22"/>
        </w:rPr>
        <w:t xml:space="preserve"> </w:t>
      </w:r>
      <w:r w:rsidRPr="00040AA9">
        <w:rPr>
          <w:rFonts w:ascii="Arial" w:hAnsi="Arial" w:cs="Arial"/>
          <w:sz w:val="22"/>
          <w:szCs w:val="22"/>
        </w:rPr>
        <w:t xml:space="preserve">(Outcome </w:t>
      </w:r>
      <w:r w:rsidR="00DA6A59" w:rsidRPr="00040AA9">
        <w:rPr>
          <w:rFonts w:ascii="Arial" w:hAnsi="Arial" w:cs="Arial"/>
          <w:sz w:val="22"/>
          <w:szCs w:val="22"/>
        </w:rPr>
        <w:t>II.</w:t>
      </w:r>
      <w:r w:rsidRPr="00040AA9">
        <w:rPr>
          <w:rFonts w:ascii="Arial" w:hAnsi="Arial" w:cs="Arial"/>
          <w:sz w:val="22"/>
          <w:szCs w:val="22"/>
        </w:rPr>
        <w:t>11)</w:t>
      </w:r>
      <w:r w:rsidR="00786D66">
        <w:rPr>
          <w:rFonts w:ascii="Arial" w:hAnsi="Arial" w:cs="Arial"/>
          <w:sz w:val="22"/>
          <w:szCs w:val="22"/>
        </w:rPr>
        <w:t>:</w:t>
      </w:r>
      <w:r w:rsidRPr="00040AA9">
        <w:rPr>
          <w:rFonts w:ascii="Arial" w:hAnsi="Arial" w:cs="Arial"/>
          <w:sz w:val="22"/>
          <w:szCs w:val="22"/>
        </w:rPr>
        <w:t xml:space="preserve"> Reduction in subsidies for special interests in the form of tax breaks has been one of the most controversial and challenging of objectives for tax reform in Jamaica. The issue was first addressed by the FCP series of PBLs in which the project team “…gained a greater appreciation for the complex role discretionary and statutory waivers have traditionally played in the Jamaican tax code and tax administration. The waivers were found to be the result not only of pressures from </w:t>
      </w:r>
      <w:r w:rsidR="00740EE8" w:rsidRPr="00CF5903">
        <w:rPr>
          <w:rFonts w:ascii="Arial" w:hAnsi="Arial" w:cs="Arial"/>
          <w:sz w:val="22"/>
          <w:szCs w:val="22"/>
        </w:rPr>
        <w:t>well</w:t>
      </w:r>
      <w:r w:rsidR="00740EE8">
        <w:rPr>
          <w:rFonts w:ascii="Arial" w:hAnsi="Arial" w:cs="Arial"/>
          <w:sz w:val="22"/>
          <w:szCs w:val="22"/>
        </w:rPr>
        <w:t>-</w:t>
      </w:r>
      <w:r w:rsidR="00740EE8" w:rsidRPr="00CF5903">
        <w:rPr>
          <w:rFonts w:ascii="Arial" w:hAnsi="Arial" w:cs="Arial"/>
          <w:sz w:val="22"/>
          <w:szCs w:val="22"/>
        </w:rPr>
        <w:t>placed</w:t>
      </w:r>
      <w:r w:rsidRPr="00040AA9">
        <w:rPr>
          <w:rFonts w:ascii="Arial" w:hAnsi="Arial" w:cs="Arial"/>
          <w:sz w:val="22"/>
          <w:szCs w:val="22"/>
        </w:rPr>
        <w:t xml:space="preserve"> interest groups but also the logical, even existential response on the part of many businesses to the extremely high tariff rates imposed on imports essential to their operations.”</w:t>
      </w:r>
      <w:r w:rsidRPr="00040AA9">
        <w:rPr>
          <w:rStyle w:val="FootnoteReference"/>
          <w:rFonts w:ascii="Arial" w:hAnsi="Arial" w:cs="Arial"/>
          <w:sz w:val="22"/>
          <w:szCs w:val="22"/>
        </w:rPr>
        <w:footnoteReference w:id="31"/>
      </w:r>
      <w:r w:rsidRPr="00040AA9">
        <w:rPr>
          <w:rFonts w:ascii="Arial" w:hAnsi="Arial" w:cs="Arial"/>
          <w:sz w:val="22"/>
          <w:szCs w:val="22"/>
        </w:rPr>
        <w:t xml:space="preserve"> The initial measures in 2010 to impose a freeze on most discretionary waivers faltered and it was agreed enforcement would be postponed</w:t>
      </w:r>
      <w:r w:rsidR="00377B27">
        <w:rPr>
          <w:rFonts w:ascii="Arial" w:hAnsi="Arial" w:cs="Arial"/>
          <w:sz w:val="22"/>
          <w:szCs w:val="22"/>
        </w:rPr>
        <w:t>,</w:t>
      </w:r>
      <w:r w:rsidRPr="00040AA9">
        <w:rPr>
          <w:rFonts w:ascii="Arial" w:hAnsi="Arial" w:cs="Arial"/>
          <w:sz w:val="22"/>
          <w:szCs w:val="22"/>
        </w:rPr>
        <w:t xml:space="preserve"> and a detailed legal and economic analysis needed to be carried out before a long-term waiver policy could be established. As noted in the FCP </w:t>
      </w:r>
      <w:r w:rsidR="00176527" w:rsidRPr="00CF5903">
        <w:rPr>
          <w:rFonts w:ascii="Arial" w:hAnsi="Arial" w:cs="Arial"/>
          <w:sz w:val="22"/>
          <w:szCs w:val="22"/>
        </w:rPr>
        <w:t>PCR “</w:t>
      </w:r>
      <w:r w:rsidRPr="00040AA9">
        <w:rPr>
          <w:rFonts w:ascii="Arial" w:hAnsi="Arial" w:cs="Arial"/>
          <w:sz w:val="22"/>
          <w:szCs w:val="22"/>
        </w:rPr>
        <w:t xml:space="preserve">During the first quarter of 2011 the Bank and </w:t>
      </w:r>
      <w:proofErr w:type="spellStart"/>
      <w:r w:rsidRPr="00040AA9">
        <w:rPr>
          <w:rFonts w:ascii="Arial" w:hAnsi="Arial" w:cs="Arial"/>
          <w:sz w:val="22"/>
          <w:szCs w:val="22"/>
        </w:rPr>
        <w:t>GoJ</w:t>
      </w:r>
      <w:proofErr w:type="spellEnd"/>
      <w:r w:rsidRPr="00040AA9">
        <w:rPr>
          <w:rFonts w:ascii="Arial" w:hAnsi="Arial" w:cs="Arial"/>
          <w:sz w:val="22"/>
          <w:szCs w:val="22"/>
        </w:rPr>
        <w:t xml:space="preserve"> actively engaged in tax policy discussions, culminating in the project team’s presentation to Cabinet and the Partnership for Transformation of a formal tax reform proposal and a</w:t>
      </w:r>
      <w:r w:rsidR="00740EE8">
        <w:rPr>
          <w:rFonts w:ascii="Arial" w:hAnsi="Arial" w:cs="Arial"/>
          <w:sz w:val="22"/>
          <w:szCs w:val="22"/>
        </w:rPr>
        <w:t xml:space="preserve"> </w:t>
      </w:r>
      <w:r w:rsidRPr="00040AA9">
        <w:rPr>
          <w:rFonts w:ascii="Arial" w:hAnsi="Arial" w:cs="Arial"/>
          <w:sz w:val="22"/>
          <w:szCs w:val="22"/>
        </w:rPr>
        <w:t>follow</w:t>
      </w:r>
      <w:r w:rsidR="00740EE8">
        <w:rPr>
          <w:rFonts w:ascii="Arial" w:hAnsi="Arial" w:cs="Arial"/>
          <w:sz w:val="22"/>
          <w:szCs w:val="22"/>
        </w:rPr>
        <w:noBreakHyphen/>
      </w:r>
      <w:r w:rsidRPr="00040AA9">
        <w:rPr>
          <w:rFonts w:ascii="Arial" w:hAnsi="Arial" w:cs="Arial"/>
          <w:sz w:val="22"/>
          <w:szCs w:val="22"/>
        </w:rPr>
        <w:t xml:space="preserve">up letter from the team leader to the </w:t>
      </w:r>
      <w:r w:rsidR="00740EE8">
        <w:rPr>
          <w:rFonts w:ascii="Arial" w:hAnsi="Arial" w:cs="Arial"/>
          <w:sz w:val="22"/>
          <w:szCs w:val="22"/>
        </w:rPr>
        <w:t>Financial Secretary (</w:t>
      </w:r>
      <w:r w:rsidRPr="00040AA9">
        <w:rPr>
          <w:rFonts w:ascii="Arial" w:hAnsi="Arial" w:cs="Arial"/>
          <w:sz w:val="22"/>
          <w:szCs w:val="22"/>
        </w:rPr>
        <w:t>FS</w:t>
      </w:r>
      <w:r w:rsidR="00740EE8">
        <w:rPr>
          <w:rFonts w:ascii="Arial" w:hAnsi="Arial" w:cs="Arial"/>
          <w:sz w:val="22"/>
          <w:szCs w:val="22"/>
        </w:rPr>
        <w:t>)</w:t>
      </w:r>
      <w:r w:rsidRPr="00040AA9">
        <w:rPr>
          <w:rFonts w:ascii="Arial" w:hAnsi="Arial" w:cs="Arial"/>
          <w:sz w:val="22"/>
          <w:szCs w:val="22"/>
        </w:rPr>
        <w:t xml:space="preserve"> recommending a </w:t>
      </w:r>
      <w:r w:rsidR="00176527" w:rsidRPr="00CF5903">
        <w:rPr>
          <w:rFonts w:ascii="Arial" w:hAnsi="Arial" w:cs="Arial"/>
          <w:sz w:val="22"/>
          <w:szCs w:val="22"/>
        </w:rPr>
        <w:t>three</w:t>
      </w:r>
      <w:r w:rsidR="00740EE8">
        <w:rPr>
          <w:rFonts w:ascii="Arial" w:hAnsi="Arial" w:cs="Arial"/>
          <w:sz w:val="22"/>
          <w:szCs w:val="22"/>
        </w:rPr>
        <w:noBreakHyphen/>
      </w:r>
      <w:r w:rsidR="00176527" w:rsidRPr="00CF5903">
        <w:rPr>
          <w:rFonts w:ascii="Arial" w:hAnsi="Arial" w:cs="Arial"/>
          <w:sz w:val="22"/>
          <w:szCs w:val="22"/>
        </w:rPr>
        <w:t>stage</w:t>
      </w:r>
      <w:r w:rsidRPr="00040AA9">
        <w:rPr>
          <w:rFonts w:ascii="Arial" w:hAnsi="Arial" w:cs="Arial"/>
          <w:sz w:val="22"/>
          <w:szCs w:val="22"/>
        </w:rPr>
        <w:t xml:space="preserve"> approach to tax reform: (</w:t>
      </w:r>
      <w:proofErr w:type="spellStart"/>
      <w:r w:rsidRPr="00040AA9">
        <w:rPr>
          <w:rFonts w:ascii="Arial" w:hAnsi="Arial" w:cs="Arial"/>
          <w:sz w:val="22"/>
          <w:szCs w:val="22"/>
        </w:rPr>
        <w:t>i</w:t>
      </w:r>
      <w:proofErr w:type="spellEnd"/>
      <w:r w:rsidRPr="00040AA9">
        <w:rPr>
          <w:rFonts w:ascii="Arial" w:hAnsi="Arial" w:cs="Arial"/>
          <w:sz w:val="22"/>
          <w:szCs w:val="22"/>
        </w:rPr>
        <w:t>) tariffs and GCT</w:t>
      </w:r>
      <w:r w:rsidR="00740EE8">
        <w:rPr>
          <w:rFonts w:ascii="Arial" w:hAnsi="Arial" w:cs="Arial"/>
          <w:sz w:val="22"/>
          <w:szCs w:val="22"/>
        </w:rPr>
        <w:t>;</w:t>
      </w:r>
      <w:r w:rsidRPr="00040AA9">
        <w:rPr>
          <w:rFonts w:ascii="Arial" w:hAnsi="Arial" w:cs="Arial"/>
          <w:sz w:val="22"/>
          <w:szCs w:val="22"/>
        </w:rPr>
        <w:t xml:space="preserve"> (ii) C</w:t>
      </w:r>
      <w:r w:rsidR="004013FB">
        <w:rPr>
          <w:rFonts w:ascii="Arial" w:hAnsi="Arial" w:cs="Arial"/>
          <w:sz w:val="22"/>
          <w:szCs w:val="22"/>
        </w:rPr>
        <w:t xml:space="preserve">IT </w:t>
      </w:r>
      <w:r w:rsidRPr="00040AA9">
        <w:rPr>
          <w:rFonts w:ascii="Arial" w:hAnsi="Arial" w:cs="Arial"/>
          <w:sz w:val="22"/>
          <w:szCs w:val="22"/>
        </w:rPr>
        <w:t>and P</w:t>
      </w:r>
      <w:r w:rsidR="004013FB">
        <w:rPr>
          <w:rFonts w:ascii="Arial" w:hAnsi="Arial" w:cs="Arial"/>
          <w:sz w:val="22"/>
          <w:szCs w:val="22"/>
        </w:rPr>
        <w:t>IT; and</w:t>
      </w:r>
      <w:r w:rsidRPr="00040AA9">
        <w:rPr>
          <w:rFonts w:ascii="Arial" w:hAnsi="Arial" w:cs="Arial"/>
          <w:sz w:val="22"/>
          <w:szCs w:val="22"/>
        </w:rPr>
        <w:t xml:space="preserve"> (iii) payroll</w:t>
      </w:r>
      <w:r w:rsidR="005221F7" w:rsidRPr="00040AA9">
        <w:rPr>
          <w:rFonts w:ascii="Arial" w:hAnsi="Arial" w:cs="Arial"/>
          <w:sz w:val="22"/>
          <w:szCs w:val="22"/>
        </w:rPr>
        <w:t xml:space="preserve"> </w:t>
      </w:r>
      <w:r w:rsidRPr="00040AA9">
        <w:rPr>
          <w:rFonts w:ascii="Arial" w:hAnsi="Arial" w:cs="Arial"/>
          <w:sz w:val="22"/>
          <w:szCs w:val="22"/>
        </w:rPr>
        <w:t xml:space="preserve">tax. The team offered substantial technical assistance to implement the first stage during </w:t>
      </w:r>
      <w:r w:rsidR="00800B2A">
        <w:rPr>
          <w:rFonts w:ascii="Arial" w:hAnsi="Arial" w:cs="Arial"/>
          <w:sz w:val="22"/>
          <w:szCs w:val="22"/>
        </w:rPr>
        <w:t>FY </w:t>
      </w:r>
      <w:r w:rsidRPr="00040AA9">
        <w:rPr>
          <w:rFonts w:ascii="Arial" w:hAnsi="Arial" w:cs="Arial"/>
          <w:sz w:val="22"/>
          <w:szCs w:val="22"/>
        </w:rPr>
        <w:t>2011/12.”</w:t>
      </w:r>
      <w:r w:rsidRPr="00040AA9">
        <w:rPr>
          <w:rStyle w:val="FootnoteReference"/>
          <w:rFonts w:ascii="Arial" w:hAnsi="Arial" w:cs="Arial"/>
          <w:sz w:val="22"/>
          <w:szCs w:val="22"/>
        </w:rPr>
        <w:footnoteReference w:id="32"/>
      </w:r>
      <w:r w:rsidRPr="00040AA9">
        <w:rPr>
          <w:rFonts w:ascii="Arial" w:hAnsi="Arial" w:cs="Arial"/>
          <w:sz w:val="22"/>
          <w:szCs w:val="22"/>
        </w:rPr>
        <w:t xml:space="preserve"> This ultimately led to the issuance of a </w:t>
      </w:r>
      <w:r w:rsidR="004013FB">
        <w:rPr>
          <w:rFonts w:ascii="Arial" w:hAnsi="Arial" w:cs="Arial"/>
          <w:sz w:val="22"/>
          <w:szCs w:val="22"/>
        </w:rPr>
        <w:t>g</w:t>
      </w:r>
      <w:r w:rsidRPr="00040AA9">
        <w:rPr>
          <w:rFonts w:ascii="Arial" w:hAnsi="Arial" w:cs="Arial"/>
          <w:sz w:val="22"/>
          <w:szCs w:val="22"/>
        </w:rPr>
        <w:t xml:space="preserve">reen </w:t>
      </w:r>
      <w:r w:rsidR="004013FB">
        <w:rPr>
          <w:rFonts w:ascii="Arial" w:hAnsi="Arial" w:cs="Arial"/>
          <w:sz w:val="22"/>
          <w:szCs w:val="22"/>
        </w:rPr>
        <w:t>p</w:t>
      </w:r>
      <w:r w:rsidRPr="00040AA9">
        <w:rPr>
          <w:rFonts w:ascii="Arial" w:hAnsi="Arial" w:cs="Arial"/>
          <w:sz w:val="22"/>
          <w:szCs w:val="22"/>
        </w:rPr>
        <w:t xml:space="preserve">aper (No 1-2011) followed by a report on the </w:t>
      </w:r>
      <w:r w:rsidR="004013FB">
        <w:rPr>
          <w:rFonts w:ascii="Arial" w:hAnsi="Arial" w:cs="Arial"/>
          <w:sz w:val="22"/>
          <w:szCs w:val="22"/>
        </w:rPr>
        <w:t>g</w:t>
      </w:r>
      <w:r w:rsidRPr="00040AA9">
        <w:rPr>
          <w:rFonts w:ascii="Arial" w:hAnsi="Arial" w:cs="Arial"/>
          <w:sz w:val="22"/>
          <w:szCs w:val="22"/>
        </w:rPr>
        <w:t xml:space="preserve">reen </w:t>
      </w:r>
      <w:r w:rsidR="004013FB">
        <w:rPr>
          <w:rFonts w:ascii="Arial" w:hAnsi="Arial" w:cs="Arial"/>
          <w:sz w:val="22"/>
          <w:szCs w:val="22"/>
        </w:rPr>
        <w:t>p</w:t>
      </w:r>
      <w:r w:rsidRPr="00040AA9">
        <w:rPr>
          <w:rFonts w:ascii="Arial" w:hAnsi="Arial" w:cs="Arial"/>
          <w:sz w:val="22"/>
          <w:szCs w:val="22"/>
        </w:rPr>
        <w:t xml:space="preserve">aper by a select committee of </w:t>
      </w:r>
      <w:r w:rsidR="00377B27">
        <w:rPr>
          <w:rFonts w:ascii="Arial" w:hAnsi="Arial" w:cs="Arial"/>
          <w:sz w:val="22"/>
          <w:szCs w:val="22"/>
        </w:rPr>
        <w:t>P</w:t>
      </w:r>
      <w:r w:rsidRPr="00040AA9">
        <w:rPr>
          <w:rFonts w:ascii="Arial" w:hAnsi="Arial" w:cs="Arial"/>
          <w:sz w:val="22"/>
          <w:szCs w:val="22"/>
        </w:rPr>
        <w:t>arliament which in turn set the stage for the tax-expenditure initiatives sponsored by FISPEG, notably the elimination of the granting of new categories of ministerial discretionary waivers</w:t>
      </w:r>
      <w:r w:rsidR="0096423A" w:rsidRPr="00040AA9">
        <w:rPr>
          <w:rFonts w:ascii="Arial" w:hAnsi="Arial" w:cs="Arial"/>
          <w:sz w:val="22"/>
          <w:szCs w:val="22"/>
        </w:rPr>
        <w:t>,</w:t>
      </w:r>
      <w:r w:rsidRPr="00040AA9">
        <w:rPr>
          <w:rStyle w:val="FootnoteReference"/>
          <w:rFonts w:ascii="Arial" w:hAnsi="Arial" w:cs="Arial"/>
          <w:sz w:val="22"/>
          <w:szCs w:val="22"/>
        </w:rPr>
        <w:footnoteReference w:id="33"/>
      </w:r>
      <w:r w:rsidR="0096423A" w:rsidRPr="00040AA9">
        <w:rPr>
          <w:rFonts w:ascii="Arial" w:hAnsi="Arial" w:cs="Arial"/>
          <w:sz w:val="22"/>
          <w:szCs w:val="22"/>
        </w:rPr>
        <w:t xml:space="preserve"> which dropped from 2.4%</w:t>
      </w:r>
      <w:r w:rsidR="000C2DED" w:rsidRPr="00040AA9">
        <w:rPr>
          <w:rFonts w:ascii="Arial" w:hAnsi="Arial" w:cs="Arial"/>
          <w:sz w:val="22"/>
          <w:szCs w:val="22"/>
        </w:rPr>
        <w:t xml:space="preserve"> </w:t>
      </w:r>
      <w:r w:rsidR="0096423A" w:rsidRPr="00040AA9">
        <w:rPr>
          <w:rFonts w:ascii="Arial" w:hAnsi="Arial" w:cs="Arial"/>
          <w:sz w:val="22"/>
          <w:szCs w:val="22"/>
        </w:rPr>
        <w:t xml:space="preserve">of GDP in </w:t>
      </w:r>
      <w:r w:rsidR="000C2DED" w:rsidRPr="00040AA9">
        <w:rPr>
          <w:rFonts w:ascii="Arial" w:hAnsi="Arial" w:cs="Arial"/>
          <w:sz w:val="22"/>
          <w:szCs w:val="22"/>
        </w:rPr>
        <w:t xml:space="preserve">2006 to 0.4% in 2013, but have </w:t>
      </w:r>
      <w:r w:rsidR="007E1D6D" w:rsidRPr="00040AA9">
        <w:rPr>
          <w:rFonts w:ascii="Arial" w:hAnsi="Arial" w:cs="Arial"/>
          <w:sz w:val="22"/>
          <w:szCs w:val="22"/>
        </w:rPr>
        <w:t xml:space="preserve">subsequently </w:t>
      </w:r>
      <w:r w:rsidR="00CE265A" w:rsidRPr="00040AA9">
        <w:rPr>
          <w:rFonts w:ascii="Arial" w:hAnsi="Arial" w:cs="Arial"/>
          <w:sz w:val="22"/>
          <w:szCs w:val="22"/>
        </w:rPr>
        <w:t>crept back up to approximately 0.9%</w:t>
      </w:r>
      <w:r w:rsidR="007E1D6D" w:rsidRPr="00040AA9">
        <w:rPr>
          <w:rFonts w:ascii="Arial" w:hAnsi="Arial" w:cs="Arial"/>
          <w:sz w:val="22"/>
          <w:szCs w:val="22"/>
        </w:rPr>
        <w:t xml:space="preserve"> due to waivers granted on </w:t>
      </w:r>
      <w:r w:rsidR="004013FB">
        <w:rPr>
          <w:rFonts w:ascii="Arial" w:hAnsi="Arial" w:cs="Arial"/>
          <w:sz w:val="22"/>
          <w:szCs w:val="22"/>
        </w:rPr>
        <w:t>i</w:t>
      </w:r>
      <w:r w:rsidR="007E1D6D" w:rsidRPr="00040AA9">
        <w:rPr>
          <w:rFonts w:ascii="Arial" w:hAnsi="Arial" w:cs="Arial"/>
          <w:sz w:val="22"/>
          <w:szCs w:val="22"/>
        </w:rPr>
        <w:t xml:space="preserve">mport </w:t>
      </w:r>
      <w:r w:rsidR="004013FB">
        <w:rPr>
          <w:rFonts w:ascii="Arial" w:hAnsi="Arial" w:cs="Arial"/>
          <w:sz w:val="22"/>
          <w:szCs w:val="22"/>
        </w:rPr>
        <w:t>d</w:t>
      </w:r>
      <w:r w:rsidR="007E1D6D" w:rsidRPr="00040AA9">
        <w:rPr>
          <w:rFonts w:ascii="Arial" w:hAnsi="Arial" w:cs="Arial"/>
          <w:sz w:val="22"/>
          <w:szCs w:val="22"/>
        </w:rPr>
        <w:t xml:space="preserve">uties and </w:t>
      </w:r>
      <w:r w:rsidR="00617E27" w:rsidRPr="00040AA9">
        <w:rPr>
          <w:rFonts w:ascii="Arial" w:hAnsi="Arial" w:cs="Arial"/>
          <w:sz w:val="22"/>
          <w:szCs w:val="22"/>
        </w:rPr>
        <w:t xml:space="preserve">the </w:t>
      </w:r>
      <w:r w:rsidR="001C5D02">
        <w:rPr>
          <w:rFonts w:ascii="Arial" w:eastAsia="Times New Roman" w:hAnsi="Arial" w:cs="Arial"/>
          <w:sz w:val="22"/>
          <w:szCs w:val="22"/>
        </w:rPr>
        <w:t>Special Consumption Tax</w:t>
      </w:r>
      <w:r w:rsidR="001C5D02" w:rsidRPr="00040AA9">
        <w:rPr>
          <w:rFonts w:ascii="Arial" w:eastAsia="Times New Roman" w:hAnsi="Arial" w:cs="Arial"/>
          <w:sz w:val="22"/>
          <w:szCs w:val="22"/>
        </w:rPr>
        <w:t xml:space="preserve"> </w:t>
      </w:r>
      <w:r w:rsidR="001C5D02">
        <w:rPr>
          <w:rFonts w:ascii="Arial" w:eastAsia="Times New Roman" w:hAnsi="Arial" w:cs="Arial"/>
          <w:sz w:val="22"/>
          <w:szCs w:val="22"/>
        </w:rPr>
        <w:t>(</w:t>
      </w:r>
      <w:r w:rsidR="00617E27" w:rsidRPr="003606E2">
        <w:rPr>
          <w:rFonts w:ascii="Arial" w:hAnsi="Arial" w:cs="Arial"/>
          <w:sz w:val="22"/>
          <w:szCs w:val="22"/>
        </w:rPr>
        <w:t>SCT</w:t>
      </w:r>
      <w:r w:rsidR="001C5D02">
        <w:rPr>
          <w:rFonts w:ascii="Arial" w:hAnsi="Arial" w:cs="Arial"/>
          <w:sz w:val="22"/>
          <w:szCs w:val="22"/>
        </w:rPr>
        <w:t>)</w:t>
      </w:r>
      <w:r w:rsidR="00617E27" w:rsidRPr="00040AA9">
        <w:rPr>
          <w:rFonts w:ascii="Arial" w:hAnsi="Arial" w:cs="Arial"/>
          <w:sz w:val="22"/>
          <w:szCs w:val="22"/>
        </w:rPr>
        <w:t xml:space="preserve"> on fuel products.</w:t>
      </w:r>
      <w:r w:rsidR="00617E27" w:rsidRPr="00040AA9">
        <w:rPr>
          <w:rStyle w:val="FootnoteReference"/>
          <w:rFonts w:ascii="Arial" w:hAnsi="Arial" w:cs="Arial"/>
          <w:sz w:val="22"/>
          <w:szCs w:val="22"/>
        </w:rPr>
        <w:footnoteReference w:id="34"/>
      </w:r>
      <w:r w:rsidR="007E1D6D" w:rsidRPr="00040AA9">
        <w:rPr>
          <w:rFonts w:ascii="Arial" w:hAnsi="Arial" w:cs="Arial"/>
          <w:sz w:val="22"/>
          <w:szCs w:val="22"/>
        </w:rPr>
        <w:t xml:space="preserve"> </w:t>
      </w:r>
    </w:p>
    <w:p w14:paraId="704D2D20" w14:textId="47A0C628" w:rsidR="00170C3A" w:rsidRPr="00040AA9" w:rsidRDefault="00170C3A" w:rsidP="00040AA9">
      <w:pPr>
        <w:suppressAutoHyphens/>
        <w:spacing w:before="120" w:after="120"/>
        <w:jc w:val="both"/>
        <w:rPr>
          <w:rFonts w:ascii="Arial" w:hAnsi="Arial" w:cs="Arial"/>
          <w:b/>
          <w:sz w:val="22"/>
          <w:szCs w:val="22"/>
        </w:rPr>
      </w:pPr>
      <w:r w:rsidRPr="00040AA9">
        <w:rPr>
          <w:rFonts w:ascii="Arial" w:hAnsi="Arial" w:cs="Arial"/>
          <w:b/>
          <w:sz w:val="22"/>
          <w:szCs w:val="22"/>
        </w:rPr>
        <w:t>Specific objective</w:t>
      </w:r>
      <w:r w:rsidR="00176527">
        <w:rPr>
          <w:rFonts w:ascii="Arial" w:hAnsi="Arial" w:cs="Arial"/>
          <w:b/>
          <w:sz w:val="22"/>
          <w:szCs w:val="22"/>
        </w:rPr>
        <w:t>:</w:t>
      </w:r>
      <w:r w:rsidRPr="00040AA9">
        <w:rPr>
          <w:rFonts w:ascii="Arial" w:hAnsi="Arial" w:cs="Arial"/>
          <w:b/>
          <w:sz w:val="22"/>
          <w:szCs w:val="22"/>
        </w:rPr>
        <w:t xml:space="preserve"> </w:t>
      </w:r>
      <w:r w:rsidRPr="00040AA9">
        <w:rPr>
          <w:rFonts w:ascii="Arial" w:eastAsia="Times New Roman" w:hAnsi="Arial" w:cs="Arial"/>
          <w:b/>
          <w:iCs/>
          <w:color w:val="222222"/>
          <w:sz w:val="22"/>
          <w:szCs w:val="22"/>
        </w:rPr>
        <w:t>(ii</w:t>
      </w:r>
      <w:r w:rsidR="00176527" w:rsidRPr="00176527">
        <w:rPr>
          <w:rFonts w:ascii="Arial" w:eastAsia="Times New Roman" w:hAnsi="Arial" w:cs="Arial"/>
          <w:b/>
          <w:iCs/>
          <w:color w:val="222222"/>
          <w:sz w:val="22"/>
          <w:szCs w:val="22"/>
        </w:rPr>
        <w:t>) Strengthening</w:t>
      </w:r>
      <w:r w:rsidRPr="00040AA9">
        <w:rPr>
          <w:rFonts w:ascii="Arial" w:hAnsi="Arial" w:cs="Arial"/>
          <w:b/>
          <w:sz w:val="22"/>
          <w:szCs w:val="22"/>
        </w:rPr>
        <w:t xml:space="preserve"> revenue collection through broadening tax bases and reducing tax rates</w:t>
      </w:r>
    </w:p>
    <w:p w14:paraId="4E8798DC" w14:textId="7B3E6459" w:rsidR="009C34DF" w:rsidRPr="00040AA9" w:rsidRDefault="0010609A" w:rsidP="00040AA9">
      <w:pPr>
        <w:suppressAutoHyphens/>
        <w:spacing w:before="120" w:after="120"/>
        <w:ind w:left="360" w:hanging="360"/>
        <w:jc w:val="both"/>
        <w:rPr>
          <w:rFonts w:ascii="Arial" w:hAnsi="Arial" w:cs="Arial"/>
          <w:sz w:val="22"/>
          <w:szCs w:val="22"/>
        </w:rPr>
      </w:pPr>
      <w:r w:rsidRPr="00040AA9">
        <w:rPr>
          <w:rFonts w:ascii="Arial" w:hAnsi="Arial" w:cs="Arial"/>
          <w:sz w:val="22"/>
          <w:szCs w:val="22"/>
        </w:rPr>
        <w:t>a.</w:t>
      </w:r>
      <w:r w:rsidR="006B4DAC" w:rsidRPr="00040AA9">
        <w:rPr>
          <w:rFonts w:ascii="Arial" w:hAnsi="Arial" w:cs="Arial"/>
          <w:sz w:val="22"/>
          <w:szCs w:val="22"/>
        </w:rPr>
        <w:t xml:space="preserve"> </w:t>
      </w:r>
      <w:r w:rsidR="00176527">
        <w:rPr>
          <w:rFonts w:ascii="Arial" w:hAnsi="Arial" w:cs="Arial"/>
          <w:sz w:val="22"/>
          <w:szCs w:val="22"/>
        </w:rPr>
        <w:tab/>
      </w:r>
      <w:r w:rsidR="001E5C3E" w:rsidRPr="00040AA9">
        <w:rPr>
          <w:rFonts w:ascii="Arial" w:hAnsi="Arial" w:cs="Arial"/>
          <w:sz w:val="22"/>
          <w:szCs w:val="22"/>
        </w:rPr>
        <w:t>Tax revenue as a percent of GDP (</w:t>
      </w:r>
      <w:r w:rsidR="00441C94" w:rsidRPr="00040AA9">
        <w:rPr>
          <w:rFonts w:ascii="Arial" w:hAnsi="Arial" w:cs="Arial"/>
          <w:sz w:val="22"/>
          <w:szCs w:val="22"/>
        </w:rPr>
        <w:t xml:space="preserve">Outcome </w:t>
      </w:r>
      <w:r w:rsidR="00E2791E" w:rsidRPr="00040AA9">
        <w:rPr>
          <w:rFonts w:ascii="Arial" w:hAnsi="Arial" w:cs="Arial"/>
          <w:sz w:val="22"/>
          <w:szCs w:val="22"/>
        </w:rPr>
        <w:t>II.</w:t>
      </w:r>
      <w:r w:rsidR="001E5C3E" w:rsidRPr="00040AA9">
        <w:rPr>
          <w:rFonts w:ascii="Arial" w:hAnsi="Arial" w:cs="Arial"/>
          <w:sz w:val="22"/>
          <w:szCs w:val="22"/>
        </w:rPr>
        <w:t>1)</w:t>
      </w:r>
      <w:r w:rsidR="00786D66">
        <w:rPr>
          <w:rFonts w:ascii="Arial" w:hAnsi="Arial" w:cs="Arial"/>
          <w:sz w:val="22"/>
          <w:szCs w:val="22"/>
        </w:rPr>
        <w:t>:</w:t>
      </w:r>
      <w:r w:rsidR="001E5C3E" w:rsidRPr="00040AA9">
        <w:rPr>
          <w:rFonts w:ascii="Arial" w:hAnsi="Arial" w:cs="Arial"/>
          <w:sz w:val="22"/>
          <w:szCs w:val="22"/>
        </w:rPr>
        <w:t xml:space="preserve"> </w:t>
      </w:r>
      <w:r w:rsidR="007864DA">
        <w:rPr>
          <w:rFonts w:ascii="Arial" w:hAnsi="Arial" w:cs="Arial"/>
          <w:sz w:val="22"/>
          <w:szCs w:val="22"/>
        </w:rPr>
        <w:t xml:space="preserve">This </w:t>
      </w:r>
      <w:r w:rsidR="001E5C3E" w:rsidRPr="00040AA9">
        <w:rPr>
          <w:rFonts w:ascii="Arial" w:hAnsi="Arial" w:cs="Arial"/>
          <w:sz w:val="22"/>
          <w:szCs w:val="22"/>
        </w:rPr>
        <w:t xml:space="preserve">is the first outcome measure, which in the baseline year of FY2012/13 was 23.9%. (The value stated in the RM of the first operation, FISPEG I, was 24.6% but was revised downward </w:t>
      </w:r>
      <w:r w:rsidR="007864DA">
        <w:rPr>
          <w:rFonts w:ascii="Arial" w:hAnsi="Arial" w:cs="Arial"/>
          <w:sz w:val="22"/>
          <w:szCs w:val="22"/>
        </w:rPr>
        <w:t>when</w:t>
      </w:r>
      <w:r w:rsidR="001E5C3E" w:rsidRPr="00040AA9">
        <w:rPr>
          <w:rFonts w:ascii="Arial" w:hAnsi="Arial" w:cs="Arial"/>
          <w:sz w:val="22"/>
          <w:szCs w:val="22"/>
        </w:rPr>
        <w:t xml:space="preserve"> more reliable data became available as the second and third operations were prepared.) As noted in Table 2, the EOP value for this indicator (</w:t>
      </w:r>
      <w:r w:rsidR="00DF3EB1" w:rsidRPr="00040AA9">
        <w:rPr>
          <w:rFonts w:ascii="Arial" w:hAnsi="Arial" w:cs="Arial"/>
          <w:sz w:val="22"/>
          <w:szCs w:val="22"/>
        </w:rPr>
        <w:t>II.</w:t>
      </w:r>
      <w:r w:rsidR="001E5C3E" w:rsidRPr="00040AA9">
        <w:rPr>
          <w:rFonts w:ascii="Arial" w:hAnsi="Arial" w:cs="Arial"/>
          <w:sz w:val="22"/>
          <w:szCs w:val="22"/>
        </w:rPr>
        <w:t xml:space="preserve">1.1) was 25.7% (in FY2016/17), which fell short of the “Revised Annual Target” (P(a)) of 26.1% but exceeded the originally planned (P) value of 25.5% for this indicator (as stipulated in the FISPEG II RM). Given that tax revenues were positively, but not entirely, affected by FISPEG initiatives and that GDP is subject to exogenous factors, it is fair to say that the program came very close to the expected level for this outcome. </w:t>
      </w:r>
      <w:r w:rsidR="007E39BD">
        <w:rPr>
          <w:rFonts w:ascii="Arial" w:hAnsi="Arial" w:cs="Arial"/>
          <w:sz w:val="22"/>
          <w:szCs w:val="22"/>
        </w:rPr>
        <w:t>T</w:t>
      </w:r>
      <w:r w:rsidR="001E5C3E" w:rsidRPr="00040AA9">
        <w:rPr>
          <w:rFonts w:ascii="Arial" w:hAnsi="Arial" w:cs="Arial"/>
          <w:sz w:val="22"/>
          <w:szCs w:val="22"/>
        </w:rPr>
        <w:t>his outcome was achieved at the 8</w:t>
      </w:r>
      <w:r w:rsidR="00C452FA" w:rsidRPr="00040AA9">
        <w:rPr>
          <w:rFonts w:ascii="Arial" w:hAnsi="Arial" w:cs="Arial"/>
          <w:sz w:val="22"/>
          <w:szCs w:val="22"/>
        </w:rPr>
        <w:t>2</w:t>
      </w:r>
      <w:r w:rsidR="001E5C3E" w:rsidRPr="00040AA9">
        <w:rPr>
          <w:rFonts w:ascii="Arial" w:hAnsi="Arial" w:cs="Arial"/>
          <w:sz w:val="22"/>
          <w:szCs w:val="22"/>
        </w:rPr>
        <w:t>% level, but this is well within the margin of error.</w:t>
      </w:r>
      <w:r w:rsidR="00D27D6F" w:rsidRPr="00040AA9">
        <w:rPr>
          <w:rStyle w:val="FootnoteReference"/>
          <w:rFonts w:ascii="Arial" w:hAnsi="Arial" w:cs="Arial"/>
          <w:sz w:val="22"/>
          <w:szCs w:val="22"/>
        </w:rPr>
        <w:footnoteReference w:id="35"/>
      </w:r>
      <w:r w:rsidR="001E5C3E" w:rsidRPr="00040AA9">
        <w:rPr>
          <w:rFonts w:ascii="Arial" w:hAnsi="Arial" w:cs="Arial"/>
          <w:sz w:val="22"/>
          <w:szCs w:val="22"/>
        </w:rPr>
        <w:t xml:space="preserve"> </w:t>
      </w:r>
      <w:r w:rsidR="009C34DF" w:rsidRPr="00040AA9">
        <w:rPr>
          <w:rFonts w:ascii="Arial" w:hAnsi="Arial" w:cs="Arial"/>
          <w:sz w:val="22"/>
          <w:szCs w:val="22"/>
        </w:rPr>
        <w:t xml:space="preserve">It should also be noted that two outputs that directly contributed to this </w:t>
      </w:r>
      <w:r w:rsidR="007C4380" w:rsidRPr="00040AA9">
        <w:rPr>
          <w:rFonts w:ascii="Arial" w:hAnsi="Arial" w:cs="Arial"/>
          <w:sz w:val="22"/>
          <w:szCs w:val="22"/>
        </w:rPr>
        <w:t xml:space="preserve">objective </w:t>
      </w:r>
      <w:r w:rsidR="00926ADD" w:rsidRPr="00040AA9">
        <w:rPr>
          <w:rFonts w:ascii="Arial" w:hAnsi="Arial" w:cs="Arial"/>
          <w:sz w:val="22"/>
          <w:szCs w:val="22"/>
        </w:rPr>
        <w:t xml:space="preserve">were </w:t>
      </w:r>
      <w:r w:rsidR="00D27D6F" w:rsidRPr="00040AA9">
        <w:rPr>
          <w:rFonts w:ascii="Arial" w:hAnsi="Arial" w:cs="Arial"/>
          <w:sz w:val="22"/>
          <w:szCs w:val="22"/>
        </w:rPr>
        <w:t xml:space="preserve">the </w:t>
      </w:r>
      <w:r w:rsidR="00926ADD" w:rsidRPr="00040AA9">
        <w:rPr>
          <w:rFonts w:ascii="Arial" w:hAnsi="Arial" w:cs="Arial"/>
          <w:sz w:val="22"/>
          <w:szCs w:val="22"/>
        </w:rPr>
        <w:t xml:space="preserve">FISPEG initiatives to establish a Minimum Business Tax </w:t>
      </w:r>
      <w:r w:rsidR="007E39BD">
        <w:rPr>
          <w:rFonts w:ascii="Arial" w:hAnsi="Arial" w:cs="Arial"/>
          <w:sz w:val="22"/>
          <w:szCs w:val="22"/>
        </w:rPr>
        <w:t xml:space="preserve">(MBT) </w:t>
      </w:r>
      <w:r w:rsidR="00926ADD" w:rsidRPr="00040AA9">
        <w:rPr>
          <w:rFonts w:ascii="Arial" w:hAnsi="Arial" w:cs="Arial"/>
          <w:sz w:val="22"/>
          <w:szCs w:val="22"/>
        </w:rPr>
        <w:t xml:space="preserve">and impose a cap on claims for deduction of tax losses </w:t>
      </w:r>
      <w:r w:rsidR="00C74C2C" w:rsidRPr="00040AA9">
        <w:rPr>
          <w:rFonts w:ascii="Arial" w:hAnsi="Arial" w:cs="Arial"/>
          <w:sz w:val="22"/>
          <w:szCs w:val="22"/>
        </w:rPr>
        <w:t>that can be carried forward</w:t>
      </w:r>
      <w:r w:rsidR="00C778F7" w:rsidRPr="00040AA9">
        <w:rPr>
          <w:rFonts w:ascii="Arial" w:hAnsi="Arial" w:cs="Arial"/>
          <w:sz w:val="22"/>
          <w:szCs w:val="22"/>
        </w:rPr>
        <w:t xml:space="preserve">, both of which were </w:t>
      </w:r>
      <w:r w:rsidR="00B05740" w:rsidRPr="00040AA9">
        <w:rPr>
          <w:rFonts w:ascii="Arial" w:hAnsi="Arial" w:cs="Arial"/>
          <w:sz w:val="22"/>
          <w:szCs w:val="22"/>
        </w:rPr>
        <w:t>fully implemented</w:t>
      </w:r>
      <w:r w:rsidR="00C74C2C" w:rsidRPr="00040AA9">
        <w:rPr>
          <w:rFonts w:ascii="Arial" w:hAnsi="Arial" w:cs="Arial"/>
          <w:sz w:val="22"/>
          <w:szCs w:val="22"/>
        </w:rPr>
        <w:t xml:space="preserve">. </w:t>
      </w:r>
    </w:p>
    <w:p w14:paraId="47FA5332" w14:textId="239C975B" w:rsidR="00C74C2C" w:rsidRPr="00040AA9" w:rsidRDefault="00C74C2C" w:rsidP="00040AA9">
      <w:pPr>
        <w:suppressAutoHyphens/>
        <w:spacing w:before="120" w:after="120"/>
        <w:ind w:left="360" w:hanging="360"/>
        <w:jc w:val="both"/>
        <w:rPr>
          <w:rFonts w:ascii="Arial" w:hAnsi="Arial" w:cs="Arial"/>
          <w:sz w:val="22"/>
          <w:szCs w:val="22"/>
        </w:rPr>
      </w:pPr>
      <w:r w:rsidRPr="00040AA9">
        <w:rPr>
          <w:rFonts w:ascii="Arial" w:hAnsi="Arial" w:cs="Arial"/>
          <w:sz w:val="22"/>
          <w:szCs w:val="22"/>
        </w:rPr>
        <w:t xml:space="preserve">b. </w:t>
      </w:r>
      <w:r w:rsidR="00176527">
        <w:rPr>
          <w:rFonts w:ascii="Arial" w:hAnsi="Arial" w:cs="Arial"/>
          <w:sz w:val="22"/>
          <w:szCs w:val="22"/>
        </w:rPr>
        <w:tab/>
      </w:r>
      <w:r w:rsidRPr="00040AA9">
        <w:rPr>
          <w:rFonts w:ascii="Arial" w:hAnsi="Arial" w:cs="Arial"/>
          <w:sz w:val="22"/>
          <w:szCs w:val="22"/>
        </w:rPr>
        <w:t xml:space="preserve">GCT revenues on </w:t>
      </w:r>
      <w:r w:rsidR="007E39BD">
        <w:rPr>
          <w:rFonts w:ascii="Arial" w:hAnsi="Arial" w:cs="Arial"/>
          <w:sz w:val="22"/>
          <w:szCs w:val="22"/>
        </w:rPr>
        <w:t>g</w:t>
      </w:r>
      <w:r w:rsidRPr="00040AA9">
        <w:rPr>
          <w:rFonts w:ascii="Arial" w:hAnsi="Arial" w:cs="Arial"/>
          <w:sz w:val="22"/>
          <w:szCs w:val="22"/>
        </w:rPr>
        <w:t xml:space="preserve">overnment </w:t>
      </w:r>
      <w:r w:rsidR="007E39BD">
        <w:rPr>
          <w:rFonts w:ascii="Arial" w:hAnsi="Arial" w:cs="Arial"/>
          <w:sz w:val="22"/>
          <w:szCs w:val="22"/>
        </w:rPr>
        <w:t>p</w:t>
      </w:r>
      <w:r w:rsidRPr="00040AA9">
        <w:rPr>
          <w:rFonts w:ascii="Arial" w:hAnsi="Arial" w:cs="Arial"/>
          <w:sz w:val="22"/>
          <w:szCs w:val="22"/>
        </w:rPr>
        <w:t>urchases (</w:t>
      </w:r>
      <w:r w:rsidR="00441C94" w:rsidRPr="00040AA9">
        <w:rPr>
          <w:rFonts w:ascii="Arial" w:hAnsi="Arial" w:cs="Arial"/>
          <w:sz w:val="22"/>
          <w:szCs w:val="22"/>
        </w:rPr>
        <w:t xml:space="preserve">Outcome </w:t>
      </w:r>
      <w:r w:rsidR="00374422" w:rsidRPr="00040AA9">
        <w:rPr>
          <w:rFonts w:ascii="Arial" w:hAnsi="Arial" w:cs="Arial"/>
          <w:sz w:val="22"/>
          <w:szCs w:val="22"/>
        </w:rPr>
        <w:t>II.</w:t>
      </w:r>
      <w:r w:rsidR="00441C94" w:rsidRPr="00040AA9">
        <w:rPr>
          <w:rFonts w:ascii="Arial" w:hAnsi="Arial" w:cs="Arial"/>
          <w:sz w:val="22"/>
          <w:szCs w:val="22"/>
        </w:rPr>
        <w:t>3</w:t>
      </w:r>
      <w:r w:rsidRPr="00040AA9">
        <w:rPr>
          <w:rFonts w:ascii="Arial" w:hAnsi="Arial" w:cs="Arial"/>
          <w:sz w:val="22"/>
          <w:szCs w:val="22"/>
        </w:rPr>
        <w:t xml:space="preserve">): Prior to the program government purchases were zero rated for GCT </w:t>
      </w:r>
      <w:r w:rsidR="00176527" w:rsidRPr="00CF5903">
        <w:rPr>
          <w:rFonts w:ascii="Arial" w:hAnsi="Arial" w:cs="Arial"/>
          <w:sz w:val="22"/>
          <w:szCs w:val="22"/>
        </w:rPr>
        <w:t>collection purposes</w:t>
      </w:r>
      <w:r w:rsidRPr="00040AA9">
        <w:rPr>
          <w:rFonts w:ascii="Arial" w:hAnsi="Arial" w:cs="Arial"/>
          <w:sz w:val="22"/>
          <w:szCs w:val="22"/>
        </w:rPr>
        <w:t xml:space="preserve">. One of the more important initiatives of FISPEG was to introduce Jamaica to the best international practice of treating the government just like any other consumer and charging the same value added tax on its purchases of goods and service. While </w:t>
      </w:r>
      <w:r w:rsidR="009934AC" w:rsidRPr="00040AA9">
        <w:rPr>
          <w:rFonts w:ascii="Arial" w:hAnsi="Arial" w:cs="Arial"/>
          <w:sz w:val="22"/>
          <w:szCs w:val="22"/>
        </w:rPr>
        <w:t>seemingly</w:t>
      </w:r>
      <w:r w:rsidRPr="00040AA9">
        <w:rPr>
          <w:rFonts w:ascii="Arial" w:hAnsi="Arial" w:cs="Arial"/>
          <w:sz w:val="22"/>
          <w:szCs w:val="22"/>
        </w:rPr>
        <w:t xml:space="preserve"> a </w:t>
      </w:r>
      <w:r w:rsidR="00176527" w:rsidRPr="00CF5903">
        <w:rPr>
          <w:rFonts w:ascii="Arial" w:hAnsi="Arial" w:cs="Arial"/>
          <w:sz w:val="22"/>
          <w:szCs w:val="22"/>
        </w:rPr>
        <w:t>zero-sum</w:t>
      </w:r>
      <w:r w:rsidRPr="00040AA9">
        <w:rPr>
          <w:rFonts w:ascii="Arial" w:hAnsi="Arial" w:cs="Arial"/>
          <w:sz w:val="22"/>
          <w:szCs w:val="22"/>
        </w:rPr>
        <w:t xml:space="preserve"> exercise this has the beneficial effect of improving transparency in government accounting as well as indirectly inducing greater payment of GCT by the government’s suppliers as they now have an incentive to report the GCT they have to pay on their inputs in order to receive the refund against the taxes now collected on sales </w:t>
      </w:r>
      <w:r w:rsidR="00441C94" w:rsidRPr="00040AA9">
        <w:rPr>
          <w:rFonts w:ascii="Arial" w:hAnsi="Arial" w:cs="Arial"/>
          <w:sz w:val="22"/>
          <w:szCs w:val="22"/>
        </w:rPr>
        <w:t>to the government. As noted in T</w:t>
      </w:r>
      <w:r w:rsidRPr="00040AA9">
        <w:rPr>
          <w:rFonts w:ascii="Arial" w:hAnsi="Arial" w:cs="Arial"/>
          <w:sz w:val="22"/>
          <w:szCs w:val="22"/>
        </w:rPr>
        <w:t>able 2, GCT revenues on government purchase exceeded expectations by over 200%</w:t>
      </w:r>
      <w:r w:rsidR="006B4DAC" w:rsidRPr="00040AA9">
        <w:rPr>
          <w:rFonts w:ascii="Arial" w:hAnsi="Arial" w:cs="Arial"/>
          <w:sz w:val="22"/>
          <w:szCs w:val="22"/>
        </w:rPr>
        <w:t>.</w:t>
      </w:r>
    </w:p>
    <w:p w14:paraId="0DE2E2C2" w14:textId="6F954E52" w:rsidR="007E39BD" w:rsidRDefault="006B4DAC" w:rsidP="007156D7">
      <w:pPr>
        <w:suppressAutoHyphens/>
        <w:spacing w:before="120" w:after="120"/>
        <w:ind w:left="360" w:hanging="360"/>
        <w:jc w:val="both"/>
        <w:rPr>
          <w:rFonts w:ascii="Arial" w:hAnsi="Arial" w:cs="Arial"/>
          <w:sz w:val="22"/>
          <w:szCs w:val="22"/>
        </w:rPr>
      </w:pPr>
      <w:r w:rsidRPr="00040AA9">
        <w:rPr>
          <w:rFonts w:ascii="Arial" w:hAnsi="Arial" w:cs="Arial"/>
          <w:sz w:val="22"/>
          <w:szCs w:val="22"/>
        </w:rPr>
        <w:t xml:space="preserve">c. </w:t>
      </w:r>
      <w:r w:rsidR="00176527">
        <w:rPr>
          <w:rFonts w:ascii="Arial" w:hAnsi="Arial" w:cs="Arial"/>
          <w:sz w:val="22"/>
          <w:szCs w:val="22"/>
        </w:rPr>
        <w:tab/>
      </w:r>
      <w:r w:rsidR="00105282" w:rsidRPr="00040AA9">
        <w:rPr>
          <w:rFonts w:ascii="Arial" w:hAnsi="Arial" w:cs="Arial"/>
          <w:sz w:val="22"/>
          <w:szCs w:val="22"/>
        </w:rPr>
        <w:t xml:space="preserve">Increase annual audits performed by large and medium taxpayer offices (Outcome </w:t>
      </w:r>
      <w:r w:rsidR="00374422" w:rsidRPr="00040AA9">
        <w:rPr>
          <w:rFonts w:ascii="Arial" w:hAnsi="Arial" w:cs="Arial"/>
          <w:sz w:val="22"/>
          <w:szCs w:val="22"/>
        </w:rPr>
        <w:t>II.</w:t>
      </w:r>
      <w:r w:rsidR="00105282" w:rsidRPr="00040AA9">
        <w:rPr>
          <w:rFonts w:ascii="Arial" w:hAnsi="Arial" w:cs="Arial"/>
          <w:sz w:val="22"/>
          <w:szCs w:val="22"/>
        </w:rPr>
        <w:t>7)</w:t>
      </w:r>
      <w:r w:rsidR="00BA3BC2" w:rsidRPr="00040AA9">
        <w:rPr>
          <w:rFonts w:ascii="Arial" w:hAnsi="Arial" w:cs="Arial"/>
          <w:sz w:val="22"/>
          <w:szCs w:val="22"/>
        </w:rPr>
        <w:t xml:space="preserve">: A major impediment to </w:t>
      </w:r>
      <w:r w:rsidR="00DF4E73" w:rsidRPr="00040AA9">
        <w:rPr>
          <w:rFonts w:ascii="Arial" w:hAnsi="Arial" w:cs="Arial"/>
          <w:sz w:val="22"/>
          <w:szCs w:val="22"/>
        </w:rPr>
        <w:t xml:space="preserve">assuring full compliance with tax laws </w:t>
      </w:r>
      <w:r w:rsidR="004D6D7E" w:rsidRPr="00040AA9">
        <w:rPr>
          <w:rFonts w:ascii="Arial" w:hAnsi="Arial" w:cs="Arial"/>
          <w:sz w:val="22"/>
          <w:szCs w:val="22"/>
        </w:rPr>
        <w:t xml:space="preserve">by large and medium taxpayers </w:t>
      </w:r>
      <w:r w:rsidR="00DF4E73" w:rsidRPr="00040AA9">
        <w:rPr>
          <w:rFonts w:ascii="Arial" w:hAnsi="Arial" w:cs="Arial"/>
          <w:sz w:val="22"/>
          <w:szCs w:val="22"/>
        </w:rPr>
        <w:t xml:space="preserve">was the understaffing of the </w:t>
      </w:r>
      <w:r w:rsidR="004D6D7E" w:rsidRPr="00040AA9">
        <w:rPr>
          <w:rFonts w:ascii="Arial" w:hAnsi="Arial" w:cs="Arial"/>
          <w:sz w:val="22"/>
          <w:szCs w:val="22"/>
        </w:rPr>
        <w:t xml:space="preserve">offices that </w:t>
      </w:r>
      <w:r w:rsidR="00DF4E73" w:rsidRPr="00040AA9">
        <w:rPr>
          <w:rFonts w:ascii="Arial" w:hAnsi="Arial" w:cs="Arial"/>
          <w:sz w:val="22"/>
          <w:szCs w:val="22"/>
        </w:rPr>
        <w:t xml:space="preserve">audit </w:t>
      </w:r>
      <w:r w:rsidR="004D6D7E" w:rsidRPr="00040AA9">
        <w:rPr>
          <w:rFonts w:ascii="Arial" w:hAnsi="Arial" w:cs="Arial"/>
          <w:sz w:val="22"/>
          <w:szCs w:val="22"/>
        </w:rPr>
        <w:t>t</w:t>
      </w:r>
      <w:r w:rsidR="00DF4E73" w:rsidRPr="00040AA9">
        <w:rPr>
          <w:rFonts w:ascii="Arial" w:hAnsi="Arial" w:cs="Arial"/>
          <w:sz w:val="22"/>
          <w:szCs w:val="22"/>
        </w:rPr>
        <w:t>hese two groups. As th</w:t>
      </w:r>
      <w:r w:rsidR="00A409D2" w:rsidRPr="00040AA9">
        <w:rPr>
          <w:rFonts w:ascii="Arial" w:hAnsi="Arial" w:cs="Arial"/>
          <w:sz w:val="22"/>
          <w:szCs w:val="22"/>
        </w:rPr>
        <w:t>ese taxpayers</w:t>
      </w:r>
      <w:r w:rsidR="00797F4C" w:rsidRPr="00040AA9">
        <w:rPr>
          <w:rFonts w:ascii="Arial" w:hAnsi="Arial" w:cs="Arial"/>
          <w:sz w:val="22"/>
          <w:szCs w:val="22"/>
        </w:rPr>
        <w:t>, particularly the large ones,</w:t>
      </w:r>
      <w:r w:rsidR="004D6D7E" w:rsidRPr="00040AA9">
        <w:rPr>
          <w:rFonts w:ascii="Arial" w:hAnsi="Arial" w:cs="Arial"/>
          <w:sz w:val="22"/>
          <w:szCs w:val="22"/>
        </w:rPr>
        <w:t xml:space="preserve"> pay most of the taxes </w:t>
      </w:r>
      <w:r w:rsidR="00054E63" w:rsidRPr="00040AA9">
        <w:rPr>
          <w:rFonts w:ascii="Arial" w:hAnsi="Arial" w:cs="Arial"/>
          <w:sz w:val="22"/>
          <w:szCs w:val="22"/>
        </w:rPr>
        <w:t xml:space="preserve">the overall losses in revenue were substantial. By raising the number of </w:t>
      </w:r>
      <w:r w:rsidR="00FD0F6C" w:rsidRPr="00040AA9">
        <w:rPr>
          <w:rFonts w:ascii="Arial" w:hAnsi="Arial" w:cs="Arial"/>
          <w:sz w:val="22"/>
          <w:szCs w:val="22"/>
        </w:rPr>
        <w:t xml:space="preserve">qualified </w:t>
      </w:r>
      <w:r w:rsidR="00176527" w:rsidRPr="00CF5903">
        <w:rPr>
          <w:rFonts w:ascii="Arial" w:hAnsi="Arial" w:cs="Arial"/>
          <w:sz w:val="22"/>
          <w:szCs w:val="22"/>
        </w:rPr>
        <w:t>professional staff</w:t>
      </w:r>
      <w:r w:rsidR="00054E63" w:rsidRPr="00040AA9">
        <w:rPr>
          <w:rFonts w:ascii="Arial" w:hAnsi="Arial" w:cs="Arial"/>
          <w:sz w:val="22"/>
          <w:szCs w:val="22"/>
        </w:rPr>
        <w:t xml:space="preserve"> </w:t>
      </w:r>
      <w:r w:rsidR="00797F4C" w:rsidRPr="00040AA9">
        <w:rPr>
          <w:rFonts w:ascii="Arial" w:hAnsi="Arial" w:cs="Arial"/>
          <w:sz w:val="22"/>
          <w:szCs w:val="22"/>
        </w:rPr>
        <w:t xml:space="preserve">in the LTO </w:t>
      </w:r>
      <w:r w:rsidR="00FD0F6C" w:rsidRPr="00040AA9">
        <w:rPr>
          <w:rFonts w:ascii="Arial" w:hAnsi="Arial" w:cs="Arial"/>
          <w:sz w:val="22"/>
          <w:szCs w:val="22"/>
        </w:rPr>
        <w:t xml:space="preserve">from 75 </w:t>
      </w:r>
      <w:r w:rsidR="00054E63" w:rsidRPr="00040AA9">
        <w:rPr>
          <w:rFonts w:ascii="Arial" w:hAnsi="Arial" w:cs="Arial"/>
          <w:sz w:val="22"/>
          <w:szCs w:val="22"/>
        </w:rPr>
        <w:t>to the</w:t>
      </w:r>
      <w:r w:rsidR="00703213" w:rsidRPr="00040AA9">
        <w:rPr>
          <w:rFonts w:ascii="Arial" w:hAnsi="Arial" w:cs="Arial"/>
          <w:sz w:val="22"/>
          <w:szCs w:val="22"/>
        </w:rPr>
        <w:t xml:space="preserve"> original target of</w:t>
      </w:r>
      <w:r w:rsidR="00054E63" w:rsidRPr="00040AA9">
        <w:rPr>
          <w:rFonts w:ascii="Arial" w:hAnsi="Arial" w:cs="Arial"/>
          <w:sz w:val="22"/>
          <w:szCs w:val="22"/>
        </w:rPr>
        <w:t xml:space="preserve"> </w:t>
      </w:r>
      <w:r w:rsidR="00FD0F6C" w:rsidRPr="00040AA9">
        <w:rPr>
          <w:rFonts w:ascii="Arial" w:hAnsi="Arial" w:cs="Arial"/>
          <w:sz w:val="22"/>
          <w:szCs w:val="22"/>
        </w:rPr>
        <w:t xml:space="preserve">120 and then further raising the </w:t>
      </w:r>
      <w:r w:rsidR="00703213" w:rsidRPr="00040AA9">
        <w:rPr>
          <w:rFonts w:ascii="Arial" w:hAnsi="Arial" w:cs="Arial"/>
          <w:sz w:val="22"/>
          <w:szCs w:val="22"/>
        </w:rPr>
        <w:t>level to 135</w:t>
      </w:r>
      <w:r w:rsidR="00703213" w:rsidRPr="00040AA9">
        <w:rPr>
          <w:rStyle w:val="FootnoteReference"/>
          <w:rFonts w:ascii="Arial" w:hAnsi="Arial" w:cs="Arial"/>
          <w:sz w:val="22"/>
          <w:szCs w:val="22"/>
        </w:rPr>
        <w:footnoteReference w:id="36"/>
      </w:r>
      <w:r w:rsidR="00703213" w:rsidRPr="00040AA9">
        <w:rPr>
          <w:rFonts w:ascii="Arial" w:hAnsi="Arial" w:cs="Arial"/>
          <w:sz w:val="22"/>
          <w:szCs w:val="22"/>
        </w:rPr>
        <w:t xml:space="preserve">, as subsequently agreed, the number of audits performed not only met but substantially exceeded the target levels established for these two categories of taxpayers. </w:t>
      </w:r>
    </w:p>
    <w:p w14:paraId="043DE8BF" w14:textId="7A6A6C26" w:rsidR="00170C3A" w:rsidRPr="00040AA9" w:rsidRDefault="00441C94" w:rsidP="00040AA9">
      <w:pPr>
        <w:suppressAutoHyphens/>
        <w:spacing w:before="120" w:after="120"/>
        <w:ind w:left="288" w:hanging="288"/>
        <w:jc w:val="both"/>
        <w:rPr>
          <w:rFonts w:ascii="Arial" w:eastAsia="Times New Roman" w:hAnsi="Arial" w:cs="Arial"/>
          <w:b/>
          <w:sz w:val="22"/>
          <w:szCs w:val="22"/>
        </w:rPr>
      </w:pPr>
      <w:r w:rsidRPr="00040AA9">
        <w:rPr>
          <w:rFonts w:ascii="Arial" w:hAnsi="Arial" w:cs="Arial"/>
          <w:b/>
          <w:sz w:val="22"/>
          <w:szCs w:val="22"/>
        </w:rPr>
        <w:t>Specific objective</w:t>
      </w:r>
      <w:r w:rsidR="00176527">
        <w:rPr>
          <w:rFonts w:ascii="Arial" w:hAnsi="Arial" w:cs="Arial"/>
          <w:b/>
          <w:sz w:val="22"/>
          <w:szCs w:val="22"/>
        </w:rPr>
        <w:t>:</w:t>
      </w:r>
      <w:r w:rsidRPr="00040AA9">
        <w:rPr>
          <w:rFonts w:ascii="Arial" w:hAnsi="Arial" w:cs="Arial"/>
          <w:b/>
          <w:sz w:val="22"/>
          <w:szCs w:val="22"/>
        </w:rPr>
        <w:t xml:space="preserve"> </w:t>
      </w:r>
      <w:r w:rsidRPr="00040AA9">
        <w:rPr>
          <w:rFonts w:ascii="Arial" w:eastAsia="Times New Roman" w:hAnsi="Arial" w:cs="Arial"/>
          <w:b/>
          <w:iCs/>
          <w:color w:val="222222"/>
          <w:sz w:val="22"/>
          <w:szCs w:val="22"/>
        </w:rPr>
        <w:t>(iii)</w:t>
      </w:r>
      <w:r w:rsidR="007954DC" w:rsidRPr="00040AA9">
        <w:rPr>
          <w:rFonts w:ascii="Arial" w:eastAsia="Times New Roman" w:hAnsi="Arial" w:cs="Arial"/>
          <w:b/>
          <w:iCs/>
          <w:color w:val="222222"/>
          <w:sz w:val="22"/>
          <w:szCs w:val="22"/>
        </w:rPr>
        <w:t xml:space="preserve"> </w:t>
      </w:r>
      <w:r w:rsidR="007954DC" w:rsidRPr="00040AA9">
        <w:rPr>
          <w:rFonts w:ascii="Arial" w:hAnsi="Arial" w:cs="Arial"/>
          <w:b/>
          <w:sz w:val="22"/>
          <w:szCs w:val="22"/>
        </w:rPr>
        <w:t>Enhancing the control over budgetary expenditure</w:t>
      </w:r>
    </w:p>
    <w:p w14:paraId="08E44ADD" w14:textId="49673CA0" w:rsidR="007954DC" w:rsidRPr="00040AA9" w:rsidRDefault="007954DC" w:rsidP="00040AA9">
      <w:pPr>
        <w:suppressAutoHyphens/>
        <w:spacing w:before="120" w:after="120"/>
        <w:ind w:left="360" w:hanging="360"/>
        <w:jc w:val="both"/>
        <w:rPr>
          <w:rFonts w:ascii="Arial" w:hAnsi="Arial" w:cs="Arial"/>
          <w:sz w:val="22"/>
          <w:szCs w:val="22"/>
        </w:rPr>
      </w:pPr>
      <w:r w:rsidRPr="00040AA9">
        <w:rPr>
          <w:rFonts w:ascii="Arial" w:hAnsi="Arial" w:cs="Arial"/>
          <w:sz w:val="22"/>
          <w:szCs w:val="22"/>
        </w:rPr>
        <w:t xml:space="preserve">a. </w:t>
      </w:r>
      <w:r w:rsidR="00176527">
        <w:rPr>
          <w:rFonts w:ascii="Arial" w:hAnsi="Arial" w:cs="Arial"/>
          <w:sz w:val="22"/>
          <w:szCs w:val="22"/>
        </w:rPr>
        <w:tab/>
      </w:r>
      <w:r w:rsidRPr="00040AA9">
        <w:rPr>
          <w:rFonts w:ascii="Arial" w:hAnsi="Arial" w:cs="Arial"/>
          <w:sz w:val="22"/>
          <w:szCs w:val="22"/>
        </w:rPr>
        <w:t>Central government wage bill as a percent of GDP (</w:t>
      </w:r>
      <w:r w:rsidR="00767220" w:rsidRPr="00040AA9">
        <w:rPr>
          <w:rFonts w:ascii="Arial" w:hAnsi="Arial" w:cs="Arial"/>
          <w:sz w:val="22"/>
          <w:szCs w:val="22"/>
        </w:rPr>
        <w:t xml:space="preserve">Outcome </w:t>
      </w:r>
      <w:r w:rsidR="00374422" w:rsidRPr="00040AA9">
        <w:rPr>
          <w:rFonts w:ascii="Arial" w:hAnsi="Arial" w:cs="Arial"/>
          <w:sz w:val="22"/>
          <w:szCs w:val="22"/>
        </w:rPr>
        <w:t>II</w:t>
      </w:r>
      <w:r w:rsidR="008E6039" w:rsidRPr="00040AA9">
        <w:rPr>
          <w:rFonts w:ascii="Arial" w:hAnsi="Arial" w:cs="Arial"/>
          <w:sz w:val="22"/>
          <w:szCs w:val="22"/>
        </w:rPr>
        <w:t>I</w:t>
      </w:r>
      <w:r w:rsidR="00374422" w:rsidRPr="00040AA9">
        <w:rPr>
          <w:rFonts w:ascii="Arial" w:hAnsi="Arial" w:cs="Arial"/>
          <w:sz w:val="22"/>
          <w:szCs w:val="22"/>
        </w:rPr>
        <w:t>.</w:t>
      </w:r>
      <w:r w:rsidR="00767220" w:rsidRPr="00040AA9">
        <w:rPr>
          <w:rFonts w:ascii="Arial" w:hAnsi="Arial" w:cs="Arial"/>
          <w:sz w:val="22"/>
          <w:szCs w:val="22"/>
        </w:rPr>
        <w:t>12</w:t>
      </w:r>
      <w:r w:rsidRPr="00040AA9">
        <w:rPr>
          <w:rFonts w:ascii="Arial" w:hAnsi="Arial" w:cs="Arial"/>
          <w:sz w:val="22"/>
          <w:szCs w:val="22"/>
        </w:rPr>
        <w:t>)</w:t>
      </w:r>
      <w:r w:rsidR="00786D66">
        <w:rPr>
          <w:rFonts w:ascii="Arial" w:hAnsi="Arial" w:cs="Arial"/>
          <w:sz w:val="22"/>
          <w:szCs w:val="22"/>
        </w:rPr>
        <w:t>:</w:t>
      </w:r>
      <w:r w:rsidRPr="00040AA9">
        <w:rPr>
          <w:rFonts w:ascii="Arial" w:hAnsi="Arial" w:cs="Arial"/>
          <w:sz w:val="22"/>
          <w:szCs w:val="22"/>
        </w:rPr>
        <w:t xml:space="preserve"> This is an example of an indicator that </w:t>
      </w:r>
      <w:r w:rsidR="007D08AA" w:rsidRPr="00040AA9">
        <w:rPr>
          <w:rFonts w:ascii="Arial" w:hAnsi="Arial" w:cs="Arial"/>
          <w:sz w:val="22"/>
          <w:szCs w:val="22"/>
        </w:rPr>
        <w:t>slightly</w:t>
      </w:r>
      <w:r w:rsidR="00B020CE" w:rsidRPr="00040AA9">
        <w:rPr>
          <w:rFonts w:ascii="Arial" w:hAnsi="Arial" w:cs="Arial"/>
          <w:sz w:val="22"/>
          <w:szCs w:val="22"/>
        </w:rPr>
        <w:t>, if not significantly,</w:t>
      </w:r>
      <w:r w:rsidR="007D08AA" w:rsidRPr="00040AA9">
        <w:rPr>
          <w:rFonts w:ascii="Arial" w:hAnsi="Arial" w:cs="Arial"/>
          <w:sz w:val="22"/>
          <w:szCs w:val="22"/>
        </w:rPr>
        <w:t xml:space="preserve"> surpassed </w:t>
      </w:r>
      <w:r w:rsidR="004C7825" w:rsidRPr="00040AA9">
        <w:rPr>
          <w:rFonts w:ascii="Arial" w:hAnsi="Arial" w:cs="Arial"/>
          <w:sz w:val="22"/>
          <w:szCs w:val="22"/>
        </w:rPr>
        <w:t xml:space="preserve">its objective. </w:t>
      </w:r>
      <w:r w:rsidR="003B3C8B" w:rsidRPr="00040AA9">
        <w:rPr>
          <w:rFonts w:ascii="Arial" w:hAnsi="Arial" w:cs="Arial"/>
          <w:sz w:val="22"/>
          <w:szCs w:val="22"/>
        </w:rPr>
        <w:t xml:space="preserve">The </w:t>
      </w:r>
      <w:r w:rsidR="00002E7F" w:rsidRPr="00040AA9">
        <w:rPr>
          <w:rFonts w:ascii="Arial" w:hAnsi="Arial" w:cs="Arial"/>
          <w:sz w:val="22"/>
          <w:szCs w:val="22"/>
        </w:rPr>
        <w:t xml:space="preserve">adjusted </w:t>
      </w:r>
      <w:r w:rsidR="003B3C8B" w:rsidRPr="00040AA9">
        <w:rPr>
          <w:rFonts w:ascii="Arial" w:hAnsi="Arial" w:cs="Arial"/>
          <w:sz w:val="22"/>
          <w:szCs w:val="22"/>
        </w:rPr>
        <w:t xml:space="preserve">target </w:t>
      </w:r>
      <w:r w:rsidR="00002E7F" w:rsidRPr="00040AA9">
        <w:rPr>
          <w:rFonts w:ascii="Arial" w:hAnsi="Arial" w:cs="Arial"/>
          <w:sz w:val="22"/>
          <w:szCs w:val="22"/>
        </w:rPr>
        <w:t>(P(a)) for FY 2016/17 was 10.1% and the actual value was 10.</w:t>
      </w:r>
      <w:r w:rsidR="004D11B7" w:rsidRPr="00040AA9">
        <w:rPr>
          <w:rFonts w:ascii="Arial" w:hAnsi="Arial" w:cs="Arial"/>
          <w:sz w:val="22"/>
          <w:szCs w:val="22"/>
        </w:rPr>
        <w:t>0</w:t>
      </w:r>
      <w:r w:rsidR="00002E7F" w:rsidRPr="00040AA9">
        <w:rPr>
          <w:rFonts w:ascii="Arial" w:hAnsi="Arial" w:cs="Arial"/>
          <w:sz w:val="22"/>
          <w:szCs w:val="22"/>
        </w:rPr>
        <w:t>% for that year</w:t>
      </w:r>
      <w:r w:rsidR="00FD6D6D" w:rsidRPr="00040AA9">
        <w:rPr>
          <w:rFonts w:ascii="Arial" w:hAnsi="Arial" w:cs="Arial"/>
          <w:sz w:val="22"/>
          <w:szCs w:val="22"/>
        </w:rPr>
        <w:t xml:space="preserve">, which </w:t>
      </w:r>
      <w:r w:rsidR="0045373A" w:rsidRPr="00040AA9">
        <w:rPr>
          <w:rFonts w:ascii="Arial" w:hAnsi="Arial" w:cs="Arial"/>
          <w:sz w:val="22"/>
          <w:szCs w:val="22"/>
        </w:rPr>
        <w:t>given the preliminary nature of the data is essentially equivalent to the target. I</w:t>
      </w:r>
      <w:r w:rsidR="00EB2B8E" w:rsidRPr="00040AA9">
        <w:rPr>
          <w:rFonts w:ascii="Arial" w:hAnsi="Arial" w:cs="Arial"/>
          <w:sz w:val="22"/>
          <w:szCs w:val="22"/>
        </w:rPr>
        <w:t xml:space="preserve">n </w:t>
      </w:r>
      <w:r w:rsidR="00176527" w:rsidRPr="00CF5903">
        <w:rPr>
          <w:rFonts w:ascii="Arial" w:hAnsi="Arial" w:cs="Arial"/>
          <w:sz w:val="22"/>
          <w:szCs w:val="22"/>
        </w:rPr>
        <w:t>fact,</w:t>
      </w:r>
      <w:r w:rsidR="00EB2B8E" w:rsidRPr="00040AA9">
        <w:rPr>
          <w:rFonts w:ascii="Arial" w:hAnsi="Arial" w:cs="Arial"/>
          <w:sz w:val="22"/>
          <w:szCs w:val="22"/>
        </w:rPr>
        <w:t xml:space="preserve"> </w:t>
      </w:r>
      <w:r w:rsidR="00EC5070" w:rsidRPr="00040AA9">
        <w:rPr>
          <w:rFonts w:ascii="Arial" w:hAnsi="Arial" w:cs="Arial"/>
          <w:sz w:val="22"/>
          <w:szCs w:val="22"/>
        </w:rPr>
        <w:t xml:space="preserve">preliminary and projected </w:t>
      </w:r>
      <w:r w:rsidR="008E699A" w:rsidRPr="00040AA9">
        <w:rPr>
          <w:rFonts w:ascii="Arial" w:hAnsi="Arial" w:cs="Arial"/>
          <w:sz w:val="22"/>
          <w:szCs w:val="22"/>
        </w:rPr>
        <w:t xml:space="preserve">data </w:t>
      </w:r>
      <w:r w:rsidR="00EC5070" w:rsidRPr="00040AA9">
        <w:rPr>
          <w:rFonts w:ascii="Arial" w:hAnsi="Arial" w:cs="Arial"/>
          <w:sz w:val="22"/>
          <w:szCs w:val="22"/>
        </w:rPr>
        <w:t xml:space="preserve">for compensation of employees </w:t>
      </w:r>
      <w:r w:rsidR="008E699A" w:rsidRPr="00040AA9">
        <w:rPr>
          <w:rFonts w:ascii="Arial" w:hAnsi="Arial" w:cs="Arial"/>
          <w:sz w:val="22"/>
          <w:szCs w:val="22"/>
        </w:rPr>
        <w:t xml:space="preserve">in the </w:t>
      </w:r>
      <w:r w:rsidR="00EB2B8E" w:rsidRPr="00040AA9">
        <w:rPr>
          <w:rFonts w:ascii="Arial" w:hAnsi="Arial" w:cs="Arial"/>
          <w:sz w:val="22"/>
          <w:szCs w:val="22"/>
        </w:rPr>
        <w:t xml:space="preserve">IMF “Request for an </w:t>
      </w:r>
      <w:r w:rsidR="008E699A" w:rsidRPr="00040AA9">
        <w:rPr>
          <w:rFonts w:ascii="Arial" w:hAnsi="Arial" w:cs="Arial"/>
          <w:sz w:val="22"/>
          <w:szCs w:val="22"/>
        </w:rPr>
        <w:t>[</w:t>
      </w:r>
      <w:r w:rsidR="00EB2B8E" w:rsidRPr="00040AA9">
        <w:rPr>
          <w:rFonts w:ascii="Arial" w:hAnsi="Arial" w:cs="Arial"/>
          <w:sz w:val="22"/>
          <w:szCs w:val="22"/>
        </w:rPr>
        <w:t>SBA</w:t>
      </w:r>
      <w:r w:rsidR="008E699A" w:rsidRPr="00040AA9">
        <w:rPr>
          <w:rFonts w:ascii="Arial" w:hAnsi="Arial" w:cs="Arial"/>
          <w:sz w:val="22"/>
          <w:szCs w:val="22"/>
        </w:rPr>
        <w:t>]</w:t>
      </w:r>
      <w:r w:rsidR="00EB2B8E" w:rsidRPr="00040AA9">
        <w:rPr>
          <w:rFonts w:ascii="Arial" w:hAnsi="Arial" w:cs="Arial"/>
          <w:sz w:val="22"/>
          <w:szCs w:val="22"/>
        </w:rPr>
        <w:t>…”</w:t>
      </w:r>
      <w:r w:rsidR="008E699A" w:rsidRPr="00040AA9">
        <w:rPr>
          <w:rFonts w:ascii="Arial" w:hAnsi="Arial" w:cs="Arial"/>
          <w:sz w:val="22"/>
          <w:szCs w:val="22"/>
        </w:rPr>
        <w:t xml:space="preserve"> show</w:t>
      </w:r>
      <w:r w:rsidR="00EC5070" w:rsidRPr="00040AA9">
        <w:rPr>
          <w:rFonts w:ascii="Arial" w:hAnsi="Arial" w:cs="Arial"/>
          <w:sz w:val="22"/>
          <w:szCs w:val="22"/>
        </w:rPr>
        <w:t xml:space="preserve"> a steady</w:t>
      </w:r>
      <w:r w:rsidR="000D4CEA" w:rsidRPr="00040AA9">
        <w:rPr>
          <w:rFonts w:ascii="Arial" w:hAnsi="Arial" w:cs="Arial"/>
          <w:sz w:val="22"/>
          <w:szCs w:val="22"/>
        </w:rPr>
        <w:t>,</w:t>
      </w:r>
      <w:r w:rsidR="00EC5070" w:rsidRPr="00040AA9">
        <w:rPr>
          <w:rFonts w:ascii="Arial" w:hAnsi="Arial" w:cs="Arial"/>
          <w:sz w:val="22"/>
          <w:szCs w:val="22"/>
        </w:rPr>
        <w:t xml:space="preserve"> if slight</w:t>
      </w:r>
      <w:r w:rsidR="000D4CEA" w:rsidRPr="00040AA9">
        <w:rPr>
          <w:rFonts w:ascii="Arial" w:hAnsi="Arial" w:cs="Arial"/>
          <w:sz w:val="22"/>
          <w:szCs w:val="22"/>
        </w:rPr>
        <w:t>,</w:t>
      </w:r>
      <w:r w:rsidR="00EC5070" w:rsidRPr="00040AA9">
        <w:rPr>
          <w:rFonts w:ascii="Arial" w:hAnsi="Arial" w:cs="Arial"/>
          <w:sz w:val="22"/>
          <w:szCs w:val="22"/>
        </w:rPr>
        <w:t xml:space="preserve"> downward trend </w:t>
      </w:r>
      <w:r w:rsidR="00D5747D" w:rsidRPr="00040AA9">
        <w:rPr>
          <w:rFonts w:ascii="Arial" w:hAnsi="Arial" w:cs="Arial"/>
          <w:sz w:val="22"/>
          <w:szCs w:val="22"/>
        </w:rPr>
        <w:t>from 10.9% in FY2013/14 to 10.2% in FY 2016/17 and 9.9% in FY 2017/18, with continued reductions after that.</w:t>
      </w:r>
      <w:r w:rsidR="00D5747D" w:rsidRPr="00040AA9">
        <w:rPr>
          <w:rStyle w:val="FootnoteReference"/>
          <w:rFonts w:ascii="Arial" w:hAnsi="Arial" w:cs="Arial"/>
          <w:sz w:val="22"/>
          <w:szCs w:val="22"/>
        </w:rPr>
        <w:footnoteReference w:id="37"/>
      </w:r>
      <w:r w:rsidRPr="00040AA9">
        <w:rPr>
          <w:rFonts w:ascii="Arial" w:hAnsi="Arial" w:cs="Arial"/>
          <w:sz w:val="22"/>
          <w:szCs w:val="22"/>
        </w:rPr>
        <w:t xml:space="preserve"> </w:t>
      </w:r>
    </w:p>
    <w:p w14:paraId="33FAF020" w14:textId="69821AFD" w:rsidR="005627EC" w:rsidRPr="00040AA9" w:rsidRDefault="000B1855" w:rsidP="00040AA9">
      <w:pPr>
        <w:suppressAutoHyphens/>
        <w:spacing w:before="120" w:after="120"/>
        <w:ind w:left="360" w:hanging="360"/>
        <w:jc w:val="both"/>
        <w:rPr>
          <w:rFonts w:ascii="Arial" w:hAnsi="Arial" w:cs="Arial"/>
          <w:sz w:val="22"/>
          <w:szCs w:val="22"/>
        </w:rPr>
      </w:pPr>
      <w:r w:rsidRPr="00040AA9">
        <w:rPr>
          <w:rFonts w:ascii="Arial" w:hAnsi="Arial" w:cs="Arial"/>
          <w:sz w:val="22"/>
          <w:szCs w:val="22"/>
        </w:rPr>
        <w:t xml:space="preserve">b. </w:t>
      </w:r>
      <w:r w:rsidR="00350FE4">
        <w:rPr>
          <w:rFonts w:ascii="Arial" w:hAnsi="Arial" w:cs="Arial"/>
          <w:sz w:val="22"/>
          <w:szCs w:val="22"/>
        </w:rPr>
        <w:tab/>
      </w:r>
      <w:r w:rsidRPr="00040AA9">
        <w:rPr>
          <w:rFonts w:ascii="Arial" w:hAnsi="Arial" w:cs="Arial"/>
          <w:sz w:val="22"/>
          <w:szCs w:val="22"/>
        </w:rPr>
        <w:t>P</w:t>
      </w:r>
      <w:r w:rsidR="00800B2A">
        <w:rPr>
          <w:rFonts w:ascii="Arial" w:hAnsi="Arial" w:cs="Arial"/>
          <w:sz w:val="22"/>
          <w:szCs w:val="22"/>
        </w:rPr>
        <w:t>Bs</w:t>
      </w:r>
      <w:r w:rsidRPr="00040AA9">
        <w:rPr>
          <w:rFonts w:ascii="Arial" w:hAnsi="Arial" w:cs="Arial"/>
          <w:sz w:val="22"/>
          <w:szCs w:val="22"/>
        </w:rPr>
        <w:t xml:space="preserve"> prompt reporting to the </w:t>
      </w:r>
      <w:proofErr w:type="spellStart"/>
      <w:r w:rsidRPr="00040AA9">
        <w:rPr>
          <w:rFonts w:ascii="Arial" w:hAnsi="Arial" w:cs="Arial"/>
          <w:sz w:val="22"/>
          <w:szCs w:val="22"/>
        </w:rPr>
        <w:t>M</w:t>
      </w:r>
      <w:r w:rsidR="007E39BD">
        <w:rPr>
          <w:rFonts w:ascii="Arial" w:hAnsi="Arial" w:cs="Arial"/>
          <w:sz w:val="22"/>
          <w:szCs w:val="22"/>
        </w:rPr>
        <w:t>oF</w:t>
      </w:r>
      <w:proofErr w:type="spellEnd"/>
      <w:r w:rsidRPr="00040AA9">
        <w:rPr>
          <w:rFonts w:ascii="Arial" w:hAnsi="Arial" w:cs="Arial"/>
          <w:sz w:val="22"/>
          <w:szCs w:val="22"/>
        </w:rPr>
        <w:t xml:space="preserve"> (Outcome </w:t>
      </w:r>
      <w:r w:rsidR="00B020CE" w:rsidRPr="00040AA9">
        <w:rPr>
          <w:rFonts w:ascii="Arial" w:hAnsi="Arial" w:cs="Arial"/>
          <w:sz w:val="22"/>
          <w:szCs w:val="22"/>
        </w:rPr>
        <w:t>III.</w:t>
      </w:r>
      <w:r w:rsidRPr="00040AA9">
        <w:rPr>
          <w:rFonts w:ascii="Arial" w:hAnsi="Arial" w:cs="Arial"/>
          <w:sz w:val="22"/>
          <w:szCs w:val="22"/>
        </w:rPr>
        <w:t>13)</w:t>
      </w:r>
      <w:r w:rsidR="00786D66">
        <w:rPr>
          <w:rFonts w:ascii="Arial" w:hAnsi="Arial" w:cs="Arial"/>
          <w:sz w:val="22"/>
          <w:szCs w:val="22"/>
        </w:rPr>
        <w:t>:</w:t>
      </w:r>
      <w:r w:rsidR="00CA0E6C" w:rsidRPr="00040AA9">
        <w:rPr>
          <w:rFonts w:ascii="Arial" w:hAnsi="Arial" w:cs="Arial"/>
          <w:sz w:val="22"/>
          <w:szCs w:val="22"/>
        </w:rPr>
        <w:t xml:space="preserve"> This</w:t>
      </w:r>
      <w:r w:rsidR="005A2DAF" w:rsidRPr="00040AA9">
        <w:rPr>
          <w:rFonts w:ascii="Arial" w:hAnsi="Arial" w:cs="Arial"/>
          <w:sz w:val="22"/>
          <w:szCs w:val="22"/>
        </w:rPr>
        <w:t xml:space="preserve"> outcome, </w:t>
      </w:r>
      <w:r w:rsidR="00CA0E6C" w:rsidRPr="00040AA9">
        <w:rPr>
          <w:rFonts w:ascii="Arial" w:hAnsi="Arial" w:cs="Arial"/>
          <w:sz w:val="22"/>
          <w:szCs w:val="22"/>
        </w:rPr>
        <w:t>the associa</w:t>
      </w:r>
      <w:r w:rsidR="00F44F4B" w:rsidRPr="00040AA9">
        <w:rPr>
          <w:rFonts w:ascii="Arial" w:hAnsi="Arial" w:cs="Arial"/>
          <w:sz w:val="22"/>
          <w:szCs w:val="22"/>
        </w:rPr>
        <w:t>ted O</w:t>
      </w:r>
      <w:r w:rsidR="0065589C" w:rsidRPr="00040AA9">
        <w:rPr>
          <w:rFonts w:ascii="Arial" w:hAnsi="Arial" w:cs="Arial"/>
          <w:sz w:val="22"/>
          <w:szCs w:val="22"/>
        </w:rPr>
        <w:t>utput</w:t>
      </w:r>
      <w:r w:rsidR="005A2DAF" w:rsidRPr="00040AA9">
        <w:rPr>
          <w:rFonts w:ascii="Arial" w:hAnsi="Arial" w:cs="Arial"/>
          <w:sz w:val="22"/>
          <w:szCs w:val="22"/>
        </w:rPr>
        <w:t xml:space="preserve"> (III.3)</w:t>
      </w:r>
      <w:r w:rsidR="0065589C" w:rsidRPr="00040AA9">
        <w:rPr>
          <w:rFonts w:ascii="Arial" w:hAnsi="Arial" w:cs="Arial"/>
          <w:sz w:val="22"/>
          <w:szCs w:val="22"/>
        </w:rPr>
        <w:t xml:space="preserve"> and their indicators reflect the ongoing difficulties t</w:t>
      </w:r>
      <w:r w:rsidR="002707FE" w:rsidRPr="00040AA9">
        <w:rPr>
          <w:rFonts w:ascii="Arial" w:hAnsi="Arial" w:cs="Arial"/>
          <w:sz w:val="22"/>
          <w:szCs w:val="22"/>
        </w:rPr>
        <w:t xml:space="preserve">hat the </w:t>
      </w:r>
      <w:proofErr w:type="spellStart"/>
      <w:r w:rsidR="002707FE" w:rsidRPr="00040AA9">
        <w:rPr>
          <w:rFonts w:ascii="Arial" w:hAnsi="Arial" w:cs="Arial"/>
          <w:sz w:val="22"/>
          <w:szCs w:val="22"/>
        </w:rPr>
        <w:t>M</w:t>
      </w:r>
      <w:r w:rsidR="007E39BD">
        <w:rPr>
          <w:rFonts w:ascii="Arial" w:hAnsi="Arial" w:cs="Arial"/>
          <w:sz w:val="22"/>
          <w:szCs w:val="22"/>
        </w:rPr>
        <w:t>oF</w:t>
      </w:r>
      <w:proofErr w:type="spellEnd"/>
      <w:r w:rsidR="002707FE" w:rsidRPr="00040AA9">
        <w:rPr>
          <w:rFonts w:ascii="Arial" w:hAnsi="Arial" w:cs="Arial"/>
          <w:sz w:val="22"/>
          <w:szCs w:val="22"/>
        </w:rPr>
        <w:t xml:space="preserve"> has</w:t>
      </w:r>
      <w:r w:rsidR="0065589C" w:rsidRPr="00040AA9">
        <w:rPr>
          <w:rFonts w:ascii="Arial" w:hAnsi="Arial" w:cs="Arial"/>
          <w:sz w:val="22"/>
          <w:szCs w:val="22"/>
        </w:rPr>
        <w:t xml:space="preserve"> in the fiscal oversight of the </w:t>
      </w:r>
      <w:r w:rsidR="00800B2A">
        <w:rPr>
          <w:rFonts w:ascii="Arial" w:hAnsi="Arial" w:cs="Arial"/>
          <w:sz w:val="22"/>
          <w:szCs w:val="22"/>
        </w:rPr>
        <w:t>PBs</w:t>
      </w:r>
      <w:r w:rsidR="0065589C" w:rsidRPr="00040AA9">
        <w:rPr>
          <w:rFonts w:ascii="Arial" w:hAnsi="Arial" w:cs="Arial"/>
          <w:sz w:val="22"/>
          <w:szCs w:val="22"/>
        </w:rPr>
        <w:t xml:space="preserve">. </w:t>
      </w:r>
      <w:r w:rsidR="003B3384" w:rsidRPr="00040AA9">
        <w:rPr>
          <w:rFonts w:ascii="Arial" w:hAnsi="Arial" w:cs="Arial"/>
          <w:sz w:val="22"/>
          <w:szCs w:val="22"/>
        </w:rPr>
        <w:t xml:space="preserve">Note that </w:t>
      </w:r>
      <w:r w:rsidR="009B5B6F" w:rsidRPr="00040AA9">
        <w:rPr>
          <w:rFonts w:ascii="Arial" w:hAnsi="Arial" w:cs="Arial"/>
          <w:sz w:val="22"/>
          <w:szCs w:val="22"/>
        </w:rPr>
        <w:t>related O</w:t>
      </w:r>
      <w:r w:rsidR="00403A36" w:rsidRPr="00040AA9">
        <w:rPr>
          <w:rFonts w:ascii="Arial" w:hAnsi="Arial" w:cs="Arial"/>
          <w:sz w:val="22"/>
          <w:szCs w:val="22"/>
        </w:rPr>
        <w:t xml:space="preserve">utcomes </w:t>
      </w:r>
      <w:r w:rsidR="00B020CE" w:rsidRPr="00040AA9">
        <w:rPr>
          <w:rFonts w:ascii="Arial" w:hAnsi="Arial" w:cs="Arial"/>
          <w:sz w:val="22"/>
          <w:szCs w:val="22"/>
        </w:rPr>
        <w:t>III.</w:t>
      </w:r>
      <w:r w:rsidR="00403A36" w:rsidRPr="00040AA9">
        <w:rPr>
          <w:rFonts w:ascii="Arial" w:hAnsi="Arial" w:cs="Arial"/>
          <w:sz w:val="22"/>
          <w:szCs w:val="22"/>
        </w:rPr>
        <w:t xml:space="preserve">14 and </w:t>
      </w:r>
      <w:r w:rsidR="00B020CE" w:rsidRPr="00040AA9">
        <w:rPr>
          <w:rFonts w:ascii="Arial" w:hAnsi="Arial" w:cs="Arial"/>
          <w:sz w:val="22"/>
          <w:szCs w:val="22"/>
        </w:rPr>
        <w:t>III.</w:t>
      </w:r>
      <w:r w:rsidR="00403A36" w:rsidRPr="00040AA9">
        <w:rPr>
          <w:rFonts w:ascii="Arial" w:hAnsi="Arial" w:cs="Arial"/>
          <w:sz w:val="22"/>
          <w:szCs w:val="22"/>
        </w:rPr>
        <w:t xml:space="preserve">15 in Table 2 display </w:t>
      </w:r>
      <w:r w:rsidR="003B3384" w:rsidRPr="00040AA9">
        <w:rPr>
          <w:rFonts w:ascii="Arial" w:hAnsi="Arial" w:cs="Arial"/>
          <w:sz w:val="22"/>
          <w:szCs w:val="22"/>
        </w:rPr>
        <w:t>similar results</w:t>
      </w:r>
      <w:r w:rsidR="00403A36" w:rsidRPr="00040AA9">
        <w:rPr>
          <w:rFonts w:ascii="Arial" w:hAnsi="Arial" w:cs="Arial"/>
          <w:sz w:val="22"/>
          <w:szCs w:val="22"/>
        </w:rPr>
        <w:t>.</w:t>
      </w:r>
      <w:r w:rsidR="00E20DA5" w:rsidRPr="00040AA9">
        <w:rPr>
          <w:rFonts w:ascii="Arial" w:hAnsi="Arial" w:cs="Arial"/>
          <w:sz w:val="22"/>
          <w:szCs w:val="22"/>
        </w:rPr>
        <w:t xml:space="preserve"> </w:t>
      </w:r>
      <w:r w:rsidR="00423BD0" w:rsidRPr="00040AA9">
        <w:rPr>
          <w:rFonts w:ascii="Arial" w:hAnsi="Arial" w:cs="Arial"/>
          <w:sz w:val="22"/>
          <w:szCs w:val="22"/>
        </w:rPr>
        <w:t xml:space="preserve">Due to the relative size and fiscal importance of the </w:t>
      </w:r>
      <w:r w:rsidR="005442E2">
        <w:rPr>
          <w:rFonts w:ascii="Arial" w:hAnsi="Arial" w:cs="Arial"/>
          <w:sz w:val="22"/>
          <w:szCs w:val="22"/>
        </w:rPr>
        <w:t>s</w:t>
      </w:r>
      <w:r w:rsidR="00423BD0" w:rsidRPr="00040AA9">
        <w:rPr>
          <w:rFonts w:ascii="Arial" w:hAnsi="Arial" w:cs="Arial"/>
          <w:sz w:val="22"/>
          <w:szCs w:val="22"/>
        </w:rPr>
        <w:t>elf-financing P</w:t>
      </w:r>
      <w:r w:rsidR="005442E2">
        <w:rPr>
          <w:rFonts w:ascii="Arial" w:hAnsi="Arial" w:cs="Arial"/>
          <w:sz w:val="22"/>
          <w:szCs w:val="22"/>
        </w:rPr>
        <w:t>Bs</w:t>
      </w:r>
      <w:r w:rsidR="00C276A8" w:rsidRPr="00040AA9">
        <w:rPr>
          <w:rFonts w:ascii="Arial" w:hAnsi="Arial" w:cs="Arial"/>
          <w:sz w:val="22"/>
          <w:szCs w:val="22"/>
        </w:rPr>
        <w:t xml:space="preserve">, as well as their relatively greater technical capacity </w:t>
      </w:r>
      <w:r w:rsidR="00403A36" w:rsidRPr="00040AA9">
        <w:rPr>
          <w:rFonts w:ascii="Arial" w:hAnsi="Arial" w:cs="Arial"/>
          <w:sz w:val="22"/>
          <w:szCs w:val="22"/>
        </w:rPr>
        <w:t>to prepare financial statements,</w:t>
      </w:r>
      <w:r w:rsidR="00423BD0" w:rsidRPr="00040AA9">
        <w:rPr>
          <w:rFonts w:ascii="Arial" w:hAnsi="Arial" w:cs="Arial"/>
          <w:sz w:val="22"/>
          <w:szCs w:val="22"/>
        </w:rPr>
        <w:t xml:space="preserve"> </w:t>
      </w:r>
      <w:r w:rsidR="00C276A8" w:rsidRPr="00040AA9">
        <w:rPr>
          <w:rFonts w:ascii="Arial" w:hAnsi="Arial" w:cs="Arial"/>
          <w:sz w:val="22"/>
          <w:szCs w:val="22"/>
        </w:rPr>
        <w:t>the</w:t>
      </w:r>
      <w:r w:rsidR="002707FE" w:rsidRPr="00040AA9">
        <w:rPr>
          <w:rFonts w:ascii="Arial" w:hAnsi="Arial" w:cs="Arial"/>
          <w:sz w:val="22"/>
          <w:szCs w:val="22"/>
        </w:rPr>
        <w:t xml:space="preserve">y report much more completely and opportunely than the </w:t>
      </w:r>
      <w:r w:rsidR="005442E2">
        <w:rPr>
          <w:rFonts w:ascii="Arial" w:hAnsi="Arial" w:cs="Arial"/>
          <w:sz w:val="22"/>
          <w:szCs w:val="22"/>
        </w:rPr>
        <w:t>n</w:t>
      </w:r>
      <w:r w:rsidR="002707FE" w:rsidRPr="00040AA9">
        <w:rPr>
          <w:rFonts w:ascii="Arial" w:hAnsi="Arial" w:cs="Arial"/>
          <w:sz w:val="22"/>
          <w:szCs w:val="22"/>
        </w:rPr>
        <w:t xml:space="preserve">on-self-financing PBs. </w:t>
      </w:r>
      <w:r w:rsidR="005627EC" w:rsidRPr="00040AA9">
        <w:rPr>
          <w:rFonts w:ascii="Arial" w:hAnsi="Arial" w:cs="Arial"/>
          <w:sz w:val="22"/>
          <w:szCs w:val="22"/>
        </w:rPr>
        <w:t>Nonetheless, a</w:t>
      </w:r>
      <w:r w:rsidR="00A2063D" w:rsidRPr="00040AA9">
        <w:rPr>
          <w:rFonts w:ascii="Arial" w:hAnsi="Arial" w:cs="Arial"/>
          <w:sz w:val="22"/>
          <w:szCs w:val="22"/>
        </w:rPr>
        <w:t xml:space="preserve">s noted in Table 2, only about half of the </w:t>
      </w:r>
      <w:r w:rsidR="005442E2">
        <w:rPr>
          <w:rFonts w:ascii="Arial" w:hAnsi="Arial" w:cs="Arial"/>
          <w:sz w:val="22"/>
          <w:szCs w:val="22"/>
        </w:rPr>
        <w:t>self-financi</w:t>
      </w:r>
      <w:r w:rsidR="00786D66">
        <w:rPr>
          <w:rFonts w:ascii="Arial" w:hAnsi="Arial" w:cs="Arial"/>
          <w:sz w:val="22"/>
          <w:szCs w:val="22"/>
        </w:rPr>
        <w:t>ng</w:t>
      </w:r>
      <w:r w:rsidR="005442E2">
        <w:rPr>
          <w:rFonts w:ascii="Arial" w:hAnsi="Arial" w:cs="Arial"/>
          <w:sz w:val="22"/>
          <w:szCs w:val="22"/>
        </w:rPr>
        <w:t xml:space="preserve"> </w:t>
      </w:r>
      <w:r w:rsidR="00A2063D" w:rsidRPr="00040AA9">
        <w:rPr>
          <w:rFonts w:ascii="Arial" w:hAnsi="Arial" w:cs="Arial"/>
          <w:sz w:val="22"/>
          <w:szCs w:val="22"/>
        </w:rPr>
        <w:t xml:space="preserve">PBs </w:t>
      </w:r>
      <w:r w:rsidR="005627EC" w:rsidRPr="00040AA9">
        <w:rPr>
          <w:rFonts w:ascii="Arial" w:hAnsi="Arial" w:cs="Arial"/>
          <w:sz w:val="22"/>
          <w:szCs w:val="22"/>
        </w:rPr>
        <w:t>were reporting</w:t>
      </w:r>
      <w:r w:rsidR="00A2063D" w:rsidRPr="00040AA9">
        <w:rPr>
          <w:rFonts w:ascii="Arial" w:hAnsi="Arial" w:cs="Arial"/>
          <w:sz w:val="22"/>
          <w:szCs w:val="22"/>
        </w:rPr>
        <w:t xml:space="preserve"> on </w:t>
      </w:r>
      <w:r w:rsidR="00CF58BB" w:rsidRPr="00040AA9">
        <w:rPr>
          <w:rFonts w:ascii="Arial" w:hAnsi="Arial" w:cs="Arial"/>
          <w:sz w:val="22"/>
          <w:szCs w:val="22"/>
        </w:rPr>
        <w:t xml:space="preserve">by the FY 2015/16 target year, </w:t>
      </w:r>
      <w:r w:rsidR="00A2063D" w:rsidRPr="00040AA9">
        <w:rPr>
          <w:rFonts w:ascii="Arial" w:hAnsi="Arial" w:cs="Arial"/>
          <w:sz w:val="22"/>
          <w:szCs w:val="22"/>
        </w:rPr>
        <w:t xml:space="preserve">while </w:t>
      </w:r>
      <w:r w:rsidR="00CF58BB" w:rsidRPr="00040AA9">
        <w:rPr>
          <w:rFonts w:ascii="Arial" w:hAnsi="Arial" w:cs="Arial"/>
          <w:sz w:val="22"/>
          <w:szCs w:val="22"/>
        </w:rPr>
        <w:t xml:space="preserve">very little financial information on the </w:t>
      </w:r>
      <w:r w:rsidR="005442E2">
        <w:rPr>
          <w:rFonts w:ascii="Arial" w:hAnsi="Arial" w:cs="Arial"/>
          <w:sz w:val="22"/>
          <w:szCs w:val="22"/>
        </w:rPr>
        <w:t>non-self-financi</w:t>
      </w:r>
      <w:r w:rsidR="008C5904">
        <w:rPr>
          <w:rFonts w:ascii="Arial" w:hAnsi="Arial" w:cs="Arial"/>
          <w:sz w:val="22"/>
          <w:szCs w:val="22"/>
        </w:rPr>
        <w:t>ng</w:t>
      </w:r>
      <w:r w:rsidR="005442E2">
        <w:rPr>
          <w:rFonts w:ascii="Arial" w:hAnsi="Arial" w:cs="Arial"/>
          <w:sz w:val="22"/>
          <w:szCs w:val="22"/>
        </w:rPr>
        <w:t xml:space="preserve"> </w:t>
      </w:r>
      <w:r w:rsidR="00A2063D" w:rsidRPr="00040AA9">
        <w:rPr>
          <w:rFonts w:ascii="Arial" w:hAnsi="Arial" w:cs="Arial"/>
          <w:sz w:val="22"/>
          <w:szCs w:val="22"/>
        </w:rPr>
        <w:t>PB</w:t>
      </w:r>
      <w:r w:rsidR="00CF58BB" w:rsidRPr="00040AA9">
        <w:rPr>
          <w:rFonts w:ascii="Arial" w:hAnsi="Arial" w:cs="Arial"/>
          <w:sz w:val="22"/>
          <w:szCs w:val="22"/>
        </w:rPr>
        <w:t xml:space="preserve">s was even being collected </w:t>
      </w:r>
      <w:r w:rsidR="005627EC" w:rsidRPr="00040AA9">
        <w:rPr>
          <w:rFonts w:ascii="Arial" w:hAnsi="Arial" w:cs="Arial"/>
          <w:sz w:val="22"/>
          <w:szCs w:val="22"/>
        </w:rPr>
        <w:t xml:space="preserve">due to </w:t>
      </w:r>
      <w:r w:rsidR="005627EC" w:rsidRPr="008C5904">
        <w:rPr>
          <w:rFonts w:ascii="Arial" w:hAnsi="Arial" w:cs="Arial"/>
          <w:sz w:val="22"/>
          <w:szCs w:val="22"/>
        </w:rPr>
        <w:t xml:space="preserve">the </w:t>
      </w:r>
      <w:r w:rsidR="008C5904" w:rsidRPr="00D64D1A">
        <w:rPr>
          <w:rFonts w:ascii="Arial" w:hAnsi="Arial" w:cs="Arial"/>
          <w:sz w:val="22"/>
          <w:szCs w:val="22"/>
        </w:rPr>
        <w:t>formal responsibility for this function falling within the purview of another Division of the MOPFS and</w:t>
      </w:r>
      <w:r w:rsidR="008C5904" w:rsidRPr="00D64D1A">
        <w:rPr>
          <w:rFonts w:ascii="Arial" w:hAnsi="Arial" w:cs="Arial"/>
          <w:spacing w:val="-6"/>
          <w:sz w:val="22"/>
          <w:szCs w:val="22"/>
        </w:rPr>
        <w:t xml:space="preserve"> the</w:t>
      </w:r>
      <w:r w:rsidR="008C5904" w:rsidRPr="008C5904">
        <w:rPr>
          <w:rFonts w:ascii="Arial" w:hAnsi="Arial" w:cs="Arial"/>
          <w:sz w:val="22"/>
          <w:szCs w:val="22"/>
        </w:rPr>
        <w:t xml:space="preserve"> </w:t>
      </w:r>
      <w:r w:rsidR="00DD6586" w:rsidRPr="008C5904">
        <w:rPr>
          <w:rFonts w:ascii="Arial" w:hAnsi="Arial" w:cs="Arial"/>
          <w:sz w:val="22"/>
          <w:szCs w:val="22"/>
        </w:rPr>
        <w:t>Public Enterprise Division’s (</w:t>
      </w:r>
      <w:r w:rsidR="005627EC" w:rsidRPr="001322C1">
        <w:rPr>
          <w:rFonts w:ascii="Arial" w:hAnsi="Arial" w:cs="Arial"/>
          <w:sz w:val="22"/>
          <w:szCs w:val="22"/>
        </w:rPr>
        <w:t>PED</w:t>
      </w:r>
      <w:r w:rsidR="00DD6586" w:rsidRPr="001322C1">
        <w:rPr>
          <w:rFonts w:ascii="Arial" w:hAnsi="Arial" w:cs="Arial"/>
          <w:sz w:val="22"/>
          <w:szCs w:val="22"/>
        </w:rPr>
        <w:t>)</w:t>
      </w:r>
      <w:r w:rsidR="005627EC" w:rsidRPr="00DE6CB1">
        <w:rPr>
          <w:rFonts w:ascii="Arial" w:hAnsi="Arial" w:cs="Arial"/>
          <w:sz w:val="22"/>
          <w:szCs w:val="22"/>
        </w:rPr>
        <w:t xml:space="preserve"> concentration of its limited manpower on</w:t>
      </w:r>
      <w:r w:rsidR="005627EC" w:rsidRPr="00040AA9">
        <w:rPr>
          <w:rFonts w:ascii="Arial" w:hAnsi="Arial" w:cs="Arial"/>
          <w:sz w:val="22"/>
          <w:szCs w:val="22"/>
        </w:rPr>
        <w:t xml:space="preserve"> the </w:t>
      </w:r>
      <w:r w:rsidR="005442E2">
        <w:rPr>
          <w:rFonts w:ascii="Arial" w:hAnsi="Arial" w:cs="Arial"/>
          <w:sz w:val="22"/>
          <w:szCs w:val="22"/>
        </w:rPr>
        <w:t>self-financi</w:t>
      </w:r>
      <w:r w:rsidR="008C5904">
        <w:rPr>
          <w:rFonts w:ascii="Arial" w:hAnsi="Arial" w:cs="Arial"/>
          <w:sz w:val="22"/>
          <w:szCs w:val="22"/>
        </w:rPr>
        <w:t>ng</w:t>
      </w:r>
      <w:r w:rsidR="005442E2">
        <w:rPr>
          <w:rFonts w:ascii="Arial" w:hAnsi="Arial" w:cs="Arial"/>
          <w:sz w:val="22"/>
          <w:szCs w:val="22"/>
        </w:rPr>
        <w:t xml:space="preserve"> P</w:t>
      </w:r>
      <w:r w:rsidR="005627EC" w:rsidRPr="00040AA9">
        <w:rPr>
          <w:rFonts w:ascii="Arial" w:hAnsi="Arial" w:cs="Arial"/>
          <w:sz w:val="22"/>
          <w:szCs w:val="22"/>
        </w:rPr>
        <w:t xml:space="preserve">Bs. </w:t>
      </w:r>
      <w:r w:rsidR="00620104" w:rsidRPr="00040AA9">
        <w:rPr>
          <w:rFonts w:ascii="Arial" w:hAnsi="Arial" w:cs="Arial"/>
          <w:sz w:val="22"/>
          <w:szCs w:val="22"/>
        </w:rPr>
        <w:t xml:space="preserve">This area of PB reform has received and continues to receive a great deal of attention by the IMF as well, and further reform initiatives </w:t>
      </w:r>
      <w:r w:rsidR="00F00B8A">
        <w:rPr>
          <w:rFonts w:ascii="Arial" w:hAnsi="Arial" w:cs="Arial"/>
          <w:sz w:val="22"/>
          <w:szCs w:val="22"/>
        </w:rPr>
        <w:t>were included in</w:t>
      </w:r>
      <w:r w:rsidR="00853179" w:rsidRPr="00040AA9">
        <w:rPr>
          <w:rFonts w:ascii="Arial" w:hAnsi="Arial" w:cs="Arial"/>
          <w:sz w:val="22"/>
          <w:szCs w:val="22"/>
        </w:rPr>
        <w:t xml:space="preserve"> the </w:t>
      </w:r>
      <w:r w:rsidR="00AC7C08" w:rsidRPr="00040AA9">
        <w:rPr>
          <w:rFonts w:ascii="Arial" w:hAnsi="Arial" w:cs="Arial"/>
          <w:sz w:val="22"/>
          <w:szCs w:val="22"/>
        </w:rPr>
        <w:t>S</w:t>
      </w:r>
      <w:r w:rsidR="005442E2">
        <w:rPr>
          <w:rFonts w:ascii="Arial" w:hAnsi="Arial" w:cs="Arial"/>
          <w:sz w:val="22"/>
          <w:szCs w:val="22"/>
        </w:rPr>
        <w:t>BA</w:t>
      </w:r>
      <w:r w:rsidR="00AC7C08" w:rsidRPr="00040AA9">
        <w:rPr>
          <w:rFonts w:ascii="Arial" w:hAnsi="Arial" w:cs="Arial"/>
          <w:sz w:val="22"/>
          <w:szCs w:val="22"/>
        </w:rPr>
        <w:t xml:space="preserve"> signed in November</w:t>
      </w:r>
      <w:r w:rsidR="005442E2">
        <w:rPr>
          <w:rFonts w:ascii="Arial" w:hAnsi="Arial" w:cs="Arial"/>
          <w:sz w:val="22"/>
          <w:szCs w:val="22"/>
        </w:rPr>
        <w:t> </w:t>
      </w:r>
      <w:r w:rsidR="00AC7C08" w:rsidRPr="00040AA9">
        <w:rPr>
          <w:rFonts w:ascii="Arial" w:hAnsi="Arial" w:cs="Arial"/>
          <w:sz w:val="22"/>
          <w:szCs w:val="22"/>
        </w:rPr>
        <w:t>2016.</w:t>
      </w:r>
    </w:p>
    <w:p w14:paraId="2C737E44" w14:textId="7B4F36A3" w:rsidR="007954DC" w:rsidRPr="00040AA9" w:rsidRDefault="00D0139C" w:rsidP="00040AA9">
      <w:pPr>
        <w:suppressAutoHyphens/>
        <w:spacing w:before="120" w:after="120"/>
        <w:jc w:val="both"/>
        <w:rPr>
          <w:rFonts w:ascii="Arial" w:hAnsi="Arial" w:cs="Arial"/>
          <w:b/>
          <w:sz w:val="22"/>
          <w:szCs w:val="22"/>
        </w:rPr>
      </w:pPr>
      <w:r w:rsidRPr="00040AA9">
        <w:rPr>
          <w:rFonts w:ascii="Arial" w:hAnsi="Arial" w:cs="Arial"/>
          <w:b/>
          <w:sz w:val="22"/>
          <w:szCs w:val="22"/>
        </w:rPr>
        <w:t>Specific objective</w:t>
      </w:r>
      <w:r w:rsidR="00350FE4">
        <w:rPr>
          <w:rFonts w:ascii="Arial" w:hAnsi="Arial" w:cs="Arial"/>
          <w:b/>
          <w:sz w:val="22"/>
          <w:szCs w:val="22"/>
        </w:rPr>
        <w:t>:</w:t>
      </w:r>
      <w:r w:rsidRPr="00040AA9">
        <w:rPr>
          <w:rFonts w:ascii="Arial" w:hAnsi="Arial" w:cs="Arial"/>
          <w:b/>
          <w:sz w:val="22"/>
          <w:szCs w:val="22"/>
        </w:rPr>
        <w:t xml:space="preserve"> </w:t>
      </w:r>
      <w:r w:rsidRPr="00040AA9">
        <w:rPr>
          <w:rFonts w:ascii="Arial" w:eastAsia="Times New Roman" w:hAnsi="Arial" w:cs="Arial"/>
          <w:b/>
          <w:iCs/>
          <w:color w:val="222222"/>
          <w:sz w:val="22"/>
          <w:szCs w:val="22"/>
        </w:rPr>
        <w:t>(iv)</w:t>
      </w:r>
      <w:r w:rsidRPr="00040AA9">
        <w:rPr>
          <w:rFonts w:ascii="Arial" w:hAnsi="Arial" w:cs="Arial"/>
          <w:b/>
          <w:sz w:val="22"/>
          <w:szCs w:val="22"/>
        </w:rPr>
        <w:t xml:space="preserve"> Improving the fiscal sustainability of the NIS</w:t>
      </w:r>
    </w:p>
    <w:p w14:paraId="7DE8AAA3" w14:textId="52407D43" w:rsidR="005A7DBA" w:rsidRPr="00040AA9" w:rsidRDefault="004A784E" w:rsidP="00040AA9">
      <w:pPr>
        <w:suppressAutoHyphens/>
        <w:spacing w:before="120" w:after="120"/>
        <w:ind w:left="360" w:hanging="360"/>
        <w:jc w:val="both"/>
        <w:rPr>
          <w:rFonts w:ascii="Arial" w:hAnsi="Arial" w:cs="Arial"/>
          <w:sz w:val="22"/>
          <w:szCs w:val="22"/>
        </w:rPr>
      </w:pPr>
      <w:r w:rsidRPr="00040AA9">
        <w:rPr>
          <w:rFonts w:ascii="Arial" w:hAnsi="Arial" w:cs="Arial"/>
          <w:sz w:val="22"/>
          <w:szCs w:val="22"/>
        </w:rPr>
        <w:t xml:space="preserve">a. </w:t>
      </w:r>
      <w:r w:rsidR="00350FE4">
        <w:rPr>
          <w:rFonts w:ascii="Arial" w:hAnsi="Arial" w:cs="Arial"/>
          <w:sz w:val="22"/>
          <w:szCs w:val="22"/>
        </w:rPr>
        <w:tab/>
      </w:r>
      <w:r w:rsidRPr="00040AA9">
        <w:rPr>
          <w:rFonts w:ascii="Arial" w:hAnsi="Arial" w:cs="Arial"/>
          <w:sz w:val="22"/>
          <w:szCs w:val="22"/>
        </w:rPr>
        <w:t xml:space="preserve">Decrease the NIF actuarial deficit (Outcome </w:t>
      </w:r>
      <w:r w:rsidR="00B938EC" w:rsidRPr="00040AA9">
        <w:rPr>
          <w:rFonts w:ascii="Arial" w:hAnsi="Arial" w:cs="Arial"/>
          <w:sz w:val="22"/>
          <w:szCs w:val="22"/>
        </w:rPr>
        <w:t>IV.</w:t>
      </w:r>
      <w:r w:rsidRPr="00040AA9">
        <w:rPr>
          <w:rFonts w:ascii="Arial" w:hAnsi="Arial" w:cs="Arial"/>
          <w:sz w:val="22"/>
          <w:szCs w:val="22"/>
        </w:rPr>
        <w:t>16)</w:t>
      </w:r>
      <w:r w:rsidR="00786D66">
        <w:rPr>
          <w:rFonts w:ascii="Arial" w:hAnsi="Arial" w:cs="Arial"/>
          <w:sz w:val="22"/>
          <w:szCs w:val="22"/>
        </w:rPr>
        <w:t>:</w:t>
      </w:r>
      <w:r w:rsidRPr="00040AA9">
        <w:rPr>
          <w:rFonts w:ascii="Arial" w:hAnsi="Arial" w:cs="Arial"/>
          <w:sz w:val="22"/>
          <w:szCs w:val="22"/>
        </w:rPr>
        <w:t xml:space="preserve"> Th</w:t>
      </w:r>
      <w:r w:rsidR="00F91915" w:rsidRPr="00040AA9">
        <w:rPr>
          <w:rFonts w:ascii="Arial" w:hAnsi="Arial" w:cs="Arial"/>
          <w:sz w:val="22"/>
          <w:szCs w:val="22"/>
        </w:rPr>
        <w:t xml:space="preserve">is outcome and its associated indicators </w:t>
      </w:r>
      <w:r w:rsidRPr="00040AA9">
        <w:rPr>
          <w:rFonts w:ascii="Arial" w:hAnsi="Arial" w:cs="Arial"/>
          <w:sz w:val="22"/>
          <w:szCs w:val="22"/>
        </w:rPr>
        <w:t xml:space="preserve">represent a change to the Results Matrix, as noted in Table 1 below, to account for the fact that the data </w:t>
      </w:r>
      <w:r w:rsidR="00350FE4" w:rsidRPr="00CF5903">
        <w:rPr>
          <w:rFonts w:ascii="Arial" w:hAnsi="Arial" w:cs="Arial"/>
          <w:sz w:val="22"/>
          <w:szCs w:val="22"/>
        </w:rPr>
        <w:t>for original</w:t>
      </w:r>
      <w:r w:rsidRPr="00040AA9">
        <w:rPr>
          <w:rFonts w:ascii="Arial" w:hAnsi="Arial" w:cs="Arial"/>
          <w:sz w:val="22"/>
          <w:szCs w:val="22"/>
        </w:rPr>
        <w:t xml:space="preserve"> statement of this indicator in t</w:t>
      </w:r>
      <w:r w:rsidR="00E24284" w:rsidRPr="00040AA9">
        <w:rPr>
          <w:rFonts w:ascii="Arial" w:hAnsi="Arial" w:cs="Arial"/>
          <w:sz w:val="22"/>
          <w:szCs w:val="22"/>
        </w:rPr>
        <w:t>he FISPEG II RM was definitional</w:t>
      </w:r>
      <w:r w:rsidRPr="00040AA9">
        <w:rPr>
          <w:rFonts w:ascii="Arial" w:hAnsi="Arial" w:cs="Arial"/>
          <w:sz w:val="22"/>
          <w:szCs w:val="22"/>
        </w:rPr>
        <w:t xml:space="preserve">ly inconsistent with the data used for the same indicator in the RMs of FISPEG I and III. While the amended indicators are now definitionally correct, the actual EOP values </w:t>
      </w:r>
      <w:r w:rsidR="00A95D24" w:rsidRPr="00040AA9">
        <w:rPr>
          <w:rFonts w:ascii="Arial" w:hAnsi="Arial" w:cs="Arial"/>
          <w:sz w:val="22"/>
          <w:szCs w:val="22"/>
        </w:rPr>
        <w:t xml:space="preserve">were </w:t>
      </w:r>
      <w:r w:rsidRPr="00040AA9">
        <w:rPr>
          <w:rFonts w:ascii="Arial" w:hAnsi="Arial" w:cs="Arial"/>
          <w:sz w:val="22"/>
          <w:szCs w:val="22"/>
        </w:rPr>
        <w:t xml:space="preserve">not available </w:t>
      </w:r>
      <w:r w:rsidR="00A95D24" w:rsidRPr="00040AA9">
        <w:rPr>
          <w:rFonts w:ascii="Arial" w:hAnsi="Arial" w:cs="Arial"/>
          <w:sz w:val="22"/>
          <w:szCs w:val="22"/>
        </w:rPr>
        <w:t xml:space="preserve">as of the target year of FY 2016/17, thus </w:t>
      </w:r>
      <w:r w:rsidR="00F063E5" w:rsidRPr="00040AA9">
        <w:rPr>
          <w:rFonts w:ascii="Arial" w:hAnsi="Arial" w:cs="Arial"/>
          <w:sz w:val="22"/>
          <w:szCs w:val="22"/>
        </w:rPr>
        <w:t xml:space="preserve">they had to be deactivated for quantitative analysis purposes. </w:t>
      </w:r>
      <w:r w:rsidR="00A95D24" w:rsidRPr="00040AA9">
        <w:rPr>
          <w:rFonts w:ascii="Arial" w:hAnsi="Arial" w:cs="Arial"/>
          <w:sz w:val="22"/>
          <w:szCs w:val="22"/>
        </w:rPr>
        <w:t xml:space="preserve">This </w:t>
      </w:r>
      <w:r w:rsidR="00F063E5" w:rsidRPr="00040AA9">
        <w:rPr>
          <w:rFonts w:ascii="Arial" w:hAnsi="Arial" w:cs="Arial"/>
          <w:sz w:val="22"/>
          <w:szCs w:val="22"/>
        </w:rPr>
        <w:t>classification</w:t>
      </w:r>
      <w:r w:rsidR="00624987" w:rsidRPr="00040AA9">
        <w:rPr>
          <w:rFonts w:ascii="Arial" w:hAnsi="Arial" w:cs="Arial"/>
          <w:sz w:val="22"/>
          <w:szCs w:val="22"/>
        </w:rPr>
        <w:t xml:space="preserve"> is misleading however as the NIS is actively engaged in preparing an updated actuarial analysis</w:t>
      </w:r>
      <w:r w:rsidR="000C2632" w:rsidRPr="00040AA9">
        <w:rPr>
          <w:rFonts w:ascii="Arial" w:hAnsi="Arial" w:cs="Arial"/>
          <w:sz w:val="22"/>
          <w:szCs w:val="22"/>
        </w:rPr>
        <w:t>, needed to calculate the current actuarial deficits,</w:t>
      </w:r>
      <w:r w:rsidR="00624987" w:rsidRPr="00040AA9">
        <w:rPr>
          <w:rFonts w:ascii="Arial" w:hAnsi="Arial" w:cs="Arial"/>
          <w:sz w:val="22"/>
          <w:szCs w:val="22"/>
        </w:rPr>
        <w:t xml:space="preserve"> and expects to release the findings in April 2018. Meanwhile t</w:t>
      </w:r>
      <w:r w:rsidR="000C2632" w:rsidRPr="00040AA9">
        <w:rPr>
          <w:rFonts w:ascii="Arial" w:hAnsi="Arial" w:cs="Arial"/>
          <w:sz w:val="22"/>
          <w:szCs w:val="22"/>
        </w:rPr>
        <w:t xml:space="preserve">he NIS </w:t>
      </w:r>
      <w:r w:rsidR="00D51088" w:rsidRPr="00040AA9">
        <w:rPr>
          <w:rFonts w:ascii="Arial" w:hAnsi="Arial" w:cs="Arial"/>
          <w:sz w:val="22"/>
          <w:szCs w:val="22"/>
        </w:rPr>
        <w:t xml:space="preserve">has collaborated actively with Bank consultants in preparing a position paper for reform of the System, which has been approved (Output </w:t>
      </w:r>
      <w:r w:rsidR="00375897" w:rsidRPr="00040AA9">
        <w:rPr>
          <w:rFonts w:ascii="Arial" w:hAnsi="Arial" w:cs="Arial"/>
          <w:sz w:val="22"/>
          <w:szCs w:val="22"/>
        </w:rPr>
        <w:t xml:space="preserve">IV.1). The NIS is also actively engaged in </w:t>
      </w:r>
      <w:r w:rsidR="00504B71" w:rsidRPr="00040AA9">
        <w:rPr>
          <w:rFonts w:ascii="Arial" w:hAnsi="Arial" w:cs="Arial"/>
          <w:sz w:val="22"/>
          <w:szCs w:val="22"/>
        </w:rPr>
        <w:t xml:space="preserve">a related Bank-sponsored initiative </w:t>
      </w:r>
      <w:r w:rsidR="00D610EC">
        <w:rPr>
          <w:rFonts w:ascii="Arial" w:hAnsi="Arial" w:cs="Arial"/>
          <w:sz w:val="22"/>
          <w:szCs w:val="22"/>
        </w:rPr>
        <w:t>to</w:t>
      </w:r>
      <w:r w:rsidR="00504B71" w:rsidRPr="00040AA9">
        <w:rPr>
          <w:rFonts w:ascii="Arial" w:hAnsi="Arial" w:cs="Arial"/>
          <w:sz w:val="22"/>
          <w:szCs w:val="22"/>
        </w:rPr>
        <w:t xml:space="preserve"> </w:t>
      </w:r>
      <w:r w:rsidR="00375897" w:rsidRPr="00040AA9">
        <w:rPr>
          <w:rFonts w:ascii="Arial" w:hAnsi="Arial" w:cs="Arial"/>
          <w:sz w:val="22"/>
          <w:szCs w:val="22"/>
        </w:rPr>
        <w:t>moderniz</w:t>
      </w:r>
      <w:r w:rsidR="00D610EC">
        <w:rPr>
          <w:rFonts w:ascii="Arial" w:hAnsi="Arial" w:cs="Arial"/>
          <w:sz w:val="22"/>
          <w:szCs w:val="22"/>
        </w:rPr>
        <w:t>e</w:t>
      </w:r>
      <w:r w:rsidR="00375897" w:rsidRPr="00040AA9">
        <w:rPr>
          <w:rFonts w:ascii="Arial" w:hAnsi="Arial" w:cs="Arial"/>
          <w:sz w:val="22"/>
          <w:szCs w:val="22"/>
        </w:rPr>
        <w:t xml:space="preserve"> its automated records processing capacity</w:t>
      </w:r>
      <w:r w:rsidR="00E24284" w:rsidRPr="00040AA9">
        <w:rPr>
          <w:rFonts w:ascii="Arial" w:hAnsi="Arial" w:cs="Arial"/>
          <w:sz w:val="22"/>
          <w:szCs w:val="22"/>
        </w:rPr>
        <w:t xml:space="preserve">, and because of this transition was unable to provide information on related Outcome </w:t>
      </w:r>
      <w:r w:rsidR="0021619E" w:rsidRPr="00040AA9">
        <w:rPr>
          <w:rFonts w:ascii="Arial" w:hAnsi="Arial" w:cs="Arial"/>
          <w:sz w:val="22"/>
          <w:szCs w:val="22"/>
        </w:rPr>
        <w:t>IV.</w:t>
      </w:r>
      <w:r w:rsidR="00E24284" w:rsidRPr="00040AA9">
        <w:rPr>
          <w:rFonts w:ascii="Arial" w:hAnsi="Arial" w:cs="Arial"/>
          <w:sz w:val="22"/>
          <w:szCs w:val="22"/>
        </w:rPr>
        <w:t xml:space="preserve">17 (see Table 2) which calls for </w:t>
      </w:r>
      <w:r w:rsidR="00B94097" w:rsidRPr="00040AA9">
        <w:rPr>
          <w:rFonts w:ascii="Arial" w:hAnsi="Arial" w:cs="Arial"/>
          <w:sz w:val="22"/>
          <w:szCs w:val="22"/>
        </w:rPr>
        <w:t xml:space="preserve">documenting the decrease in time taken for pensions claims processing. In short, much is being done to improve NIS fiscal sustainability, however it is taking longer than anticipated. FISPEG </w:t>
      </w:r>
      <w:r w:rsidR="008473EF" w:rsidRPr="00040AA9">
        <w:rPr>
          <w:rFonts w:ascii="Arial" w:hAnsi="Arial" w:cs="Arial"/>
          <w:sz w:val="22"/>
          <w:szCs w:val="22"/>
        </w:rPr>
        <w:t>deserves a lot of credit for launching and supporting these initiatives even if they had not yielded the intended results by the FY 201</w:t>
      </w:r>
      <w:r w:rsidR="00F5567E" w:rsidRPr="00040AA9">
        <w:rPr>
          <w:rFonts w:ascii="Arial" w:hAnsi="Arial" w:cs="Arial"/>
          <w:sz w:val="22"/>
          <w:szCs w:val="22"/>
        </w:rPr>
        <w:t xml:space="preserve">6/17 </w:t>
      </w:r>
      <w:r w:rsidR="008473EF" w:rsidRPr="00040AA9">
        <w:rPr>
          <w:rFonts w:ascii="Arial" w:hAnsi="Arial" w:cs="Arial"/>
          <w:sz w:val="22"/>
          <w:szCs w:val="22"/>
        </w:rPr>
        <w:t>target year</w:t>
      </w:r>
      <w:r w:rsidR="00F5567E" w:rsidRPr="00040AA9">
        <w:rPr>
          <w:rFonts w:ascii="Arial" w:hAnsi="Arial" w:cs="Arial"/>
          <w:sz w:val="22"/>
          <w:szCs w:val="22"/>
        </w:rPr>
        <w:t>.</w:t>
      </w:r>
    </w:p>
    <w:p w14:paraId="53247401" w14:textId="2032E501" w:rsidR="005061D9" w:rsidRPr="00040AA9" w:rsidRDefault="00611BE0" w:rsidP="00040AA9">
      <w:pPr>
        <w:suppressAutoHyphens/>
        <w:spacing w:before="120" w:after="120"/>
        <w:ind w:left="288" w:hanging="288"/>
        <w:jc w:val="both"/>
        <w:rPr>
          <w:rFonts w:ascii="Arial" w:hAnsi="Arial" w:cs="Arial"/>
          <w:b/>
          <w:sz w:val="22"/>
          <w:szCs w:val="22"/>
        </w:rPr>
      </w:pPr>
      <w:r w:rsidRPr="00040AA9">
        <w:rPr>
          <w:rFonts w:ascii="Arial" w:hAnsi="Arial" w:cs="Arial"/>
          <w:b/>
          <w:sz w:val="22"/>
          <w:szCs w:val="22"/>
        </w:rPr>
        <w:t>Specific objective</w:t>
      </w:r>
      <w:r w:rsidR="00350FE4">
        <w:rPr>
          <w:rFonts w:ascii="Arial" w:hAnsi="Arial" w:cs="Arial"/>
          <w:b/>
          <w:sz w:val="22"/>
          <w:szCs w:val="22"/>
        </w:rPr>
        <w:t>:</w:t>
      </w:r>
      <w:r w:rsidRPr="00040AA9">
        <w:rPr>
          <w:rFonts w:ascii="Arial" w:hAnsi="Arial" w:cs="Arial"/>
          <w:b/>
          <w:sz w:val="22"/>
          <w:szCs w:val="22"/>
        </w:rPr>
        <w:t xml:space="preserve"> </w:t>
      </w:r>
      <w:r w:rsidRPr="00040AA9">
        <w:rPr>
          <w:rFonts w:ascii="Arial" w:eastAsia="Times New Roman" w:hAnsi="Arial" w:cs="Arial"/>
          <w:b/>
          <w:iCs/>
          <w:color w:val="222222"/>
          <w:sz w:val="22"/>
          <w:szCs w:val="22"/>
        </w:rPr>
        <w:t xml:space="preserve">(v) </w:t>
      </w:r>
      <w:r w:rsidRPr="00040AA9">
        <w:rPr>
          <w:rFonts w:ascii="Arial" w:hAnsi="Arial" w:cs="Arial"/>
          <w:b/>
          <w:sz w:val="22"/>
          <w:szCs w:val="22"/>
        </w:rPr>
        <w:t>Strengthening the F</w:t>
      </w:r>
      <w:r w:rsidR="005442E2">
        <w:rPr>
          <w:rFonts w:ascii="Arial" w:hAnsi="Arial" w:cs="Arial"/>
          <w:b/>
          <w:sz w:val="22"/>
          <w:szCs w:val="22"/>
        </w:rPr>
        <w:t>RF</w:t>
      </w:r>
    </w:p>
    <w:p w14:paraId="3723C76C" w14:textId="0F125DAB" w:rsidR="00EB0F25" w:rsidRPr="00040AA9" w:rsidRDefault="00526012" w:rsidP="00040AA9">
      <w:pPr>
        <w:pStyle w:val="p1"/>
        <w:suppressAutoHyphens/>
        <w:spacing w:before="120" w:after="120"/>
        <w:ind w:left="360" w:hanging="360"/>
        <w:jc w:val="both"/>
        <w:rPr>
          <w:rFonts w:ascii="Arial" w:hAnsi="Arial" w:cs="Arial"/>
          <w:sz w:val="22"/>
          <w:szCs w:val="22"/>
        </w:rPr>
      </w:pPr>
      <w:r w:rsidRPr="00040AA9">
        <w:rPr>
          <w:rFonts w:ascii="Arial" w:hAnsi="Arial" w:cs="Arial"/>
          <w:sz w:val="22"/>
          <w:szCs w:val="22"/>
        </w:rPr>
        <w:t xml:space="preserve">a. </w:t>
      </w:r>
      <w:r w:rsidR="00350FE4">
        <w:rPr>
          <w:rFonts w:ascii="Arial" w:hAnsi="Arial" w:cs="Arial"/>
          <w:sz w:val="22"/>
          <w:szCs w:val="22"/>
        </w:rPr>
        <w:tab/>
      </w:r>
      <w:r w:rsidRPr="00040AA9">
        <w:rPr>
          <w:rFonts w:ascii="Arial" w:hAnsi="Arial" w:cs="Arial"/>
          <w:sz w:val="22"/>
          <w:szCs w:val="22"/>
        </w:rPr>
        <w:t>Decrease delay in implementing corrective measures to address deviations from budget</w:t>
      </w:r>
      <w:r w:rsidRPr="00040AA9">
        <w:rPr>
          <w:rFonts w:ascii="Arial" w:hAnsi="Arial" w:cs="Arial"/>
          <w:i/>
          <w:sz w:val="22"/>
          <w:szCs w:val="22"/>
        </w:rPr>
        <w:t xml:space="preserve"> </w:t>
      </w:r>
      <w:r w:rsidRPr="00040AA9">
        <w:rPr>
          <w:rFonts w:ascii="Arial" w:hAnsi="Arial" w:cs="Arial"/>
          <w:sz w:val="22"/>
          <w:szCs w:val="22"/>
        </w:rPr>
        <w:t>(</w:t>
      </w:r>
      <w:r w:rsidR="00D97AD8" w:rsidRPr="00040AA9">
        <w:rPr>
          <w:rFonts w:ascii="Arial" w:hAnsi="Arial" w:cs="Arial"/>
          <w:sz w:val="22"/>
          <w:szCs w:val="22"/>
        </w:rPr>
        <w:t xml:space="preserve">Outcome </w:t>
      </w:r>
      <w:r w:rsidR="003315BD" w:rsidRPr="00040AA9">
        <w:rPr>
          <w:rFonts w:ascii="Arial" w:hAnsi="Arial" w:cs="Arial"/>
          <w:sz w:val="22"/>
          <w:szCs w:val="22"/>
        </w:rPr>
        <w:t>V.</w:t>
      </w:r>
      <w:r w:rsidRPr="00040AA9">
        <w:rPr>
          <w:rFonts w:ascii="Arial" w:hAnsi="Arial" w:cs="Arial"/>
          <w:sz w:val="22"/>
          <w:szCs w:val="22"/>
        </w:rPr>
        <w:t>18</w:t>
      </w:r>
      <w:r w:rsidR="00350FE4" w:rsidRPr="00CF5903">
        <w:rPr>
          <w:rFonts w:ascii="Arial" w:hAnsi="Arial" w:cs="Arial"/>
          <w:sz w:val="22"/>
          <w:szCs w:val="22"/>
        </w:rPr>
        <w:t>)</w:t>
      </w:r>
      <w:r w:rsidR="00786D66">
        <w:rPr>
          <w:rFonts w:ascii="Arial" w:hAnsi="Arial" w:cs="Arial"/>
          <w:sz w:val="22"/>
          <w:szCs w:val="22"/>
        </w:rPr>
        <w:t>:</w:t>
      </w:r>
      <w:r w:rsidR="00350FE4" w:rsidRPr="00CF5903">
        <w:rPr>
          <w:rFonts w:ascii="Arial" w:hAnsi="Arial" w:cs="Arial"/>
          <w:sz w:val="22"/>
          <w:szCs w:val="22"/>
        </w:rPr>
        <w:t xml:space="preserve"> This</w:t>
      </w:r>
      <w:r w:rsidRPr="00040AA9">
        <w:rPr>
          <w:rFonts w:ascii="Arial" w:hAnsi="Arial" w:cs="Arial"/>
          <w:sz w:val="22"/>
          <w:szCs w:val="22"/>
        </w:rPr>
        <w:t xml:space="preserve"> is a case of an indicator that strictly speaking can only be measured under fiscal crisis circumstances that fortunately have not occurred since it was included in the FISPEG I </w:t>
      </w:r>
      <w:r w:rsidR="005442E2">
        <w:rPr>
          <w:rFonts w:ascii="Arial" w:hAnsi="Arial" w:cs="Arial"/>
          <w:sz w:val="22"/>
          <w:szCs w:val="22"/>
        </w:rPr>
        <w:t>RM</w:t>
      </w:r>
      <w:r w:rsidRPr="00040AA9">
        <w:rPr>
          <w:rFonts w:ascii="Arial" w:hAnsi="Arial" w:cs="Arial"/>
          <w:sz w:val="22"/>
          <w:szCs w:val="22"/>
        </w:rPr>
        <w:t xml:space="preserve">. </w:t>
      </w:r>
      <w:r w:rsidR="00350FE4" w:rsidRPr="00CF5903">
        <w:rPr>
          <w:rFonts w:ascii="Arial" w:hAnsi="Arial" w:cs="Arial"/>
          <w:sz w:val="22"/>
          <w:szCs w:val="22"/>
        </w:rPr>
        <w:t>However,</w:t>
      </w:r>
      <w:r w:rsidRPr="00040AA9">
        <w:rPr>
          <w:rFonts w:ascii="Arial" w:hAnsi="Arial" w:cs="Arial"/>
          <w:sz w:val="22"/>
          <w:szCs w:val="22"/>
        </w:rPr>
        <w:t xml:space="preserve"> the target of </w:t>
      </w:r>
      <w:r w:rsidR="00D97AD8" w:rsidRPr="00040AA9">
        <w:rPr>
          <w:rFonts w:ascii="Arial" w:hAnsi="Arial" w:cs="Arial"/>
          <w:sz w:val="22"/>
          <w:szCs w:val="22"/>
        </w:rPr>
        <w:t>requiring</w:t>
      </w:r>
      <w:r w:rsidRPr="00040AA9">
        <w:rPr>
          <w:rFonts w:ascii="Arial" w:hAnsi="Arial" w:cs="Arial"/>
          <w:sz w:val="22"/>
          <w:szCs w:val="22"/>
        </w:rPr>
        <w:t xml:space="preserve"> no longer than one month to take corrective </w:t>
      </w:r>
      <w:r w:rsidR="00EB0F25" w:rsidRPr="00040AA9">
        <w:rPr>
          <w:rFonts w:ascii="Arial" w:hAnsi="Arial" w:cs="Arial"/>
          <w:sz w:val="22"/>
          <w:szCs w:val="22"/>
        </w:rPr>
        <w:t>m</w:t>
      </w:r>
      <w:r w:rsidRPr="00040AA9">
        <w:rPr>
          <w:rFonts w:ascii="Arial" w:hAnsi="Arial" w:cs="Arial"/>
          <w:sz w:val="22"/>
          <w:szCs w:val="22"/>
        </w:rPr>
        <w:t>easures on budget deviations would almost assuredly be met given the legislation and associated enhanced fiscal rules that were approved in 2017</w:t>
      </w:r>
      <w:r w:rsidR="00D97AD8" w:rsidRPr="00040AA9">
        <w:rPr>
          <w:rFonts w:ascii="Arial" w:hAnsi="Arial" w:cs="Arial"/>
          <w:sz w:val="22"/>
          <w:szCs w:val="22"/>
        </w:rPr>
        <w:t xml:space="preserve"> and reported in the </w:t>
      </w:r>
      <w:proofErr w:type="spellStart"/>
      <w:r w:rsidR="00D97AD8" w:rsidRPr="00040AA9">
        <w:rPr>
          <w:rFonts w:ascii="Arial" w:hAnsi="Arial" w:cs="Arial"/>
          <w:sz w:val="22"/>
          <w:szCs w:val="22"/>
        </w:rPr>
        <w:t>MoF</w:t>
      </w:r>
      <w:proofErr w:type="spellEnd"/>
      <w:r w:rsidR="00960135">
        <w:rPr>
          <w:rFonts w:ascii="Arial" w:hAnsi="Arial" w:cs="Arial"/>
          <w:sz w:val="22"/>
          <w:szCs w:val="22"/>
        </w:rPr>
        <w:t xml:space="preserve"> </w:t>
      </w:r>
      <w:r w:rsidR="00D97AD8" w:rsidRPr="00040AA9">
        <w:rPr>
          <w:rFonts w:ascii="Arial" w:hAnsi="Arial" w:cs="Arial"/>
          <w:sz w:val="22"/>
          <w:szCs w:val="22"/>
        </w:rPr>
        <w:t xml:space="preserve">Fiscal Policy Paper </w:t>
      </w:r>
      <w:r w:rsidR="00E83671" w:rsidRPr="00040AA9">
        <w:rPr>
          <w:rFonts w:ascii="Arial" w:hAnsi="Arial" w:cs="Arial"/>
          <w:sz w:val="22"/>
          <w:szCs w:val="22"/>
        </w:rPr>
        <w:t xml:space="preserve">in which it </w:t>
      </w:r>
      <w:r w:rsidR="00EB0F25" w:rsidRPr="00040AA9">
        <w:rPr>
          <w:rFonts w:ascii="Arial" w:hAnsi="Arial" w:cs="Arial"/>
          <w:sz w:val="22"/>
          <w:szCs w:val="22"/>
        </w:rPr>
        <w:t xml:space="preserve">was </w:t>
      </w:r>
      <w:r w:rsidR="003B2469" w:rsidRPr="00040AA9">
        <w:rPr>
          <w:rFonts w:ascii="Arial" w:hAnsi="Arial" w:cs="Arial"/>
          <w:sz w:val="22"/>
          <w:szCs w:val="22"/>
        </w:rPr>
        <w:t>observed</w:t>
      </w:r>
      <w:r w:rsidR="00EB0F25" w:rsidRPr="00040AA9">
        <w:rPr>
          <w:rFonts w:ascii="Arial" w:hAnsi="Arial" w:cs="Arial"/>
          <w:sz w:val="22"/>
          <w:szCs w:val="22"/>
        </w:rPr>
        <w:t>:</w:t>
      </w:r>
    </w:p>
    <w:p w14:paraId="1013C305" w14:textId="198E7253" w:rsidR="00526012" w:rsidRPr="00040AA9" w:rsidRDefault="000D2B33" w:rsidP="00040AA9">
      <w:pPr>
        <w:pStyle w:val="p1"/>
        <w:suppressAutoHyphens/>
        <w:spacing w:before="120" w:after="120"/>
        <w:ind w:left="720"/>
        <w:jc w:val="both"/>
        <w:rPr>
          <w:rFonts w:ascii="Arial" w:hAnsi="Arial" w:cs="Arial"/>
          <w:sz w:val="22"/>
          <w:szCs w:val="22"/>
        </w:rPr>
      </w:pPr>
      <w:r w:rsidRPr="00040AA9">
        <w:rPr>
          <w:rFonts w:ascii="Arial" w:hAnsi="Arial" w:cs="Arial"/>
          <w:sz w:val="22"/>
          <w:szCs w:val="22"/>
        </w:rPr>
        <w:t>“</w:t>
      </w:r>
      <w:r w:rsidR="003B2469" w:rsidRPr="00040AA9">
        <w:rPr>
          <w:rFonts w:ascii="Arial" w:hAnsi="Arial" w:cs="Arial"/>
          <w:sz w:val="22"/>
          <w:szCs w:val="22"/>
        </w:rPr>
        <w:t>The enhanced fiscal rules provide for a Notional Account into which cumulative deviations from targeted fiscal balances, whether positive or negative, will be recorded. This particular element of the enhanced fiscal governance framework becomes effective in FY</w:t>
      </w:r>
      <w:r w:rsidR="00960135">
        <w:rPr>
          <w:rFonts w:ascii="Arial" w:hAnsi="Arial" w:cs="Arial"/>
          <w:sz w:val="22"/>
          <w:szCs w:val="22"/>
        </w:rPr>
        <w:t> </w:t>
      </w:r>
      <w:r w:rsidR="003B2469" w:rsidRPr="00040AA9">
        <w:rPr>
          <w:rFonts w:ascii="Arial" w:hAnsi="Arial" w:cs="Arial"/>
          <w:sz w:val="22"/>
          <w:szCs w:val="22"/>
        </w:rPr>
        <w:t xml:space="preserve">2017/18. </w:t>
      </w:r>
      <w:r w:rsidR="003B2469" w:rsidRPr="00DB2891">
        <w:rPr>
          <w:rFonts w:ascii="Arial" w:hAnsi="Arial" w:cs="Arial"/>
          <w:i/>
          <w:sz w:val="22"/>
          <w:szCs w:val="22"/>
        </w:rPr>
        <w:t>The rules will also allow for an automatic correction should deviations get to a pre-defined threshold</w:t>
      </w:r>
      <w:r w:rsidR="003B2469" w:rsidRPr="00040AA9">
        <w:rPr>
          <w:rFonts w:ascii="Arial" w:hAnsi="Arial" w:cs="Arial"/>
          <w:sz w:val="22"/>
          <w:szCs w:val="22"/>
        </w:rPr>
        <w:t>.</w:t>
      </w:r>
      <w:r w:rsidR="00EB0F25" w:rsidRPr="00040AA9">
        <w:rPr>
          <w:rFonts w:ascii="Arial" w:hAnsi="Arial" w:cs="Arial"/>
          <w:sz w:val="22"/>
          <w:szCs w:val="22"/>
        </w:rPr>
        <w:t xml:space="preserve"> (emphasis added)</w:t>
      </w:r>
      <w:r w:rsidR="00C20F30" w:rsidRPr="00040AA9">
        <w:rPr>
          <w:rFonts w:ascii="Arial" w:hAnsi="Arial" w:cs="Arial"/>
          <w:sz w:val="22"/>
          <w:szCs w:val="22"/>
        </w:rPr>
        <w:t>”</w:t>
      </w:r>
      <w:r w:rsidR="003B2469" w:rsidRPr="00040AA9">
        <w:rPr>
          <w:rStyle w:val="FootnoteReference"/>
          <w:rFonts w:ascii="Arial" w:hAnsi="Arial" w:cs="Arial"/>
          <w:sz w:val="22"/>
          <w:szCs w:val="22"/>
        </w:rPr>
        <w:t xml:space="preserve"> </w:t>
      </w:r>
      <w:r w:rsidR="00A43A48" w:rsidRPr="00040AA9">
        <w:rPr>
          <w:rStyle w:val="FootnoteReference"/>
          <w:rFonts w:ascii="Arial" w:hAnsi="Arial" w:cs="Arial"/>
          <w:sz w:val="22"/>
          <w:szCs w:val="22"/>
        </w:rPr>
        <w:footnoteReference w:id="38"/>
      </w:r>
      <w:r w:rsidR="00E83671" w:rsidRPr="00040AA9">
        <w:rPr>
          <w:rFonts w:ascii="Arial" w:hAnsi="Arial" w:cs="Arial"/>
          <w:sz w:val="22"/>
          <w:szCs w:val="22"/>
        </w:rPr>
        <w:t xml:space="preserve"> </w:t>
      </w:r>
    </w:p>
    <w:p w14:paraId="52E8A082" w14:textId="4EA012EE" w:rsidR="003315BD" w:rsidRPr="00040AA9" w:rsidRDefault="003315BD" w:rsidP="00040AA9">
      <w:pPr>
        <w:pStyle w:val="p1"/>
        <w:suppressAutoHyphens/>
        <w:spacing w:before="120" w:after="120"/>
        <w:jc w:val="both"/>
        <w:rPr>
          <w:rFonts w:ascii="Arial" w:hAnsi="Arial" w:cs="Arial"/>
          <w:sz w:val="22"/>
          <w:szCs w:val="22"/>
        </w:rPr>
      </w:pPr>
      <w:r w:rsidRPr="00040AA9">
        <w:rPr>
          <w:rFonts w:ascii="Arial" w:hAnsi="Arial" w:cs="Arial"/>
          <w:sz w:val="22"/>
          <w:szCs w:val="22"/>
        </w:rPr>
        <w:t>In conclusion</w:t>
      </w:r>
      <w:r w:rsidR="002A0A92" w:rsidRPr="00040AA9">
        <w:rPr>
          <w:rFonts w:ascii="Arial" w:hAnsi="Arial" w:cs="Arial"/>
          <w:sz w:val="22"/>
          <w:szCs w:val="22"/>
        </w:rPr>
        <w:t>,</w:t>
      </w:r>
      <w:r w:rsidRPr="00040AA9">
        <w:rPr>
          <w:rFonts w:ascii="Arial" w:hAnsi="Arial" w:cs="Arial"/>
          <w:sz w:val="22"/>
          <w:szCs w:val="22"/>
        </w:rPr>
        <w:t xml:space="preserve"> the FISPEG series of three </w:t>
      </w:r>
      <w:r w:rsidR="007C135F" w:rsidRPr="00040AA9">
        <w:rPr>
          <w:rFonts w:ascii="Arial" w:hAnsi="Arial" w:cs="Arial"/>
          <w:sz w:val="22"/>
          <w:szCs w:val="22"/>
        </w:rPr>
        <w:t>PBLs, as measured by the expected outcomes and outputs, broadly met its objectives and in several cases significantly exceeded them.</w:t>
      </w:r>
      <w:r w:rsidR="000964BA" w:rsidRPr="00040AA9">
        <w:rPr>
          <w:rFonts w:ascii="Arial" w:hAnsi="Arial" w:cs="Arial"/>
          <w:sz w:val="22"/>
          <w:szCs w:val="22"/>
        </w:rPr>
        <w:t xml:space="preserve"> </w:t>
      </w:r>
      <w:r w:rsidR="00350FE4" w:rsidRPr="00CF5903">
        <w:rPr>
          <w:rFonts w:ascii="Arial" w:hAnsi="Arial" w:cs="Arial"/>
          <w:sz w:val="22"/>
          <w:szCs w:val="22"/>
        </w:rPr>
        <w:t>Also,</w:t>
      </w:r>
      <w:r w:rsidR="00EA7C10" w:rsidRPr="00040AA9">
        <w:rPr>
          <w:rFonts w:ascii="Arial" w:hAnsi="Arial" w:cs="Arial"/>
          <w:sz w:val="22"/>
          <w:szCs w:val="22"/>
        </w:rPr>
        <w:t xml:space="preserve"> it must be said that t</w:t>
      </w:r>
      <w:r w:rsidR="000964BA" w:rsidRPr="00040AA9">
        <w:rPr>
          <w:rFonts w:ascii="Arial" w:hAnsi="Arial" w:cs="Arial"/>
          <w:sz w:val="22"/>
          <w:szCs w:val="22"/>
        </w:rPr>
        <w:t>he instances where EOP information is not available do not necessar</w:t>
      </w:r>
      <w:r w:rsidR="00EA7C10" w:rsidRPr="00040AA9">
        <w:rPr>
          <w:rFonts w:ascii="Arial" w:hAnsi="Arial" w:cs="Arial"/>
          <w:sz w:val="22"/>
          <w:szCs w:val="22"/>
        </w:rPr>
        <w:t>ily indicate that the stated objectives have been abandoned. Quite to the contrary; in most cases the object</w:t>
      </w:r>
      <w:r w:rsidR="00D11E51" w:rsidRPr="00040AA9">
        <w:rPr>
          <w:rFonts w:ascii="Arial" w:hAnsi="Arial" w:cs="Arial"/>
          <w:sz w:val="22"/>
          <w:szCs w:val="22"/>
        </w:rPr>
        <w:t xml:space="preserve">ives are being actively </w:t>
      </w:r>
      <w:r w:rsidR="00D610EC" w:rsidRPr="00040AA9">
        <w:rPr>
          <w:rFonts w:ascii="Arial" w:hAnsi="Arial" w:cs="Arial"/>
          <w:sz w:val="22"/>
          <w:szCs w:val="22"/>
        </w:rPr>
        <w:t>pursued but</w:t>
      </w:r>
      <w:r w:rsidR="00D11E51" w:rsidRPr="00040AA9">
        <w:rPr>
          <w:rFonts w:ascii="Arial" w:hAnsi="Arial" w:cs="Arial"/>
          <w:sz w:val="22"/>
          <w:szCs w:val="22"/>
        </w:rPr>
        <w:t xml:space="preserve"> have been found to require more time and resources than had been originally anticipated. </w:t>
      </w:r>
      <w:r w:rsidR="00350FE4" w:rsidRPr="00CF5903">
        <w:rPr>
          <w:rFonts w:ascii="Arial" w:hAnsi="Arial" w:cs="Arial"/>
          <w:sz w:val="22"/>
          <w:szCs w:val="22"/>
        </w:rPr>
        <w:t>Thus,</w:t>
      </w:r>
      <w:r w:rsidR="00D11E51" w:rsidRPr="00040AA9">
        <w:rPr>
          <w:rFonts w:ascii="Arial" w:hAnsi="Arial" w:cs="Arial"/>
          <w:sz w:val="22"/>
          <w:szCs w:val="22"/>
        </w:rPr>
        <w:t xml:space="preserve"> on the whole the </w:t>
      </w:r>
      <w:r w:rsidR="00960135">
        <w:rPr>
          <w:rFonts w:ascii="Arial" w:hAnsi="Arial" w:cs="Arial"/>
          <w:sz w:val="22"/>
          <w:szCs w:val="22"/>
        </w:rPr>
        <w:t>p</w:t>
      </w:r>
      <w:r w:rsidR="00D11E51" w:rsidRPr="00040AA9">
        <w:rPr>
          <w:rFonts w:ascii="Arial" w:hAnsi="Arial" w:cs="Arial"/>
          <w:sz w:val="22"/>
          <w:szCs w:val="22"/>
        </w:rPr>
        <w:t xml:space="preserve">rogram can be said to </w:t>
      </w:r>
      <w:r w:rsidR="00447C48" w:rsidRPr="00040AA9">
        <w:rPr>
          <w:rFonts w:ascii="Arial" w:hAnsi="Arial" w:cs="Arial"/>
          <w:sz w:val="22"/>
          <w:szCs w:val="22"/>
        </w:rPr>
        <w:t>have achieved or surpassed most of the expected results and to be actively pursuing the few that still remain.</w:t>
      </w:r>
    </w:p>
    <w:p w14:paraId="39FE6A55" w14:textId="77777777" w:rsidR="003B2469" w:rsidRPr="00040AA9" w:rsidRDefault="003B2469" w:rsidP="00040AA9">
      <w:pPr>
        <w:pStyle w:val="p1"/>
        <w:suppressAutoHyphens/>
        <w:spacing w:before="120" w:after="120"/>
        <w:jc w:val="both"/>
        <w:rPr>
          <w:rFonts w:ascii="Arial" w:hAnsi="Arial" w:cs="Arial"/>
          <w:sz w:val="22"/>
          <w:szCs w:val="22"/>
        </w:rPr>
      </w:pPr>
    </w:p>
    <w:p w14:paraId="6E927B63" w14:textId="77777777" w:rsidR="00C833A9" w:rsidRPr="002A0A92" w:rsidRDefault="00C833A9" w:rsidP="00040AA9">
      <w:pPr>
        <w:suppressAutoHyphens/>
        <w:spacing w:before="120" w:after="120"/>
      </w:pPr>
    </w:p>
    <w:p w14:paraId="37042897" w14:textId="77777777" w:rsidR="00C833A9" w:rsidRPr="00852F65" w:rsidRDefault="00C833A9" w:rsidP="00040AA9">
      <w:pPr>
        <w:suppressAutoHyphens/>
      </w:pPr>
    </w:p>
    <w:p w14:paraId="11A87D5B" w14:textId="77777777" w:rsidR="00C833A9" w:rsidRPr="006D7EE4" w:rsidRDefault="00C833A9" w:rsidP="00040AA9">
      <w:pPr>
        <w:suppressAutoHyphens/>
        <w:sectPr w:rsidR="00C833A9" w:rsidRPr="006D7EE4" w:rsidSect="000D057C">
          <w:footerReference w:type="default" r:id="rId29"/>
          <w:pgSz w:w="12240" w:h="15840"/>
          <w:pgMar w:top="1440" w:right="1440" w:bottom="1440" w:left="1440" w:header="720" w:footer="720" w:gutter="0"/>
          <w:pgNumType w:start="1"/>
          <w:cols w:space="720"/>
        </w:sectPr>
      </w:pPr>
    </w:p>
    <w:p w14:paraId="499F134B" w14:textId="6E251921" w:rsidR="00D920AB" w:rsidRPr="00040AA9" w:rsidRDefault="009B4D7A" w:rsidP="00040AA9">
      <w:pPr>
        <w:suppressAutoHyphens/>
        <w:spacing w:after="120"/>
        <w:jc w:val="center"/>
        <w:rPr>
          <w:rFonts w:ascii="Arial" w:hAnsi="Arial" w:cs="Arial"/>
          <w:b/>
          <w:i/>
          <w:sz w:val="20"/>
          <w:szCs w:val="20"/>
        </w:rPr>
      </w:pPr>
      <w:r w:rsidRPr="00040AA9">
        <w:rPr>
          <w:rFonts w:ascii="Arial" w:hAnsi="Arial" w:cs="Arial"/>
          <w:b/>
          <w:sz w:val="20"/>
          <w:szCs w:val="20"/>
        </w:rPr>
        <w:t>Table 1</w:t>
      </w:r>
      <w:r w:rsidR="00962DFF" w:rsidRPr="00040AA9">
        <w:rPr>
          <w:rFonts w:ascii="Arial" w:hAnsi="Arial" w:cs="Arial"/>
          <w:b/>
          <w:sz w:val="20"/>
          <w:szCs w:val="20"/>
        </w:rPr>
        <w:t xml:space="preserve">. </w:t>
      </w:r>
      <w:r w:rsidRPr="00040AA9">
        <w:rPr>
          <w:rFonts w:ascii="Arial" w:hAnsi="Arial" w:cs="Arial"/>
          <w:b/>
          <w:sz w:val="20"/>
          <w:szCs w:val="20"/>
        </w:rPr>
        <w:t>Changes to the Results Matrix</w:t>
      </w:r>
    </w:p>
    <w:tbl>
      <w:tblPr>
        <w:tblStyle w:val="TableGrid1"/>
        <w:tblW w:w="13345" w:type="dxa"/>
        <w:tblInd w:w="-185" w:type="dxa"/>
        <w:tblBorders>
          <w:top w:val="none" w:sz="0" w:space="0" w:color="auto"/>
          <w:left w:val="none" w:sz="0" w:space="0" w:color="auto"/>
          <w:right w:val="none" w:sz="0" w:space="0" w:color="auto"/>
          <w:insideV w:val="dotted" w:sz="4" w:space="0" w:color="auto"/>
        </w:tblBorders>
        <w:tblLook w:val="04A0" w:firstRow="1" w:lastRow="0" w:firstColumn="1" w:lastColumn="0" w:noHBand="0" w:noVBand="1"/>
      </w:tblPr>
      <w:tblGrid>
        <w:gridCol w:w="1638"/>
        <w:gridCol w:w="1261"/>
        <w:gridCol w:w="1317"/>
        <w:gridCol w:w="1195"/>
        <w:gridCol w:w="1149"/>
        <w:gridCol w:w="1261"/>
        <w:gridCol w:w="3121"/>
        <w:gridCol w:w="1209"/>
        <w:gridCol w:w="1194"/>
      </w:tblGrid>
      <w:tr w:rsidR="00C761FD" w:rsidRPr="00CF5903" w14:paraId="737B9C12" w14:textId="77777777" w:rsidTr="006D7EE4">
        <w:trPr>
          <w:trHeight w:val="962"/>
          <w:tblHeader/>
        </w:trPr>
        <w:tc>
          <w:tcPr>
            <w:tcW w:w="1710" w:type="dxa"/>
            <w:tcBorders>
              <w:top w:val="single" w:sz="4" w:space="0" w:color="auto"/>
              <w:left w:val="single" w:sz="4" w:space="0" w:color="auto"/>
              <w:bottom w:val="single" w:sz="4" w:space="0" w:color="auto"/>
              <w:right w:val="dotted" w:sz="4" w:space="0" w:color="auto"/>
            </w:tcBorders>
            <w:shd w:val="clear" w:color="auto" w:fill="D9D9D9" w:themeFill="background1" w:themeFillShade="D9"/>
            <w:vAlign w:val="center"/>
            <w:hideMark/>
          </w:tcPr>
          <w:p w14:paraId="2C5EBC5A" w14:textId="0069FA29"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Section of the R</w:t>
            </w:r>
            <w:r w:rsidR="00960135">
              <w:rPr>
                <w:rFonts w:ascii="Arial" w:hAnsi="Arial" w:cs="Arial"/>
                <w:b/>
                <w:sz w:val="20"/>
                <w:szCs w:val="20"/>
              </w:rPr>
              <w:t>M</w:t>
            </w:r>
            <w:r w:rsidRPr="00040AA9">
              <w:rPr>
                <w:rFonts w:ascii="Arial" w:hAnsi="Arial" w:cs="Arial"/>
                <w:b/>
                <w:sz w:val="20"/>
                <w:szCs w:val="20"/>
              </w:rPr>
              <w:t xml:space="preserve"> where change took place</w:t>
            </w:r>
          </w:p>
        </w:tc>
        <w:tc>
          <w:tcPr>
            <w:tcW w:w="99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496C91AD" w14:textId="7CAEAF63" w:rsidR="009B4D7A" w:rsidRPr="00040AA9" w:rsidRDefault="00960135" w:rsidP="00040AA9">
            <w:pPr>
              <w:suppressAutoHyphens/>
              <w:jc w:val="center"/>
              <w:rPr>
                <w:rFonts w:ascii="Arial" w:hAnsi="Arial" w:cs="Arial"/>
                <w:b/>
                <w:sz w:val="20"/>
                <w:szCs w:val="20"/>
              </w:rPr>
            </w:pPr>
            <w:r>
              <w:rPr>
                <w:rFonts w:ascii="Arial" w:hAnsi="Arial" w:cs="Arial"/>
                <w:b/>
                <w:sz w:val="20"/>
                <w:szCs w:val="20"/>
              </w:rPr>
              <w:t>C</w:t>
            </w:r>
            <w:r w:rsidR="009B4D7A" w:rsidRPr="00040AA9">
              <w:rPr>
                <w:rFonts w:ascii="Arial" w:hAnsi="Arial" w:cs="Arial"/>
                <w:b/>
                <w:sz w:val="20"/>
                <w:szCs w:val="20"/>
              </w:rPr>
              <w:t>hange</w:t>
            </w:r>
          </w:p>
        </w:tc>
        <w:tc>
          <w:tcPr>
            <w:tcW w:w="108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651D708A" w14:textId="548B6785"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Type</w:t>
            </w:r>
          </w:p>
        </w:tc>
        <w:tc>
          <w:tcPr>
            <w:tcW w:w="117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35733E0B" w14:textId="77777777"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Baseline Target</w:t>
            </w:r>
          </w:p>
        </w:tc>
        <w:tc>
          <w:tcPr>
            <w:tcW w:w="117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211FF2A8" w14:textId="77777777"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Original Target</w:t>
            </w:r>
          </w:p>
        </w:tc>
        <w:tc>
          <w:tcPr>
            <w:tcW w:w="1257"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61ACD585" w14:textId="77777777"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Formally revised target (if applicable)</w:t>
            </w:r>
          </w:p>
        </w:tc>
        <w:tc>
          <w:tcPr>
            <w:tcW w:w="3540" w:type="dxa"/>
            <w:tcBorders>
              <w:top w:val="single" w:sz="4" w:space="0" w:color="auto"/>
              <w:left w:val="dotted" w:sz="4" w:space="0" w:color="auto"/>
              <w:bottom w:val="single" w:sz="4" w:space="0" w:color="auto"/>
              <w:right w:val="dotted" w:sz="4" w:space="0" w:color="auto"/>
            </w:tcBorders>
            <w:shd w:val="clear" w:color="auto" w:fill="D9D9D9" w:themeFill="background1" w:themeFillShade="D9"/>
            <w:vAlign w:val="center"/>
            <w:hideMark/>
          </w:tcPr>
          <w:p w14:paraId="3E883BE3" w14:textId="77777777"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Reasons for change</w:t>
            </w:r>
          </w:p>
        </w:tc>
        <w:tc>
          <w:tcPr>
            <w:tcW w:w="1228" w:type="dxa"/>
            <w:tcBorders>
              <w:top w:val="single" w:sz="4" w:space="0" w:color="auto"/>
              <w:left w:val="dotted" w:sz="4" w:space="0" w:color="auto"/>
              <w:bottom w:val="single" w:sz="4" w:space="0" w:color="auto"/>
              <w:right w:val="single" w:sz="4" w:space="0" w:color="auto"/>
            </w:tcBorders>
            <w:shd w:val="clear" w:color="auto" w:fill="D9D9D9" w:themeFill="background1" w:themeFillShade="D9"/>
            <w:vAlign w:val="center"/>
            <w:hideMark/>
          </w:tcPr>
          <w:p w14:paraId="0B6E54E0" w14:textId="017E2F40" w:rsidR="007B13E1" w:rsidRPr="00040AA9" w:rsidRDefault="009B4D7A" w:rsidP="00040AA9">
            <w:pPr>
              <w:suppressAutoHyphens/>
              <w:jc w:val="center"/>
              <w:rPr>
                <w:rFonts w:ascii="Arial" w:hAnsi="Arial" w:cs="Arial"/>
                <w:b/>
                <w:sz w:val="20"/>
                <w:szCs w:val="20"/>
              </w:rPr>
            </w:pPr>
            <w:r w:rsidRPr="00040AA9">
              <w:rPr>
                <w:rFonts w:ascii="Arial" w:hAnsi="Arial" w:cs="Arial"/>
                <w:b/>
                <w:sz w:val="20"/>
                <w:szCs w:val="20"/>
              </w:rPr>
              <w:t>Date of change</w:t>
            </w:r>
            <w:r w:rsidR="001B356C" w:rsidRPr="00040AA9">
              <w:rPr>
                <w:rStyle w:val="FootnoteReference"/>
                <w:rFonts w:ascii="Arial" w:hAnsi="Arial" w:cs="Arial"/>
                <w:b/>
                <w:sz w:val="20"/>
                <w:szCs w:val="20"/>
              </w:rPr>
              <w:footnoteReference w:id="39"/>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BACDF3" w14:textId="77777777" w:rsidR="009B4D7A" w:rsidRPr="00040AA9" w:rsidRDefault="009B4D7A" w:rsidP="00040AA9">
            <w:pPr>
              <w:suppressAutoHyphens/>
              <w:jc w:val="center"/>
              <w:rPr>
                <w:rFonts w:ascii="Arial" w:hAnsi="Arial" w:cs="Arial"/>
                <w:b/>
                <w:sz w:val="20"/>
                <w:szCs w:val="20"/>
              </w:rPr>
            </w:pPr>
            <w:r w:rsidRPr="00040AA9">
              <w:rPr>
                <w:rFonts w:ascii="Arial" w:hAnsi="Arial" w:cs="Arial"/>
                <w:b/>
                <w:sz w:val="20"/>
                <w:szCs w:val="20"/>
              </w:rPr>
              <w:t>Date of change agreed with Executing Agency</w:t>
            </w:r>
          </w:p>
        </w:tc>
      </w:tr>
      <w:tr w:rsidR="00C761FD" w:rsidRPr="00CF5903" w14:paraId="66479D11" w14:textId="77777777" w:rsidTr="006D7EE4">
        <w:trPr>
          <w:trHeight w:val="105"/>
        </w:trPr>
        <w:tc>
          <w:tcPr>
            <w:tcW w:w="1710" w:type="dxa"/>
            <w:vMerge w:val="restart"/>
            <w:tcBorders>
              <w:top w:val="single" w:sz="4" w:space="0" w:color="auto"/>
              <w:left w:val="single" w:sz="4" w:space="0" w:color="auto"/>
              <w:right w:val="dotted" w:sz="4" w:space="0" w:color="auto"/>
            </w:tcBorders>
          </w:tcPr>
          <w:p w14:paraId="77955714" w14:textId="77777777" w:rsidR="00E00109" w:rsidRPr="00040AA9" w:rsidRDefault="00E00109" w:rsidP="00040AA9">
            <w:pPr>
              <w:suppressAutoHyphens/>
              <w:jc w:val="center"/>
              <w:rPr>
                <w:rFonts w:ascii="Arial" w:hAnsi="Arial" w:cs="Arial"/>
                <w:b/>
                <w:sz w:val="20"/>
                <w:szCs w:val="20"/>
              </w:rPr>
            </w:pPr>
            <w:r w:rsidRPr="00040AA9">
              <w:rPr>
                <w:rFonts w:ascii="Arial" w:hAnsi="Arial" w:cs="Arial"/>
                <w:b/>
                <w:sz w:val="20"/>
                <w:szCs w:val="20"/>
              </w:rPr>
              <w:t>OUTCOMES</w:t>
            </w:r>
          </w:p>
          <w:p w14:paraId="1C864377" w14:textId="77777777" w:rsidR="00B701B8" w:rsidRPr="00040AA9" w:rsidRDefault="00B701B8" w:rsidP="00040AA9">
            <w:pPr>
              <w:suppressAutoHyphens/>
              <w:jc w:val="center"/>
              <w:rPr>
                <w:rFonts w:ascii="Arial" w:hAnsi="Arial" w:cs="Arial"/>
                <w:sz w:val="20"/>
                <w:szCs w:val="20"/>
              </w:rPr>
            </w:pPr>
          </w:p>
          <w:p w14:paraId="373A954C" w14:textId="6F4BB481" w:rsidR="00E00109" w:rsidRPr="00040AA9" w:rsidRDefault="00E00109" w:rsidP="00040AA9">
            <w:pPr>
              <w:suppressAutoHyphens/>
              <w:jc w:val="center"/>
              <w:rPr>
                <w:rFonts w:ascii="Arial" w:hAnsi="Arial" w:cs="Arial"/>
                <w:sz w:val="20"/>
                <w:szCs w:val="20"/>
              </w:rPr>
            </w:pPr>
            <w:r w:rsidRPr="00040AA9">
              <w:rPr>
                <w:rFonts w:ascii="Arial" w:hAnsi="Arial" w:cs="Arial"/>
                <w:sz w:val="20"/>
                <w:szCs w:val="20"/>
              </w:rPr>
              <w:t xml:space="preserve">(indicator </w:t>
            </w:r>
            <w:r w:rsidR="009170F4" w:rsidRPr="00040AA9">
              <w:rPr>
                <w:rFonts w:ascii="Arial" w:hAnsi="Arial" w:cs="Arial"/>
                <w:sz w:val="20"/>
                <w:szCs w:val="20"/>
              </w:rPr>
              <w:t>II.</w:t>
            </w:r>
            <w:r w:rsidRPr="00040AA9">
              <w:rPr>
                <w:rFonts w:ascii="Arial" w:hAnsi="Arial" w:cs="Arial"/>
                <w:sz w:val="20"/>
                <w:szCs w:val="20"/>
              </w:rPr>
              <w:t>2.1)</w:t>
            </w:r>
          </w:p>
          <w:p w14:paraId="508E9407" w14:textId="5CDC9321" w:rsidR="00E00109" w:rsidRPr="00040AA9" w:rsidRDefault="00E00109" w:rsidP="00040AA9">
            <w:pPr>
              <w:suppressAutoHyphens/>
              <w:jc w:val="center"/>
              <w:rPr>
                <w:rFonts w:ascii="Arial" w:hAnsi="Arial" w:cs="Arial"/>
                <w:sz w:val="20"/>
                <w:szCs w:val="20"/>
              </w:rPr>
            </w:pPr>
          </w:p>
        </w:tc>
        <w:tc>
          <w:tcPr>
            <w:tcW w:w="990" w:type="dxa"/>
            <w:vMerge w:val="restart"/>
            <w:tcBorders>
              <w:top w:val="single" w:sz="4" w:space="0" w:color="auto"/>
              <w:left w:val="dotted" w:sz="4" w:space="0" w:color="auto"/>
              <w:right w:val="dotted" w:sz="4" w:space="0" w:color="auto"/>
            </w:tcBorders>
          </w:tcPr>
          <w:p w14:paraId="08D1B15B" w14:textId="5D7E6856" w:rsidR="00E00109" w:rsidRPr="00040AA9" w:rsidRDefault="00E00109" w:rsidP="00040AA9">
            <w:pPr>
              <w:suppressAutoHyphens/>
              <w:rPr>
                <w:rFonts w:ascii="Arial" w:hAnsi="Arial" w:cs="Arial"/>
                <w:sz w:val="20"/>
                <w:szCs w:val="20"/>
              </w:rPr>
            </w:pPr>
            <w:r w:rsidRPr="00040AA9">
              <w:rPr>
                <w:rFonts w:ascii="Arial" w:hAnsi="Arial" w:cs="Arial"/>
                <w:sz w:val="20"/>
                <w:szCs w:val="20"/>
              </w:rPr>
              <w:t>Average tariff rate</w:t>
            </w:r>
          </w:p>
        </w:tc>
        <w:tc>
          <w:tcPr>
            <w:tcW w:w="1080" w:type="dxa"/>
            <w:vMerge w:val="restart"/>
            <w:tcBorders>
              <w:top w:val="single" w:sz="4" w:space="0" w:color="auto"/>
              <w:left w:val="dotted" w:sz="4" w:space="0" w:color="auto"/>
              <w:right w:val="dotted" w:sz="4" w:space="0" w:color="auto"/>
            </w:tcBorders>
          </w:tcPr>
          <w:p w14:paraId="6F8D973E" w14:textId="5575A261" w:rsidR="00E00109" w:rsidRPr="00040AA9" w:rsidRDefault="00E00109" w:rsidP="00040AA9">
            <w:pPr>
              <w:suppressAutoHyphens/>
              <w:rPr>
                <w:rFonts w:ascii="Arial" w:hAnsi="Arial" w:cs="Arial"/>
                <w:sz w:val="20"/>
                <w:szCs w:val="20"/>
              </w:rPr>
            </w:pPr>
            <w:r w:rsidRPr="00040AA9">
              <w:rPr>
                <w:rFonts w:ascii="Arial" w:hAnsi="Arial" w:cs="Arial"/>
                <w:sz w:val="20"/>
                <w:szCs w:val="20"/>
              </w:rPr>
              <w:t xml:space="preserve">Redefinition to average </w:t>
            </w:r>
            <w:r w:rsidRPr="00040AA9">
              <w:rPr>
                <w:rFonts w:ascii="Arial" w:hAnsi="Arial" w:cs="Arial"/>
                <w:b/>
                <w:sz w:val="20"/>
                <w:szCs w:val="20"/>
              </w:rPr>
              <w:t xml:space="preserve">effective </w:t>
            </w:r>
            <w:r w:rsidRPr="00040AA9">
              <w:rPr>
                <w:rFonts w:ascii="Arial" w:hAnsi="Arial" w:cs="Arial"/>
                <w:sz w:val="20"/>
                <w:szCs w:val="20"/>
              </w:rPr>
              <w:t>tariff rate</w:t>
            </w:r>
          </w:p>
        </w:tc>
        <w:tc>
          <w:tcPr>
            <w:tcW w:w="1170" w:type="dxa"/>
            <w:tcBorders>
              <w:top w:val="single" w:sz="4" w:space="0" w:color="auto"/>
              <w:left w:val="dotted" w:sz="4" w:space="0" w:color="auto"/>
              <w:bottom w:val="single" w:sz="4" w:space="0" w:color="auto"/>
              <w:right w:val="dotted" w:sz="4" w:space="0" w:color="auto"/>
            </w:tcBorders>
          </w:tcPr>
          <w:p w14:paraId="1CE335BD" w14:textId="77777777" w:rsidR="00E00109" w:rsidRPr="00040AA9" w:rsidRDefault="00E00109" w:rsidP="00040AA9">
            <w:pPr>
              <w:pStyle w:val="Default"/>
              <w:suppressAutoHyphens/>
              <w:rPr>
                <w:rFonts w:ascii="Arial" w:hAnsi="Arial" w:cs="Arial"/>
                <w:color w:val="auto"/>
                <w:sz w:val="20"/>
                <w:szCs w:val="20"/>
              </w:rPr>
            </w:pPr>
            <w:r w:rsidRPr="00040AA9">
              <w:rPr>
                <w:rFonts w:ascii="Arial" w:hAnsi="Arial" w:cs="Arial"/>
                <w:color w:val="auto"/>
                <w:sz w:val="20"/>
                <w:szCs w:val="20"/>
              </w:rPr>
              <w:t>Under original implicit definition:</w:t>
            </w:r>
          </w:p>
          <w:p w14:paraId="446BE0C3" w14:textId="5391469C" w:rsidR="00E00109" w:rsidRPr="00040AA9" w:rsidRDefault="00E00109" w:rsidP="00040AA9">
            <w:pPr>
              <w:pStyle w:val="Default"/>
              <w:suppressAutoHyphens/>
              <w:rPr>
                <w:rFonts w:ascii="Arial" w:hAnsi="Arial" w:cs="Arial"/>
                <w:color w:val="auto"/>
                <w:sz w:val="20"/>
                <w:szCs w:val="20"/>
              </w:rPr>
            </w:pPr>
            <w:r w:rsidRPr="00040AA9">
              <w:rPr>
                <w:rFonts w:ascii="Arial" w:hAnsi="Arial" w:cs="Arial"/>
                <w:color w:val="auto"/>
                <w:sz w:val="20"/>
                <w:szCs w:val="20"/>
              </w:rPr>
              <w:t>40%</w:t>
            </w:r>
          </w:p>
        </w:tc>
        <w:tc>
          <w:tcPr>
            <w:tcW w:w="1170" w:type="dxa"/>
            <w:tcBorders>
              <w:top w:val="single" w:sz="4" w:space="0" w:color="auto"/>
              <w:left w:val="dotted" w:sz="4" w:space="0" w:color="auto"/>
              <w:bottom w:val="single" w:sz="4" w:space="0" w:color="auto"/>
              <w:right w:val="dotted" w:sz="4" w:space="0" w:color="auto"/>
            </w:tcBorders>
          </w:tcPr>
          <w:p w14:paraId="074EBC4C" w14:textId="77777777" w:rsidR="00E00109" w:rsidRPr="00040AA9" w:rsidRDefault="00E00109" w:rsidP="00040AA9">
            <w:pPr>
              <w:pStyle w:val="Default"/>
              <w:suppressAutoHyphens/>
              <w:rPr>
                <w:rFonts w:ascii="Arial" w:hAnsi="Arial" w:cs="Arial"/>
                <w:color w:val="auto"/>
                <w:sz w:val="20"/>
                <w:szCs w:val="20"/>
              </w:rPr>
            </w:pPr>
            <w:r w:rsidRPr="00040AA9">
              <w:rPr>
                <w:rFonts w:ascii="Arial" w:hAnsi="Arial" w:cs="Arial"/>
                <w:color w:val="auto"/>
                <w:sz w:val="20"/>
                <w:szCs w:val="20"/>
              </w:rPr>
              <w:t>Under original implicit definition:</w:t>
            </w:r>
          </w:p>
          <w:p w14:paraId="799A833C" w14:textId="264A1268" w:rsidR="00E00109" w:rsidRPr="00040AA9" w:rsidRDefault="00EB3366" w:rsidP="00040AA9">
            <w:pPr>
              <w:pStyle w:val="Default"/>
              <w:suppressAutoHyphens/>
              <w:rPr>
                <w:rFonts w:ascii="Arial" w:hAnsi="Arial" w:cs="Arial"/>
                <w:color w:val="auto"/>
                <w:sz w:val="20"/>
                <w:szCs w:val="20"/>
              </w:rPr>
            </w:pPr>
            <w:r w:rsidRPr="00040AA9">
              <w:rPr>
                <w:rFonts w:ascii="Arial" w:hAnsi="Arial" w:cs="Arial"/>
                <w:color w:val="auto"/>
                <w:sz w:val="20"/>
                <w:szCs w:val="20"/>
              </w:rPr>
              <w:t>20</w:t>
            </w:r>
            <w:r w:rsidR="00E00109" w:rsidRPr="00040AA9">
              <w:rPr>
                <w:rFonts w:ascii="Arial" w:hAnsi="Arial" w:cs="Arial"/>
                <w:color w:val="auto"/>
                <w:sz w:val="20"/>
                <w:szCs w:val="20"/>
              </w:rPr>
              <w:t>%</w:t>
            </w:r>
          </w:p>
        </w:tc>
        <w:tc>
          <w:tcPr>
            <w:tcW w:w="1257" w:type="dxa"/>
            <w:tcBorders>
              <w:top w:val="single" w:sz="4" w:space="0" w:color="auto"/>
              <w:left w:val="dotted" w:sz="4" w:space="0" w:color="auto"/>
              <w:bottom w:val="single" w:sz="4" w:space="0" w:color="auto"/>
              <w:right w:val="dotted" w:sz="4" w:space="0" w:color="auto"/>
            </w:tcBorders>
          </w:tcPr>
          <w:p w14:paraId="44C1D3C3" w14:textId="0E67EFEC" w:rsidR="00E00109" w:rsidRPr="00040AA9" w:rsidRDefault="00E00109" w:rsidP="00040AA9">
            <w:pPr>
              <w:pStyle w:val="Default"/>
              <w:suppressAutoHyphens/>
              <w:rPr>
                <w:rFonts w:ascii="Arial" w:hAnsi="Arial" w:cs="Arial"/>
                <w:color w:val="auto"/>
                <w:sz w:val="20"/>
                <w:szCs w:val="20"/>
              </w:rPr>
            </w:pPr>
          </w:p>
        </w:tc>
        <w:tc>
          <w:tcPr>
            <w:tcW w:w="3540" w:type="dxa"/>
            <w:vMerge w:val="restart"/>
            <w:tcBorders>
              <w:top w:val="single" w:sz="4" w:space="0" w:color="auto"/>
              <w:left w:val="dotted" w:sz="4" w:space="0" w:color="auto"/>
              <w:right w:val="dotted" w:sz="4" w:space="0" w:color="auto"/>
            </w:tcBorders>
          </w:tcPr>
          <w:p w14:paraId="5AE5CBCF" w14:textId="7210BF4B" w:rsidR="00E00109" w:rsidRPr="00040AA9" w:rsidRDefault="00E00109"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Nowhere in the project (FISPEG I) documentation is there an explanation of how the baseline (40%) and target (20%) values were defined or obtained. Judging by their magnitude it may be conjectured that they had something to do with the tariff levels of the most heavily taxed imports, but there is no way to confirm this. The concept of the average </w:t>
            </w:r>
            <w:r w:rsidRPr="00040AA9">
              <w:rPr>
                <w:rFonts w:ascii="Arial" w:hAnsi="Arial" w:cs="Arial"/>
                <w:b/>
                <w:color w:val="auto"/>
                <w:sz w:val="20"/>
                <w:szCs w:val="20"/>
              </w:rPr>
              <w:t>effective</w:t>
            </w:r>
            <w:r w:rsidRPr="00040AA9">
              <w:rPr>
                <w:rFonts w:ascii="Arial" w:hAnsi="Arial" w:cs="Arial"/>
                <w:color w:val="auto"/>
                <w:sz w:val="20"/>
                <w:szCs w:val="20"/>
              </w:rPr>
              <w:t xml:space="preserve"> tariff (on all taxable imports) is well know</w:t>
            </w:r>
            <w:r w:rsidR="00702891" w:rsidRPr="00040AA9">
              <w:rPr>
                <w:rFonts w:ascii="Arial" w:hAnsi="Arial" w:cs="Arial"/>
                <w:color w:val="auto"/>
                <w:sz w:val="20"/>
                <w:szCs w:val="20"/>
              </w:rPr>
              <w:t>n</w:t>
            </w:r>
            <w:r w:rsidRPr="00040AA9">
              <w:rPr>
                <w:rFonts w:ascii="Arial" w:hAnsi="Arial" w:cs="Arial"/>
                <w:color w:val="auto"/>
                <w:sz w:val="20"/>
                <w:szCs w:val="20"/>
              </w:rPr>
              <w:t xml:space="preserve"> and quantifiable.  </w:t>
            </w:r>
          </w:p>
        </w:tc>
        <w:tc>
          <w:tcPr>
            <w:tcW w:w="1228" w:type="dxa"/>
            <w:vMerge w:val="restart"/>
            <w:tcBorders>
              <w:top w:val="single" w:sz="4" w:space="0" w:color="auto"/>
              <w:left w:val="dotted" w:sz="4" w:space="0" w:color="auto"/>
              <w:right w:val="single" w:sz="4" w:space="0" w:color="auto"/>
            </w:tcBorders>
          </w:tcPr>
          <w:p w14:paraId="546852BF" w14:textId="77777777" w:rsidR="00E5751A" w:rsidRPr="00040AA9" w:rsidRDefault="00E5751A" w:rsidP="00040AA9">
            <w:pPr>
              <w:pStyle w:val="Default"/>
              <w:suppressAutoHyphens/>
              <w:rPr>
                <w:rFonts w:ascii="Arial" w:hAnsi="Arial" w:cs="Arial"/>
                <w:color w:val="auto"/>
                <w:sz w:val="20"/>
                <w:szCs w:val="20"/>
              </w:rPr>
            </w:pPr>
          </w:p>
          <w:p w14:paraId="413B57E8" w14:textId="77777777" w:rsidR="00E5751A" w:rsidRPr="00040AA9" w:rsidRDefault="00E5751A" w:rsidP="00040AA9">
            <w:pPr>
              <w:pStyle w:val="Default"/>
              <w:suppressAutoHyphens/>
              <w:rPr>
                <w:rFonts w:ascii="Arial" w:hAnsi="Arial" w:cs="Arial"/>
                <w:color w:val="auto"/>
                <w:sz w:val="20"/>
                <w:szCs w:val="20"/>
              </w:rPr>
            </w:pPr>
          </w:p>
          <w:p w14:paraId="1CA8360D" w14:textId="77777777" w:rsidR="00E5751A" w:rsidRPr="00040AA9" w:rsidRDefault="00E5751A" w:rsidP="00040AA9">
            <w:pPr>
              <w:pStyle w:val="Default"/>
              <w:suppressAutoHyphens/>
              <w:rPr>
                <w:rFonts w:ascii="Arial" w:hAnsi="Arial" w:cs="Arial"/>
                <w:color w:val="auto"/>
                <w:sz w:val="20"/>
                <w:szCs w:val="20"/>
              </w:rPr>
            </w:pPr>
          </w:p>
          <w:p w14:paraId="7C2E513C" w14:textId="77777777" w:rsidR="00E5751A" w:rsidRPr="00040AA9" w:rsidRDefault="00E5751A" w:rsidP="00040AA9">
            <w:pPr>
              <w:pStyle w:val="Default"/>
              <w:suppressAutoHyphens/>
              <w:rPr>
                <w:rFonts w:ascii="Arial" w:hAnsi="Arial" w:cs="Arial"/>
                <w:color w:val="auto"/>
                <w:sz w:val="20"/>
                <w:szCs w:val="20"/>
              </w:rPr>
            </w:pPr>
          </w:p>
          <w:p w14:paraId="3CC8BA96" w14:textId="7CDA5357" w:rsidR="00E00109" w:rsidRPr="00040AA9" w:rsidRDefault="00E5751A" w:rsidP="00040AA9">
            <w:pPr>
              <w:pStyle w:val="Default"/>
              <w:suppressAutoHyphens/>
              <w:rPr>
                <w:rFonts w:ascii="Arial" w:hAnsi="Arial" w:cs="Arial"/>
                <w:color w:val="auto"/>
                <w:sz w:val="20"/>
                <w:szCs w:val="20"/>
              </w:rPr>
            </w:pPr>
            <w:r w:rsidRPr="00040AA9">
              <w:rPr>
                <w:rFonts w:ascii="Arial" w:hAnsi="Arial" w:cs="Arial"/>
                <w:color w:val="auto"/>
                <w:sz w:val="20"/>
                <w:szCs w:val="20"/>
              </w:rPr>
              <w:t>Oct</w:t>
            </w:r>
            <w:r w:rsidR="00702891" w:rsidRPr="00040AA9">
              <w:rPr>
                <w:rFonts w:ascii="Arial" w:hAnsi="Arial" w:cs="Arial"/>
                <w:color w:val="auto"/>
                <w:sz w:val="20"/>
                <w:szCs w:val="20"/>
              </w:rPr>
              <w:t>. 2017</w:t>
            </w:r>
          </w:p>
        </w:tc>
        <w:tc>
          <w:tcPr>
            <w:tcW w:w="1200" w:type="dxa"/>
            <w:vMerge w:val="restart"/>
            <w:tcBorders>
              <w:top w:val="single" w:sz="4" w:space="0" w:color="auto"/>
              <w:left w:val="single" w:sz="4" w:space="0" w:color="auto"/>
              <w:right w:val="single" w:sz="4" w:space="0" w:color="auto"/>
            </w:tcBorders>
          </w:tcPr>
          <w:p w14:paraId="7BAAE607" w14:textId="77777777" w:rsidR="00E00109" w:rsidRPr="00CF5903" w:rsidRDefault="00E00109" w:rsidP="00040AA9">
            <w:pPr>
              <w:pStyle w:val="Default"/>
              <w:suppressAutoHyphens/>
              <w:rPr>
                <w:rFonts w:ascii="Arial" w:hAnsi="Arial" w:cs="Arial"/>
                <w:color w:val="auto"/>
                <w:sz w:val="20"/>
                <w:szCs w:val="20"/>
              </w:rPr>
            </w:pPr>
          </w:p>
        </w:tc>
      </w:tr>
      <w:tr w:rsidR="00C761FD" w:rsidRPr="00CF5903" w14:paraId="2B4DF499" w14:textId="77777777" w:rsidTr="006D7EE4">
        <w:trPr>
          <w:trHeight w:val="104"/>
        </w:trPr>
        <w:tc>
          <w:tcPr>
            <w:tcW w:w="1710" w:type="dxa"/>
            <w:vMerge/>
            <w:tcBorders>
              <w:left w:val="single" w:sz="4" w:space="0" w:color="auto"/>
              <w:right w:val="dotted" w:sz="4" w:space="0" w:color="auto"/>
            </w:tcBorders>
          </w:tcPr>
          <w:p w14:paraId="29936C9B" w14:textId="77777777" w:rsidR="00702891" w:rsidRPr="00040AA9" w:rsidRDefault="00702891" w:rsidP="00040AA9">
            <w:pPr>
              <w:suppressAutoHyphens/>
              <w:jc w:val="center"/>
              <w:rPr>
                <w:rFonts w:ascii="Arial" w:hAnsi="Arial" w:cs="Arial"/>
                <w:sz w:val="20"/>
                <w:szCs w:val="20"/>
              </w:rPr>
            </w:pPr>
          </w:p>
        </w:tc>
        <w:tc>
          <w:tcPr>
            <w:tcW w:w="990" w:type="dxa"/>
            <w:vMerge/>
            <w:tcBorders>
              <w:left w:val="dotted" w:sz="4" w:space="0" w:color="auto"/>
              <w:right w:val="dotted" w:sz="4" w:space="0" w:color="auto"/>
            </w:tcBorders>
          </w:tcPr>
          <w:p w14:paraId="17BA3D1E" w14:textId="77777777" w:rsidR="00702891" w:rsidRPr="00040AA9" w:rsidRDefault="00702891" w:rsidP="00040AA9">
            <w:pPr>
              <w:suppressAutoHyphens/>
              <w:rPr>
                <w:rFonts w:ascii="Arial" w:hAnsi="Arial" w:cs="Arial"/>
                <w:sz w:val="20"/>
                <w:szCs w:val="20"/>
              </w:rPr>
            </w:pPr>
          </w:p>
        </w:tc>
        <w:tc>
          <w:tcPr>
            <w:tcW w:w="1080" w:type="dxa"/>
            <w:vMerge/>
            <w:tcBorders>
              <w:left w:val="dotted" w:sz="4" w:space="0" w:color="auto"/>
              <w:right w:val="dotted" w:sz="4" w:space="0" w:color="auto"/>
            </w:tcBorders>
          </w:tcPr>
          <w:p w14:paraId="5EC77453" w14:textId="77777777" w:rsidR="00702891" w:rsidRPr="00040AA9" w:rsidRDefault="00702891" w:rsidP="00040AA9">
            <w:pPr>
              <w:suppressAutoHyphens/>
              <w:rPr>
                <w:rFonts w:ascii="Arial" w:hAnsi="Arial" w:cs="Arial"/>
                <w:sz w:val="20"/>
                <w:szCs w:val="20"/>
              </w:rPr>
            </w:pPr>
          </w:p>
        </w:tc>
        <w:tc>
          <w:tcPr>
            <w:tcW w:w="1170" w:type="dxa"/>
            <w:tcBorders>
              <w:top w:val="single" w:sz="4" w:space="0" w:color="auto"/>
              <w:left w:val="dotted" w:sz="4" w:space="0" w:color="auto"/>
              <w:bottom w:val="single" w:sz="4" w:space="0" w:color="auto"/>
              <w:right w:val="dotted" w:sz="4" w:space="0" w:color="auto"/>
            </w:tcBorders>
          </w:tcPr>
          <w:p w14:paraId="00BDE54D" w14:textId="77777777" w:rsidR="00702891" w:rsidRPr="00040AA9" w:rsidRDefault="00702891" w:rsidP="00040AA9">
            <w:pPr>
              <w:pStyle w:val="Default"/>
              <w:suppressAutoHyphens/>
              <w:rPr>
                <w:rFonts w:ascii="Arial" w:hAnsi="Arial" w:cs="Arial"/>
                <w:color w:val="auto"/>
                <w:sz w:val="20"/>
                <w:szCs w:val="20"/>
              </w:rPr>
            </w:pPr>
            <w:r w:rsidRPr="00040AA9">
              <w:rPr>
                <w:rFonts w:ascii="Arial" w:hAnsi="Arial" w:cs="Arial"/>
                <w:color w:val="auto"/>
                <w:sz w:val="20"/>
                <w:szCs w:val="20"/>
              </w:rPr>
              <w:t>Under proposed revised definition:</w:t>
            </w:r>
          </w:p>
          <w:p w14:paraId="1B792F8B" w14:textId="10127126" w:rsidR="00702891" w:rsidRPr="00040AA9" w:rsidRDefault="00702891" w:rsidP="00040AA9">
            <w:pPr>
              <w:pStyle w:val="Default"/>
              <w:suppressAutoHyphens/>
              <w:rPr>
                <w:rFonts w:ascii="Arial" w:hAnsi="Arial" w:cs="Arial"/>
                <w:color w:val="auto"/>
                <w:sz w:val="20"/>
                <w:szCs w:val="20"/>
              </w:rPr>
            </w:pPr>
            <w:r w:rsidRPr="00040AA9">
              <w:rPr>
                <w:rFonts w:ascii="Arial" w:hAnsi="Arial" w:cs="Arial"/>
                <w:color w:val="auto"/>
                <w:sz w:val="20"/>
                <w:szCs w:val="20"/>
              </w:rPr>
              <w:t>8.6%</w:t>
            </w:r>
          </w:p>
        </w:tc>
        <w:tc>
          <w:tcPr>
            <w:tcW w:w="1170" w:type="dxa"/>
            <w:tcBorders>
              <w:top w:val="single" w:sz="4" w:space="0" w:color="auto"/>
              <w:left w:val="dotted" w:sz="4" w:space="0" w:color="auto"/>
              <w:bottom w:val="single" w:sz="4" w:space="0" w:color="auto"/>
              <w:right w:val="dotted" w:sz="4" w:space="0" w:color="auto"/>
            </w:tcBorders>
          </w:tcPr>
          <w:p w14:paraId="1321AFF4" w14:textId="77777777" w:rsidR="00702891" w:rsidRPr="00040AA9" w:rsidRDefault="00702891" w:rsidP="00040AA9">
            <w:pPr>
              <w:pStyle w:val="Default"/>
              <w:suppressAutoHyphens/>
              <w:rPr>
                <w:rFonts w:ascii="Arial" w:hAnsi="Arial" w:cs="Arial"/>
                <w:color w:val="auto"/>
                <w:sz w:val="20"/>
                <w:szCs w:val="20"/>
              </w:rPr>
            </w:pPr>
          </w:p>
        </w:tc>
        <w:tc>
          <w:tcPr>
            <w:tcW w:w="1257" w:type="dxa"/>
            <w:tcBorders>
              <w:top w:val="single" w:sz="4" w:space="0" w:color="auto"/>
              <w:left w:val="dotted" w:sz="4" w:space="0" w:color="auto"/>
              <w:bottom w:val="single" w:sz="4" w:space="0" w:color="auto"/>
              <w:right w:val="dotted" w:sz="4" w:space="0" w:color="auto"/>
            </w:tcBorders>
          </w:tcPr>
          <w:p w14:paraId="2E8B7ECC" w14:textId="77777777" w:rsidR="00702891" w:rsidRPr="00040AA9" w:rsidRDefault="00702891" w:rsidP="00040AA9">
            <w:pPr>
              <w:pStyle w:val="Default"/>
              <w:suppressAutoHyphens/>
              <w:rPr>
                <w:rFonts w:ascii="Arial" w:hAnsi="Arial" w:cs="Arial"/>
                <w:color w:val="auto"/>
                <w:sz w:val="20"/>
                <w:szCs w:val="20"/>
              </w:rPr>
            </w:pPr>
            <w:r w:rsidRPr="00040AA9">
              <w:rPr>
                <w:rFonts w:ascii="Arial" w:hAnsi="Arial" w:cs="Arial"/>
                <w:color w:val="auto"/>
                <w:sz w:val="20"/>
                <w:szCs w:val="20"/>
              </w:rPr>
              <w:t>Under proposed revised definition:</w:t>
            </w:r>
          </w:p>
          <w:p w14:paraId="24C6787C" w14:textId="7C294E75" w:rsidR="00702891" w:rsidRPr="00040AA9" w:rsidRDefault="000F3A96" w:rsidP="00040AA9">
            <w:pPr>
              <w:pStyle w:val="Default"/>
              <w:suppressAutoHyphens/>
              <w:rPr>
                <w:rFonts w:ascii="Arial" w:hAnsi="Arial" w:cs="Arial"/>
                <w:color w:val="auto"/>
                <w:sz w:val="20"/>
                <w:szCs w:val="20"/>
              </w:rPr>
            </w:pPr>
            <w:r w:rsidRPr="00040AA9">
              <w:rPr>
                <w:rFonts w:ascii="Arial" w:hAnsi="Arial" w:cs="Arial"/>
                <w:color w:val="auto"/>
                <w:sz w:val="20"/>
                <w:szCs w:val="20"/>
              </w:rPr>
              <w:t>8.9</w:t>
            </w:r>
            <w:r w:rsidR="00702891" w:rsidRPr="00040AA9">
              <w:rPr>
                <w:rFonts w:ascii="Arial" w:hAnsi="Arial" w:cs="Arial"/>
                <w:color w:val="auto"/>
                <w:sz w:val="20"/>
                <w:szCs w:val="20"/>
              </w:rPr>
              <w:t>%</w:t>
            </w:r>
          </w:p>
        </w:tc>
        <w:tc>
          <w:tcPr>
            <w:tcW w:w="3540" w:type="dxa"/>
            <w:vMerge/>
            <w:tcBorders>
              <w:left w:val="dotted" w:sz="4" w:space="0" w:color="auto"/>
              <w:right w:val="dotted" w:sz="4" w:space="0" w:color="auto"/>
            </w:tcBorders>
          </w:tcPr>
          <w:p w14:paraId="6D08E8D6" w14:textId="77777777" w:rsidR="00702891" w:rsidRPr="00040AA9" w:rsidRDefault="00702891" w:rsidP="00040AA9">
            <w:pPr>
              <w:pStyle w:val="Default"/>
              <w:suppressAutoHyphens/>
              <w:rPr>
                <w:rFonts w:ascii="Arial" w:hAnsi="Arial" w:cs="Arial"/>
                <w:color w:val="auto"/>
                <w:sz w:val="20"/>
                <w:szCs w:val="20"/>
              </w:rPr>
            </w:pPr>
          </w:p>
        </w:tc>
        <w:tc>
          <w:tcPr>
            <w:tcW w:w="1228" w:type="dxa"/>
            <w:vMerge/>
            <w:tcBorders>
              <w:left w:val="dotted" w:sz="4" w:space="0" w:color="auto"/>
              <w:right w:val="single" w:sz="4" w:space="0" w:color="auto"/>
            </w:tcBorders>
          </w:tcPr>
          <w:p w14:paraId="09D95800" w14:textId="77777777" w:rsidR="00702891" w:rsidRPr="00040AA9" w:rsidRDefault="00702891" w:rsidP="00040AA9">
            <w:pPr>
              <w:pStyle w:val="Default"/>
              <w:suppressAutoHyphens/>
              <w:rPr>
                <w:rFonts w:ascii="Arial" w:hAnsi="Arial" w:cs="Arial"/>
                <w:color w:val="auto"/>
                <w:sz w:val="20"/>
                <w:szCs w:val="20"/>
              </w:rPr>
            </w:pPr>
          </w:p>
        </w:tc>
        <w:tc>
          <w:tcPr>
            <w:tcW w:w="1200" w:type="dxa"/>
            <w:vMerge/>
            <w:tcBorders>
              <w:left w:val="single" w:sz="4" w:space="0" w:color="auto"/>
              <w:right w:val="single" w:sz="4" w:space="0" w:color="auto"/>
            </w:tcBorders>
          </w:tcPr>
          <w:p w14:paraId="7211AE05" w14:textId="77777777" w:rsidR="00702891" w:rsidRPr="00CF5903" w:rsidRDefault="00702891" w:rsidP="00040AA9">
            <w:pPr>
              <w:pStyle w:val="Default"/>
              <w:suppressAutoHyphens/>
              <w:rPr>
                <w:rFonts w:ascii="Arial" w:hAnsi="Arial" w:cs="Arial"/>
                <w:color w:val="auto"/>
                <w:sz w:val="20"/>
                <w:szCs w:val="20"/>
              </w:rPr>
            </w:pPr>
          </w:p>
        </w:tc>
      </w:tr>
      <w:tr w:rsidR="00C761FD" w:rsidRPr="00CF5903" w14:paraId="1BED902F" w14:textId="77777777" w:rsidTr="006D7EE4">
        <w:trPr>
          <w:trHeight w:val="425"/>
        </w:trPr>
        <w:tc>
          <w:tcPr>
            <w:tcW w:w="1710" w:type="dxa"/>
            <w:vMerge w:val="restart"/>
            <w:tcBorders>
              <w:top w:val="single" w:sz="4" w:space="0" w:color="auto"/>
              <w:left w:val="single" w:sz="4" w:space="0" w:color="auto"/>
              <w:right w:val="dotted" w:sz="4" w:space="0" w:color="auto"/>
            </w:tcBorders>
          </w:tcPr>
          <w:p w14:paraId="46F404DF" w14:textId="77777777" w:rsidR="00893399" w:rsidRPr="00040AA9" w:rsidRDefault="00893399" w:rsidP="00040AA9">
            <w:pPr>
              <w:suppressAutoHyphens/>
              <w:jc w:val="center"/>
              <w:rPr>
                <w:rFonts w:ascii="Arial" w:hAnsi="Arial" w:cs="Arial"/>
                <w:b/>
                <w:sz w:val="20"/>
                <w:szCs w:val="20"/>
              </w:rPr>
            </w:pPr>
            <w:r w:rsidRPr="00040AA9">
              <w:rPr>
                <w:rFonts w:ascii="Arial" w:hAnsi="Arial" w:cs="Arial"/>
                <w:b/>
                <w:sz w:val="20"/>
                <w:szCs w:val="20"/>
              </w:rPr>
              <w:t>OUTCOMES</w:t>
            </w:r>
          </w:p>
          <w:p w14:paraId="65D6DDC2" w14:textId="77777777" w:rsidR="00B701B8" w:rsidRPr="00040AA9" w:rsidRDefault="00B701B8" w:rsidP="00040AA9">
            <w:pPr>
              <w:suppressAutoHyphens/>
              <w:jc w:val="center"/>
              <w:rPr>
                <w:rFonts w:ascii="Arial" w:hAnsi="Arial" w:cs="Arial"/>
                <w:sz w:val="20"/>
                <w:szCs w:val="20"/>
              </w:rPr>
            </w:pPr>
          </w:p>
          <w:p w14:paraId="51A9971D" w14:textId="4658BCF6" w:rsidR="00893399" w:rsidRPr="00040AA9" w:rsidRDefault="00893399" w:rsidP="00040AA9">
            <w:pPr>
              <w:suppressAutoHyphens/>
              <w:jc w:val="center"/>
              <w:rPr>
                <w:rFonts w:ascii="Arial" w:hAnsi="Arial" w:cs="Arial"/>
                <w:sz w:val="20"/>
                <w:szCs w:val="20"/>
              </w:rPr>
            </w:pPr>
            <w:r w:rsidRPr="00040AA9">
              <w:rPr>
                <w:rFonts w:ascii="Arial" w:hAnsi="Arial" w:cs="Arial"/>
                <w:sz w:val="20"/>
                <w:szCs w:val="20"/>
              </w:rPr>
              <w:t xml:space="preserve">(indicator </w:t>
            </w:r>
            <w:r w:rsidR="009170F4" w:rsidRPr="00040AA9">
              <w:rPr>
                <w:rFonts w:ascii="Arial" w:hAnsi="Arial" w:cs="Arial"/>
                <w:sz w:val="20"/>
                <w:szCs w:val="20"/>
              </w:rPr>
              <w:t>II.</w:t>
            </w:r>
            <w:r w:rsidRPr="00040AA9">
              <w:rPr>
                <w:rFonts w:ascii="Arial" w:hAnsi="Arial" w:cs="Arial"/>
                <w:sz w:val="20"/>
                <w:szCs w:val="20"/>
              </w:rPr>
              <w:t>3.1)</w:t>
            </w:r>
          </w:p>
          <w:p w14:paraId="2C261176" w14:textId="6B9F63F0" w:rsidR="00893399" w:rsidRPr="00040AA9" w:rsidRDefault="00893399" w:rsidP="00040AA9">
            <w:pPr>
              <w:suppressAutoHyphens/>
              <w:jc w:val="center"/>
              <w:rPr>
                <w:rFonts w:ascii="Arial" w:hAnsi="Arial" w:cs="Arial"/>
                <w:sz w:val="20"/>
                <w:szCs w:val="20"/>
              </w:rPr>
            </w:pPr>
          </w:p>
        </w:tc>
        <w:tc>
          <w:tcPr>
            <w:tcW w:w="990" w:type="dxa"/>
            <w:vMerge w:val="restart"/>
            <w:tcBorders>
              <w:top w:val="single" w:sz="4" w:space="0" w:color="auto"/>
              <w:left w:val="dotted" w:sz="4" w:space="0" w:color="auto"/>
              <w:right w:val="dotted" w:sz="4" w:space="0" w:color="auto"/>
            </w:tcBorders>
          </w:tcPr>
          <w:p w14:paraId="4B78B4BB" w14:textId="72B9817D" w:rsidR="00893399" w:rsidRPr="00040AA9" w:rsidRDefault="00893399" w:rsidP="00040AA9">
            <w:pPr>
              <w:suppressAutoHyphens/>
              <w:rPr>
                <w:rFonts w:ascii="Arial" w:hAnsi="Arial" w:cs="Arial"/>
                <w:sz w:val="20"/>
                <w:szCs w:val="20"/>
              </w:rPr>
            </w:pPr>
            <w:r w:rsidRPr="00040AA9">
              <w:rPr>
                <w:rFonts w:ascii="Arial" w:hAnsi="Arial" w:cs="Arial"/>
                <w:sz w:val="20"/>
                <w:szCs w:val="20"/>
              </w:rPr>
              <w:t xml:space="preserve">GCT revenues on </w:t>
            </w:r>
            <w:proofErr w:type="spellStart"/>
            <w:r w:rsidRPr="00040AA9">
              <w:rPr>
                <w:rFonts w:ascii="Arial" w:hAnsi="Arial" w:cs="Arial"/>
                <w:sz w:val="20"/>
                <w:szCs w:val="20"/>
              </w:rPr>
              <w:t>Gvt</w:t>
            </w:r>
            <w:proofErr w:type="spellEnd"/>
            <w:r w:rsidRPr="00040AA9">
              <w:rPr>
                <w:rFonts w:ascii="Arial" w:hAnsi="Arial" w:cs="Arial"/>
                <w:sz w:val="20"/>
                <w:szCs w:val="20"/>
              </w:rPr>
              <w:t xml:space="preserve"> purchases </w:t>
            </w:r>
          </w:p>
        </w:tc>
        <w:tc>
          <w:tcPr>
            <w:tcW w:w="1080" w:type="dxa"/>
            <w:vMerge w:val="restart"/>
            <w:tcBorders>
              <w:top w:val="single" w:sz="4" w:space="0" w:color="auto"/>
              <w:left w:val="dotted" w:sz="4" w:space="0" w:color="auto"/>
              <w:right w:val="dotted" w:sz="4" w:space="0" w:color="auto"/>
            </w:tcBorders>
          </w:tcPr>
          <w:p w14:paraId="70BA541B" w14:textId="76AC9AC3" w:rsidR="00893399" w:rsidRPr="00040AA9" w:rsidRDefault="00893399" w:rsidP="00040AA9">
            <w:pPr>
              <w:suppressAutoHyphens/>
              <w:rPr>
                <w:rFonts w:ascii="Arial" w:hAnsi="Arial" w:cs="Arial"/>
                <w:sz w:val="20"/>
                <w:szCs w:val="20"/>
              </w:rPr>
            </w:pPr>
            <w:r w:rsidRPr="00040AA9">
              <w:rPr>
                <w:rFonts w:ascii="Arial" w:hAnsi="Arial" w:cs="Arial"/>
                <w:sz w:val="20"/>
                <w:szCs w:val="20"/>
              </w:rPr>
              <w:t>More precise definition of data used</w:t>
            </w:r>
          </w:p>
        </w:tc>
        <w:tc>
          <w:tcPr>
            <w:tcW w:w="1170" w:type="dxa"/>
            <w:tcBorders>
              <w:top w:val="single" w:sz="4" w:space="0" w:color="auto"/>
              <w:left w:val="dotted" w:sz="4" w:space="0" w:color="auto"/>
              <w:bottom w:val="single" w:sz="4" w:space="0" w:color="auto"/>
              <w:right w:val="dotted" w:sz="4" w:space="0" w:color="auto"/>
            </w:tcBorders>
          </w:tcPr>
          <w:p w14:paraId="615CB046" w14:textId="53526B3C" w:rsidR="00893399" w:rsidRPr="00040AA9" w:rsidRDefault="0052464A"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Original definition: </w:t>
            </w:r>
            <w:r w:rsidR="00893399" w:rsidRPr="00040AA9">
              <w:rPr>
                <w:rFonts w:ascii="Arial" w:hAnsi="Arial" w:cs="Arial"/>
                <w:color w:val="auto"/>
                <w:sz w:val="20"/>
                <w:szCs w:val="20"/>
              </w:rPr>
              <w:t>Total GCT revenue: JD$ 89,659m</w:t>
            </w:r>
            <w:r w:rsidR="00370F4B" w:rsidRPr="00040AA9">
              <w:rPr>
                <w:rFonts w:ascii="Arial" w:hAnsi="Arial" w:cs="Arial"/>
                <w:color w:val="auto"/>
                <w:sz w:val="20"/>
                <w:szCs w:val="20"/>
              </w:rPr>
              <w:t xml:space="preserve"> (2012/13)</w:t>
            </w:r>
          </w:p>
        </w:tc>
        <w:tc>
          <w:tcPr>
            <w:tcW w:w="1170" w:type="dxa"/>
            <w:tcBorders>
              <w:top w:val="single" w:sz="4" w:space="0" w:color="auto"/>
              <w:left w:val="dotted" w:sz="4" w:space="0" w:color="auto"/>
              <w:bottom w:val="single" w:sz="4" w:space="0" w:color="auto"/>
              <w:right w:val="dotted" w:sz="4" w:space="0" w:color="auto"/>
            </w:tcBorders>
          </w:tcPr>
          <w:p w14:paraId="5F02F0BC" w14:textId="2E975E4A" w:rsidR="00893399" w:rsidRPr="00040AA9" w:rsidRDefault="0052464A" w:rsidP="00040AA9">
            <w:pPr>
              <w:suppressAutoHyphens/>
              <w:rPr>
                <w:rFonts w:ascii="Arial" w:hAnsi="Arial" w:cs="Arial"/>
                <w:sz w:val="20"/>
                <w:szCs w:val="20"/>
              </w:rPr>
            </w:pPr>
            <w:r w:rsidRPr="00040AA9">
              <w:rPr>
                <w:rFonts w:ascii="Arial" w:hAnsi="Arial" w:cs="Arial"/>
                <w:sz w:val="20"/>
                <w:szCs w:val="20"/>
              </w:rPr>
              <w:t xml:space="preserve">Original definition: Total </w:t>
            </w:r>
            <w:r w:rsidR="00370F4B" w:rsidRPr="00040AA9">
              <w:rPr>
                <w:rFonts w:ascii="Arial" w:hAnsi="Arial" w:cs="Arial"/>
                <w:sz w:val="20"/>
                <w:szCs w:val="20"/>
              </w:rPr>
              <w:t xml:space="preserve">GCT </w:t>
            </w:r>
            <w:r w:rsidR="00893399" w:rsidRPr="00040AA9">
              <w:rPr>
                <w:rFonts w:ascii="Arial" w:hAnsi="Arial" w:cs="Arial"/>
                <w:sz w:val="20"/>
                <w:szCs w:val="20"/>
              </w:rPr>
              <w:t>93,289</w:t>
            </w:r>
          </w:p>
          <w:p w14:paraId="0EDA4CC4" w14:textId="77777777" w:rsidR="00893399" w:rsidRPr="00040AA9" w:rsidRDefault="00893399" w:rsidP="00040AA9">
            <w:pPr>
              <w:suppressAutoHyphens/>
              <w:rPr>
                <w:rFonts w:ascii="Arial" w:hAnsi="Arial" w:cs="Arial"/>
                <w:sz w:val="20"/>
                <w:szCs w:val="20"/>
              </w:rPr>
            </w:pPr>
            <w:r w:rsidRPr="00040AA9">
              <w:rPr>
                <w:rFonts w:ascii="Arial" w:hAnsi="Arial" w:cs="Arial"/>
                <w:sz w:val="20"/>
                <w:szCs w:val="20"/>
              </w:rPr>
              <w:t>(2015/16)</w:t>
            </w:r>
          </w:p>
          <w:p w14:paraId="3BE35821" w14:textId="021424F9" w:rsidR="00893399" w:rsidRPr="00040AA9" w:rsidRDefault="00893399" w:rsidP="00040AA9">
            <w:pPr>
              <w:pStyle w:val="Default"/>
              <w:suppressAutoHyphens/>
              <w:rPr>
                <w:rFonts w:ascii="Arial" w:hAnsi="Arial" w:cs="Arial"/>
                <w:color w:val="auto"/>
                <w:sz w:val="20"/>
                <w:szCs w:val="20"/>
              </w:rPr>
            </w:pPr>
          </w:p>
        </w:tc>
        <w:tc>
          <w:tcPr>
            <w:tcW w:w="1257" w:type="dxa"/>
            <w:tcBorders>
              <w:top w:val="single" w:sz="4" w:space="0" w:color="auto"/>
              <w:left w:val="dotted" w:sz="4" w:space="0" w:color="auto"/>
              <w:bottom w:val="single" w:sz="4" w:space="0" w:color="auto"/>
              <w:right w:val="dotted" w:sz="4" w:space="0" w:color="auto"/>
            </w:tcBorders>
          </w:tcPr>
          <w:p w14:paraId="01F18AAD" w14:textId="231D16D0" w:rsidR="00893399" w:rsidRPr="00040AA9" w:rsidRDefault="00370F4B"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 </w:t>
            </w:r>
          </w:p>
        </w:tc>
        <w:tc>
          <w:tcPr>
            <w:tcW w:w="3540" w:type="dxa"/>
            <w:vMerge w:val="restart"/>
            <w:tcBorders>
              <w:top w:val="single" w:sz="4" w:space="0" w:color="auto"/>
              <w:left w:val="dotted" w:sz="4" w:space="0" w:color="auto"/>
              <w:right w:val="dotted" w:sz="4" w:space="0" w:color="auto"/>
            </w:tcBorders>
          </w:tcPr>
          <w:p w14:paraId="19D06190" w14:textId="7A218C14" w:rsidR="00893399" w:rsidRPr="00040AA9" w:rsidRDefault="005634C5"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Using changes in total GCT revenue to measure the effect </w:t>
            </w:r>
            <w:r w:rsidR="00350FE4" w:rsidRPr="00CF5903">
              <w:rPr>
                <w:rFonts w:ascii="Arial" w:hAnsi="Arial" w:cs="Arial"/>
                <w:color w:val="auto"/>
                <w:sz w:val="20"/>
                <w:szCs w:val="20"/>
              </w:rPr>
              <w:t>of applying</w:t>
            </w:r>
            <w:r w:rsidRPr="00040AA9">
              <w:rPr>
                <w:rFonts w:ascii="Arial" w:hAnsi="Arial" w:cs="Arial"/>
                <w:color w:val="auto"/>
                <w:sz w:val="20"/>
                <w:szCs w:val="20"/>
              </w:rPr>
              <w:t xml:space="preserve"> the tax to government purchases </w:t>
            </w:r>
            <w:r w:rsidR="005E7496" w:rsidRPr="00040AA9">
              <w:rPr>
                <w:rFonts w:ascii="Arial" w:hAnsi="Arial" w:cs="Arial"/>
                <w:color w:val="auto"/>
                <w:sz w:val="20"/>
                <w:szCs w:val="20"/>
              </w:rPr>
              <w:t>is subject to distortion</w:t>
            </w:r>
            <w:r w:rsidR="00CD4FED" w:rsidRPr="00040AA9">
              <w:rPr>
                <w:rFonts w:ascii="Arial" w:hAnsi="Arial" w:cs="Arial"/>
                <w:color w:val="auto"/>
                <w:sz w:val="20"/>
                <w:szCs w:val="20"/>
              </w:rPr>
              <w:t xml:space="preserve"> due to the influences of other factors on GCT revenue. </w:t>
            </w:r>
          </w:p>
          <w:p w14:paraId="2A61B3CA" w14:textId="0582A446" w:rsidR="00CD4FED" w:rsidRPr="00040AA9" w:rsidRDefault="00226D5B" w:rsidP="00040AA9">
            <w:pPr>
              <w:pStyle w:val="Default"/>
              <w:suppressAutoHyphens/>
              <w:rPr>
                <w:rFonts w:ascii="Arial" w:hAnsi="Arial" w:cs="Arial"/>
                <w:color w:val="auto"/>
                <w:sz w:val="20"/>
                <w:szCs w:val="20"/>
              </w:rPr>
            </w:pPr>
            <w:r w:rsidRPr="00040AA9">
              <w:rPr>
                <w:rFonts w:ascii="Arial" w:hAnsi="Arial" w:cs="Arial"/>
                <w:color w:val="auto"/>
                <w:sz w:val="20"/>
                <w:szCs w:val="20"/>
              </w:rPr>
              <w:t>R</w:t>
            </w:r>
            <w:r w:rsidR="00CD4FED" w:rsidRPr="00040AA9">
              <w:rPr>
                <w:rFonts w:ascii="Arial" w:hAnsi="Arial" w:cs="Arial"/>
                <w:color w:val="auto"/>
                <w:sz w:val="20"/>
                <w:szCs w:val="20"/>
              </w:rPr>
              <w:t xml:space="preserve">edefining the indicator as solely GCT revenues on </w:t>
            </w:r>
            <w:proofErr w:type="spellStart"/>
            <w:r w:rsidR="00CD4FED" w:rsidRPr="00040AA9">
              <w:rPr>
                <w:rFonts w:ascii="Arial" w:hAnsi="Arial" w:cs="Arial"/>
                <w:color w:val="auto"/>
                <w:sz w:val="20"/>
                <w:szCs w:val="20"/>
              </w:rPr>
              <w:t>gvt</w:t>
            </w:r>
            <w:proofErr w:type="spellEnd"/>
            <w:r w:rsidR="00CD4FED" w:rsidRPr="00040AA9">
              <w:rPr>
                <w:rFonts w:ascii="Arial" w:hAnsi="Arial" w:cs="Arial"/>
                <w:color w:val="auto"/>
                <w:sz w:val="20"/>
                <w:szCs w:val="20"/>
              </w:rPr>
              <w:t xml:space="preserve"> purchases and comparing the baseline value (zero) to </w:t>
            </w:r>
            <w:r w:rsidRPr="00040AA9">
              <w:rPr>
                <w:rFonts w:ascii="Arial" w:hAnsi="Arial" w:cs="Arial"/>
                <w:color w:val="auto"/>
                <w:sz w:val="20"/>
                <w:szCs w:val="20"/>
              </w:rPr>
              <w:t xml:space="preserve">an </w:t>
            </w:r>
            <w:r w:rsidR="00CD4FED" w:rsidRPr="00040AA9">
              <w:rPr>
                <w:rFonts w:ascii="Arial" w:hAnsi="Arial" w:cs="Arial"/>
                <w:color w:val="auto"/>
                <w:sz w:val="20"/>
                <w:szCs w:val="20"/>
              </w:rPr>
              <w:t>independent TAJ report</w:t>
            </w:r>
            <w:r w:rsidRPr="00040AA9">
              <w:rPr>
                <w:rFonts w:ascii="Arial" w:hAnsi="Arial" w:cs="Arial"/>
                <w:color w:val="auto"/>
                <w:sz w:val="20"/>
                <w:szCs w:val="20"/>
              </w:rPr>
              <w:t xml:space="preserve"> of actual </w:t>
            </w:r>
            <w:r w:rsidR="005E7496" w:rsidRPr="00040AA9">
              <w:rPr>
                <w:rFonts w:ascii="Arial" w:hAnsi="Arial" w:cs="Arial"/>
                <w:color w:val="auto"/>
                <w:sz w:val="20"/>
                <w:szCs w:val="20"/>
              </w:rPr>
              <w:t xml:space="preserve">such </w:t>
            </w:r>
            <w:r w:rsidRPr="00040AA9">
              <w:rPr>
                <w:rFonts w:ascii="Arial" w:hAnsi="Arial" w:cs="Arial"/>
                <w:color w:val="auto"/>
                <w:sz w:val="20"/>
                <w:szCs w:val="20"/>
              </w:rPr>
              <w:t>GCT revenue</w:t>
            </w:r>
            <w:r w:rsidR="005E7496" w:rsidRPr="00040AA9">
              <w:rPr>
                <w:rFonts w:ascii="Arial" w:hAnsi="Arial" w:cs="Arial"/>
                <w:color w:val="auto"/>
                <w:sz w:val="20"/>
                <w:szCs w:val="20"/>
              </w:rPr>
              <w:t xml:space="preserve"> in target year (2015/16) eliminates this distortion.</w:t>
            </w:r>
            <w:r w:rsidRPr="00040AA9">
              <w:rPr>
                <w:rFonts w:ascii="Arial" w:hAnsi="Arial" w:cs="Arial"/>
                <w:color w:val="auto"/>
                <w:sz w:val="20"/>
                <w:szCs w:val="20"/>
              </w:rPr>
              <w:t xml:space="preserve"> </w:t>
            </w:r>
          </w:p>
        </w:tc>
        <w:tc>
          <w:tcPr>
            <w:tcW w:w="1228" w:type="dxa"/>
            <w:vMerge w:val="restart"/>
            <w:tcBorders>
              <w:top w:val="single" w:sz="4" w:space="0" w:color="auto"/>
              <w:left w:val="dotted" w:sz="4" w:space="0" w:color="auto"/>
              <w:right w:val="single" w:sz="4" w:space="0" w:color="auto"/>
            </w:tcBorders>
          </w:tcPr>
          <w:p w14:paraId="17EF53B3" w14:textId="77777777" w:rsidR="00E5751A" w:rsidRPr="00040AA9" w:rsidRDefault="00E5751A" w:rsidP="00040AA9">
            <w:pPr>
              <w:pStyle w:val="Default"/>
              <w:suppressAutoHyphens/>
              <w:rPr>
                <w:rFonts w:ascii="Arial" w:hAnsi="Arial" w:cs="Arial"/>
                <w:color w:val="auto"/>
                <w:sz w:val="20"/>
                <w:szCs w:val="20"/>
              </w:rPr>
            </w:pPr>
          </w:p>
          <w:p w14:paraId="536AB8E4" w14:textId="77777777" w:rsidR="00E5751A" w:rsidRPr="00040AA9" w:rsidRDefault="00E5751A" w:rsidP="00040AA9">
            <w:pPr>
              <w:pStyle w:val="Default"/>
              <w:suppressAutoHyphens/>
              <w:rPr>
                <w:rFonts w:ascii="Arial" w:hAnsi="Arial" w:cs="Arial"/>
                <w:color w:val="auto"/>
                <w:sz w:val="20"/>
                <w:szCs w:val="20"/>
              </w:rPr>
            </w:pPr>
          </w:p>
          <w:p w14:paraId="4043EBE1" w14:textId="77777777" w:rsidR="00E5751A" w:rsidRPr="00040AA9" w:rsidRDefault="00E5751A" w:rsidP="00040AA9">
            <w:pPr>
              <w:pStyle w:val="Default"/>
              <w:suppressAutoHyphens/>
              <w:rPr>
                <w:rFonts w:ascii="Arial" w:hAnsi="Arial" w:cs="Arial"/>
                <w:color w:val="auto"/>
                <w:sz w:val="20"/>
                <w:szCs w:val="20"/>
              </w:rPr>
            </w:pPr>
          </w:p>
          <w:p w14:paraId="08BCE38B" w14:textId="77777777" w:rsidR="00E5751A" w:rsidRPr="00040AA9" w:rsidRDefault="00E5751A" w:rsidP="00040AA9">
            <w:pPr>
              <w:pStyle w:val="Default"/>
              <w:suppressAutoHyphens/>
              <w:rPr>
                <w:rFonts w:ascii="Arial" w:hAnsi="Arial" w:cs="Arial"/>
                <w:color w:val="auto"/>
                <w:sz w:val="20"/>
                <w:szCs w:val="20"/>
              </w:rPr>
            </w:pPr>
          </w:p>
          <w:p w14:paraId="013B14EB" w14:textId="73927390" w:rsidR="00893399" w:rsidRPr="00040AA9" w:rsidRDefault="00E5751A" w:rsidP="00040AA9">
            <w:pPr>
              <w:pStyle w:val="Default"/>
              <w:suppressAutoHyphens/>
              <w:rPr>
                <w:rFonts w:ascii="Arial" w:hAnsi="Arial" w:cs="Arial"/>
                <w:color w:val="auto"/>
                <w:sz w:val="20"/>
                <w:szCs w:val="20"/>
              </w:rPr>
            </w:pPr>
            <w:r w:rsidRPr="00040AA9">
              <w:rPr>
                <w:rFonts w:ascii="Arial" w:hAnsi="Arial" w:cs="Arial"/>
                <w:color w:val="auto"/>
                <w:sz w:val="20"/>
                <w:szCs w:val="20"/>
              </w:rPr>
              <w:t>Oct</w:t>
            </w:r>
            <w:r w:rsidR="00CD4FED" w:rsidRPr="00040AA9">
              <w:rPr>
                <w:rFonts w:ascii="Arial" w:hAnsi="Arial" w:cs="Arial"/>
                <w:color w:val="auto"/>
                <w:sz w:val="20"/>
                <w:szCs w:val="20"/>
              </w:rPr>
              <w:t>. 2017</w:t>
            </w:r>
          </w:p>
        </w:tc>
        <w:tc>
          <w:tcPr>
            <w:tcW w:w="1200" w:type="dxa"/>
            <w:vMerge w:val="restart"/>
            <w:tcBorders>
              <w:top w:val="single" w:sz="4" w:space="0" w:color="auto"/>
              <w:left w:val="single" w:sz="4" w:space="0" w:color="auto"/>
              <w:right w:val="single" w:sz="4" w:space="0" w:color="auto"/>
            </w:tcBorders>
          </w:tcPr>
          <w:p w14:paraId="529E3F41" w14:textId="77777777" w:rsidR="00893399" w:rsidRPr="00CF5903" w:rsidRDefault="00893399" w:rsidP="00040AA9">
            <w:pPr>
              <w:pStyle w:val="Default"/>
              <w:suppressAutoHyphens/>
              <w:rPr>
                <w:rFonts w:ascii="Arial" w:hAnsi="Arial" w:cs="Arial"/>
                <w:color w:val="auto"/>
                <w:sz w:val="20"/>
                <w:szCs w:val="20"/>
              </w:rPr>
            </w:pPr>
          </w:p>
        </w:tc>
      </w:tr>
      <w:tr w:rsidR="00C761FD" w:rsidRPr="00CF5903" w14:paraId="0F819C7A" w14:textId="77777777" w:rsidTr="006D7EE4">
        <w:trPr>
          <w:trHeight w:val="424"/>
        </w:trPr>
        <w:tc>
          <w:tcPr>
            <w:tcW w:w="1710" w:type="dxa"/>
            <w:vMerge/>
            <w:tcBorders>
              <w:left w:val="single" w:sz="4" w:space="0" w:color="auto"/>
              <w:bottom w:val="single" w:sz="4" w:space="0" w:color="auto"/>
              <w:right w:val="dotted" w:sz="4" w:space="0" w:color="auto"/>
            </w:tcBorders>
          </w:tcPr>
          <w:p w14:paraId="71BB99D4" w14:textId="55B2213B" w:rsidR="00893399" w:rsidRPr="00040AA9" w:rsidRDefault="00893399" w:rsidP="00040AA9">
            <w:pPr>
              <w:suppressAutoHyphens/>
              <w:jc w:val="center"/>
              <w:rPr>
                <w:rFonts w:ascii="Arial" w:hAnsi="Arial" w:cs="Arial"/>
                <w:sz w:val="20"/>
                <w:szCs w:val="20"/>
              </w:rPr>
            </w:pPr>
          </w:p>
        </w:tc>
        <w:tc>
          <w:tcPr>
            <w:tcW w:w="990" w:type="dxa"/>
            <w:vMerge/>
            <w:tcBorders>
              <w:left w:val="dotted" w:sz="4" w:space="0" w:color="auto"/>
              <w:bottom w:val="single" w:sz="4" w:space="0" w:color="auto"/>
              <w:right w:val="dotted" w:sz="4" w:space="0" w:color="auto"/>
            </w:tcBorders>
          </w:tcPr>
          <w:p w14:paraId="45095B1E" w14:textId="77777777" w:rsidR="00893399" w:rsidRPr="00040AA9" w:rsidRDefault="00893399" w:rsidP="00040AA9">
            <w:pPr>
              <w:suppressAutoHyphens/>
              <w:rPr>
                <w:rFonts w:ascii="Arial" w:hAnsi="Arial" w:cs="Arial"/>
                <w:sz w:val="20"/>
                <w:szCs w:val="20"/>
              </w:rPr>
            </w:pPr>
          </w:p>
        </w:tc>
        <w:tc>
          <w:tcPr>
            <w:tcW w:w="1080" w:type="dxa"/>
            <w:vMerge/>
            <w:tcBorders>
              <w:left w:val="dotted" w:sz="4" w:space="0" w:color="auto"/>
              <w:bottom w:val="single" w:sz="4" w:space="0" w:color="auto"/>
              <w:right w:val="dotted" w:sz="4" w:space="0" w:color="auto"/>
            </w:tcBorders>
          </w:tcPr>
          <w:p w14:paraId="12F9668B" w14:textId="77777777" w:rsidR="00893399" w:rsidRPr="00040AA9" w:rsidRDefault="00893399" w:rsidP="00040AA9">
            <w:pPr>
              <w:suppressAutoHyphens/>
              <w:rPr>
                <w:rFonts w:ascii="Arial" w:hAnsi="Arial" w:cs="Arial"/>
                <w:sz w:val="20"/>
                <w:szCs w:val="20"/>
              </w:rPr>
            </w:pPr>
          </w:p>
        </w:tc>
        <w:tc>
          <w:tcPr>
            <w:tcW w:w="1170" w:type="dxa"/>
            <w:tcBorders>
              <w:top w:val="single" w:sz="4" w:space="0" w:color="auto"/>
              <w:left w:val="dotted" w:sz="4" w:space="0" w:color="auto"/>
              <w:bottom w:val="single" w:sz="4" w:space="0" w:color="auto"/>
              <w:right w:val="dotted" w:sz="4" w:space="0" w:color="auto"/>
            </w:tcBorders>
          </w:tcPr>
          <w:p w14:paraId="1833F999" w14:textId="77777777" w:rsidR="000A7489" w:rsidRPr="00040AA9" w:rsidRDefault="000A7489"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Revised definition: </w:t>
            </w:r>
          </w:p>
          <w:p w14:paraId="632B2AFB" w14:textId="46293260" w:rsidR="00893399" w:rsidRPr="00040AA9" w:rsidRDefault="00893399"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GCT revenue on </w:t>
            </w:r>
            <w:proofErr w:type="spellStart"/>
            <w:r w:rsidRPr="00040AA9">
              <w:rPr>
                <w:rFonts w:ascii="Arial" w:hAnsi="Arial" w:cs="Arial"/>
                <w:color w:val="auto"/>
                <w:sz w:val="20"/>
                <w:szCs w:val="20"/>
              </w:rPr>
              <w:t>Gvt</w:t>
            </w:r>
            <w:proofErr w:type="spellEnd"/>
            <w:r w:rsidRPr="00040AA9">
              <w:rPr>
                <w:rFonts w:ascii="Arial" w:hAnsi="Arial" w:cs="Arial"/>
                <w:color w:val="auto"/>
                <w:sz w:val="20"/>
                <w:szCs w:val="20"/>
              </w:rPr>
              <w:t xml:space="preserve"> purchases: JD$ 0</w:t>
            </w:r>
            <w:r w:rsidR="005C4451" w:rsidRPr="00040AA9">
              <w:rPr>
                <w:rFonts w:ascii="Arial" w:hAnsi="Arial" w:cs="Arial"/>
                <w:color w:val="auto"/>
                <w:sz w:val="20"/>
                <w:szCs w:val="20"/>
              </w:rPr>
              <w:t xml:space="preserve"> </w:t>
            </w:r>
            <w:r w:rsidRPr="00040AA9">
              <w:rPr>
                <w:rFonts w:ascii="Arial" w:hAnsi="Arial" w:cs="Arial"/>
                <w:color w:val="auto"/>
                <w:sz w:val="20"/>
                <w:szCs w:val="20"/>
              </w:rPr>
              <w:t>m</w:t>
            </w:r>
          </w:p>
        </w:tc>
        <w:tc>
          <w:tcPr>
            <w:tcW w:w="1170" w:type="dxa"/>
            <w:tcBorders>
              <w:top w:val="single" w:sz="4" w:space="0" w:color="auto"/>
              <w:left w:val="dotted" w:sz="4" w:space="0" w:color="auto"/>
              <w:bottom w:val="single" w:sz="4" w:space="0" w:color="auto"/>
              <w:right w:val="dotted" w:sz="4" w:space="0" w:color="auto"/>
            </w:tcBorders>
          </w:tcPr>
          <w:p w14:paraId="0A1CBEB9" w14:textId="39DE6031" w:rsidR="00893399" w:rsidRPr="00040AA9" w:rsidRDefault="00893399" w:rsidP="00040AA9">
            <w:pPr>
              <w:pStyle w:val="Default"/>
              <w:suppressAutoHyphens/>
              <w:rPr>
                <w:rFonts w:ascii="Arial" w:hAnsi="Arial" w:cs="Arial"/>
                <w:color w:val="auto"/>
                <w:sz w:val="20"/>
                <w:szCs w:val="20"/>
              </w:rPr>
            </w:pPr>
          </w:p>
        </w:tc>
        <w:tc>
          <w:tcPr>
            <w:tcW w:w="1257" w:type="dxa"/>
            <w:tcBorders>
              <w:top w:val="single" w:sz="4" w:space="0" w:color="auto"/>
              <w:left w:val="dotted" w:sz="4" w:space="0" w:color="auto"/>
              <w:bottom w:val="single" w:sz="4" w:space="0" w:color="auto"/>
              <w:right w:val="dotted" w:sz="4" w:space="0" w:color="auto"/>
            </w:tcBorders>
          </w:tcPr>
          <w:p w14:paraId="78CE19E8" w14:textId="7407D1E0" w:rsidR="00E5027E" w:rsidRPr="00040AA9" w:rsidRDefault="00E5027E" w:rsidP="00040AA9">
            <w:pPr>
              <w:pStyle w:val="Default"/>
              <w:suppressAutoHyphens/>
              <w:rPr>
                <w:rFonts w:ascii="Arial" w:hAnsi="Arial" w:cs="Arial"/>
                <w:color w:val="auto"/>
                <w:sz w:val="20"/>
                <w:szCs w:val="20"/>
              </w:rPr>
            </w:pPr>
            <w:r w:rsidRPr="00040AA9">
              <w:rPr>
                <w:rFonts w:ascii="Arial" w:hAnsi="Arial" w:cs="Arial"/>
                <w:sz w:val="20"/>
                <w:szCs w:val="20"/>
              </w:rPr>
              <w:t>Revised definition: =&gt;</w:t>
            </w:r>
            <w:r w:rsidRPr="00040AA9">
              <w:rPr>
                <w:rFonts w:ascii="Arial" w:hAnsi="Arial" w:cs="Arial"/>
                <w:color w:val="auto"/>
                <w:sz w:val="20"/>
                <w:szCs w:val="20"/>
              </w:rPr>
              <w:t xml:space="preserve"> Expected increase in GCT </w:t>
            </w:r>
            <w:r w:rsidR="00350FE4" w:rsidRPr="00CF5903">
              <w:rPr>
                <w:rFonts w:ascii="Arial" w:hAnsi="Arial" w:cs="Arial"/>
                <w:color w:val="auto"/>
                <w:sz w:val="20"/>
                <w:szCs w:val="20"/>
              </w:rPr>
              <w:t>due solely</w:t>
            </w:r>
            <w:r w:rsidRPr="00040AA9">
              <w:rPr>
                <w:rFonts w:ascii="Arial" w:hAnsi="Arial" w:cs="Arial"/>
                <w:color w:val="auto"/>
                <w:sz w:val="20"/>
                <w:szCs w:val="20"/>
              </w:rPr>
              <w:t xml:space="preserve"> to </w:t>
            </w:r>
            <w:proofErr w:type="spellStart"/>
            <w:r w:rsidRPr="00040AA9">
              <w:rPr>
                <w:rFonts w:ascii="Arial" w:hAnsi="Arial" w:cs="Arial"/>
                <w:color w:val="auto"/>
                <w:sz w:val="20"/>
                <w:szCs w:val="20"/>
              </w:rPr>
              <w:t>Gvt</w:t>
            </w:r>
            <w:proofErr w:type="spellEnd"/>
            <w:r w:rsidRPr="00040AA9">
              <w:rPr>
                <w:rFonts w:ascii="Arial" w:hAnsi="Arial" w:cs="Arial"/>
                <w:color w:val="auto"/>
                <w:sz w:val="20"/>
                <w:szCs w:val="20"/>
              </w:rPr>
              <w:t xml:space="preserve"> purchases:</w:t>
            </w:r>
          </w:p>
          <w:p w14:paraId="04DF9168" w14:textId="15C4CC4D" w:rsidR="00893399" w:rsidRPr="00040AA9" w:rsidRDefault="00E5027E" w:rsidP="00040AA9">
            <w:pPr>
              <w:pStyle w:val="Default"/>
              <w:suppressAutoHyphens/>
              <w:rPr>
                <w:rFonts w:ascii="Arial" w:hAnsi="Arial" w:cs="Arial"/>
                <w:color w:val="auto"/>
                <w:sz w:val="20"/>
                <w:szCs w:val="20"/>
              </w:rPr>
            </w:pPr>
            <w:r w:rsidRPr="00040AA9">
              <w:rPr>
                <w:rFonts w:ascii="Arial" w:hAnsi="Arial" w:cs="Arial"/>
                <w:b/>
                <w:sz w:val="20"/>
                <w:szCs w:val="20"/>
              </w:rPr>
              <w:t>JD$ 3,630m</w:t>
            </w:r>
          </w:p>
        </w:tc>
        <w:tc>
          <w:tcPr>
            <w:tcW w:w="3540" w:type="dxa"/>
            <w:vMerge/>
            <w:tcBorders>
              <w:left w:val="dotted" w:sz="4" w:space="0" w:color="auto"/>
              <w:bottom w:val="single" w:sz="4" w:space="0" w:color="auto"/>
              <w:right w:val="dotted" w:sz="4" w:space="0" w:color="auto"/>
            </w:tcBorders>
          </w:tcPr>
          <w:p w14:paraId="0FD9EB05" w14:textId="77777777" w:rsidR="00893399" w:rsidRPr="00040AA9" w:rsidRDefault="00893399" w:rsidP="00040AA9">
            <w:pPr>
              <w:pStyle w:val="Default"/>
              <w:suppressAutoHyphens/>
              <w:rPr>
                <w:rFonts w:ascii="Arial" w:hAnsi="Arial" w:cs="Arial"/>
                <w:color w:val="auto"/>
                <w:sz w:val="20"/>
                <w:szCs w:val="20"/>
              </w:rPr>
            </w:pPr>
          </w:p>
        </w:tc>
        <w:tc>
          <w:tcPr>
            <w:tcW w:w="1228" w:type="dxa"/>
            <w:vMerge/>
            <w:tcBorders>
              <w:left w:val="dotted" w:sz="4" w:space="0" w:color="auto"/>
              <w:bottom w:val="single" w:sz="4" w:space="0" w:color="auto"/>
              <w:right w:val="single" w:sz="4" w:space="0" w:color="auto"/>
            </w:tcBorders>
          </w:tcPr>
          <w:p w14:paraId="3619E70C" w14:textId="77777777" w:rsidR="00893399" w:rsidRPr="00040AA9" w:rsidRDefault="00893399" w:rsidP="00040AA9">
            <w:pPr>
              <w:pStyle w:val="Default"/>
              <w:suppressAutoHyphens/>
              <w:rPr>
                <w:rFonts w:ascii="Arial" w:hAnsi="Arial" w:cs="Arial"/>
                <w:color w:val="auto"/>
                <w:sz w:val="20"/>
                <w:szCs w:val="20"/>
              </w:rPr>
            </w:pPr>
          </w:p>
        </w:tc>
        <w:tc>
          <w:tcPr>
            <w:tcW w:w="1200" w:type="dxa"/>
            <w:vMerge/>
            <w:tcBorders>
              <w:top w:val="single" w:sz="4" w:space="0" w:color="auto"/>
              <w:left w:val="single" w:sz="4" w:space="0" w:color="auto"/>
              <w:bottom w:val="single" w:sz="4" w:space="0" w:color="auto"/>
              <w:right w:val="single" w:sz="4" w:space="0" w:color="auto"/>
            </w:tcBorders>
          </w:tcPr>
          <w:p w14:paraId="1AC19519" w14:textId="77777777" w:rsidR="00893399" w:rsidRPr="00CF5903" w:rsidRDefault="00893399" w:rsidP="00040AA9">
            <w:pPr>
              <w:pStyle w:val="Default"/>
              <w:suppressAutoHyphens/>
              <w:rPr>
                <w:rFonts w:ascii="Arial" w:hAnsi="Arial" w:cs="Arial"/>
                <w:color w:val="auto"/>
                <w:sz w:val="20"/>
                <w:szCs w:val="20"/>
              </w:rPr>
            </w:pPr>
          </w:p>
        </w:tc>
      </w:tr>
      <w:tr w:rsidR="00C761FD" w:rsidRPr="00CF5903" w14:paraId="4B4B2E1F" w14:textId="77777777" w:rsidTr="006D7EE4">
        <w:trPr>
          <w:trHeight w:val="800"/>
        </w:trPr>
        <w:tc>
          <w:tcPr>
            <w:tcW w:w="1710" w:type="dxa"/>
            <w:tcBorders>
              <w:top w:val="single" w:sz="4" w:space="0" w:color="auto"/>
              <w:left w:val="single" w:sz="4" w:space="0" w:color="auto"/>
              <w:right w:val="dotted" w:sz="4" w:space="0" w:color="auto"/>
            </w:tcBorders>
            <w:vAlign w:val="center"/>
          </w:tcPr>
          <w:p w14:paraId="3F4853E2" w14:textId="77777777" w:rsidR="003C2ABC" w:rsidRPr="00040AA9" w:rsidRDefault="003C2ABC" w:rsidP="00040AA9">
            <w:pPr>
              <w:keepNext/>
              <w:keepLines/>
              <w:suppressAutoHyphens/>
              <w:rPr>
                <w:rFonts w:ascii="Arial" w:hAnsi="Arial" w:cs="Arial"/>
                <w:b/>
                <w:sz w:val="20"/>
                <w:szCs w:val="20"/>
              </w:rPr>
            </w:pPr>
            <w:r w:rsidRPr="00040AA9">
              <w:rPr>
                <w:rFonts w:ascii="Arial" w:hAnsi="Arial" w:cs="Arial"/>
                <w:b/>
                <w:sz w:val="20"/>
                <w:szCs w:val="20"/>
              </w:rPr>
              <w:t>OUTCOMES</w:t>
            </w:r>
          </w:p>
          <w:p w14:paraId="54C6ED53" w14:textId="77777777" w:rsidR="003C2ABC" w:rsidRPr="00040AA9" w:rsidRDefault="003C2ABC" w:rsidP="00040AA9">
            <w:pPr>
              <w:keepNext/>
              <w:keepLines/>
              <w:suppressAutoHyphens/>
              <w:rPr>
                <w:rFonts w:ascii="Arial" w:hAnsi="Arial" w:cs="Arial"/>
                <w:sz w:val="20"/>
                <w:szCs w:val="20"/>
              </w:rPr>
            </w:pPr>
            <w:r w:rsidRPr="00040AA9">
              <w:rPr>
                <w:rFonts w:ascii="Arial" w:hAnsi="Arial" w:cs="Arial"/>
                <w:sz w:val="20"/>
                <w:szCs w:val="20"/>
              </w:rPr>
              <w:t>Indicator II.9.1</w:t>
            </w:r>
          </w:p>
          <w:p w14:paraId="6E8B7C64" w14:textId="77777777" w:rsidR="003C2ABC" w:rsidRPr="00040AA9" w:rsidRDefault="003C2ABC" w:rsidP="00040AA9">
            <w:pPr>
              <w:keepNext/>
              <w:keepLines/>
              <w:suppressAutoHyphens/>
              <w:rPr>
                <w:rFonts w:ascii="Arial" w:hAnsi="Arial" w:cs="Arial"/>
                <w:sz w:val="20"/>
                <w:szCs w:val="20"/>
              </w:rPr>
            </w:pPr>
            <w:r w:rsidRPr="00040AA9">
              <w:rPr>
                <w:rFonts w:ascii="Arial" w:hAnsi="Arial" w:cs="Arial"/>
                <w:sz w:val="20"/>
                <w:szCs w:val="20"/>
              </w:rPr>
              <w:t>Medium and large taxpayers e-filing / Total medium and large Taxpayers</w:t>
            </w:r>
          </w:p>
          <w:p w14:paraId="30842852" w14:textId="782FF01A" w:rsidR="003C2ABC" w:rsidRPr="00040AA9" w:rsidRDefault="003C2ABC" w:rsidP="00040AA9">
            <w:pPr>
              <w:keepNext/>
              <w:keepLines/>
              <w:suppressAutoHyphens/>
              <w:jc w:val="center"/>
              <w:rPr>
                <w:rFonts w:ascii="Arial" w:hAnsi="Arial" w:cs="Arial"/>
                <w:sz w:val="20"/>
                <w:szCs w:val="20"/>
              </w:rPr>
            </w:pPr>
            <w:r w:rsidRPr="00040AA9">
              <w:rPr>
                <w:rFonts w:ascii="Arial" w:hAnsi="Arial" w:cs="Arial"/>
                <w:sz w:val="20"/>
                <w:szCs w:val="20"/>
              </w:rPr>
              <w:t>(FSPG I, result 7)</w:t>
            </w:r>
          </w:p>
        </w:tc>
        <w:tc>
          <w:tcPr>
            <w:tcW w:w="990" w:type="dxa"/>
            <w:tcBorders>
              <w:top w:val="single" w:sz="4" w:space="0" w:color="auto"/>
              <w:left w:val="dotted" w:sz="4" w:space="0" w:color="auto"/>
              <w:right w:val="dotted" w:sz="4" w:space="0" w:color="auto"/>
            </w:tcBorders>
            <w:vAlign w:val="center"/>
          </w:tcPr>
          <w:p w14:paraId="590BB106" w14:textId="28016ED2" w:rsidR="003C2ABC" w:rsidRPr="00040AA9" w:rsidRDefault="003C2ABC" w:rsidP="00040AA9">
            <w:pPr>
              <w:keepNext/>
              <w:keepLines/>
              <w:suppressAutoHyphens/>
              <w:rPr>
                <w:rFonts w:ascii="Arial" w:hAnsi="Arial" w:cs="Arial"/>
                <w:sz w:val="20"/>
                <w:szCs w:val="20"/>
              </w:rPr>
            </w:pPr>
            <w:r w:rsidRPr="00040AA9">
              <w:rPr>
                <w:rFonts w:ascii="Arial" w:hAnsi="Arial" w:cs="Arial"/>
                <w:sz w:val="20"/>
                <w:szCs w:val="20"/>
              </w:rPr>
              <w:t>Invalidation</w:t>
            </w:r>
          </w:p>
        </w:tc>
        <w:tc>
          <w:tcPr>
            <w:tcW w:w="1080" w:type="dxa"/>
            <w:tcBorders>
              <w:top w:val="single" w:sz="4" w:space="0" w:color="auto"/>
              <w:left w:val="dotted" w:sz="4" w:space="0" w:color="auto"/>
              <w:right w:val="dotted" w:sz="4" w:space="0" w:color="auto"/>
            </w:tcBorders>
            <w:vAlign w:val="center"/>
          </w:tcPr>
          <w:p w14:paraId="309307DA" w14:textId="621B0550" w:rsidR="003C2ABC" w:rsidRPr="00040AA9" w:rsidRDefault="003C2ABC" w:rsidP="00040AA9">
            <w:pPr>
              <w:keepNext/>
              <w:keepLines/>
              <w:suppressAutoHyphens/>
              <w:rPr>
                <w:rFonts w:ascii="Arial" w:hAnsi="Arial" w:cs="Arial"/>
                <w:sz w:val="20"/>
                <w:szCs w:val="20"/>
              </w:rPr>
            </w:pPr>
            <w:r w:rsidRPr="00040AA9">
              <w:rPr>
                <w:rFonts w:ascii="Arial" w:hAnsi="Arial" w:cs="Arial"/>
                <w:sz w:val="20"/>
                <w:szCs w:val="20"/>
              </w:rPr>
              <w:t>Deactivation</w:t>
            </w:r>
          </w:p>
        </w:tc>
        <w:tc>
          <w:tcPr>
            <w:tcW w:w="1170" w:type="dxa"/>
            <w:tcBorders>
              <w:top w:val="single" w:sz="4" w:space="0" w:color="auto"/>
              <w:left w:val="dotted" w:sz="4" w:space="0" w:color="auto"/>
              <w:bottom w:val="single" w:sz="4" w:space="0" w:color="auto"/>
              <w:right w:val="dotted" w:sz="4" w:space="0" w:color="auto"/>
            </w:tcBorders>
            <w:vAlign w:val="center"/>
          </w:tcPr>
          <w:p w14:paraId="41A7AF3F" w14:textId="77777777" w:rsidR="003C2ABC" w:rsidRPr="00040AA9" w:rsidRDefault="003C2ABC" w:rsidP="00040AA9">
            <w:pPr>
              <w:pStyle w:val="Default"/>
              <w:suppressAutoHyphens/>
              <w:jc w:val="center"/>
              <w:rPr>
                <w:rFonts w:ascii="Arial" w:hAnsi="Arial" w:cs="Arial"/>
                <w:color w:val="auto"/>
                <w:sz w:val="20"/>
                <w:szCs w:val="20"/>
              </w:rPr>
            </w:pPr>
          </w:p>
          <w:p w14:paraId="58FACDEA" w14:textId="77777777" w:rsidR="003C2ABC" w:rsidRPr="00040AA9" w:rsidRDefault="003C2ABC" w:rsidP="00040AA9">
            <w:pPr>
              <w:pStyle w:val="Default"/>
              <w:suppressAutoHyphens/>
              <w:jc w:val="center"/>
              <w:rPr>
                <w:rFonts w:ascii="Arial" w:hAnsi="Arial" w:cs="Arial"/>
                <w:color w:val="auto"/>
                <w:sz w:val="20"/>
                <w:szCs w:val="20"/>
              </w:rPr>
            </w:pPr>
          </w:p>
          <w:p w14:paraId="28BA7588" w14:textId="77777777" w:rsidR="003C2ABC" w:rsidRPr="00040AA9" w:rsidRDefault="003C2ABC" w:rsidP="00040AA9">
            <w:pPr>
              <w:pStyle w:val="Default"/>
              <w:suppressAutoHyphens/>
              <w:jc w:val="center"/>
              <w:rPr>
                <w:rFonts w:ascii="Arial" w:hAnsi="Arial" w:cs="Arial"/>
                <w:color w:val="auto"/>
                <w:sz w:val="20"/>
                <w:szCs w:val="20"/>
              </w:rPr>
            </w:pPr>
            <w:r w:rsidRPr="00040AA9">
              <w:rPr>
                <w:rFonts w:ascii="Arial" w:hAnsi="Arial" w:cs="Arial"/>
                <w:color w:val="auto"/>
                <w:sz w:val="20"/>
                <w:szCs w:val="20"/>
              </w:rPr>
              <w:t>5</w:t>
            </w:r>
          </w:p>
          <w:p w14:paraId="143BAEFC" w14:textId="77777777" w:rsidR="003C2ABC" w:rsidRPr="00040AA9" w:rsidRDefault="003C2ABC" w:rsidP="00040AA9">
            <w:pPr>
              <w:pStyle w:val="Default"/>
              <w:suppressAutoHyphens/>
              <w:jc w:val="center"/>
              <w:rPr>
                <w:rFonts w:ascii="Arial" w:hAnsi="Arial" w:cs="Arial"/>
                <w:color w:val="auto"/>
                <w:sz w:val="20"/>
                <w:szCs w:val="20"/>
              </w:rPr>
            </w:pPr>
          </w:p>
          <w:p w14:paraId="13A0F36A" w14:textId="77777777" w:rsidR="003C2ABC" w:rsidRPr="00040AA9" w:rsidRDefault="003C2ABC" w:rsidP="00040AA9">
            <w:pPr>
              <w:pStyle w:val="Default"/>
              <w:keepNext/>
              <w:keepLines/>
              <w:suppressAutoHyphens/>
              <w:jc w:val="center"/>
              <w:rPr>
                <w:rFonts w:ascii="Arial" w:hAnsi="Arial" w:cs="Arial"/>
                <w:color w:val="auto"/>
                <w:sz w:val="20"/>
                <w:szCs w:val="20"/>
              </w:rPr>
            </w:pPr>
          </w:p>
        </w:tc>
        <w:tc>
          <w:tcPr>
            <w:tcW w:w="1170" w:type="dxa"/>
            <w:tcBorders>
              <w:top w:val="single" w:sz="4" w:space="0" w:color="auto"/>
              <w:left w:val="dotted" w:sz="4" w:space="0" w:color="auto"/>
              <w:right w:val="dotted" w:sz="4" w:space="0" w:color="auto"/>
            </w:tcBorders>
            <w:vAlign w:val="center"/>
          </w:tcPr>
          <w:p w14:paraId="20A6EC59" w14:textId="50B4C573" w:rsidR="003C2ABC" w:rsidRPr="00040AA9" w:rsidRDefault="003C2ABC"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1257" w:type="dxa"/>
            <w:tcBorders>
              <w:top w:val="single" w:sz="4" w:space="0" w:color="auto"/>
              <w:left w:val="dotted" w:sz="4" w:space="0" w:color="auto"/>
              <w:right w:val="dotted" w:sz="4" w:space="0" w:color="auto"/>
            </w:tcBorders>
            <w:vAlign w:val="center"/>
          </w:tcPr>
          <w:p w14:paraId="3EC5C6B5" w14:textId="4207A6B1" w:rsidR="003C2ABC" w:rsidRPr="00040AA9" w:rsidRDefault="003C2ABC"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N/A</w:t>
            </w:r>
          </w:p>
        </w:tc>
        <w:tc>
          <w:tcPr>
            <w:tcW w:w="3540" w:type="dxa"/>
            <w:tcBorders>
              <w:top w:val="single" w:sz="4" w:space="0" w:color="auto"/>
              <w:left w:val="dotted" w:sz="4" w:space="0" w:color="auto"/>
              <w:right w:val="dotted" w:sz="4" w:space="0" w:color="auto"/>
            </w:tcBorders>
            <w:vAlign w:val="center"/>
          </w:tcPr>
          <w:p w14:paraId="4464E652" w14:textId="6B0B83D2" w:rsidR="003C2ABC" w:rsidRPr="00040AA9" w:rsidRDefault="003C2ABC"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This FISPEG I indicator has been deactivated because (a) no EOP data are available on e-filings by medium </w:t>
            </w:r>
            <w:r w:rsidR="00350FE4" w:rsidRPr="00CF5903">
              <w:rPr>
                <w:rFonts w:ascii="Arial" w:hAnsi="Arial" w:cs="Arial"/>
                <w:color w:val="auto"/>
                <w:sz w:val="20"/>
                <w:szCs w:val="20"/>
              </w:rPr>
              <w:t>taxpayers,</w:t>
            </w:r>
            <w:r w:rsidRPr="00040AA9">
              <w:rPr>
                <w:rFonts w:ascii="Arial" w:hAnsi="Arial" w:cs="Arial"/>
                <w:color w:val="auto"/>
                <w:sz w:val="20"/>
                <w:szCs w:val="20"/>
              </w:rPr>
              <w:t xml:space="preserve"> and (b) the indicator is superseded by indicators 10.1, 10.2 and 10.3 which were developed during the subsequent FISPEG II and III operations and represent a more detailed and precise measurement of the same phenomenon</w:t>
            </w:r>
          </w:p>
        </w:tc>
        <w:tc>
          <w:tcPr>
            <w:tcW w:w="1228" w:type="dxa"/>
            <w:tcBorders>
              <w:top w:val="single" w:sz="4" w:space="0" w:color="auto"/>
              <w:left w:val="dotted" w:sz="4" w:space="0" w:color="auto"/>
              <w:right w:val="single" w:sz="4" w:space="0" w:color="auto"/>
            </w:tcBorders>
            <w:vAlign w:val="center"/>
          </w:tcPr>
          <w:p w14:paraId="6DE4A616" w14:textId="096559B9" w:rsidR="003C2ABC" w:rsidRPr="00040AA9" w:rsidRDefault="002B5F31"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Nov</w:t>
            </w:r>
            <w:r w:rsidR="00CE5144" w:rsidRPr="00040AA9">
              <w:rPr>
                <w:rFonts w:ascii="Arial" w:hAnsi="Arial" w:cs="Arial"/>
                <w:color w:val="auto"/>
                <w:sz w:val="20"/>
                <w:szCs w:val="20"/>
              </w:rPr>
              <w:t>ember</w:t>
            </w:r>
            <w:r w:rsidRPr="00040AA9">
              <w:rPr>
                <w:rFonts w:ascii="Arial" w:hAnsi="Arial" w:cs="Arial"/>
                <w:color w:val="auto"/>
                <w:sz w:val="20"/>
                <w:szCs w:val="20"/>
              </w:rPr>
              <w:t xml:space="preserve"> 2017</w:t>
            </w:r>
          </w:p>
        </w:tc>
        <w:tc>
          <w:tcPr>
            <w:tcW w:w="1200" w:type="dxa"/>
            <w:tcBorders>
              <w:top w:val="single" w:sz="4" w:space="0" w:color="auto"/>
              <w:left w:val="single" w:sz="4" w:space="0" w:color="auto"/>
              <w:right w:val="single" w:sz="4" w:space="0" w:color="auto"/>
            </w:tcBorders>
            <w:vAlign w:val="center"/>
          </w:tcPr>
          <w:p w14:paraId="77C49313" w14:textId="77777777" w:rsidR="003C2ABC" w:rsidRPr="00CF5903" w:rsidRDefault="003C2ABC" w:rsidP="00040AA9">
            <w:pPr>
              <w:pStyle w:val="Default"/>
              <w:suppressAutoHyphens/>
              <w:rPr>
                <w:rFonts w:ascii="Arial" w:hAnsi="Arial" w:cs="Arial"/>
                <w:color w:val="auto"/>
                <w:sz w:val="20"/>
                <w:szCs w:val="20"/>
              </w:rPr>
            </w:pPr>
          </w:p>
        </w:tc>
      </w:tr>
      <w:tr w:rsidR="00CE5144" w:rsidRPr="00CF5903" w14:paraId="05038266" w14:textId="77777777" w:rsidTr="006D7EE4">
        <w:trPr>
          <w:trHeight w:val="800"/>
        </w:trPr>
        <w:tc>
          <w:tcPr>
            <w:tcW w:w="1710" w:type="dxa"/>
            <w:tcBorders>
              <w:top w:val="single" w:sz="4" w:space="0" w:color="auto"/>
              <w:left w:val="single" w:sz="4" w:space="0" w:color="auto"/>
              <w:bottom w:val="single" w:sz="4" w:space="0" w:color="auto"/>
              <w:right w:val="dotted" w:sz="4" w:space="0" w:color="auto"/>
            </w:tcBorders>
          </w:tcPr>
          <w:p w14:paraId="721FA5BA" w14:textId="1906F8E0" w:rsidR="00CE5144" w:rsidRPr="00040AA9" w:rsidRDefault="00CE5144" w:rsidP="00040AA9">
            <w:pPr>
              <w:keepNext/>
              <w:keepLines/>
              <w:suppressAutoHyphens/>
              <w:rPr>
                <w:rFonts w:ascii="Arial" w:hAnsi="Arial" w:cs="Arial"/>
                <w:b/>
                <w:sz w:val="20"/>
                <w:szCs w:val="20"/>
              </w:rPr>
            </w:pPr>
            <w:r w:rsidRPr="00040AA9">
              <w:rPr>
                <w:rFonts w:ascii="Arial" w:hAnsi="Arial" w:cs="Arial"/>
                <w:b/>
                <w:sz w:val="20"/>
                <w:szCs w:val="20"/>
              </w:rPr>
              <w:t>OUTCOMES</w:t>
            </w:r>
          </w:p>
          <w:p w14:paraId="72AE2A64" w14:textId="77777777" w:rsidR="00CE5144" w:rsidRPr="00040AA9" w:rsidRDefault="00CE5144" w:rsidP="00040AA9">
            <w:pPr>
              <w:widowControl w:val="0"/>
              <w:suppressAutoHyphens/>
              <w:rPr>
                <w:rFonts w:ascii="Arial" w:hAnsi="Arial" w:cs="Arial"/>
                <w:sz w:val="20"/>
                <w:szCs w:val="20"/>
              </w:rPr>
            </w:pPr>
            <w:r w:rsidRPr="00040AA9">
              <w:rPr>
                <w:rFonts w:ascii="Arial" w:hAnsi="Arial" w:cs="Arial"/>
                <w:sz w:val="20"/>
                <w:szCs w:val="20"/>
              </w:rPr>
              <w:t>Indicator II.11.1</w:t>
            </w:r>
          </w:p>
          <w:p w14:paraId="1E9D2608" w14:textId="77777777" w:rsidR="00CE5144" w:rsidRPr="00040AA9" w:rsidRDefault="00CE5144" w:rsidP="00040AA9">
            <w:pPr>
              <w:widowControl w:val="0"/>
              <w:suppressAutoHyphens/>
              <w:rPr>
                <w:rFonts w:ascii="Arial" w:hAnsi="Arial" w:cs="Arial"/>
                <w:sz w:val="20"/>
                <w:szCs w:val="20"/>
              </w:rPr>
            </w:pPr>
            <w:r w:rsidRPr="00040AA9">
              <w:rPr>
                <w:rFonts w:ascii="Arial" w:hAnsi="Arial" w:cs="Arial"/>
                <w:sz w:val="20"/>
                <w:szCs w:val="20"/>
              </w:rPr>
              <w:t>Total tax expenditures / Nominal GDP</w:t>
            </w:r>
          </w:p>
          <w:p w14:paraId="0DC8C35F" w14:textId="77777777" w:rsidR="00CE5144" w:rsidRPr="00040AA9" w:rsidRDefault="00CE5144" w:rsidP="00040AA9">
            <w:pPr>
              <w:widowControl w:val="0"/>
              <w:suppressAutoHyphens/>
              <w:rPr>
                <w:rFonts w:ascii="Arial" w:hAnsi="Arial" w:cs="Arial"/>
                <w:sz w:val="20"/>
                <w:szCs w:val="20"/>
              </w:rPr>
            </w:pPr>
            <w:r w:rsidRPr="00040AA9">
              <w:rPr>
                <w:rFonts w:ascii="Arial" w:hAnsi="Arial" w:cs="Arial"/>
                <w:sz w:val="20"/>
                <w:szCs w:val="20"/>
              </w:rPr>
              <w:t>(FSPG III, result 2)</w:t>
            </w:r>
          </w:p>
          <w:p w14:paraId="493E9294" w14:textId="77777777" w:rsidR="00CE5144" w:rsidRPr="00040AA9" w:rsidRDefault="00CE5144" w:rsidP="00040AA9">
            <w:pPr>
              <w:suppressAutoHyphens/>
              <w:rPr>
                <w:rFonts w:ascii="Arial" w:hAnsi="Arial" w:cs="Arial"/>
                <w:b/>
                <w:sz w:val="20"/>
                <w:szCs w:val="20"/>
              </w:rPr>
            </w:pPr>
          </w:p>
        </w:tc>
        <w:tc>
          <w:tcPr>
            <w:tcW w:w="990" w:type="dxa"/>
            <w:tcBorders>
              <w:top w:val="single" w:sz="4" w:space="0" w:color="auto"/>
              <w:left w:val="dotted" w:sz="4" w:space="0" w:color="auto"/>
              <w:right w:val="dotted" w:sz="4" w:space="0" w:color="auto"/>
            </w:tcBorders>
            <w:vAlign w:val="center"/>
          </w:tcPr>
          <w:p w14:paraId="008A070B" w14:textId="6560B2D4"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Revised EOP target</w:t>
            </w:r>
          </w:p>
        </w:tc>
        <w:tc>
          <w:tcPr>
            <w:tcW w:w="1080" w:type="dxa"/>
            <w:tcBorders>
              <w:top w:val="single" w:sz="4" w:space="0" w:color="auto"/>
              <w:left w:val="dotted" w:sz="4" w:space="0" w:color="auto"/>
              <w:right w:val="dotted" w:sz="4" w:space="0" w:color="auto"/>
            </w:tcBorders>
            <w:vAlign w:val="center"/>
          </w:tcPr>
          <w:p w14:paraId="4A3CEB37" w14:textId="01A3BC82"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Adjustment</w:t>
            </w:r>
          </w:p>
        </w:tc>
        <w:tc>
          <w:tcPr>
            <w:tcW w:w="1170" w:type="dxa"/>
            <w:tcBorders>
              <w:top w:val="single" w:sz="4" w:space="0" w:color="auto"/>
              <w:left w:val="dotted" w:sz="4" w:space="0" w:color="auto"/>
              <w:bottom w:val="single" w:sz="4" w:space="0" w:color="auto"/>
              <w:right w:val="dotted" w:sz="4" w:space="0" w:color="auto"/>
            </w:tcBorders>
            <w:vAlign w:val="center"/>
          </w:tcPr>
          <w:p w14:paraId="1E187BFE" w14:textId="4CD0D2C0"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5.0%</w:t>
            </w:r>
          </w:p>
        </w:tc>
        <w:tc>
          <w:tcPr>
            <w:tcW w:w="1170" w:type="dxa"/>
            <w:tcBorders>
              <w:top w:val="single" w:sz="4" w:space="0" w:color="auto"/>
              <w:left w:val="dotted" w:sz="4" w:space="0" w:color="auto"/>
              <w:bottom w:val="single" w:sz="4" w:space="0" w:color="auto"/>
              <w:right w:val="dotted" w:sz="4" w:space="0" w:color="auto"/>
            </w:tcBorders>
            <w:vAlign w:val="center"/>
          </w:tcPr>
          <w:p w14:paraId="6ADE9E5C" w14:textId="77777777" w:rsidR="00CE5144" w:rsidRPr="00040AA9" w:rsidRDefault="00CE5144"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3.3%</w:t>
            </w:r>
          </w:p>
          <w:p w14:paraId="2C598A81" w14:textId="796E176B"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(2016/17)</w:t>
            </w:r>
          </w:p>
        </w:tc>
        <w:tc>
          <w:tcPr>
            <w:tcW w:w="1257" w:type="dxa"/>
            <w:tcBorders>
              <w:top w:val="single" w:sz="4" w:space="0" w:color="auto"/>
              <w:left w:val="dotted" w:sz="4" w:space="0" w:color="auto"/>
              <w:right w:val="dotted" w:sz="4" w:space="0" w:color="auto"/>
            </w:tcBorders>
            <w:vAlign w:val="center"/>
          </w:tcPr>
          <w:p w14:paraId="71048781" w14:textId="77777777" w:rsidR="00CE5144" w:rsidRPr="00040AA9" w:rsidRDefault="00CE5144"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3.4%</w:t>
            </w:r>
          </w:p>
          <w:p w14:paraId="55CF452A" w14:textId="77777777" w:rsidR="00CE5144" w:rsidRPr="00040AA9" w:rsidRDefault="00CE5144" w:rsidP="00040AA9">
            <w:pPr>
              <w:widowControl w:val="0"/>
              <w:suppressAutoHyphens/>
              <w:jc w:val="center"/>
              <w:rPr>
                <w:rFonts w:ascii="Arial" w:hAnsi="Arial" w:cs="Arial"/>
                <w:sz w:val="20"/>
                <w:szCs w:val="20"/>
                <w:lang w:val="en-GB"/>
              </w:rPr>
            </w:pPr>
            <w:r w:rsidRPr="00040AA9">
              <w:rPr>
                <w:rFonts w:ascii="Arial" w:hAnsi="Arial" w:cs="Arial"/>
                <w:sz w:val="20"/>
                <w:szCs w:val="20"/>
              </w:rPr>
              <w:t>(2015/16)</w:t>
            </w:r>
          </w:p>
          <w:p w14:paraId="0223386E" w14:textId="77777777" w:rsidR="00CE5144" w:rsidRPr="00040AA9" w:rsidRDefault="00CE5144" w:rsidP="00040AA9">
            <w:pPr>
              <w:pStyle w:val="Default"/>
              <w:keepNext/>
              <w:keepLines/>
              <w:suppressAutoHyphens/>
              <w:jc w:val="center"/>
              <w:rPr>
                <w:rFonts w:ascii="Arial" w:hAnsi="Arial" w:cs="Arial"/>
                <w:color w:val="auto"/>
                <w:sz w:val="20"/>
                <w:szCs w:val="20"/>
              </w:rPr>
            </w:pPr>
          </w:p>
        </w:tc>
        <w:tc>
          <w:tcPr>
            <w:tcW w:w="3540" w:type="dxa"/>
            <w:tcBorders>
              <w:top w:val="single" w:sz="4" w:space="0" w:color="auto"/>
              <w:left w:val="dotted" w:sz="4" w:space="0" w:color="auto"/>
              <w:right w:val="dotted" w:sz="4" w:space="0" w:color="auto"/>
            </w:tcBorders>
          </w:tcPr>
          <w:p w14:paraId="1C3884F7" w14:textId="62BCAC7A"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The year for which the EOP target value is specified was changed from FY 2016/17 to 2015/16 as the most recent year for which actual data for this indicator are available is CY2015.</w:t>
            </w:r>
          </w:p>
        </w:tc>
        <w:tc>
          <w:tcPr>
            <w:tcW w:w="1228" w:type="dxa"/>
            <w:tcBorders>
              <w:top w:val="single" w:sz="4" w:space="0" w:color="auto"/>
              <w:left w:val="dotted" w:sz="4" w:space="0" w:color="auto"/>
              <w:right w:val="single" w:sz="4" w:space="0" w:color="auto"/>
            </w:tcBorders>
            <w:vAlign w:val="center"/>
          </w:tcPr>
          <w:p w14:paraId="3F51C9A1" w14:textId="1F715198"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November 2017</w:t>
            </w:r>
          </w:p>
        </w:tc>
        <w:tc>
          <w:tcPr>
            <w:tcW w:w="1200" w:type="dxa"/>
            <w:tcBorders>
              <w:top w:val="single" w:sz="4" w:space="0" w:color="auto"/>
              <w:left w:val="single" w:sz="4" w:space="0" w:color="auto"/>
              <w:right w:val="single" w:sz="4" w:space="0" w:color="auto"/>
            </w:tcBorders>
          </w:tcPr>
          <w:p w14:paraId="3FB1046C" w14:textId="77777777" w:rsidR="00CE5144" w:rsidRPr="00CF5903" w:rsidRDefault="00CE5144" w:rsidP="00040AA9">
            <w:pPr>
              <w:pStyle w:val="Default"/>
              <w:suppressAutoHyphens/>
              <w:rPr>
                <w:rFonts w:ascii="Arial" w:hAnsi="Arial" w:cs="Arial"/>
                <w:color w:val="auto"/>
                <w:sz w:val="20"/>
                <w:szCs w:val="20"/>
              </w:rPr>
            </w:pPr>
          </w:p>
        </w:tc>
      </w:tr>
      <w:tr w:rsidR="00CE5144" w:rsidRPr="00CF5903" w14:paraId="199B4430" w14:textId="77777777" w:rsidTr="006D7EE4">
        <w:trPr>
          <w:trHeight w:val="800"/>
        </w:trPr>
        <w:tc>
          <w:tcPr>
            <w:tcW w:w="1710" w:type="dxa"/>
            <w:tcBorders>
              <w:top w:val="single" w:sz="4" w:space="0" w:color="auto"/>
              <w:left w:val="single" w:sz="4" w:space="0" w:color="auto"/>
              <w:bottom w:val="single" w:sz="4" w:space="0" w:color="auto"/>
              <w:right w:val="dotted" w:sz="4" w:space="0" w:color="auto"/>
            </w:tcBorders>
          </w:tcPr>
          <w:p w14:paraId="090B474B" w14:textId="77777777" w:rsidR="00CE5144" w:rsidRPr="00040AA9" w:rsidRDefault="00CE5144" w:rsidP="00040AA9">
            <w:pPr>
              <w:widowControl w:val="0"/>
              <w:suppressAutoHyphens/>
              <w:rPr>
                <w:rFonts w:ascii="Arial" w:hAnsi="Arial" w:cs="Arial"/>
                <w:b/>
                <w:sz w:val="20"/>
                <w:szCs w:val="20"/>
              </w:rPr>
            </w:pPr>
            <w:r w:rsidRPr="00040AA9">
              <w:rPr>
                <w:rFonts w:ascii="Arial" w:hAnsi="Arial" w:cs="Arial"/>
                <w:b/>
                <w:sz w:val="20"/>
                <w:szCs w:val="20"/>
              </w:rPr>
              <w:t>OUTCOMES</w:t>
            </w:r>
          </w:p>
          <w:p w14:paraId="10BAC398" w14:textId="77777777" w:rsidR="00CE5144" w:rsidRPr="00040AA9" w:rsidRDefault="00CE5144" w:rsidP="00040AA9">
            <w:pPr>
              <w:widowControl w:val="0"/>
              <w:suppressAutoHyphens/>
              <w:rPr>
                <w:rFonts w:ascii="Arial" w:hAnsi="Arial" w:cs="Arial"/>
                <w:sz w:val="20"/>
                <w:szCs w:val="20"/>
              </w:rPr>
            </w:pPr>
            <w:r w:rsidRPr="00040AA9">
              <w:rPr>
                <w:rFonts w:ascii="Arial" w:hAnsi="Arial" w:cs="Arial"/>
                <w:sz w:val="20"/>
                <w:szCs w:val="20"/>
              </w:rPr>
              <w:t>Indicator III.13.2</w:t>
            </w:r>
          </w:p>
          <w:p w14:paraId="67EE4C4C" w14:textId="33CCFC76" w:rsidR="00CE5144" w:rsidRPr="00040AA9" w:rsidRDefault="00CE5144" w:rsidP="00040AA9">
            <w:pPr>
              <w:widowControl w:val="0"/>
              <w:suppressAutoHyphens/>
              <w:rPr>
                <w:rFonts w:ascii="Arial" w:hAnsi="Arial" w:cs="Arial"/>
                <w:sz w:val="20"/>
                <w:szCs w:val="20"/>
              </w:rPr>
            </w:pPr>
            <w:r w:rsidRPr="00040AA9">
              <w:rPr>
                <w:rFonts w:ascii="Arial" w:hAnsi="Arial" w:cs="Arial"/>
                <w:sz w:val="20"/>
                <w:szCs w:val="20"/>
              </w:rPr>
              <w:t>Non-self-financing (NSF) P</w:t>
            </w:r>
            <w:r w:rsidR="00800B2A">
              <w:rPr>
                <w:rFonts w:ascii="Arial" w:hAnsi="Arial" w:cs="Arial"/>
                <w:sz w:val="20"/>
                <w:szCs w:val="20"/>
              </w:rPr>
              <w:t>Bs</w:t>
            </w:r>
            <w:r w:rsidRPr="00040AA9">
              <w:rPr>
                <w:rFonts w:ascii="Arial" w:hAnsi="Arial" w:cs="Arial"/>
                <w:sz w:val="20"/>
                <w:szCs w:val="20"/>
              </w:rPr>
              <w:t xml:space="preserve"> reporting on time  </w:t>
            </w:r>
          </w:p>
          <w:p w14:paraId="1B0921F3" w14:textId="3BF1F4A6"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(FSPG I, result 10)</w:t>
            </w:r>
          </w:p>
        </w:tc>
        <w:tc>
          <w:tcPr>
            <w:tcW w:w="990" w:type="dxa"/>
            <w:tcBorders>
              <w:top w:val="single" w:sz="4" w:space="0" w:color="auto"/>
              <w:left w:val="dotted" w:sz="4" w:space="0" w:color="auto"/>
              <w:right w:val="dotted" w:sz="4" w:space="0" w:color="auto"/>
            </w:tcBorders>
            <w:vAlign w:val="center"/>
          </w:tcPr>
          <w:p w14:paraId="4868301C" w14:textId="5EBAD65B"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Invalidation</w:t>
            </w:r>
          </w:p>
        </w:tc>
        <w:tc>
          <w:tcPr>
            <w:tcW w:w="1080" w:type="dxa"/>
            <w:tcBorders>
              <w:top w:val="single" w:sz="4" w:space="0" w:color="auto"/>
              <w:left w:val="dotted" w:sz="4" w:space="0" w:color="auto"/>
              <w:right w:val="dotted" w:sz="4" w:space="0" w:color="auto"/>
            </w:tcBorders>
            <w:vAlign w:val="center"/>
          </w:tcPr>
          <w:p w14:paraId="600A6AED" w14:textId="40BE59C5"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Deactivation</w:t>
            </w:r>
          </w:p>
        </w:tc>
        <w:tc>
          <w:tcPr>
            <w:tcW w:w="1170" w:type="dxa"/>
            <w:tcBorders>
              <w:top w:val="single" w:sz="4" w:space="0" w:color="auto"/>
              <w:left w:val="dotted" w:sz="4" w:space="0" w:color="auto"/>
              <w:bottom w:val="single" w:sz="4" w:space="0" w:color="auto"/>
              <w:right w:val="dotted" w:sz="4" w:space="0" w:color="auto"/>
            </w:tcBorders>
            <w:vAlign w:val="center"/>
          </w:tcPr>
          <w:p w14:paraId="0AB4EE40" w14:textId="2DE192B8"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1</w:t>
            </w:r>
          </w:p>
        </w:tc>
        <w:tc>
          <w:tcPr>
            <w:tcW w:w="1170" w:type="dxa"/>
            <w:tcBorders>
              <w:top w:val="single" w:sz="4" w:space="0" w:color="auto"/>
              <w:left w:val="dotted" w:sz="4" w:space="0" w:color="auto"/>
              <w:bottom w:val="single" w:sz="4" w:space="0" w:color="auto"/>
              <w:right w:val="dotted" w:sz="4" w:space="0" w:color="auto"/>
            </w:tcBorders>
            <w:vAlign w:val="center"/>
          </w:tcPr>
          <w:p w14:paraId="5A24D328" w14:textId="41C65F3B"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105</w:t>
            </w:r>
          </w:p>
        </w:tc>
        <w:tc>
          <w:tcPr>
            <w:tcW w:w="1257" w:type="dxa"/>
            <w:tcBorders>
              <w:top w:val="single" w:sz="4" w:space="0" w:color="auto"/>
              <w:left w:val="dotted" w:sz="4" w:space="0" w:color="auto"/>
              <w:right w:val="dotted" w:sz="4" w:space="0" w:color="auto"/>
            </w:tcBorders>
            <w:vAlign w:val="center"/>
          </w:tcPr>
          <w:p w14:paraId="51C5916D" w14:textId="724031B9"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N/A</w:t>
            </w:r>
          </w:p>
        </w:tc>
        <w:tc>
          <w:tcPr>
            <w:tcW w:w="3540" w:type="dxa"/>
            <w:tcBorders>
              <w:top w:val="single" w:sz="4" w:space="0" w:color="auto"/>
              <w:left w:val="dotted" w:sz="4" w:space="0" w:color="auto"/>
              <w:right w:val="dotted" w:sz="4" w:space="0" w:color="auto"/>
            </w:tcBorders>
          </w:tcPr>
          <w:p w14:paraId="2368F205" w14:textId="1B362C7C"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This FISPEG I indicator has been deactivated because no EOP data are available </w:t>
            </w:r>
          </w:p>
        </w:tc>
        <w:tc>
          <w:tcPr>
            <w:tcW w:w="1228" w:type="dxa"/>
            <w:tcBorders>
              <w:top w:val="single" w:sz="4" w:space="0" w:color="auto"/>
              <w:left w:val="dotted" w:sz="4" w:space="0" w:color="auto"/>
              <w:right w:val="single" w:sz="4" w:space="0" w:color="auto"/>
            </w:tcBorders>
            <w:vAlign w:val="center"/>
          </w:tcPr>
          <w:p w14:paraId="0C19611E" w14:textId="01EEBB4B"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November 2017</w:t>
            </w:r>
          </w:p>
        </w:tc>
        <w:tc>
          <w:tcPr>
            <w:tcW w:w="1200" w:type="dxa"/>
            <w:tcBorders>
              <w:top w:val="single" w:sz="4" w:space="0" w:color="auto"/>
              <w:left w:val="single" w:sz="4" w:space="0" w:color="auto"/>
              <w:right w:val="single" w:sz="4" w:space="0" w:color="auto"/>
            </w:tcBorders>
          </w:tcPr>
          <w:p w14:paraId="44AF7153" w14:textId="77777777" w:rsidR="00CE5144" w:rsidRPr="00CF5903" w:rsidRDefault="00CE5144" w:rsidP="00040AA9">
            <w:pPr>
              <w:pStyle w:val="Default"/>
              <w:suppressAutoHyphens/>
              <w:rPr>
                <w:rFonts w:ascii="Arial" w:hAnsi="Arial" w:cs="Arial"/>
                <w:color w:val="auto"/>
                <w:sz w:val="20"/>
                <w:szCs w:val="20"/>
              </w:rPr>
            </w:pPr>
          </w:p>
        </w:tc>
      </w:tr>
      <w:tr w:rsidR="00CE5144" w:rsidRPr="00CF5903" w14:paraId="6079CB07" w14:textId="77777777" w:rsidTr="006D7EE4">
        <w:trPr>
          <w:trHeight w:val="800"/>
        </w:trPr>
        <w:tc>
          <w:tcPr>
            <w:tcW w:w="1710" w:type="dxa"/>
            <w:tcBorders>
              <w:top w:val="single" w:sz="4" w:space="0" w:color="auto"/>
              <w:left w:val="single" w:sz="4" w:space="0" w:color="auto"/>
              <w:bottom w:val="single" w:sz="4" w:space="0" w:color="auto"/>
              <w:right w:val="dotted" w:sz="4" w:space="0" w:color="auto"/>
            </w:tcBorders>
          </w:tcPr>
          <w:p w14:paraId="211A4D3C" w14:textId="77777777" w:rsidR="00CE5144" w:rsidRPr="00040AA9" w:rsidRDefault="00CE5144" w:rsidP="00040AA9">
            <w:pPr>
              <w:keepNext/>
              <w:keepLines/>
              <w:widowControl w:val="0"/>
              <w:suppressAutoHyphens/>
              <w:rPr>
                <w:rFonts w:ascii="Arial" w:hAnsi="Arial" w:cs="Arial"/>
                <w:b/>
                <w:sz w:val="20"/>
                <w:szCs w:val="20"/>
              </w:rPr>
            </w:pPr>
            <w:r w:rsidRPr="00040AA9">
              <w:rPr>
                <w:rFonts w:ascii="Arial" w:hAnsi="Arial" w:cs="Arial"/>
                <w:b/>
                <w:sz w:val="20"/>
                <w:szCs w:val="20"/>
              </w:rPr>
              <w:t>OUTCOMES</w:t>
            </w:r>
          </w:p>
          <w:p w14:paraId="3B6EAF6C" w14:textId="0911BCDC" w:rsidR="00CE5144" w:rsidRPr="00040AA9" w:rsidRDefault="00CE5144" w:rsidP="00040AA9">
            <w:pPr>
              <w:keepNext/>
              <w:keepLines/>
              <w:widowControl w:val="0"/>
              <w:suppressAutoHyphens/>
              <w:rPr>
                <w:rFonts w:ascii="Arial" w:hAnsi="Arial" w:cs="Arial"/>
                <w:sz w:val="20"/>
                <w:szCs w:val="20"/>
              </w:rPr>
            </w:pPr>
            <w:r w:rsidRPr="00040AA9">
              <w:rPr>
                <w:rFonts w:ascii="Arial" w:hAnsi="Arial" w:cs="Arial"/>
                <w:sz w:val="20"/>
                <w:szCs w:val="20"/>
              </w:rPr>
              <w:t>Indicator III.14.1</w:t>
            </w:r>
          </w:p>
          <w:p w14:paraId="36C72E2B" w14:textId="77777777" w:rsidR="00CE5144" w:rsidRPr="00040AA9" w:rsidRDefault="00CE5144" w:rsidP="00040AA9">
            <w:pPr>
              <w:keepNext/>
              <w:keepLines/>
              <w:widowControl w:val="0"/>
              <w:suppressAutoHyphens/>
              <w:rPr>
                <w:rFonts w:ascii="Arial" w:hAnsi="Arial" w:cs="Arial"/>
                <w:sz w:val="20"/>
                <w:szCs w:val="20"/>
              </w:rPr>
            </w:pPr>
            <w:r w:rsidRPr="00040AA9">
              <w:rPr>
                <w:rFonts w:ascii="Arial" w:hAnsi="Arial" w:cs="Arial"/>
                <w:sz w:val="20"/>
                <w:szCs w:val="20"/>
              </w:rPr>
              <w:t>Self-financing PBs with statement on time / Total Self-financing PBs</w:t>
            </w:r>
          </w:p>
          <w:p w14:paraId="71B16969" w14:textId="77777777" w:rsidR="00CE5144" w:rsidRPr="00040AA9" w:rsidRDefault="00CE5144" w:rsidP="00040AA9">
            <w:pPr>
              <w:keepNext/>
              <w:keepLines/>
              <w:suppressAutoHyphens/>
              <w:rPr>
                <w:rFonts w:ascii="Arial" w:hAnsi="Arial" w:cs="Arial"/>
                <w:b/>
                <w:sz w:val="20"/>
                <w:szCs w:val="20"/>
              </w:rPr>
            </w:pPr>
          </w:p>
        </w:tc>
        <w:tc>
          <w:tcPr>
            <w:tcW w:w="990" w:type="dxa"/>
            <w:tcBorders>
              <w:top w:val="single" w:sz="4" w:space="0" w:color="auto"/>
              <w:left w:val="dotted" w:sz="4" w:space="0" w:color="auto"/>
              <w:right w:val="dotted" w:sz="4" w:space="0" w:color="auto"/>
            </w:tcBorders>
            <w:vAlign w:val="center"/>
          </w:tcPr>
          <w:p w14:paraId="3E25D6B5" w14:textId="71481EC1"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Revised EOP target</w:t>
            </w:r>
          </w:p>
        </w:tc>
        <w:tc>
          <w:tcPr>
            <w:tcW w:w="1080" w:type="dxa"/>
            <w:tcBorders>
              <w:top w:val="single" w:sz="4" w:space="0" w:color="auto"/>
              <w:left w:val="dotted" w:sz="4" w:space="0" w:color="auto"/>
              <w:right w:val="dotted" w:sz="4" w:space="0" w:color="auto"/>
            </w:tcBorders>
            <w:vAlign w:val="center"/>
          </w:tcPr>
          <w:p w14:paraId="4CAAB771" w14:textId="76D0CD11"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Adjustment</w:t>
            </w:r>
          </w:p>
        </w:tc>
        <w:tc>
          <w:tcPr>
            <w:tcW w:w="1170" w:type="dxa"/>
            <w:tcBorders>
              <w:top w:val="single" w:sz="4" w:space="0" w:color="auto"/>
              <w:left w:val="dotted" w:sz="4" w:space="0" w:color="auto"/>
              <w:bottom w:val="single" w:sz="4" w:space="0" w:color="auto"/>
              <w:right w:val="dotted" w:sz="4" w:space="0" w:color="auto"/>
            </w:tcBorders>
            <w:vAlign w:val="center"/>
          </w:tcPr>
          <w:p w14:paraId="4C4C5426" w14:textId="47046A40"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44%</w:t>
            </w:r>
          </w:p>
        </w:tc>
        <w:tc>
          <w:tcPr>
            <w:tcW w:w="1170" w:type="dxa"/>
            <w:tcBorders>
              <w:top w:val="single" w:sz="4" w:space="0" w:color="auto"/>
              <w:left w:val="dotted" w:sz="4" w:space="0" w:color="auto"/>
              <w:bottom w:val="single" w:sz="4" w:space="0" w:color="auto"/>
              <w:right w:val="dotted" w:sz="4" w:space="0" w:color="auto"/>
            </w:tcBorders>
            <w:vAlign w:val="center"/>
          </w:tcPr>
          <w:p w14:paraId="5B8412A2" w14:textId="77777777" w:rsidR="00CE5144" w:rsidRPr="00040AA9" w:rsidRDefault="00CE5144" w:rsidP="00040AA9">
            <w:pPr>
              <w:keepNext/>
              <w:keepLines/>
              <w:widowControl w:val="0"/>
              <w:suppressAutoHyphens/>
              <w:jc w:val="center"/>
              <w:rPr>
                <w:rFonts w:ascii="Arial" w:hAnsi="Arial" w:cs="Arial"/>
                <w:sz w:val="20"/>
                <w:szCs w:val="20"/>
              </w:rPr>
            </w:pPr>
            <w:r w:rsidRPr="00040AA9">
              <w:rPr>
                <w:rFonts w:ascii="Arial" w:hAnsi="Arial" w:cs="Arial"/>
                <w:sz w:val="20"/>
                <w:szCs w:val="20"/>
              </w:rPr>
              <w:t>88%</w:t>
            </w:r>
          </w:p>
          <w:p w14:paraId="27451770" w14:textId="74CBCAFB"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(2016/17)</w:t>
            </w:r>
          </w:p>
        </w:tc>
        <w:tc>
          <w:tcPr>
            <w:tcW w:w="1257" w:type="dxa"/>
            <w:tcBorders>
              <w:top w:val="single" w:sz="4" w:space="0" w:color="auto"/>
              <w:left w:val="dotted" w:sz="4" w:space="0" w:color="auto"/>
              <w:right w:val="dotted" w:sz="4" w:space="0" w:color="auto"/>
            </w:tcBorders>
            <w:vAlign w:val="center"/>
          </w:tcPr>
          <w:p w14:paraId="49F8E221" w14:textId="77777777" w:rsidR="00CE5144" w:rsidRPr="00040AA9" w:rsidRDefault="00CE5144" w:rsidP="00040AA9">
            <w:pPr>
              <w:keepNext/>
              <w:keepLines/>
              <w:widowControl w:val="0"/>
              <w:suppressAutoHyphens/>
              <w:jc w:val="center"/>
              <w:rPr>
                <w:rFonts w:ascii="Arial" w:hAnsi="Arial" w:cs="Arial"/>
                <w:sz w:val="20"/>
                <w:szCs w:val="20"/>
              </w:rPr>
            </w:pPr>
            <w:r w:rsidRPr="00040AA9">
              <w:rPr>
                <w:rFonts w:ascii="Arial" w:hAnsi="Arial" w:cs="Arial"/>
                <w:sz w:val="20"/>
                <w:szCs w:val="20"/>
              </w:rPr>
              <w:t>65%</w:t>
            </w:r>
          </w:p>
          <w:p w14:paraId="20A0F12A" w14:textId="6C07EBBF"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sz w:val="20"/>
                <w:szCs w:val="20"/>
              </w:rPr>
              <w:t>(2015/16)</w:t>
            </w:r>
          </w:p>
        </w:tc>
        <w:tc>
          <w:tcPr>
            <w:tcW w:w="3540" w:type="dxa"/>
            <w:tcBorders>
              <w:top w:val="single" w:sz="4" w:space="0" w:color="auto"/>
              <w:left w:val="dotted" w:sz="4" w:space="0" w:color="auto"/>
              <w:right w:val="dotted" w:sz="4" w:space="0" w:color="auto"/>
            </w:tcBorders>
          </w:tcPr>
          <w:p w14:paraId="5950AB0D" w14:textId="037DFE75"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The year for which the EOP target value is specified was changed from FY 2016/17 to 2015/16 as the most recent year for which actual data for this indicator are available is FY2015/16.</w:t>
            </w:r>
          </w:p>
        </w:tc>
        <w:tc>
          <w:tcPr>
            <w:tcW w:w="1228" w:type="dxa"/>
            <w:tcBorders>
              <w:top w:val="single" w:sz="4" w:space="0" w:color="auto"/>
              <w:left w:val="dotted" w:sz="4" w:space="0" w:color="auto"/>
              <w:right w:val="single" w:sz="4" w:space="0" w:color="auto"/>
            </w:tcBorders>
            <w:vAlign w:val="center"/>
          </w:tcPr>
          <w:p w14:paraId="06BF06EA" w14:textId="400FBAA9"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November 2017</w:t>
            </w:r>
          </w:p>
        </w:tc>
        <w:tc>
          <w:tcPr>
            <w:tcW w:w="1200" w:type="dxa"/>
            <w:tcBorders>
              <w:top w:val="single" w:sz="4" w:space="0" w:color="auto"/>
              <w:left w:val="single" w:sz="4" w:space="0" w:color="auto"/>
              <w:right w:val="single" w:sz="4" w:space="0" w:color="auto"/>
            </w:tcBorders>
          </w:tcPr>
          <w:p w14:paraId="6978F5C7" w14:textId="77777777" w:rsidR="00CE5144" w:rsidRPr="00CF5903" w:rsidRDefault="00CE5144" w:rsidP="00040AA9">
            <w:pPr>
              <w:pStyle w:val="Default"/>
              <w:suppressAutoHyphens/>
              <w:rPr>
                <w:rFonts w:ascii="Arial" w:hAnsi="Arial" w:cs="Arial"/>
                <w:color w:val="auto"/>
                <w:sz w:val="20"/>
                <w:szCs w:val="20"/>
              </w:rPr>
            </w:pPr>
          </w:p>
        </w:tc>
      </w:tr>
      <w:tr w:rsidR="00CE5144" w:rsidRPr="00CF5903" w14:paraId="466E1252" w14:textId="77777777" w:rsidTr="006D7EE4">
        <w:trPr>
          <w:trHeight w:val="800"/>
        </w:trPr>
        <w:tc>
          <w:tcPr>
            <w:tcW w:w="1710" w:type="dxa"/>
            <w:tcBorders>
              <w:top w:val="single" w:sz="4" w:space="0" w:color="auto"/>
              <w:left w:val="single" w:sz="4" w:space="0" w:color="auto"/>
              <w:bottom w:val="single" w:sz="4" w:space="0" w:color="auto"/>
              <w:right w:val="dotted" w:sz="4" w:space="0" w:color="auto"/>
            </w:tcBorders>
          </w:tcPr>
          <w:p w14:paraId="3B865EB9" w14:textId="77777777" w:rsidR="00CE5144" w:rsidRPr="00040AA9" w:rsidRDefault="00CE5144" w:rsidP="00040AA9">
            <w:pPr>
              <w:keepNext/>
              <w:keepLines/>
              <w:suppressAutoHyphens/>
              <w:rPr>
                <w:rFonts w:ascii="Arial" w:hAnsi="Arial" w:cs="Arial"/>
                <w:b/>
                <w:sz w:val="20"/>
                <w:szCs w:val="20"/>
              </w:rPr>
            </w:pPr>
            <w:r w:rsidRPr="00040AA9">
              <w:rPr>
                <w:rFonts w:ascii="Arial" w:hAnsi="Arial" w:cs="Arial"/>
                <w:b/>
                <w:sz w:val="20"/>
                <w:szCs w:val="20"/>
              </w:rPr>
              <w:t>OUTCOMES</w:t>
            </w:r>
          </w:p>
          <w:p w14:paraId="73E1F3E3" w14:textId="1AD0105D"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Indicator III.15.1</w:t>
            </w:r>
          </w:p>
          <w:p w14:paraId="3E56534F" w14:textId="77777777"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Non-Self-financing PBs with statement on time / Total Non-self-financing PBs</w:t>
            </w:r>
          </w:p>
          <w:p w14:paraId="1F1684D1" w14:textId="10C6E3AE" w:rsidR="00CE5144" w:rsidRPr="00040AA9" w:rsidRDefault="00CE5144" w:rsidP="00040AA9">
            <w:pPr>
              <w:widowControl w:val="0"/>
              <w:suppressAutoHyphens/>
              <w:rPr>
                <w:rFonts w:ascii="Arial" w:hAnsi="Arial" w:cs="Arial"/>
                <w:sz w:val="20"/>
                <w:szCs w:val="20"/>
              </w:rPr>
            </w:pPr>
            <w:r w:rsidRPr="00040AA9">
              <w:rPr>
                <w:rFonts w:ascii="Arial" w:hAnsi="Arial" w:cs="Arial"/>
                <w:sz w:val="20"/>
                <w:szCs w:val="20"/>
              </w:rPr>
              <w:t>(FSPG II, result 6)</w:t>
            </w:r>
          </w:p>
        </w:tc>
        <w:tc>
          <w:tcPr>
            <w:tcW w:w="990" w:type="dxa"/>
            <w:tcBorders>
              <w:top w:val="single" w:sz="4" w:space="0" w:color="auto"/>
              <w:left w:val="dotted" w:sz="4" w:space="0" w:color="auto"/>
              <w:bottom w:val="single" w:sz="4" w:space="0" w:color="auto"/>
              <w:right w:val="dotted" w:sz="4" w:space="0" w:color="auto"/>
            </w:tcBorders>
            <w:vAlign w:val="center"/>
          </w:tcPr>
          <w:p w14:paraId="3DF217BF" w14:textId="7DAE1C9E"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Invalidation</w:t>
            </w:r>
          </w:p>
        </w:tc>
        <w:tc>
          <w:tcPr>
            <w:tcW w:w="1080" w:type="dxa"/>
            <w:tcBorders>
              <w:top w:val="single" w:sz="4" w:space="0" w:color="auto"/>
              <w:left w:val="dotted" w:sz="4" w:space="0" w:color="auto"/>
              <w:bottom w:val="single" w:sz="4" w:space="0" w:color="auto"/>
              <w:right w:val="dotted" w:sz="4" w:space="0" w:color="auto"/>
            </w:tcBorders>
            <w:vAlign w:val="center"/>
          </w:tcPr>
          <w:p w14:paraId="0B85E1B7" w14:textId="1B8CDEA0"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Deactivation</w:t>
            </w:r>
          </w:p>
        </w:tc>
        <w:tc>
          <w:tcPr>
            <w:tcW w:w="1170" w:type="dxa"/>
            <w:tcBorders>
              <w:top w:val="single" w:sz="4" w:space="0" w:color="auto"/>
              <w:left w:val="dotted" w:sz="4" w:space="0" w:color="auto"/>
              <w:bottom w:val="single" w:sz="4" w:space="0" w:color="auto"/>
              <w:right w:val="dotted" w:sz="4" w:space="0" w:color="auto"/>
            </w:tcBorders>
            <w:vAlign w:val="center"/>
          </w:tcPr>
          <w:p w14:paraId="2A30EF77" w14:textId="0645521B"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1</w:t>
            </w:r>
          </w:p>
        </w:tc>
        <w:tc>
          <w:tcPr>
            <w:tcW w:w="1170" w:type="dxa"/>
            <w:tcBorders>
              <w:top w:val="single" w:sz="4" w:space="0" w:color="auto"/>
              <w:left w:val="dotted" w:sz="4" w:space="0" w:color="auto"/>
              <w:bottom w:val="single" w:sz="4" w:space="0" w:color="auto"/>
              <w:right w:val="dotted" w:sz="4" w:space="0" w:color="auto"/>
            </w:tcBorders>
            <w:vAlign w:val="center"/>
          </w:tcPr>
          <w:p w14:paraId="325F74BC" w14:textId="2C6B8F35"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105</w:t>
            </w:r>
          </w:p>
        </w:tc>
        <w:tc>
          <w:tcPr>
            <w:tcW w:w="1257" w:type="dxa"/>
            <w:tcBorders>
              <w:top w:val="single" w:sz="4" w:space="0" w:color="auto"/>
              <w:left w:val="dotted" w:sz="4" w:space="0" w:color="auto"/>
              <w:bottom w:val="single" w:sz="4" w:space="0" w:color="auto"/>
              <w:right w:val="dotted" w:sz="4" w:space="0" w:color="auto"/>
            </w:tcBorders>
            <w:vAlign w:val="center"/>
          </w:tcPr>
          <w:p w14:paraId="130E153C" w14:textId="35619CFA"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N/A</w:t>
            </w:r>
          </w:p>
        </w:tc>
        <w:tc>
          <w:tcPr>
            <w:tcW w:w="3540" w:type="dxa"/>
            <w:tcBorders>
              <w:top w:val="single" w:sz="4" w:space="0" w:color="auto"/>
              <w:left w:val="dotted" w:sz="4" w:space="0" w:color="auto"/>
              <w:bottom w:val="single" w:sz="4" w:space="0" w:color="auto"/>
              <w:right w:val="dotted" w:sz="4" w:space="0" w:color="auto"/>
            </w:tcBorders>
          </w:tcPr>
          <w:p w14:paraId="1E515679" w14:textId="34005A2C"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This FISPEG II indicator has been deactivated because no EOP data are available </w:t>
            </w:r>
          </w:p>
        </w:tc>
        <w:tc>
          <w:tcPr>
            <w:tcW w:w="1228" w:type="dxa"/>
            <w:tcBorders>
              <w:top w:val="single" w:sz="4" w:space="0" w:color="auto"/>
              <w:left w:val="dotted" w:sz="4" w:space="0" w:color="auto"/>
              <w:right w:val="single" w:sz="4" w:space="0" w:color="auto"/>
            </w:tcBorders>
            <w:vAlign w:val="center"/>
          </w:tcPr>
          <w:p w14:paraId="316F11DC" w14:textId="77043F74"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November 2017</w:t>
            </w:r>
          </w:p>
        </w:tc>
        <w:tc>
          <w:tcPr>
            <w:tcW w:w="1200" w:type="dxa"/>
            <w:tcBorders>
              <w:top w:val="single" w:sz="4" w:space="0" w:color="auto"/>
              <w:left w:val="single" w:sz="4" w:space="0" w:color="auto"/>
              <w:right w:val="single" w:sz="4" w:space="0" w:color="auto"/>
            </w:tcBorders>
          </w:tcPr>
          <w:p w14:paraId="0D0CFDB7" w14:textId="77777777" w:rsidR="00CE5144" w:rsidRPr="00CF5903" w:rsidRDefault="00CE5144" w:rsidP="00040AA9">
            <w:pPr>
              <w:pStyle w:val="Default"/>
              <w:suppressAutoHyphens/>
              <w:rPr>
                <w:rFonts w:ascii="Arial" w:hAnsi="Arial" w:cs="Arial"/>
                <w:color w:val="auto"/>
                <w:sz w:val="20"/>
                <w:szCs w:val="20"/>
              </w:rPr>
            </w:pPr>
          </w:p>
        </w:tc>
      </w:tr>
      <w:tr w:rsidR="00CE5144" w:rsidRPr="00CF5903" w14:paraId="7B9FE83A" w14:textId="77777777" w:rsidTr="006D7EE4">
        <w:trPr>
          <w:trHeight w:val="800"/>
        </w:trPr>
        <w:tc>
          <w:tcPr>
            <w:tcW w:w="1710" w:type="dxa"/>
            <w:tcBorders>
              <w:top w:val="single" w:sz="4" w:space="0" w:color="auto"/>
              <w:left w:val="single" w:sz="4" w:space="0" w:color="auto"/>
              <w:bottom w:val="single" w:sz="4" w:space="0" w:color="auto"/>
              <w:right w:val="single" w:sz="4" w:space="0" w:color="auto"/>
            </w:tcBorders>
          </w:tcPr>
          <w:p w14:paraId="7A4EE333" w14:textId="6F85E07E" w:rsidR="00CE5144" w:rsidRPr="00040AA9" w:rsidRDefault="00CE5144" w:rsidP="00040AA9">
            <w:pPr>
              <w:keepNext/>
              <w:keepLines/>
              <w:suppressAutoHyphens/>
              <w:jc w:val="center"/>
              <w:rPr>
                <w:rFonts w:ascii="Arial" w:hAnsi="Arial" w:cs="Arial"/>
                <w:b/>
                <w:sz w:val="20"/>
                <w:szCs w:val="20"/>
              </w:rPr>
            </w:pPr>
            <w:r w:rsidRPr="00040AA9">
              <w:rPr>
                <w:rFonts w:ascii="Arial" w:hAnsi="Arial" w:cs="Arial"/>
                <w:b/>
                <w:sz w:val="20"/>
                <w:szCs w:val="20"/>
              </w:rPr>
              <w:t>OUTCOMES</w:t>
            </w:r>
          </w:p>
          <w:p w14:paraId="2E14731F" w14:textId="77777777" w:rsidR="00CE5144" w:rsidRPr="00040AA9" w:rsidRDefault="00CE5144" w:rsidP="00040AA9">
            <w:pPr>
              <w:keepNext/>
              <w:keepLines/>
              <w:suppressAutoHyphens/>
              <w:jc w:val="center"/>
              <w:rPr>
                <w:rFonts w:ascii="Arial" w:hAnsi="Arial" w:cs="Arial"/>
                <w:sz w:val="20"/>
                <w:szCs w:val="20"/>
              </w:rPr>
            </w:pPr>
          </w:p>
          <w:p w14:paraId="78C2531E" w14:textId="1AD5DB2F"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(Indicator IV.16.1) - new</w:t>
            </w:r>
          </w:p>
          <w:p w14:paraId="681F529A" w14:textId="21124E84" w:rsidR="00CE5144" w:rsidRPr="00040AA9" w:rsidRDefault="00CE5144" w:rsidP="00040AA9">
            <w:pPr>
              <w:keepNext/>
              <w:keepLines/>
              <w:suppressAutoHyphens/>
              <w:jc w:val="center"/>
              <w:rPr>
                <w:rFonts w:ascii="Arial" w:hAnsi="Arial" w:cs="Arial"/>
                <w:sz w:val="20"/>
                <w:szCs w:val="20"/>
              </w:rPr>
            </w:pPr>
          </w:p>
        </w:tc>
        <w:tc>
          <w:tcPr>
            <w:tcW w:w="990" w:type="dxa"/>
            <w:vMerge w:val="restart"/>
            <w:tcBorders>
              <w:top w:val="single" w:sz="4" w:space="0" w:color="auto"/>
              <w:left w:val="single" w:sz="4" w:space="0" w:color="auto"/>
              <w:bottom w:val="single" w:sz="4" w:space="0" w:color="auto"/>
              <w:right w:val="single" w:sz="4" w:space="0" w:color="auto"/>
            </w:tcBorders>
          </w:tcPr>
          <w:p w14:paraId="334A7A45" w14:textId="1A47C67F"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 xml:space="preserve">Clarification of Actuarial deficit definition </w:t>
            </w:r>
          </w:p>
          <w:p w14:paraId="28623152" w14:textId="77777777" w:rsidR="00CE5144" w:rsidRPr="00040AA9" w:rsidRDefault="00CE5144" w:rsidP="00040AA9">
            <w:pPr>
              <w:keepNext/>
              <w:keepLines/>
              <w:suppressAutoHyphens/>
              <w:rPr>
                <w:rFonts w:ascii="Arial" w:hAnsi="Arial" w:cs="Arial"/>
                <w:sz w:val="20"/>
                <w:szCs w:val="20"/>
              </w:rPr>
            </w:pPr>
          </w:p>
          <w:p w14:paraId="5A0AE53D" w14:textId="77777777"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&amp;</w:t>
            </w:r>
          </w:p>
          <w:p w14:paraId="6F0935D1" w14:textId="77777777" w:rsidR="00CE5144" w:rsidRPr="00040AA9" w:rsidRDefault="00CE5144" w:rsidP="00040AA9">
            <w:pPr>
              <w:keepNext/>
              <w:keepLines/>
              <w:suppressAutoHyphens/>
              <w:rPr>
                <w:rFonts w:ascii="Arial" w:hAnsi="Arial" w:cs="Arial"/>
                <w:sz w:val="20"/>
                <w:szCs w:val="20"/>
              </w:rPr>
            </w:pPr>
          </w:p>
          <w:p w14:paraId="14B0C5B9" w14:textId="4F6278E7"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Invalidation</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5C9E13A3" w14:textId="4E96AC29" w:rsidR="00CE5144" w:rsidRPr="00040AA9" w:rsidRDefault="00CE5144" w:rsidP="00040AA9">
            <w:pPr>
              <w:keepNext/>
              <w:keepLines/>
              <w:suppressAutoHyphens/>
              <w:rPr>
                <w:rFonts w:ascii="Arial" w:hAnsi="Arial" w:cs="Arial"/>
                <w:sz w:val="20"/>
                <w:szCs w:val="20"/>
              </w:rPr>
            </w:pPr>
            <w:r w:rsidRPr="00040AA9">
              <w:rPr>
                <w:rFonts w:ascii="Arial" w:hAnsi="Arial" w:cs="Arial"/>
                <w:sz w:val="20"/>
                <w:szCs w:val="20"/>
              </w:rPr>
              <w:t>Deactivation</w:t>
            </w:r>
          </w:p>
        </w:tc>
        <w:tc>
          <w:tcPr>
            <w:tcW w:w="1170" w:type="dxa"/>
            <w:tcBorders>
              <w:top w:val="single" w:sz="4" w:space="0" w:color="auto"/>
              <w:left w:val="single" w:sz="4" w:space="0" w:color="auto"/>
              <w:bottom w:val="single" w:sz="4" w:space="0" w:color="auto"/>
              <w:right w:val="single" w:sz="4" w:space="0" w:color="auto"/>
            </w:tcBorders>
          </w:tcPr>
          <w:p w14:paraId="1D60DB7E" w14:textId="77777777"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6% </w:t>
            </w:r>
          </w:p>
          <w:p w14:paraId="5C18BFCB" w14:textId="3E574534"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(used in FISPEG I &amp; III)</w:t>
            </w:r>
          </w:p>
          <w:p w14:paraId="3C82B5B3" w14:textId="77777777" w:rsidR="00CE5144" w:rsidRPr="00040AA9" w:rsidRDefault="00CE5144" w:rsidP="00040AA9">
            <w:pPr>
              <w:pStyle w:val="Default"/>
              <w:keepNext/>
              <w:keepLines/>
              <w:suppressAutoHyphens/>
              <w:rPr>
                <w:rFonts w:ascii="Arial" w:hAnsi="Arial" w:cs="Arial"/>
                <w:color w:val="auto"/>
                <w:sz w:val="20"/>
                <w:szCs w:val="20"/>
              </w:rPr>
            </w:pPr>
          </w:p>
          <w:p w14:paraId="37642E5B" w14:textId="7D815D87" w:rsidR="00CE5144" w:rsidRPr="00040AA9" w:rsidRDefault="00CE5144" w:rsidP="00040AA9">
            <w:pPr>
              <w:pStyle w:val="Default"/>
              <w:keepNext/>
              <w:keepLines/>
              <w:suppressAutoHyphens/>
              <w:rPr>
                <w:rFonts w:ascii="Arial" w:hAnsi="Arial" w:cs="Arial"/>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14:paraId="5712D0DC" w14:textId="77777777"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4%</w:t>
            </w:r>
          </w:p>
          <w:p w14:paraId="07E36F54" w14:textId="77777777"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(FSPG I)</w:t>
            </w:r>
          </w:p>
          <w:p w14:paraId="3B32901B" w14:textId="77777777"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(2015/16)</w:t>
            </w:r>
          </w:p>
          <w:p w14:paraId="12014179" w14:textId="77777777" w:rsidR="00CE5144" w:rsidRPr="00040AA9" w:rsidRDefault="00CE5144" w:rsidP="00040AA9">
            <w:pPr>
              <w:keepNext/>
              <w:keepLines/>
              <w:suppressAutoHyphens/>
              <w:jc w:val="center"/>
              <w:rPr>
                <w:rFonts w:ascii="Arial" w:hAnsi="Arial" w:cs="Arial"/>
                <w:sz w:val="20"/>
                <w:szCs w:val="20"/>
              </w:rPr>
            </w:pPr>
          </w:p>
          <w:p w14:paraId="4C7FF899" w14:textId="77777777"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3%</w:t>
            </w:r>
          </w:p>
          <w:p w14:paraId="6470E03E" w14:textId="77777777" w:rsidR="00CE5144" w:rsidRPr="00040AA9" w:rsidRDefault="00CE5144" w:rsidP="00040AA9">
            <w:pPr>
              <w:keepNext/>
              <w:keepLines/>
              <w:suppressAutoHyphens/>
              <w:jc w:val="center"/>
              <w:rPr>
                <w:rFonts w:ascii="Arial" w:hAnsi="Arial" w:cs="Arial"/>
                <w:sz w:val="20"/>
                <w:szCs w:val="20"/>
              </w:rPr>
            </w:pPr>
            <w:r w:rsidRPr="00040AA9">
              <w:rPr>
                <w:rFonts w:ascii="Arial" w:hAnsi="Arial" w:cs="Arial"/>
                <w:sz w:val="20"/>
                <w:szCs w:val="20"/>
              </w:rPr>
              <w:t>(FSPG III)</w:t>
            </w:r>
          </w:p>
          <w:p w14:paraId="1953203E" w14:textId="5957A27B"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sz w:val="20"/>
                <w:szCs w:val="20"/>
              </w:rPr>
              <w:t>(2016/17)</w:t>
            </w:r>
          </w:p>
        </w:tc>
        <w:tc>
          <w:tcPr>
            <w:tcW w:w="1257" w:type="dxa"/>
            <w:vMerge w:val="restart"/>
            <w:tcBorders>
              <w:top w:val="single" w:sz="4" w:space="0" w:color="auto"/>
              <w:left w:val="single" w:sz="4" w:space="0" w:color="auto"/>
              <w:bottom w:val="single" w:sz="4" w:space="0" w:color="auto"/>
              <w:right w:val="single" w:sz="4" w:space="0" w:color="auto"/>
            </w:tcBorders>
          </w:tcPr>
          <w:p w14:paraId="3172C0B1" w14:textId="77777777"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 </w:t>
            </w:r>
          </w:p>
          <w:p w14:paraId="1773C50D" w14:textId="77777777" w:rsidR="00CE5144" w:rsidRPr="00040AA9" w:rsidRDefault="00CE5144" w:rsidP="00040AA9">
            <w:pPr>
              <w:pStyle w:val="Default"/>
              <w:keepNext/>
              <w:keepLines/>
              <w:suppressAutoHyphens/>
              <w:rPr>
                <w:rFonts w:ascii="Arial" w:hAnsi="Arial" w:cs="Arial"/>
                <w:color w:val="auto"/>
                <w:sz w:val="20"/>
                <w:szCs w:val="20"/>
              </w:rPr>
            </w:pPr>
          </w:p>
          <w:p w14:paraId="2508B36E" w14:textId="4F5B4848" w:rsidR="00CE5144" w:rsidRPr="00040AA9" w:rsidRDefault="00CE5144" w:rsidP="00040AA9">
            <w:pPr>
              <w:pStyle w:val="Default"/>
              <w:keepNext/>
              <w:keepLines/>
              <w:suppressAutoHyphens/>
              <w:jc w:val="center"/>
              <w:rPr>
                <w:rFonts w:ascii="Arial" w:hAnsi="Arial" w:cs="Arial"/>
                <w:color w:val="auto"/>
                <w:sz w:val="20"/>
                <w:szCs w:val="20"/>
              </w:rPr>
            </w:pPr>
            <w:r w:rsidRPr="00040AA9">
              <w:rPr>
                <w:rFonts w:ascii="Arial" w:hAnsi="Arial" w:cs="Arial"/>
                <w:color w:val="auto"/>
                <w:sz w:val="20"/>
                <w:szCs w:val="20"/>
              </w:rPr>
              <w:t>N/A</w:t>
            </w:r>
          </w:p>
        </w:tc>
        <w:tc>
          <w:tcPr>
            <w:tcW w:w="3540" w:type="dxa"/>
            <w:vMerge w:val="restart"/>
            <w:tcBorders>
              <w:top w:val="single" w:sz="4" w:space="0" w:color="auto"/>
              <w:left w:val="single" w:sz="4" w:space="0" w:color="auto"/>
              <w:bottom w:val="single" w:sz="4" w:space="0" w:color="auto"/>
              <w:right w:val="single" w:sz="4" w:space="0" w:color="auto"/>
            </w:tcBorders>
          </w:tcPr>
          <w:p w14:paraId="4FF84C70" w14:textId="59FE075E"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The indicator for Outcome IV.16 has been divided into two components IV.16.1 and IV.16.2 to account for the confusion in the original </w:t>
            </w:r>
            <w:r w:rsidR="00350FE4" w:rsidRPr="00CF5903">
              <w:rPr>
                <w:rFonts w:ascii="Arial" w:hAnsi="Arial" w:cs="Arial"/>
                <w:color w:val="auto"/>
                <w:sz w:val="20"/>
                <w:szCs w:val="20"/>
              </w:rPr>
              <w:t>RMs of</w:t>
            </w:r>
            <w:r w:rsidRPr="00040AA9">
              <w:rPr>
                <w:rFonts w:ascii="Arial" w:hAnsi="Arial" w:cs="Arial"/>
                <w:color w:val="auto"/>
                <w:sz w:val="20"/>
                <w:szCs w:val="20"/>
              </w:rPr>
              <w:t xml:space="preserve"> the three FISPEG operations between actuarial deficits of the fund for current pensioners vs. the actuarial deficit of the fund for active contributors.</w:t>
            </w:r>
          </w:p>
          <w:p w14:paraId="7899E2C4" w14:textId="4D65425C"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 New indicator IV.16.1 refers to the actuarial deficit of the NIF for </w:t>
            </w:r>
            <w:r w:rsidRPr="00040AA9">
              <w:rPr>
                <w:rFonts w:ascii="Arial" w:hAnsi="Arial" w:cs="Arial"/>
                <w:i/>
                <w:color w:val="auto"/>
                <w:sz w:val="20"/>
                <w:szCs w:val="20"/>
              </w:rPr>
              <w:t>current pensioners</w:t>
            </w:r>
            <w:r w:rsidRPr="00040AA9">
              <w:rPr>
                <w:rFonts w:ascii="Arial" w:hAnsi="Arial" w:cs="Arial"/>
                <w:color w:val="auto"/>
                <w:sz w:val="20"/>
                <w:szCs w:val="20"/>
              </w:rPr>
              <w:t>.</w:t>
            </w:r>
          </w:p>
          <w:p w14:paraId="0B59531A" w14:textId="1EC4A3DD"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 xml:space="preserve">- New indicator IV.16.2 refers to the actuarial deficit of the NIF for </w:t>
            </w:r>
            <w:r w:rsidRPr="00040AA9">
              <w:rPr>
                <w:rFonts w:ascii="Arial" w:hAnsi="Arial" w:cs="Arial"/>
                <w:i/>
                <w:color w:val="auto"/>
                <w:sz w:val="20"/>
                <w:szCs w:val="20"/>
              </w:rPr>
              <w:t>active contributors</w:t>
            </w:r>
            <w:r w:rsidR="00083C94" w:rsidRPr="00040AA9">
              <w:rPr>
                <w:rFonts w:ascii="Arial" w:hAnsi="Arial" w:cs="Arial"/>
                <w:color w:val="auto"/>
                <w:sz w:val="20"/>
                <w:szCs w:val="20"/>
              </w:rPr>
              <w:t xml:space="preserve">, i.e. </w:t>
            </w:r>
            <w:r w:rsidR="002C310F" w:rsidRPr="00040AA9">
              <w:rPr>
                <w:rFonts w:ascii="Arial" w:hAnsi="Arial" w:cs="Arial"/>
                <w:color w:val="auto"/>
                <w:sz w:val="20"/>
                <w:szCs w:val="20"/>
              </w:rPr>
              <w:t xml:space="preserve">those NIF participants who are currently employed. </w:t>
            </w:r>
          </w:p>
          <w:p w14:paraId="405FEE85" w14:textId="77777777" w:rsidR="00CE5144" w:rsidRPr="00040AA9" w:rsidRDefault="00CE5144" w:rsidP="00040AA9">
            <w:pPr>
              <w:pStyle w:val="Default"/>
              <w:keepNext/>
              <w:keepLines/>
              <w:suppressAutoHyphens/>
              <w:rPr>
                <w:rFonts w:ascii="Arial" w:hAnsi="Arial" w:cs="Arial"/>
                <w:color w:val="auto"/>
                <w:sz w:val="20"/>
                <w:szCs w:val="20"/>
              </w:rPr>
            </w:pPr>
          </w:p>
          <w:p w14:paraId="59D852AF" w14:textId="016D8C73" w:rsidR="00CE5144" w:rsidRPr="00040AA9" w:rsidRDefault="00350FE4" w:rsidP="00040AA9">
            <w:pPr>
              <w:pStyle w:val="Default"/>
              <w:keepNext/>
              <w:keepLines/>
              <w:suppressAutoHyphens/>
              <w:rPr>
                <w:rFonts w:ascii="Arial" w:hAnsi="Arial" w:cs="Arial"/>
                <w:color w:val="auto"/>
                <w:sz w:val="20"/>
                <w:szCs w:val="20"/>
              </w:rPr>
            </w:pPr>
            <w:r w:rsidRPr="00CF5903">
              <w:rPr>
                <w:rFonts w:ascii="Arial" w:hAnsi="Arial" w:cs="Arial"/>
                <w:color w:val="auto"/>
                <w:sz w:val="20"/>
                <w:szCs w:val="20"/>
              </w:rPr>
              <w:t>However,</w:t>
            </w:r>
            <w:r w:rsidR="00CE5144" w:rsidRPr="00040AA9">
              <w:rPr>
                <w:rFonts w:ascii="Arial" w:hAnsi="Arial" w:cs="Arial"/>
                <w:color w:val="auto"/>
                <w:sz w:val="20"/>
                <w:szCs w:val="20"/>
              </w:rPr>
              <w:t xml:space="preserve"> both new indicators have been deactivated because no EOP data are available for either one.</w:t>
            </w:r>
            <w:r w:rsidR="00CE5144" w:rsidRPr="00040AA9">
              <w:rPr>
                <w:rStyle w:val="FootnoteReference"/>
                <w:rFonts w:ascii="Arial" w:hAnsi="Arial" w:cs="Arial"/>
                <w:color w:val="auto"/>
                <w:sz w:val="20"/>
                <w:szCs w:val="20"/>
              </w:rPr>
              <w:footnoteReference w:id="40"/>
            </w:r>
          </w:p>
        </w:tc>
        <w:tc>
          <w:tcPr>
            <w:tcW w:w="1228" w:type="dxa"/>
            <w:vMerge w:val="restart"/>
            <w:tcBorders>
              <w:top w:val="single" w:sz="4" w:space="0" w:color="auto"/>
              <w:left w:val="single" w:sz="4" w:space="0" w:color="auto"/>
              <w:right w:val="single" w:sz="4" w:space="0" w:color="auto"/>
            </w:tcBorders>
            <w:vAlign w:val="center"/>
          </w:tcPr>
          <w:p w14:paraId="5AE8E79A" w14:textId="5FF619B1" w:rsidR="00CE5144" w:rsidRPr="00040AA9" w:rsidRDefault="00CE5144" w:rsidP="00040AA9">
            <w:pPr>
              <w:pStyle w:val="Default"/>
              <w:keepNext/>
              <w:keepLines/>
              <w:suppressAutoHyphens/>
              <w:rPr>
                <w:rFonts w:ascii="Arial" w:hAnsi="Arial" w:cs="Arial"/>
                <w:color w:val="auto"/>
                <w:sz w:val="20"/>
                <w:szCs w:val="20"/>
              </w:rPr>
            </w:pPr>
            <w:r w:rsidRPr="00040AA9">
              <w:rPr>
                <w:rFonts w:ascii="Arial" w:hAnsi="Arial" w:cs="Arial"/>
                <w:color w:val="auto"/>
                <w:sz w:val="20"/>
                <w:szCs w:val="20"/>
              </w:rPr>
              <w:t>August 2017</w:t>
            </w:r>
          </w:p>
        </w:tc>
        <w:tc>
          <w:tcPr>
            <w:tcW w:w="1200" w:type="dxa"/>
            <w:vMerge w:val="restart"/>
            <w:tcBorders>
              <w:top w:val="single" w:sz="4" w:space="0" w:color="auto"/>
              <w:left w:val="single" w:sz="4" w:space="0" w:color="auto"/>
              <w:right w:val="single" w:sz="4" w:space="0" w:color="auto"/>
            </w:tcBorders>
          </w:tcPr>
          <w:p w14:paraId="3409EB98" w14:textId="77777777" w:rsidR="00CE5144" w:rsidRPr="00CF5903" w:rsidRDefault="00CE5144" w:rsidP="00040AA9">
            <w:pPr>
              <w:pStyle w:val="Default"/>
              <w:suppressAutoHyphens/>
              <w:rPr>
                <w:rFonts w:ascii="Arial" w:hAnsi="Arial" w:cs="Arial"/>
                <w:color w:val="auto"/>
                <w:sz w:val="20"/>
                <w:szCs w:val="20"/>
              </w:rPr>
            </w:pPr>
          </w:p>
        </w:tc>
      </w:tr>
      <w:tr w:rsidR="00CE5144" w:rsidRPr="00CF5903" w14:paraId="103203B9" w14:textId="77777777" w:rsidTr="006D7EE4">
        <w:trPr>
          <w:trHeight w:val="799"/>
        </w:trPr>
        <w:tc>
          <w:tcPr>
            <w:tcW w:w="1710" w:type="dxa"/>
            <w:tcBorders>
              <w:top w:val="single" w:sz="4" w:space="0" w:color="auto"/>
              <w:left w:val="single" w:sz="4" w:space="0" w:color="auto"/>
              <w:bottom w:val="single" w:sz="4" w:space="0" w:color="auto"/>
              <w:right w:val="single" w:sz="4" w:space="0" w:color="auto"/>
            </w:tcBorders>
          </w:tcPr>
          <w:p w14:paraId="5050B698" w14:textId="77777777" w:rsidR="00CE5144" w:rsidRPr="00040AA9" w:rsidRDefault="00CE5144" w:rsidP="00040AA9">
            <w:pPr>
              <w:suppressAutoHyphens/>
              <w:jc w:val="center"/>
              <w:rPr>
                <w:rFonts w:ascii="Arial" w:hAnsi="Arial" w:cs="Arial"/>
                <w:sz w:val="20"/>
                <w:szCs w:val="20"/>
              </w:rPr>
            </w:pPr>
          </w:p>
          <w:p w14:paraId="3DA0443F" w14:textId="194668C0" w:rsidR="00CE5144" w:rsidRPr="00040AA9" w:rsidRDefault="00CE5144" w:rsidP="00040AA9">
            <w:pPr>
              <w:suppressAutoHyphens/>
              <w:jc w:val="center"/>
              <w:rPr>
                <w:rFonts w:ascii="Arial" w:hAnsi="Arial" w:cs="Arial"/>
                <w:sz w:val="20"/>
                <w:szCs w:val="20"/>
              </w:rPr>
            </w:pPr>
            <w:r w:rsidRPr="00040AA9">
              <w:rPr>
                <w:rFonts w:ascii="Arial" w:hAnsi="Arial" w:cs="Arial"/>
                <w:sz w:val="20"/>
                <w:szCs w:val="20"/>
              </w:rPr>
              <w:t>(Indicator IV.16.2) - new</w:t>
            </w:r>
          </w:p>
        </w:tc>
        <w:tc>
          <w:tcPr>
            <w:tcW w:w="990" w:type="dxa"/>
            <w:vMerge/>
            <w:tcBorders>
              <w:top w:val="single" w:sz="4" w:space="0" w:color="auto"/>
              <w:left w:val="single" w:sz="4" w:space="0" w:color="auto"/>
              <w:bottom w:val="single" w:sz="4" w:space="0" w:color="auto"/>
              <w:right w:val="single" w:sz="4" w:space="0" w:color="auto"/>
            </w:tcBorders>
          </w:tcPr>
          <w:p w14:paraId="48670193" w14:textId="77777777" w:rsidR="00CE5144" w:rsidRPr="00040AA9" w:rsidRDefault="00CE5144" w:rsidP="00040AA9">
            <w:pPr>
              <w:suppressAutoHyphens/>
              <w:rPr>
                <w:rFonts w:ascii="Arial" w:hAnsi="Arial" w:cs="Arial"/>
                <w:sz w:val="20"/>
                <w:szCs w:val="20"/>
              </w:rPr>
            </w:pPr>
          </w:p>
        </w:tc>
        <w:tc>
          <w:tcPr>
            <w:tcW w:w="1080" w:type="dxa"/>
            <w:vMerge/>
            <w:tcBorders>
              <w:top w:val="single" w:sz="4" w:space="0" w:color="auto"/>
              <w:left w:val="single" w:sz="4" w:space="0" w:color="auto"/>
              <w:bottom w:val="single" w:sz="4" w:space="0" w:color="auto"/>
              <w:right w:val="single" w:sz="4" w:space="0" w:color="auto"/>
            </w:tcBorders>
          </w:tcPr>
          <w:p w14:paraId="32B43254" w14:textId="77777777" w:rsidR="00CE5144" w:rsidRPr="00040AA9" w:rsidRDefault="00CE5144" w:rsidP="00040AA9">
            <w:pPr>
              <w:suppressAutoHyphens/>
              <w:rPr>
                <w:rFonts w:ascii="Arial" w:hAnsi="Arial" w:cs="Arial"/>
                <w:sz w:val="20"/>
                <w:szCs w:val="20"/>
              </w:rPr>
            </w:pPr>
          </w:p>
        </w:tc>
        <w:tc>
          <w:tcPr>
            <w:tcW w:w="1170" w:type="dxa"/>
            <w:tcBorders>
              <w:top w:val="single" w:sz="4" w:space="0" w:color="auto"/>
              <w:left w:val="single" w:sz="4" w:space="0" w:color="auto"/>
              <w:bottom w:val="single" w:sz="4" w:space="0" w:color="auto"/>
              <w:right w:val="single" w:sz="4" w:space="0" w:color="auto"/>
            </w:tcBorders>
          </w:tcPr>
          <w:p w14:paraId="605DFC92" w14:textId="77777777" w:rsidR="00CE5144" w:rsidRPr="00040AA9" w:rsidRDefault="00CE5144" w:rsidP="00040AA9">
            <w:pPr>
              <w:pStyle w:val="Default"/>
              <w:suppressAutoHyphens/>
              <w:rPr>
                <w:rFonts w:ascii="Arial" w:hAnsi="Arial" w:cs="Arial"/>
                <w:color w:val="auto"/>
                <w:sz w:val="20"/>
                <w:szCs w:val="20"/>
              </w:rPr>
            </w:pPr>
          </w:p>
          <w:p w14:paraId="5A463D55" w14:textId="77777777" w:rsidR="00CE5144" w:rsidRPr="00040AA9" w:rsidRDefault="00CE5144" w:rsidP="00040AA9">
            <w:pPr>
              <w:pStyle w:val="Default"/>
              <w:suppressAutoHyphens/>
              <w:rPr>
                <w:rFonts w:ascii="Arial" w:hAnsi="Arial" w:cs="Arial"/>
                <w:color w:val="auto"/>
                <w:sz w:val="20"/>
                <w:szCs w:val="20"/>
              </w:rPr>
            </w:pPr>
            <w:r w:rsidRPr="00040AA9">
              <w:rPr>
                <w:rFonts w:ascii="Arial" w:hAnsi="Arial" w:cs="Arial"/>
                <w:color w:val="auto"/>
                <w:sz w:val="20"/>
                <w:szCs w:val="20"/>
              </w:rPr>
              <w:t>29%</w:t>
            </w:r>
          </w:p>
          <w:p w14:paraId="6F2205C0" w14:textId="01C0E6AC" w:rsidR="00CE5144" w:rsidRPr="00040AA9" w:rsidRDefault="00CE5144" w:rsidP="00040AA9">
            <w:pPr>
              <w:pStyle w:val="Default"/>
              <w:suppressAutoHyphens/>
              <w:rPr>
                <w:rFonts w:ascii="Arial" w:hAnsi="Arial" w:cs="Arial"/>
                <w:color w:val="auto"/>
                <w:sz w:val="20"/>
                <w:szCs w:val="20"/>
              </w:rPr>
            </w:pPr>
            <w:r w:rsidRPr="00040AA9">
              <w:rPr>
                <w:rFonts w:ascii="Arial" w:hAnsi="Arial" w:cs="Arial"/>
                <w:color w:val="auto"/>
                <w:sz w:val="20"/>
                <w:szCs w:val="20"/>
              </w:rPr>
              <w:t>(used in FISPEG II)</w:t>
            </w:r>
          </w:p>
          <w:p w14:paraId="45FB96C2" w14:textId="77777777" w:rsidR="00CE5144" w:rsidRPr="00040AA9" w:rsidRDefault="00CE5144" w:rsidP="00040AA9">
            <w:pPr>
              <w:pStyle w:val="Default"/>
              <w:suppressAutoHyphens/>
              <w:rPr>
                <w:rFonts w:ascii="Arial" w:hAnsi="Arial" w:cs="Arial"/>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14:paraId="10AF4DB4" w14:textId="77777777" w:rsidR="00CE5144" w:rsidRPr="00040AA9" w:rsidRDefault="00CE5144" w:rsidP="00040AA9">
            <w:pPr>
              <w:pStyle w:val="Default"/>
              <w:suppressAutoHyphens/>
              <w:rPr>
                <w:rFonts w:ascii="Arial" w:hAnsi="Arial" w:cs="Arial"/>
                <w:color w:val="auto"/>
                <w:sz w:val="20"/>
                <w:szCs w:val="20"/>
              </w:rPr>
            </w:pPr>
          </w:p>
          <w:p w14:paraId="3FFC9B18" w14:textId="77777777" w:rsidR="00CE5144" w:rsidRPr="00040AA9" w:rsidRDefault="00CE5144" w:rsidP="00040AA9">
            <w:pPr>
              <w:pStyle w:val="Default"/>
              <w:suppressAutoHyphens/>
              <w:jc w:val="center"/>
              <w:rPr>
                <w:rFonts w:ascii="Arial" w:hAnsi="Arial" w:cs="Arial"/>
                <w:color w:val="auto"/>
                <w:sz w:val="20"/>
                <w:szCs w:val="20"/>
              </w:rPr>
            </w:pPr>
            <w:r w:rsidRPr="00040AA9">
              <w:rPr>
                <w:rFonts w:ascii="Arial" w:hAnsi="Arial" w:cs="Arial"/>
                <w:color w:val="auto"/>
                <w:sz w:val="20"/>
                <w:szCs w:val="20"/>
              </w:rPr>
              <w:t>18%</w:t>
            </w:r>
          </w:p>
          <w:p w14:paraId="5FD36CF0" w14:textId="77777777" w:rsidR="00CE5144" w:rsidRPr="00040AA9" w:rsidRDefault="00CE5144" w:rsidP="00040AA9">
            <w:pPr>
              <w:pStyle w:val="Default"/>
              <w:suppressAutoHyphens/>
              <w:rPr>
                <w:rFonts w:ascii="Arial" w:hAnsi="Arial" w:cs="Arial"/>
                <w:color w:val="auto"/>
                <w:sz w:val="20"/>
                <w:szCs w:val="20"/>
              </w:rPr>
            </w:pPr>
          </w:p>
        </w:tc>
        <w:tc>
          <w:tcPr>
            <w:tcW w:w="1257" w:type="dxa"/>
            <w:vMerge/>
            <w:tcBorders>
              <w:top w:val="single" w:sz="4" w:space="0" w:color="auto"/>
              <w:left w:val="single" w:sz="4" w:space="0" w:color="auto"/>
              <w:bottom w:val="single" w:sz="4" w:space="0" w:color="auto"/>
              <w:right w:val="single" w:sz="4" w:space="0" w:color="auto"/>
            </w:tcBorders>
          </w:tcPr>
          <w:p w14:paraId="4D071292" w14:textId="77777777" w:rsidR="00CE5144" w:rsidRPr="00040AA9" w:rsidRDefault="00CE5144" w:rsidP="00040AA9">
            <w:pPr>
              <w:pStyle w:val="Default"/>
              <w:suppressAutoHyphens/>
              <w:rPr>
                <w:rFonts w:ascii="Arial" w:hAnsi="Arial" w:cs="Arial"/>
                <w:color w:val="auto"/>
                <w:sz w:val="20"/>
                <w:szCs w:val="20"/>
              </w:rPr>
            </w:pPr>
          </w:p>
        </w:tc>
        <w:tc>
          <w:tcPr>
            <w:tcW w:w="3540" w:type="dxa"/>
            <w:vMerge/>
            <w:tcBorders>
              <w:top w:val="single" w:sz="4" w:space="0" w:color="auto"/>
              <w:left w:val="single" w:sz="4" w:space="0" w:color="auto"/>
              <w:bottom w:val="single" w:sz="4" w:space="0" w:color="auto"/>
              <w:right w:val="single" w:sz="4" w:space="0" w:color="auto"/>
            </w:tcBorders>
          </w:tcPr>
          <w:p w14:paraId="23604DA6" w14:textId="77777777" w:rsidR="00CE5144" w:rsidRPr="00040AA9" w:rsidRDefault="00CE5144" w:rsidP="00040AA9">
            <w:pPr>
              <w:pStyle w:val="Default"/>
              <w:suppressAutoHyphens/>
              <w:rPr>
                <w:rFonts w:ascii="Arial" w:hAnsi="Arial" w:cs="Arial"/>
                <w:color w:val="auto"/>
                <w:sz w:val="20"/>
                <w:szCs w:val="20"/>
              </w:rPr>
            </w:pPr>
          </w:p>
        </w:tc>
        <w:tc>
          <w:tcPr>
            <w:tcW w:w="1228" w:type="dxa"/>
            <w:vMerge/>
            <w:tcBorders>
              <w:left w:val="single" w:sz="4" w:space="0" w:color="auto"/>
              <w:right w:val="single" w:sz="4" w:space="0" w:color="auto"/>
            </w:tcBorders>
          </w:tcPr>
          <w:p w14:paraId="408F8E47" w14:textId="77777777" w:rsidR="00CE5144" w:rsidRPr="00040AA9" w:rsidRDefault="00CE5144" w:rsidP="00040AA9">
            <w:pPr>
              <w:pStyle w:val="Default"/>
              <w:suppressAutoHyphens/>
              <w:rPr>
                <w:rFonts w:ascii="Arial" w:hAnsi="Arial" w:cs="Arial"/>
                <w:color w:val="auto"/>
                <w:sz w:val="20"/>
                <w:szCs w:val="20"/>
                <w:highlight w:val="green"/>
              </w:rPr>
            </w:pPr>
          </w:p>
        </w:tc>
        <w:tc>
          <w:tcPr>
            <w:tcW w:w="1200" w:type="dxa"/>
            <w:vMerge/>
            <w:tcBorders>
              <w:left w:val="single" w:sz="4" w:space="0" w:color="auto"/>
              <w:right w:val="single" w:sz="4" w:space="0" w:color="auto"/>
            </w:tcBorders>
          </w:tcPr>
          <w:p w14:paraId="5E5223BD" w14:textId="77777777" w:rsidR="00CE5144" w:rsidRPr="00CF5903" w:rsidRDefault="00CE5144" w:rsidP="00040AA9">
            <w:pPr>
              <w:pStyle w:val="Default"/>
              <w:suppressAutoHyphens/>
              <w:rPr>
                <w:rFonts w:ascii="Arial" w:hAnsi="Arial" w:cs="Arial"/>
                <w:color w:val="auto"/>
                <w:sz w:val="20"/>
                <w:szCs w:val="20"/>
              </w:rPr>
            </w:pPr>
          </w:p>
        </w:tc>
      </w:tr>
      <w:tr w:rsidR="000B3395" w:rsidRPr="00CF5903" w14:paraId="77C4E05D" w14:textId="77777777" w:rsidTr="006D7EE4">
        <w:trPr>
          <w:trHeight w:val="799"/>
        </w:trPr>
        <w:tc>
          <w:tcPr>
            <w:tcW w:w="1710" w:type="dxa"/>
            <w:tcBorders>
              <w:top w:val="single" w:sz="4" w:space="0" w:color="auto"/>
              <w:left w:val="single" w:sz="4" w:space="0" w:color="auto"/>
              <w:bottom w:val="single" w:sz="4" w:space="0" w:color="auto"/>
              <w:right w:val="dotted" w:sz="4" w:space="0" w:color="auto"/>
            </w:tcBorders>
            <w:vAlign w:val="center"/>
          </w:tcPr>
          <w:p w14:paraId="41E06665" w14:textId="77777777" w:rsidR="000B3395" w:rsidRPr="00040AA9" w:rsidRDefault="000B3395" w:rsidP="00040AA9">
            <w:pPr>
              <w:keepNext/>
              <w:keepLines/>
              <w:suppressAutoHyphens/>
              <w:rPr>
                <w:rFonts w:ascii="Arial" w:hAnsi="Arial" w:cs="Arial"/>
                <w:b/>
                <w:sz w:val="20"/>
                <w:szCs w:val="20"/>
              </w:rPr>
            </w:pPr>
            <w:r w:rsidRPr="00040AA9">
              <w:rPr>
                <w:rFonts w:ascii="Arial" w:hAnsi="Arial" w:cs="Arial"/>
                <w:b/>
                <w:sz w:val="20"/>
                <w:szCs w:val="20"/>
              </w:rPr>
              <w:t xml:space="preserve">OUTCOMES </w:t>
            </w:r>
          </w:p>
          <w:p w14:paraId="75D9A227" w14:textId="58C4FCD1" w:rsidR="000B3395" w:rsidRPr="00040AA9" w:rsidRDefault="000B3395" w:rsidP="00040AA9">
            <w:pPr>
              <w:keepNext/>
              <w:keepLines/>
              <w:suppressAutoHyphens/>
              <w:rPr>
                <w:rFonts w:ascii="Arial" w:hAnsi="Arial" w:cs="Arial"/>
                <w:sz w:val="20"/>
                <w:szCs w:val="20"/>
              </w:rPr>
            </w:pPr>
            <w:r w:rsidRPr="00040AA9">
              <w:rPr>
                <w:rFonts w:ascii="Arial" w:hAnsi="Arial" w:cs="Arial"/>
                <w:sz w:val="20"/>
                <w:szCs w:val="20"/>
              </w:rPr>
              <w:t>Indicator IV.17.1</w:t>
            </w:r>
          </w:p>
          <w:p w14:paraId="4B7E664C" w14:textId="77777777" w:rsidR="000B3395" w:rsidRPr="00040AA9" w:rsidRDefault="000B3395" w:rsidP="00040AA9">
            <w:pPr>
              <w:keepNext/>
              <w:keepLines/>
              <w:suppressAutoHyphens/>
              <w:rPr>
                <w:rFonts w:ascii="Arial" w:hAnsi="Arial" w:cs="Arial"/>
                <w:sz w:val="20"/>
                <w:szCs w:val="20"/>
              </w:rPr>
            </w:pPr>
            <w:r w:rsidRPr="00040AA9">
              <w:rPr>
                <w:rFonts w:ascii="Arial" w:hAnsi="Arial" w:cs="Arial"/>
                <w:sz w:val="20"/>
                <w:szCs w:val="20"/>
              </w:rPr>
              <w:t>Average time for pensions claim processing</w:t>
            </w:r>
          </w:p>
          <w:p w14:paraId="4B275B42" w14:textId="77777777" w:rsidR="000B3395" w:rsidRPr="00040AA9" w:rsidRDefault="000B3395" w:rsidP="00040AA9">
            <w:pPr>
              <w:keepNext/>
              <w:keepLines/>
              <w:suppressAutoHyphens/>
              <w:rPr>
                <w:rFonts w:ascii="Arial" w:hAnsi="Arial" w:cs="Arial"/>
                <w:sz w:val="20"/>
                <w:szCs w:val="20"/>
              </w:rPr>
            </w:pPr>
            <w:r w:rsidRPr="00040AA9">
              <w:rPr>
                <w:rFonts w:ascii="Arial" w:hAnsi="Arial" w:cs="Arial"/>
                <w:sz w:val="20"/>
                <w:szCs w:val="20"/>
              </w:rPr>
              <w:t>(FSPG I, result 12)</w:t>
            </w:r>
          </w:p>
          <w:p w14:paraId="3FE4D129" w14:textId="77777777" w:rsidR="000B3395" w:rsidRPr="00040AA9" w:rsidRDefault="000B3395" w:rsidP="00040AA9">
            <w:pPr>
              <w:keepNext/>
              <w:keepLines/>
              <w:suppressAutoHyphens/>
              <w:rPr>
                <w:rFonts w:ascii="Arial" w:hAnsi="Arial" w:cs="Arial"/>
                <w:sz w:val="20"/>
                <w:szCs w:val="20"/>
              </w:rPr>
            </w:pPr>
            <w:r w:rsidRPr="00040AA9">
              <w:rPr>
                <w:rFonts w:ascii="Arial" w:hAnsi="Arial" w:cs="Arial"/>
                <w:sz w:val="20"/>
                <w:szCs w:val="20"/>
              </w:rPr>
              <w:t>(FSPG II, result 8)</w:t>
            </w:r>
          </w:p>
          <w:p w14:paraId="7781845F" w14:textId="4838F819" w:rsidR="000B3395" w:rsidRPr="00040AA9" w:rsidRDefault="000B3395" w:rsidP="00040AA9">
            <w:pPr>
              <w:suppressAutoHyphens/>
              <w:rPr>
                <w:rFonts w:ascii="Arial" w:hAnsi="Arial" w:cs="Arial"/>
                <w:sz w:val="20"/>
                <w:szCs w:val="20"/>
              </w:rPr>
            </w:pPr>
            <w:r w:rsidRPr="00040AA9">
              <w:rPr>
                <w:rFonts w:ascii="Arial" w:hAnsi="Arial" w:cs="Arial"/>
                <w:sz w:val="20"/>
                <w:szCs w:val="20"/>
              </w:rPr>
              <w:t>(FSPG III, result 8)</w:t>
            </w:r>
          </w:p>
        </w:tc>
        <w:tc>
          <w:tcPr>
            <w:tcW w:w="990" w:type="dxa"/>
            <w:tcBorders>
              <w:top w:val="single" w:sz="4" w:space="0" w:color="auto"/>
              <w:left w:val="dotted" w:sz="4" w:space="0" w:color="auto"/>
              <w:bottom w:val="single" w:sz="4" w:space="0" w:color="auto"/>
              <w:right w:val="dotted" w:sz="4" w:space="0" w:color="auto"/>
            </w:tcBorders>
            <w:vAlign w:val="center"/>
          </w:tcPr>
          <w:p w14:paraId="3EC0178A" w14:textId="2377CCF6" w:rsidR="000B3395" w:rsidRPr="00040AA9" w:rsidRDefault="000B3395" w:rsidP="00040AA9">
            <w:pPr>
              <w:suppressAutoHyphens/>
              <w:rPr>
                <w:rFonts w:ascii="Arial" w:hAnsi="Arial" w:cs="Arial"/>
                <w:sz w:val="20"/>
                <w:szCs w:val="20"/>
              </w:rPr>
            </w:pPr>
            <w:r w:rsidRPr="00040AA9">
              <w:rPr>
                <w:rFonts w:ascii="Arial" w:hAnsi="Arial" w:cs="Arial"/>
                <w:sz w:val="20"/>
                <w:szCs w:val="20"/>
              </w:rPr>
              <w:t>Invalidation</w:t>
            </w:r>
          </w:p>
        </w:tc>
        <w:tc>
          <w:tcPr>
            <w:tcW w:w="1080" w:type="dxa"/>
            <w:tcBorders>
              <w:top w:val="single" w:sz="4" w:space="0" w:color="auto"/>
              <w:left w:val="dotted" w:sz="4" w:space="0" w:color="auto"/>
              <w:bottom w:val="single" w:sz="4" w:space="0" w:color="auto"/>
              <w:right w:val="dotted" w:sz="4" w:space="0" w:color="auto"/>
            </w:tcBorders>
            <w:vAlign w:val="center"/>
          </w:tcPr>
          <w:p w14:paraId="6A53D9AE" w14:textId="45FEC2DF" w:rsidR="000B3395" w:rsidRPr="00040AA9" w:rsidRDefault="000B3395" w:rsidP="00040AA9">
            <w:pPr>
              <w:suppressAutoHyphens/>
              <w:rPr>
                <w:rFonts w:ascii="Arial" w:hAnsi="Arial" w:cs="Arial"/>
                <w:sz w:val="20"/>
                <w:szCs w:val="20"/>
              </w:rPr>
            </w:pPr>
            <w:r w:rsidRPr="00040AA9">
              <w:rPr>
                <w:rFonts w:ascii="Arial" w:hAnsi="Arial" w:cs="Arial"/>
                <w:sz w:val="20"/>
                <w:szCs w:val="20"/>
              </w:rPr>
              <w:t>Deactivation</w:t>
            </w:r>
          </w:p>
        </w:tc>
        <w:tc>
          <w:tcPr>
            <w:tcW w:w="1170" w:type="dxa"/>
            <w:tcBorders>
              <w:top w:val="single" w:sz="4" w:space="0" w:color="auto"/>
              <w:left w:val="dotted" w:sz="4" w:space="0" w:color="auto"/>
              <w:bottom w:val="single" w:sz="4" w:space="0" w:color="auto"/>
              <w:right w:val="dotted" w:sz="4" w:space="0" w:color="auto"/>
            </w:tcBorders>
            <w:vAlign w:val="center"/>
          </w:tcPr>
          <w:p w14:paraId="2DD2CC2B" w14:textId="11895C14"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12</w:t>
            </w:r>
          </w:p>
        </w:tc>
        <w:tc>
          <w:tcPr>
            <w:tcW w:w="1170" w:type="dxa"/>
            <w:tcBorders>
              <w:top w:val="single" w:sz="4" w:space="0" w:color="auto"/>
              <w:left w:val="dotted" w:sz="4" w:space="0" w:color="auto"/>
              <w:bottom w:val="single" w:sz="4" w:space="0" w:color="auto"/>
              <w:right w:val="dotted" w:sz="4" w:space="0" w:color="auto"/>
            </w:tcBorders>
            <w:vAlign w:val="center"/>
          </w:tcPr>
          <w:p w14:paraId="0AEF4CF0" w14:textId="5D9E160C"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4</w:t>
            </w:r>
          </w:p>
        </w:tc>
        <w:tc>
          <w:tcPr>
            <w:tcW w:w="1257" w:type="dxa"/>
            <w:tcBorders>
              <w:top w:val="single" w:sz="4" w:space="0" w:color="auto"/>
              <w:left w:val="dotted" w:sz="4" w:space="0" w:color="auto"/>
              <w:bottom w:val="single" w:sz="4" w:space="0" w:color="auto"/>
              <w:right w:val="dotted" w:sz="4" w:space="0" w:color="auto"/>
            </w:tcBorders>
            <w:vAlign w:val="center"/>
          </w:tcPr>
          <w:p w14:paraId="19675953" w14:textId="14C0BFB3"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N/A</w:t>
            </w:r>
          </w:p>
        </w:tc>
        <w:tc>
          <w:tcPr>
            <w:tcW w:w="3540" w:type="dxa"/>
            <w:tcBorders>
              <w:top w:val="single" w:sz="4" w:space="0" w:color="auto"/>
              <w:left w:val="dotted" w:sz="4" w:space="0" w:color="auto"/>
              <w:bottom w:val="single" w:sz="4" w:space="0" w:color="auto"/>
              <w:right w:val="dotted" w:sz="4" w:space="0" w:color="auto"/>
            </w:tcBorders>
          </w:tcPr>
          <w:p w14:paraId="07816278" w14:textId="77777777" w:rsidR="000B3395" w:rsidRPr="00040AA9" w:rsidRDefault="000B3395" w:rsidP="00040AA9">
            <w:pPr>
              <w:pStyle w:val="Default"/>
              <w:suppressAutoHyphens/>
              <w:rPr>
                <w:rFonts w:ascii="Arial" w:hAnsi="Arial" w:cs="Arial"/>
                <w:color w:val="auto"/>
                <w:sz w:val="20"/>
                <w:szCs w:val="20"/>
              </w:rPr>
            </w:pPr>
          </w:p>
          <w:p w14:paraId="2CDA793B" w14:textId="4186FABD"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Indicator IV.17.1 has been deactivated because no EOP data are available.</w:t>
            </w:r>
          </w:p>
        </w:tc>
        <w:tc>
          <w:tcPr>
            <w:tcW w:w="1228" w:type="dxa"/>
            <w:tcBorders>
              <w:left w:val="dotted" w:sz="4" w:space="0" w:color="auto"/>
              <w:bottom w:val="single" w:sz="4" w:space="0" w:color="auto"/>
              <w:right w:val="single" w:sz="4" w:space="0" w:color="auto"/>
            </w:tcBorders>
            <w:vAlign w:val="center"/>
          </w:tcPr>
          <w:p w14:paraId="54698920" w14:textId="2072EB72"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November 2017</w:t>
            </w:r>
          </w:p>
        </w:tc>
        <w:tc>
          <w:tcPr>
            <w:tcW w:w="1200" w:type="dxa"/>
            <w:tcBorders>
              <w:left w:val="single" w:sz="4" w:space="0" w:color="auto"/>
              <w:bottom w:val="single" w:sz="4" w:space="0" w:color="auto"/>
              <w:right w:val="single" w:sz="4" w:space="0" w:color="auto"/>
            </w:tcBorders>
            <w:vAlign w:val="center"/>
          </w:tcPr>
          <w:p w14:paraId="6FBE6F68" w14:textId="77777777" w:rsidR="000B3395" w:rsidRPr="00CF5903" w:rsidRDefault="000B3395" w:rsidP="00040AA9">
            <w:pPr>
              <w:pStyle w:val="Default"/>
              <w:suppressAutoHyphens/>
              <w:rPr>
                <w:rFonts w:ascii="Arial" w:hAnsi="Arial" w:cs="Arial"/>
                <w:color w:val="auto"/>
                <w:sz w:val="20"/>
                <w:szCs w:val="20"/>
              </w:rPr>
            </w:pPr>
          </w:p>
        </w:tc>
      </w:tr>
      <w:tr w:rsidR="000B3395" w:rsidRPr="00CF5903" w14:paraId="3F5AFCE3" w14:textId="77777777" w:rsidTr="006D7EE4">
        <w:trPr>
          <w:trHeight w:val="58"/>
        </w:trPr>
        <w:tc>
          <w:tcPr>
            <w:tcW w:w="1710" w:type="dxa"/>
            <w:tcBorders>
              <w:top w:val="single" w:sz="4" w:space="0" w:color="auto"/>
              <w:left w:val="single" w:sz="4" w:space="0" w:color="auto"/>
              <w:bottom w:val="single" w:sz="4" w:space="0" w:color="auto"/>
              <w:right w:val="dotted" w:sz="4" w:space="0" w:color="auto"/>
            </w:tcBorders>
            <w:shd w:val="clear" w:color="auto" w:fill="D9D9D9" w:themeFill="background1" w:themeFillShade="D9"/>
          </w:tcPr>
          <w:p w14:paraId="675AFFC1" w14:textId="77777777" w:rsidR="000B3395" w:rsidRPr="00040AA9" w:rsidRDefault="000B3395" w:rsidP="00040AA9">
            <w:pPr>
              <w:suppressAutoHyphens/>
              <w:jc w:val="center"/>
              <w:rPr>
                <w:rFonts w:ascii="Arial" w:hAnsi="Arial" w:cs="Arial"/>
                <w:sz w:val="20"/>
                <w:szCs w:val="20"/>
              </w:rPr>
            </w:pPr>
          </w:p>
        </w:tc>
        <w:tc>
          <w:tcPr>
            <w:tcW w:w="990" w:type="dxa"/>
            <w:tcBorders>
              <w:top w:val="single" w:sz="4" w:space="0" w:color="auto"/>
              <w:left w:val="dotted" w:sz="4" w:space="0" w:color="auto"/>
              <w:bottom w:val="single" w:sz="4" w:space="0" w:color="auto"/>
              <w:right w:val="dotted" w:sz="4" w:space="0" w:color="auto"/>
            </w:tcBorders>
            <w:shd w:val="clear" w:color="auto" w:fill="D9D9D9" w:themeFill="background1" w:themeFillShade="D9"/>
          </w:tcPr>
          <w:p w14:paraId="29128E58" w14:textId="77777777" w:rsidR="000B3395" w:rsidRPr="00040AA9" w:rsidRDefault="000B3395" w:rsidP="00040AA9">
            <w:pPr>
              <w:suppressAutoHyphens/>
              <w:rPr>
                <w:rFonts w:ascii="Arial" w:hAnsi="Arial" w:cs="Arial"/>
                <w:sz w:val="20"/>
                <w:szCs w:val="20"/>
              </w:rPr>
            </w:pPr>
          </w:p>
        </w:tc>
        <w:tc>
          <w:tcPr>
            <w:tcW w:w="1080" w:type="dxa"/>
            <w:tcBorders>
              <w:top w:val="single" w:sz="4" w:space="0" w:color="auto"/>
              <w:left w:val="dotted" w:sz="4" w:space="0" w:color="auto"/>
              <w:bottom w:val="single" w:sz="4" w:space="0" w:color="auto"/>
              <w:right w:val="dotted" w:sz="4" w:space="0" w:color="auto"/>
            </w:tcBorders>
            <w:shd w:val="clear" w:color="auto" w:fill="D9D9D9" w:themeFill="background1" w:themeFillShade="D9"/>
          </w:tcPr>
          <w:p w14:paraId="47EB89C7" w14:textId="77777777" w:rsidR="000B3395" w:rsidRPr="00040AA9" w:rsidRDefault="000B3395" w:rsidP="00040AA9">
            <w:pPr>
              <w:suppressAutoHyphens/>
              <w:rPr>
                <w:rFonts w:ascii="Arial" w:hAnsi="Arial" w:cs="Arial"/>
                <w:sz w:val="20"/>
                <w:szCs w:val="20"/>
              </w:rPr>
            </w:pPr>
          </w:p>
        </w:tc>
        <w:tc>
          <w:tcPr>
            <w:tcW w:w="1170" w:type="dxa"/>
            <w:tcBorders>
              <w:top w:val="single" w:sz="4" w:space="0" w:color="auto"/>
              <w:left w:val="dotted" w:sz="4" w:space="0" w:color="auto"/>
              <w:bottom w:val="single" w:sz="4" w:space="0" w:color="auto"/>
              <w:right w:val="dotted" w:sz="4" w:space="0" w:color="auto"/>
            </w:tcBorders>
            <w:shd w:val="clear" w:color="auto" w:fill="D9D9D9" w:themeFill="background1" w:themeFillShade="D9"/>
          </w:tcPr>
          <w:p w14:paraId="32117FE5" w14:textId="77777777" w:rsidR="000B3395" w:rsidRPr="00040AA9" w:rsidRDefault="000B3395" w:rsidP="00040AA9">
            <w:pPr>
              <w:pStyle w:val="Default"/>
              <w:suppressAutoHyphens/>
              <w:rPr>
                <w:rFonts w:ascii="Arial" w:hAnsi="Arial" w:cs="Arial"/>
                <w:color w:val="auto"/>
                <w:sz w:val="20"/>
                <w:szCs w:val="20"/>
              </w:rPr>
            </w:pPr>
          </w:p>
        </w:tc>
        <w:tc>
          <w:tcPr>
            <w:tcW w:w="1170" w:type="dxa"/>
            <w:tcBorders>
              <w:top w:val="single" w:sz="4" w:space="0" w:color="auto"/>
              <w:left w:val="dotted" w:sz="4" w:space="0" w:color="auto"/>
              <w:bottom w:val="single" w:sz="4" w:space="0" w:color="auto"/>
              <w:right w:val="dotted" w:sz="4" w:space="0" w:color="auto"/>
            </w:tcBorders>
            <w:shd w:val="clear" w:color="auto" w:fill="D9D9D9" w:themeFill="background1" w:themeFillShade="D9"/>
          </w:tcPr>
          <w:p w14:paraId="64643D8B" w14:textId="77777777" w:rsidR="000B3395" w:rsidRPr="00040AA9" w:rsidRDefault="000B3395" w:rsidP="00040AA9">
            <w:pPr>
              <w:pStyle w:val="Default"/>
              <w:suppressAutoHyphens/>
              <w:rPr>
                <w:rFonts w:ascii="Arial" w:hAnsi="Arial" w:cs="Arial"/>
                <w:color w:val="auto"/>
                <w:sz w:val="20"/>
                <w:szCs w:val="20"/>
              </w:rPr>
            </w:pPr>
          </w:p>
        </w:tc>
        <w:tc>
          <w:tcPr>
            <w:tcW w:w="1257" w:type="dxa"/>
            <w:tcBorders>
              <w:top w:val="single" w:sz="4" w:space="0" w:color="auto"/>
              <w:left w:val="dotted" w:sz="4" w:space="0" w:color="auto"/>
              <w:bottom w:val="single" w:sz="4" w:space="0" w:color="auto"/>
              <w:right w:val="dotted" w:sz="4" w:space="0" w:color="auto"/>
            </w:tcBorders>
            <w:shd w:val="clear" w:color="auto" w:fill="D9D9D9" w:themeFill="background1" w:themeFillShade="D9"/>
          </w:tcPr>
          <w:p w14:paraId="7499F707" w14:textId="77777777" w:rsidR="000B3395" w:rsidRPr="00040AA9" w:rsidRDefault="000B3395" w:rsidP="00040AA9">
            <w:pPr>
              <w:pStyle w:val="Default"/>
              <w:suppressAutoHyphens/>
              <w:rPr>
                <w:rFonts w:ascii="Arial" w:hAnsi="Arial" w:cs="Arial"/>
                <w:color w:val="auto"/>
                <w:sz w:val="20"/>
                <w:szCs w:val="20"/>
              </w:rPr>
            </w:pPr>
          </w:p>
        </w:tc>
        <w:tc>
          <w:tcPr>
            <w:tcW w:w="3540" w:type="dxa"/>
            <w:tcBorders>
              <w:top w:val="single" w:sz="4" w:space="0" w:color="auto"/>
              <w:left w:val="dotted" w:sz="4" w:space="0" w:color="auto"/>
              <w:bottom w:val="single" w:sz="4" w:space="0" w:color="auto"/>
              <w:right w:val="dotted" w:sz="4" w:space="0" w:color="auto"/>
            </w:tcBorders>
            <w:shd w:val="clear" w:color="auto" w:fill="D9D9D9" w:themeFill="background1" w:themeFillShade="D9"/>
          </w:tcPr>
          <w:p w14:paraId="51A6B935" w14:textId="77777777" w:rsidR="000B3395" w:rsidRPr="00040AA9" w:rsidRDefault="000B3395" w:rsidP="00040AA9">
            <w:pPr>
              <w:pStyle w:val="Default"/>
              <w:suppressAutoHyphens/>
              <w:rPr>
                <w:rFonts w:ascii="Arial" w:hAnsi="Arial" w:cs="Arial"/>
                <w:color w:val="auto"/>
                <w:sz w:val="20"/>
                <w:szCs w:val="20"/>
              </w:rPr>
            </w:pPr>
          </w:p>
        </w:tc>
        <w:tc>
          <w:tcPr>
            <w:tcW w:w="1228" w:type="dxa"/>
            <w:tcBorders>
              <w:top w:val="single" w:sz="4" w:space="0" w:color="auto"/>
              <w:left w:val="dotted" w:sz="4" w:space="0" w:color="auto"/>
              <w:bottom w:val="single" w:sz="4" w:space="0" w:color="auto"/>
              <w:right w:val="single" w:sz="4" w:space="0" w:color="auto"/>
            </w:tcBorders>
            <w:shd w:val="clear" w:color="auto" w:fill="D9D9D9" w:themeFill="background1" w:themeFillShade="D9"/>
          </w:tcPr>
          <w:p w14:paraId="041C153A" w14:textId="77777777" w:rsidR="000B3395" w:rsidRPr="00040AA9" w:rsidRDefault="000B3395" w:rsidP="00040AA9">
            <w:pPr>
              <w:pStyle w:val="Default"/>
              <w:suppressAutoHyphens/>
              <w:rPr>
                <w:rFonts w:ascii="Arial" w:hAnsi="Arial" w:cs="Arial"/>
                <w:color w:val="auto"/>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705EC" w14:textId="77777777" w:rsidR="000B3395" w:rsidRPr="00CF5903" w:rsidRDefault="000B3395" w:rsidP="00040AA9">
            <w:pPr>
              <w:pStyle w:val="Default"/>
              <w:suppressAutoHyphens/>
              <w:rPr>
                <w:rFonts w:ascii="Arial" w:hAnsi="Arial" w:cs="Arial"/>
                <w:color w:val="auto"/>
                <w:sz w:val="20"/>
                <w:szCs w:val="20"/>
              </w:rPr>
            </w:pPr>
          </w:p>
        </w:tc>
      </w:tr>
      <w:tr w:rsidR="000B3395" w:rsidRPr="00CF5903" w14:paraId="5217D635" w14:textId="77777777" w:rsidTr="006D7EE4">
        <w:trPr>
          <w:trHeight w:val="799"/>
        </w:trPr>
        <w:tc>
          <w:tcPr>
            <w:tcW w:w="1710" w:type="dxa"/>
            <w:tcBorders>
              <w:left w:val="single" w:sz="4" w:space="0" w:color="auto"/>
              <w:bottom w:val="single" w:sz="4" w:space="0" w:color="auto"/>
              <w:right w:val="dotted" w:sz="4" w:space="0" w:color="auto"/>
            </w:tcBorders>
          </w:tcPr>
          <w:p w14:paraId="4DBEF2EE" w14:textId="77777777" w:rsidR="000B3395" w:rsidRPr="00040AA9" w:rsidRDefault="000B3395" w:rsidP="00040AA9">
            <w:pPr>
              <w:suppressAutoHyphens/>
              <w:rPr>
                <w:rFonts w:ascii="Arial" w:hAnsi="Arial" w:cs="Arial"/>
                <w:b/>
                <w:sz w:val="20"/>
                <w:szCs w:val="20"/>
              </w:rPr>
            </w:pPr>
            <w:r w:rsidRPr="00040AA9">
              <w:rPr>
                <w:rFonts w:ascii="Arial" w:hAnsi="Arial" w:cs="Arial"/>
                <w:b/>
                <w:sz w:val="20"/>
                <w:szCs w:val="20"/>
              </w:rPr>
              <w:t>OUTPUTS</w:t>
            </w:r>
          </w:p>
          <w:p w14:paraId="55B21FB7" w14:textId="317A74D2" w:rsidR="000B3395" w:rsidRPr="00040AA9" w:rsidRDefault="000B3395" w:rsidP="00040AA9">
            <w:pPr>
              <w:suppressAutoHyphens/>
              <w:rPr>
                <w:rFonts w:ascii="Arial" w:hAnsi="Arial" w:cs="Arial"/>
                <w:sz w:val="20"/>
                <w:szCs w:val="20"/>
              </w:rPr>
            </w:pPr>
            <w:r w:rsidRPr="00040AA9">
              <w:rPr>
                <w:rFonts w:ascii="Arial" w:hAnsi="Arial" w:cs="Arial"/>
                <w:sz w:val="20"/>
                <w:szCs w:val="20"/>
              </w:rPr>
              <w:t xml:space="preserve"> Indicator III.4.1</w:t>
            </w:r>
          </w:p>
          <w:p w14:paraId="5D046129" w14:textId="62B1CF73" w:rsidR="000B3395" w:rsidRPr="00040AA9" w:rsidRDefault="000B3395" w:rsidP="00040AA9">
            <w:pPr>
              <w:suppressAutoHyphens/>
              <w:rPr>
                <w:rFonts w:ascii="Arial" w:hAnsi="Arial" w:cs="Arial"/>
                <w:sz w:val="20"/>
                <w:szCs w:val="20"/>
              </w:rPr>
            </w:pPr>
            <w:r w:rsidRPr="00040AA9">
              <w:rPr>
                <w:rFonts w:ascii="Arial" w:hAnsi="Arial" w:cs="Arial"/>
                <w:sz w:val="20"/>
                <w:szCs w:val="20"/>
              </w:rPr>
              <w:t>Database system implemented to allow the P</w:t>
            </w:r>
            <w:r w:rsidR="00800B2A">
              <w:rPr>
                <w:rFonts w:ascii="Arial" w:hAnsi="Arial" w:cs="Arial"/>
                <w:sz w:val="20"/>
                <w:szCs w:val="20"/>
              </w:rPr>
              <w:t>B</w:t>
            </w:r>
            <w:r w:rsidRPr="00040AA9">
              <w:rPr>
                <w:rFonts w:ascii="Arial" w:hAnsi="Arial" w:cs="Arial"/>
                <w:sz w:val="20"/>
                <w:szCs w:val="20"/>
              </w:rPr>
              <w:t xml:space="preserve">s report in a standardized format </w:t>
            </w:r>
          </w:p>
          <w:p w14:paraId="0C105AC2" w14:textId="77777777" w:rsidR="000B3395" w:rsidRPr="00040AA9" w:rsidRDefault="000B3395" w:rsidP="00040AA9">
            <w:pPr>
              <w:suppressAutoHyphens/>
              <w:rPr>
                <w:rFonts w:ascii="Arial" w:hAnsi="Arial" w:cs="Arial"/>
                <w:sz w:val="20"/>
                <w:szCs w:val="20"/>
              </w:rPr>
            </w:pPr>
            <w:r w:rsidRPr="00040AA9">
              <w:rPr>
                <w:rFonts w:ascii="Arial" w:hAnsi="Arial" w:cs="Arial"/>
                <w:sz w:val="20"/>
                <w:szCs w:val="20"/>
              </w:rPr>
              <w:t>(FSPG I – product 3.4)</w:t>
            </w:r>
          </w:p>
          <w:p w14:paraId="248DAD89" w14:textId="19037A83" w:rsidR="000B3395" w:rsidRPr="00040AA9" w:rsidRDefault="000B3395" w:rsidP="00040AA9">
            <w:pPr>
              <w:suppressAutoHyphens/>
              <w:jc w:val="center"/>
              <w:rPr>
                <w:rFonts w:ascii="Arial" w:hAnsi="Arial" w:cs="Arial"/>
                <w:sz w:val="20"/>
                <w:szCs w:val="20"/>
              </w:rPr>
            </w:pPr>
          </w:p>
        </w:tc>
        <w:tc>
          <w:tcPr>
            <w:tcW w:w="990" w:type="dxa"/>
            <w:tcBorders>
              <w:left w:val="dotted" w:sz="4" w:space="0" w:color="auto"/>
              <w:bottom w:val="single" w:sz="4" w:space="0" w:color="auto"/>
              <w:right w:val="dotted" w:sz="4" w:space="0" w:color="auto"/>
            </w:tcBorders>
            <w:vAlign w:val="center"/>
          </w:tcPr>
          <w:p w14:paraId="6A4713DE" w14:textId="6129F6F7" w:rsidR="000B3395" w:rsidRPr="00040AA9" w:rsidRDefault="000B3395" w:rsidP="00040AA9">
            <w:pPr>
              <w:suppressAutoHyphens/>
              <w:rPr>
                <w:rFonts w:ascii="Arial" w:hAnsi="Arial" w:cs="Arial"/>
                <w:sz w:val="20"/>
                <w:szCs w:val="20"/>
              </w:rPr>
            </w:pPr>
            <w:r w:rsidRPr="00040AA9">
              <w:rPr>
                <w:rFonts w:ascii="Arial" w:hAnsi="Arial" w:cs="Arial"/>
                <w:sz w:val="20"/>
                <w:szCs w:val="20"/>
              </w:rPr>
              <w:t>Recasting of the objective.</w:t>
            </w:r>
          </w:p>
        </w:tc>
        <w:tc>
          <w:tcPr>
            <w:tcW w:w="1080" w:type="dxa"/>
            <w:tcBorders>
              <w:left w:val="dotted" w:sz="4" w:space="0" w:color="auto"/>
              <w:bottom w:val="single" w:sz="4" w:space="0" w:color="auto"/>
              <w:right w:val="dotted" w:sz="4" w:space="0" w:color="auto"/>
            </w:tcBorders>
            <w:vAlign w:val="center"/>
          </w:tcPr>
          <w:p w14:paraId="43D22735" w14:textId="64E691C8" w:rsidR="000B3395" w:rsidRPr="00040AA9" w:rsidRDefault="000B3395" w:rsidP="00040AA9">
            <w:pPr>
              <w:suppressAutoHyphens/>
              <w:rPr>
                <w:rFonts w:ascii="Arial" w:hAnsi="Arial" w:cs="Arial"/>
                <w:sz w:val="20"/>
                <w:szCs w:val="20"/>
              </w:rPr>
            </w:pPr>
            <w:r w:rsidRPr="00040AA9">
              <w:rPr>
                <w:rFonts w:ascii="Arial" w:hAnsi="Arial" w:cs="Arial"/>
                <w:sz w:val="20"/>
                <w:szCs w:val="20"/>
              </w:rPr>
              <w:t>Deactivation</w:t>
            </w:r>
          </w:p>
        </w:tc>
        <w:tc>
          <w:tcPr>
            <w:tcW w:w="1170" w:type="dxa"/>
            <w:tcBorders>
              <w:top w:val="single" w:sz="4" w:space="0" w:color="auto"/>
              <w:left w:val="dotted" w:sz="4" w:space="0" w:color="auto"/>
              <w:bottom w:val="single" w:sz="4" w:space="0" w:color="auto"/>
              <w:right w:val="dotted" w:sz="4" w:space="0" w:color="auto"/>
            </w:tcBorders>
            <w:vAlign w:val="center"/>
          </w:tcPr>
          <w:p w14:paraId="7036E3E2" w14:textId="6F1CD302"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0</w:t>
            </w:r>
          </w:p>
        </w:tc>
        <w:tc>
          <w:tcPr>
            <w:tcW w:w="1170" w:type="dxa"/>
            <w:tcBorders>
              <w:left w:val="dotted" w:sz="4" w:space="0" w:color="auto"/>
              <w:bottom w:val="single" w:sz="4" w:space="0" w:color="auto"/>
              <w:right w:val="dotted" w:sz="4" w:space="0" w:color="auto"/>
            </w:tcBorders>
            <w:vAlign w:val="center"/>
          </w:tcPr>
          <w:p w14:paraId="04D147D2" w14:textId="57DE8400"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1</w:t>
            </w:r>
          </w:p>
        </w:tc>
        <w:tc>
          <w:tcPr>
            <w:tcW w:w="1257" w:type="dxa"/>
            <w:tcBorders>
              <w:left w:val="dotted" w:sz="4" w:space="0" w:color="auto"/>
              <w:bottom w:val="single" w:sz="4" w:space="0" w:color="auto"/>
              <w:right w:val="dotted" w:sz="4" w:space="0" w:color="auto"/>
            </w:tcBorders>
            <w:vAlign w:val="center"/>
          </w:tcPr>
          <w:p w14:paraId="6BBCFA5C" w14:textId="0397BC24"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N/A</w:t>
            </w:r>
          </w:p>
        </w:tc>
        <w:tc>
          <w:tcPr>
            <w:tcW w:w="3540" w:type="dxa"/>
            <w:tcBorders>
              <w:left w:val="dotted" w:sz="4" w:space="0" w:color="auto"/>
              <w:bottom w:val="single" w:sz="4" w:space="0" w:color="auto"/>
              <w:right w:val="dotted" w:sz="4" w:space="0" w:color="auto"/>
            </w:tcBorders>
          </w:tcPr>
          <w:p w14:paraId="78BD0BFA" w14:textId="77777777" w:rsidR="000B3395" w:rsidRPr="00040AA9" w:rsidRDefault="000B3395" w:rsidP="00040AA9">
            <w:pPr>
              <w:pStyle w:val="Default"/>
              <w:suppressAutoHyphens/>
              <w:rPr>
                <w:rFonts w:ascii="Arial" w:hAnsi="Arial" w:cs="Arial"/>
                <w:color w:val="auto"/>
                <w:sz w:val="20"/>
                <w:szCs w:val="20"/>
              </w:rPr>
            </w:pPr>
          </w:p>
          <w:p w14:paraId="4BDD88AB" w14:textId="5A70470B"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 xml:space="preserve">Output indicator III.4.1 was included in the RM of the first operation as part of the reform dialogue with the borrower, however the indicator was not stipulated as a policy condition of FISPEG I.  In preparing the subsequent FISPEG II operation it was determined that implementation of such a database system would be premature given the state of development of related systems in the Public Enterprises Division. </w:t>
            </w:r>
            <w:r w:rsidR="00350FE4" w:rsidRPr="00CF5903">
              <w:rPr>
                <w:rFonts w:ascii="Arial" w:hAnsi="Arial" w:cs="Arial"/>
                <w:color w:val="auto"/>
                <w:sz w:val="20"/>
                <w:szCs w:val="20"/>
              </w:rPr>
              <w:t>Therefore,</w:t>
            </w:r>
            <w:r w:rsidRPr="00040AA9">
              <w:rPr>
                <w:rFonts w:ascii="Arial" w:hAnsi="Arial" w:cs="Arial"/>
                <w:color w:val="auto"/>
                <w:sz w:val="20"/>
                <w:szCs w:val="20"/>
              </w:rPr>
              <w:t xml:space="preserve"> the indicator was not included in the RMs for FISPEG II and III, and no EOP data for this indicator is available as such. Nonetheless the PED is moving forward with the formalization of a Risk Based M&amp;E Framework which is expected to incorporate key aspects of the database system.</w:t>
            </w:r>
            <w:r w:rsidRPr="00040AA9">
              <w:rPr>
                <w:rStyle w:val="FootnoteReference"/>
                <w:rFonts w:ascii="Arial" w:hAnsi="Arial" w:cs="Arial"/>
                <w:color w:val="auto"/>
                <w:sz w:val="20"/>
                <w:szCs w:val="20"/>
              </w:rPr>
              <w:footnoteReference w:id="41"/>
            </w:r>
            <w:r w:rsidRPr="00040AA9">
              <w:rPr>
                <w:rFonts w:ascii="Arial" w:hAnsi="Arial" w:cs="Arial"/>
                <w:color w:val="auto"/>
                <w:sz w:val="20"/>
                <w:szCs w:val="20"/>
              </w:rPr>
              <w:t xml:space="preserve">.   </w:t>
            </w:r>
          </w:p>
        </w:tc>
        <w:tc>
          <w:tcPr>
            <w:tcW w:w="1228" w:type="dxa"/>
            <w:tcBorders>
              <w:left w:val="dotted" w:sz="4" w:space="0" w:color="auto"/>
              <w:bottom w:val="single" w:sz="4" w:space="0" w:color="auto"/>
              <w:right w:val="single" w:sz="4" w:space="0" w:color="auto"/>
            </w:tcBorders>
            <w:vAlign w:val="center"/>
          </w:tcPr>
          <w:p w14:paraId="0CD0DBAB" w14:textId="6FFA85E3" w:rsidR="000B3395" w:rsidRPr="00040AA9" w:rsidRDefault="000B3395" w:rsidP="00040AA9">
            <w:pPr>
              <w:pStyle w:val="Default"/>
              <w:suppressAutoHyphens/>
              <w:rPr>
                <w:rFonts w:ascii="Arial" w:hAnsi="Arial" w:cs="Arial"/>
                <w:color w:val="auto"/>
                <w:sz w:val="20"/>
                <w:szCs w:val="20"/>
              </w:rPr>
            </w:pPr>
            <w:r w:rsidRPr="00040AA9">
              <w:rPr>
                <w:rFonts w:ascii="Arial" w:hAnsi="Arial" w:cs="Arial"/>
                <w:color w:val="auto"/>
                <w:sz w:val="20"/>
                <w:szCs w:val="20"/>
              </w:rPr>
              <w:t>November 2017</w:t>
            </w:r>
          </w:p>
        </w:tc>
        <w:tc>
          <w:tcPr>
            <w:tcW w:w="1200" w:type="dxa"/>
            <w:tcBorders>
              <w:left w:val="single" w:sz="4" w:space="0" w:color="auto"/>
              <w:bottom w:val="single" w:sz="4" w:space="0" w:color="auto"/>
              <w:right w:val="single" w:sz="4" w:space="0" w:color="auto"/>
            </w:tcBorders>
          </w:tcPr>
          <w:p w14:paraId="4387F6E7" w14:textId="77777777" w:rsidR="000B3395" w:rsidRPr="00CF5903" w:rsidRDefault="000B3395" w:rsidP="00040AA9">
            <w:pPr>
              <w:pStyle w:val="Default"/>
              <w:suppressAutoHyphens/>
              <w:rPr>
                <w:rFonts w:ascii="Arial" w:hAnsi="Arial" w:cs="Arial"/>
                <w:color w:val="auto"/>
                <w:sz w:val="20"/>
                <w:szCs w:val="20"/>
              </w:rPr>
            </w:pPr>
          </w:p>
        </w:tc>
      </w:tr>
    </w:tbl>
    <w:p w14:paraId="665172FB" w14:textId="004AFC84" w:rsidR="00637B09" w:rsidRDefault="00637B09" w:rsidP="00040AA9">
      <w:pPr>
        <w:suppressAutoHyphens/>
        <w:spacing w:before="120"/>
        <w:jc w:val="center"/>
        <w:outlineLvl w:val="0"/>
        <w:rPr>
          <w:rFonts w:cs="Arial"/>
          <w:b/>
          <w:sz w:val="28"/>
          <w:szCs w:val="28"/>
        </w:rPr>
      </w:pPr>
    </w:p>
    <w:p w14:paraId="57C61178" w14:textId="77777777" w:rsidR="00637B09" w:rsidRDefault="00637B09">
      <w:pPr>
        <w:spacing w:after="200" w:line="276" w:lineRule="auto"/>
        <w:rPr>
          <w:rFonts w:cs="Arial"/>
          <w:b/>
          <w:sz w:val="28"/>
          <w:szCs w:val="28"/>
        </w:rPr>
      </w:pPr>
      <w:r>
        <w:rPr>
          <w:rFonts w:cs="Arial"/>
          <w:b/>
          <w:sz w:val="28"/>
          <w:szCs w:val="28"/>
        </w:rPr>
        <w:br w:type="page"/>
      </w:r>
    </w:p>
    <w:p w14:paraId="26615D74" w14:textId="77777777" w:rsidR="00CF5903" w:rsidRDefault="00CF5903" w:rsidP="00040AA9">
      <w:pPr>
        <w:suppressAutoHyphens/>
        <w:spacing w:before="120"/>
        <w:jc w:val="center"/>
        <w:outlineLvl w:val="0"/>
        <w:rPr>
          <w:rFonts w:cs="Arial"/>
          <w:b/>
          <w:sz w:val="28"/>
          <w:szCs w:val="28"/>
        </w:rPr>
      </w:pPr>
    </w:p>
    <w:p w14:paraId="3E906FCC" w14:textId="745119A3" w:rsidR="00447C1B" w:rsidRPr="00040AA9" w:rsidRDefault="00447C1B" w:rsidP="00040AA9">
      <w:pPr>
        <w:suppressAutoHyphens/>
        <w:jc w:val="center"/>
        <w:outlineLvl w:val="0"/>
        <w:rPr>
          <w:rFonts w:ascii="Arial" w:hAnsi="Arial" w:cs="Arial"/>
          <w:b/>
          <w:sz w:val="20"/>
          <w:szCs w:val="20"/>
        </w:rPr>
      </w:pPr>
      <w:r w:rsidRPr="00040AA9">
        <w:rPr>
          <w:rFonts w:ascii="Arial" w:hAnsi="Arial" w:cs="Arial"/>
          <w:b/>
          <w:sz w:val="20"/>
          <w:szCs w:val="20"/>
        </w:rPr>
        <w:t>Table 2</w:t>
      </w:r>
    </w:p>
    <w:p w14:paraId="461DB07D" w14:textId="77777777" w:rsidR="00447C1B" w:rsidRPr="00040AA9" w:rsidRDefault="00447C1B" w:rsidP="00040AA9">
      <w:pPr>
        <w:suppressAutoHyphens/>
        <w:jc w:val="center"/>
        <w:rPr>
          <w:rFonts w:ascii="Arial" w:hAnsi="Arial" w:cs="Arial"/>
          <w:b/>
          <w:sz w:val="20"/>
          <w:szCs w:val="20"/>
        </w:rPr>
      </w:pPr>
      <w:r w:rsidRPr="00040AA9">
        <w:rPr>
          <w:rFonts w:ascii="Arial" w:hAnsi="Arial" w:cs="Arial"/>
          <w:b/>
          <w:sz w:val="20"/>
          <w:szCs w:val="20"/>
        </w:rPr>
        <w:t>Consolidated Results Matrix</w:t>
      </w:r>
      <w:r w:rsidRPr="00040AA9">
        <w:rPr>
          <w:rStyle w:val="FootnoteReference"/>
          <w:rFonts w:ascii="Arial" w:hAnsi="Arial" w:cs="Arial"/>
          <w:sz w:val="20"/>
          <w:szCs w:val="20"/>
        </w:rPr>
        <w:footnoteReference w:id="42"/>
      </w:r>
    </w:p>
    <w:p w14:paraId="6C600BC4" w14:textId="776D536F" w:rsidR="00447C1B" w:rsidRPr="00A936B3" w:rsidRDefault="00447C1B" w:rsidP="00040AA9">
      <w:pPr>
        <w:suppressAutoHyphens/>
        <w:spacing w:after="120"/>
        <w:jc w:val="center"/>
        <w:rPr>
          <w:rFonts w:cs="Arial"/>
          <w:b/>
          <w:sz w:val="28"/>
          <w:szCs w:val="28"/>
        </w:rPr>
      </w:pPr>
      <w:r w:rsidRPr="00040AA9">
        <w:rPr>
          <w:rFonts w:ascii="Arial" w:hAnsi="Arial" w:cs="Arial"/>
          <w:b/>
          <w:sz w:val="20"/>
          <w:szCs w:val="20"/>
        </w:rPr>
        <w:t>Proposed vs. Actual Impacts, Outcomes and Outputs</w:t>
      </w:r>
    </w:p>
    <w:tbl>
      <w:tblPr>
        <w:tblStyle w:val="TableGrid"/>
        <w:tblW w:w="12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6"/>
        <w:gridCol w:w="1028"/>
        <w:gridCol w:w="1039"/>
        <w:gridCol w:w="1039"/>
        <w:gridCol w:w="699"/>
        <w:gridCol w:w="1372"/>
        <w:gridCol w:w="1372"/>
        <w:gridCol w:w="4320"/>
      </w:tblGrid>
      <w:tr w:rsidR="00412DF6" w:rsidRPr="006E327A" w14:paraId="2BDBE613" w14:textId="77777777" w:rsidTr="00040AA9">
        <w:trPr>
          <w:tblHeader/>
        </w:trPr>
        <w:tc>
          <w:tcPr>
            <w:tcW w:w="186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BB05737" w14:textId="7BCE2EED"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Impact/Indicator</w:t>
            </w:r>
            <w:r w:rsidRPr="00040AA9">
              <w:rPr>
                <w:rStyle w:val="FootnoteReference"/>
                <w:rFonts w:ascii="Arial" w:hAnsi="Arial" w:cs="Arial"/>
                <w:sz w:val="20"/>
                <w:szCs w:val="20"/>
              </w:rPr>
              <w:footnoteReference w:id="43"/>
            </w:r>
          </w:p>
        </w:tc>
        <w:tc>
          <w:tcPr>
            <w:tcW w:w="8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0E99F1"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Unit of Measure</w:t>
            </w:r>
          </w:p>
        </w:tc>
        <w:tc>
          <w:tcPr>
            <w:tcW w:w="83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6349EE7"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Baseline value</w:t>
            </w:r>
          </w:p>
        </w:tc>
        <w:tc>
          <w:tcPr>
            <w:tcW w:w="93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C0AA35"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Baseline year</w:t>
            </w:r>
          </w:p>
        </w:tc>
        <w:tc>
          <w:tcPr>
            <w:tcW w:w="217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94E8621"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Targets &amp;</w:t>
            </w:r>
          </w:p>
          <w:p w14:paraId="747C4F6A"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Actual achievement</w:t>
            </w:r>
            <w:r w:rsidRPr="00040AA9">
              <w:rPr>
                <w:rStyle w:val="FootnoteReference"/>
                <w:rFonts w:ascii="Arial" w:hAnsi="Arial" w:cs="Arial"/>
                <w:sz w:val="20"/>
                <w:szCs w:val="20"/>
              </w:rPr>
              <w:footnoteReference w:id="44"/>
            </w:r>
          </w:p>
        </w:tc>
        <w:tc>
          <w:tcPr>
            <w:tcW w:w="11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FFF94E2"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 Achieved</w:t>
            </w:r>
          </w:p>
        </w:tc>
        <w:tc>
          <w:tcPr>
            <w:tcW w:w="505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FF9A36" w14:textId="77777777" w:rsidR="00412DF6" w:rsidRPr="00040AA9" w:rsidRDefault="00412DF6" w:rsidP="00040AA9">
            <w:pPr>
              <w:suppressAutoHyphens/>
              <w:ind w:right="-71"/>
              <w:jc w:val="center"/>
              <w:rPr>
                <w:rFonts w:ascii="Arial" w:hAnsi="Arial" w:cs="Arial"/>
                <w:b/>
                <w:sz w:val="20"/>
                <w:szCs w:val="20"/>
              </w:rPr>
            </w:pPr>
            <w:r w:rsidRPr="00040AA9">
              <w:rPr>
                <w:rFonts w:ascii="Arial" w:hAnsi="Arial" w:cs="Arial"/>
                <w:b/>
                <w:sz w:val="20"/>
                <w:szCs w:val="20"/>
              </w:rPr>
              <w:t>Means of verification</w:t>
            </w:r>
            <w:r w:rsidRPr="00040AA9">
              <w:rPr>
                <w:rStyle w:val="FootnoteReference"/>
                <w:rFonts w:ascii="Arial" w:hAnsi="Arial" w:cs="Arial"/>
                <w:sz w:val="20"/>
                <w:szCs w:val="20"/>
              </w:rPr>
              <w:footnoteReference w:id="45"/>
            </w:r>
          </w:p>
        </w:tc>
      </w:tr>
      <w:tr w:rsidR="00412DF6" w:rsidRPr="006E327A" w14:paraId="2FF54F9E" w14:textId="77777777" w:rsidTr="00E17354">
        <w:trPr>
          <w:trHeight w:val="269"/>
        </w:trPr>
        <w:tc>
          <w:tcPr>
            <w:tcW w:w="12775" w:type="dxa"/>
            <w:gridSpan w:val="8"/>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hideMark/>
          </w:tcPr>
          <w:p w14:paraId="2E16410B" w14:textId="5C1499CB" w:rsidR="00412DF6" w:rsidRPr="00040AA9" w:rsidRDefault="00412DF6" w:rsidP="00040AA9">
            <w:pPr>
              <w:suppressAutoHyphens/>
              <w:rPr>
                <w:rFonts w:ascii="Arial" w:hAnsi="Arial" w:cs="Arial"/>
                <w:b/>
                <w:sz w:val="20"/>
                <w:szCs w:val="20"/>
              </w:rPr>
            </w:pPr>
            <w:r w:rsidRPr="00040AA9">
              <w:rPr>
                <w:rFonts w:ascii="Arial" w:hAnsi="Arial" w:cs="Arial"/>
                <w:b/>
                <w:sz w:val="20"/>
                <w:szCs w:val="20"/>
              </w:rPr>
              <w:t xml:space="preserve">Impact #1 Increased </w:t>
            </w:r>
            <w:r w:rsidR="00E420C4" w:rsidRPr="00040AA9">
              <w:rPr>
                <w:rFonts w:ascii="Arial" w:hAnsi="Arial" w:cs="Arial"/>
                <w:b/>
                <w:sz w:val="20"/>
                <w:szCs w:val="20"/>
              </w:rPr>
              <w:t>public-sector</w:t>
            </w:r>
            <w:r w:rsidRPr="00040AA9">
              <w:rPr>
                <w:rFonts w:ascii="Arial" w:hAnsi="Arial" w:cs="Arial"/>
                <w:b/>
                <w:sz w:val="20"/>
                <w:szCs w:val="20"/>
              </w:rPr>
              <w:t xml:space="preserve"> balance</w:t>
            </w:r>
          </w:p>
        </w:tc>
      </w:tr>
      <w:tr w:rsidR="00412DF6" w:rsidRPr="00CF5903" w14:paraId="0EFFB1FF" w14:textId="77777777" w:rsidTr="00040AA9">
        <w:trPr>
          <w:trHeight w:val="1187"/>
        </w:trPr>
        <w:tc>
          <w:tcPr>
            <w:tcW w:w="1863" w:type="dxa"/>
            <w:vMerge w:val="restart"/>
            <w:tcBorders>
              <w:top w:val="single" w:sz="4" w:space="0" w:color="auto"/>
              <w:left w:val="single" w:sz="4" w:space="0" w:color="auto"/>
              <w:bottom w:val="single" w:sz="4" w:space="0" w:color="auto"/>
              <w:right w:val="single" w:sz="4" w:space="0" w:color="auto"/>
            </w:tcBorders>
            <w:vAlign w:val="center"/>
            <w:hideMark/>
          </w:tcPr>
          <w:p w14:paraId="70FC301F"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Indicator 1.1</w:t>
            </w:r>
            <w:r w:rsidRPr="00040AA9">
              <w:rPr>
                <w:rStyle w:val="FootnoteReference"/>
                <w:rFonts w:ascii="Arial" w:hAnsi="Arial" w:cs="Arial"/>
                <w:sz w:val="20"/>
                <w:szCs w:val="20"/>
              </w:rPr>
              <w:footnoteReference w:id="46"/>
            </w:r>
          </w:p>
          <w:p w14:paraId="15CEF94B"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 Total revenue – Total expenditure) / Nominal GDP </w:t>
            </w:r>
          </w:p>
          <w:p w14:paraId="403E789B"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(FSPG I – Impact 1)</w:t>
            </w:r>
          </w:p>
          <w:p w14:paraId="37A59B4A"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 (FSPG II – Impact 1)</w:t>
            </w:r>
          </w:p>
          <w:p w14:paraId="67433C93" w14:textId="77777777" w:rsidR="00412DF6" w:rsidRPr="00040AA9" w:rsidRDefault="00412DF6" w:rsidP="00040AA9">
            <w:pPr>
              <w:suppressAutoHyphens/>
              <w:rPr>
                <w:rFonts w:ascii="Arial" w:hAnsi="Arial" w:cs="Arial"/>
                <w:sz w:val="20"/>
                <w:szCs w:val="20"/>
              </w:rPr>
            </w:pPr>
          </w:p>
          <w:p w14:paraId="1977B350"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Public Sector Balance / Nominal GDP.</w:t>
            </w:r>
          </w:p>
          <w:p w14:paraId="2026CAB9"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(FSPG III – Impact 1)</w:t>
            </w:r>
          </w:p>
          <w:p w14:paraId="0B3BD9B3" w14:textId="77777777" w:rsidR="00412DF6" w:rsidRPr="00040AA9" w:rsidRDefault="00412DF6" w:rsidP="00040AA9">
            <w:pPr>
              <w:suppressAutoHyphens/>
              <w:rPr>
                <w:rFonts w:ascii="Arial" w:hAnsi="Arial" w:cs="Arial"/>
                <w:i/>
                <w:sz w:val="20"/>
                <w:szCs w:val="20"/>
              </w:rPr>
            </w:pPr>
          </w:p>
          <w:p w14:paraId="121B6E3D" w14:textId="77777777" w:rsidR="00412DF6" w:rsidRPr="00040AA9" w:rsidRDefault="00412DF6" w:rsidP="00040AA9">
            <w:pPr>
              <w:suppressAutoHyphens/>
              <w:rPr>
                <w:rFonts w:ascii="Arial" w:hAnsi="Arial" w:cs="Arial"/>
                <w:i/>
                <w:sz w:val="20"/>
                <w:szCs w:val="20"/>
              </w:rPr>
            </w:pPr>
          </w:p>
        </w:tc>
        <w:tc>
          <w:tcPr>
            <w:tcW w:w="806" w:type="dxa"/>
            <w:vMerge w:val="restart"/>
            <w:tcBorders>
              <w:top w:val="single" w:sz="4" w:space="0" w:color="auto"/>
              <w:left w:val="single" w:sz="4" w:space="0" w:color="auto"/>
              <w:bottom w:val="single" w:sz="4" w:space="0" w:color="auto"/>
              <w:right w:val="single" w:sz="4" w:space="0" w:color="auto"/>
            </w:tcBorders>
            <w:vAlign w:val="center"/>
          </w:tcPr>
          <w:p w14:paraId="4160D534"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w:t>
            </w:r>
          </w:p>
        </w:tc>
        <w:tc>
          <w:tcPr>
            <w:tcW w:w="830" w:type="dxa"/>
            <w:vMerge w:val="restart"/>
            <w:tcBorders>
              <w:top w:val="single" w:sz="4" w:space="0" w:color="auto"/>
              <w:left w:val="single" w:sz="4" w:space="0" w:color="auto"/>
              <w:bottom w:val="single" w:sz="4" w:space="0" w:color="auto"/>
              <w:right w:val="single" w:sz="4" w:space="0" w:color="auto"/>
            </w:tcBorders>
            <w:vAlign w:val="center"/>
          </w:tcPr>
          <w:p w14:paraId="3AE00AD3"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-4.1</w:t>
            </w:r>
          </w:p>
        </w:tc>
        <w:tc>
          <w:tcPr>
            <w:tcW w:w="939" w:type="dxa"/>
            <w:vMerge w:val="restart"/>
            <w:tcBorders>
              <w:top w:val="single" w:sz="4" w:space="0" w:color="auto"/>
              <w:left w:val="single" w:sz="4" w:space="0" w:color="auto"/>
              <w:bottom w:val="single" w:sz="4" w:space="0" w:color="auto"/>
              <w:right w:val="single" w:sz="4" w:space="0" w:color="auto"/>
            </w:tcBorders>
            <w:vAlign w:val="center"/>
          </w:tcPr>
          <w:p w14:paraId="400C1FD0"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2012/13</w:t>
            </w:r>
          </w:p>
        </w:tc>
        <w:tc>
          <w:tcPr>
            <w:tcW w:w="726" w:type="dxa"/>
            <w:vMerge w:val="restart"/>
            <w:tcBorders>
              <w:top w:val="single" w:sz="4" w:space="0" w:color="auto"/>
              <w:left w:val="single" w:sz="4" w:space="0" w:color="auto"/>
              <w:bottom w:val="single" w:sz="4" w:space="0" w:color="auto"/>
              <w:right w:val="single" w:sz="4" w:space="0" w:color="auto"/>
            </w:tcBorders>
            <w:vAlign w:val="center"/>
            <w:hideMark/>
          </w:tcPr>
          <w:p w14:paraId="2C2D3C44"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P </w:t>
            </w:r>
          </w:p>
        </w:tc>
        <w:tc>
          <w:tcPr>
            <w:tcW w:w="1448" w:type="dxa"/>
            <w:tcBorders>
              <w:top w:val="single" w:sz="4" w:space="0" w:color="auto"/>
              <w:left w:val="single" w:sz="4" w:space="0" w:color="auto"/>
              <w:bottom w:val="single" w:sz="4" w:space="0" w:color="auto"/>
              <w:right w:val="single" w:sz="4" w:space="0" w:color="auto"/>
            </w:tcBorders>
            <w:vAlign w:val="center"/>
          </w:tcPr>
          <w:p w14:paraId="5E6DBE0A"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FSPG I</w:t>
            </w:r>
          </w:p>
          <w:p w14:paraId="33206E75"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1.4</w:t>
            </w:r>
          </w:p>
          <w:p w14:paraId="7E3A5CC3"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(2015/16)</w:t>
            </w:r>
          </w:p>
          <w:p w14:paraId="20059203" w14:textId="77777777" w:rsidR="00412DF6" w:rsidRPr="00040AA9" w:rsidRDefault="00412DF6" w:rsidP="00040AA9">
            <w:pPr>
              <w:suppressAutoHyphens/>
              <w:jc w:val="center"/>
              <w:rPr>
                <w:rFonts w:ascii="Arial" w:hAnsi="Arial" w:cs="Arial"/>
                <w:sz w:val="20"/>
                <w:szCs w:val="20"/>
              </w:rPr>
            </w:pPr>
          </w:p>
          <w:p w14:paraId="10BF4998" w14:textId="77777777" w:rsidR="00412DF6" w:rsidRPr="00040AA9" w:rsidRDefault="00412DF6" w:rsidP="00040AA9">
            <w:pPr>
              <w:suppressAutoHyphens/>
              <w:jc w:val="center"/>
              <w:rPr>
                <w:rFonts w:ascii="Arial" w:hAnsi="Arial" w:cs="Arial"/>
                <w:sz w:val="20"/>
                <w:szCs w:val="20"/>
              </w:rPr>
            </w:pPr>
          </w:p>
        </w:tc>
        <w:tc>
          <w:tcPr>
            <w:tcW w:w="1106" w:type="dxa"/>
            <w:vMerge w:val="restart"/>
            <w:tcBorders>
              <w:top w:val="single" w:sz="4" w:space="0" w:color="auto"/>
              <w:left w:val="single" w:sz="4" w:space="0" w:color="auto"/>
              <w:bottom w:val="single" w:sz="4" w:space="0" w:color="auto"/>
              <w:right w:val="single" w:sz="4" w:space="0" w:color="auto"/>
            </w:tcBorders>
            <w:vAlign w:val="center"/>
          </w:tcPr>
          <w:p w14:paraId="15771128" w14:textId="77777777" w:rsidR="00412DF6" w:rsidRPr="00040AA9" w:rsidRDefault="00412DF6" w:rsidP="00040AA9">
            <w:pPr>
              <w:suppressAutoHyphens/>
              <w:rPr>
                <w:rFonts w:ascii="Arial" w:hAnsi="Arial" w:cs="Arial"/>
                <w:sz w:val="20"/>
                <w:szCs w:val="20"/>
              </w:rPr>
            </w:pPr>
          </w:p>
          <w:p w14:paraId="13D9E335"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 </w:t>
            </w:r>
          </w:p>
        </w:tc>
        <w:tc>
          <w:tcPr>
            <w:tcW w:w="5057" w:type="dxa"/>
            <w:vMerge w:val="restart"/>
            <w:tcBorders>
              <w:top w:val="single" w:sz="4" w:space="0" w:color="auto"/>
              <w:left w:val="single" w:sz="4" w:space="0" w:color="auto"/>
              <w:bottom w:val="single" w:sz="4" w:space="0" w:color="auto"/>
              <w:right w:val="single" w:sz="4" w:space="0" w:color="auto"/>
            </w:tcBorders>
          </w:tcPr>
          <w:p w14:paraId="28EE1A28"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Annual Financial Report (i.e. </w:t>
            </w:r>
            <w:proofErr w:type="spellStart"/>
            <w:r w:rsidRPr="00040AA9">
              <w:rPr>
                <w:rFonts w:ascii="Arial" w:hAnsi="Arial" w:cs="Arial"/>
                <w:sz w:val="20"/>
                <w:szCs w:val="20"/>
              </w:rPr>
              <w:t>GoJ</w:t>
            </w:r>
            <w:proofErr w:type="spellEnd"/>
            <w:r w:rsidRPr="00040AA9">
              <w:rPr>
                <w:rFonts w:ascii="Arial" w:hAnsi="Arial" w:cs="Arial"/>
                <w:sz w:val="20"/>
                <w:szCs w:val="20"/>
              </w:rPr>
              <w:t xml:space="preserve"> Fiscal Policy Paper) prepared by the Ministry of Finance and the Public Service (MOFPS).</w:t>
            </w:r>
          </w:p>
        </w:tc>
      </w:tr>
      <w:tr w:rsidR="00412DF6" w:rsidRPr="00CF5903" w14:paraId="0217F101" w14:textId="77777777" w:rsidTr="00E17354">
        <w:trPr>
          <w:trHeight w:val="683"/>
        </w:trPr>
        <w:tc>
          <w:tcPr>
            <w:tcW w:w="1863" w:type="dxa"/>
            <w:vMerge/>
            <w:tcBorders>
              <w:top w:val="single" w:sz="4" w:space="0" w:color="auto"/>
              <w:left w:val="single" w:sz="4" w:space="0" w:color="auto"/>
              <w:bottom w:val="single" w:sz="4" w:space="0" w:color="auto"/>
              <w:right w:val="single" w:sz="4" w:space="0" w:color="auto"/>
            </w:tcBorders>
            <w:vAlign w:val="center"/>
          </w:tcPr>
          <w:p w14:paraId="025C4A00" w14:textId="77777777" w:rsidR="00412DF6" w:rsidRPr="00040AA9" w:rsidRDefault="00412DF6" w:rsidP="00040AA9">
            <w:pPr>
              <w:suppressAutoHyphens/>
              <w:rPr>
                <w:rFonts w:ascii="Arial" w:hAnsi="Arial" w:cs="Arial"/>
                <w:sz w:val="20"/>
                <w:szCs w:val="20"/>
              </w:rPr>
            </w:pPr>
          </w:p>
        </w:tc>
        <w:tc>
          <w:tcPr>
            <w:tcW w:w="806" w:type="dxa"/>
            <w:vMerge/>
            <w:tcBorders>
              <w:top w:val="single" w:sz="4" w:space="0" w:color="auto"/>
              <w:left w:val="single" w:sz="4" w:space="0" w:color="auto"/>
              <w:bottom w:val="single" w:sz="4" w:space="0" w:color="auto"/>
              <w:right w:val="single" w:sz="4" w:space="0" w:color="auto"/>
            </w:tcBorders>
            <w:vAlign w:val="center"/>
          </w:tcPr>
          <w:p w14:paraId="298F849E" w14:textId="77777777" w:rsidR="00412DF6" w:rsidRPr="00040AA9" w:rsidRDefault="00412DF6" w:rsidP="00040AA9">
            <w:pPr>
              <w:suppressAutoHyphens/>
              <w:jc w:val="center"/>
              <w:rPr>
                <w:rFonts w:ascii="Arial" w:hAnsi="Arial" w:cs="Arial"/>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tcPr>
          <w:p w14:paraId="01DF7819" w14:textId="77777777" w:rsidR="00412DF6" w:rsidRPr="00040AA9" w:rsidRDefault="00412DF6" w:rsidP="00040AA9">
            <w:pPr>
              <w:suppressAutoHyphens/>
              <w:jc w:val="center"/>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vAlign w:val="center"/>
          </w:tcPr>
          <w:p w14:paraId="750F0144" w14:textId="77777777" w:rsidR="00412DF6" w:rsidRPr="00040AA9" w:rsidRDefault="00412DF6" w:rsidP="00040AA9">
            <w:pPr>
              <w:suppressAutoHyphens/>
              <w:jc w:val="center"/>
              <w:rPr>
                <w:rFonts w:ascii="Arial" w:hAnsi="Arial" w:cs="Arial"/>
                <w:sz w:val="20"/>
                <w:szCs w:val="20"/>
              </w:rPr>
            </w:pPr>
          </w:p>
        </w:tc>
        <w:tc>
          <w:tcPr>
            <w:tcW w:w="726" w:type="dxa"/>
            <w:vMerge/>
            <w:tcBorders>
              <w:top w:val="single" w:sz="4" w:space="0" w:color="auto"/>
              <w:left w:val="single" w:sz="4" w:space="0" w:color="auto"/>
              <w:bottom w:val="single" w:sz="4" w:space="0" w:color="auto"/>
              <w:right w:val="single" w:sz="4" w:space="0" w:color="auto"/>
            </w:tcBorders>
            <w:vAlign w:val="center"/>
          </w:tcPr>
          <w:p w14:paraId="5BB071A9" w14:textId="77777777" w:rsidR="00412DF6" w:rsidRPr="00040AA9" w:rsidRDefault="00412DF6" w:rsidP="00040AA9">
            <w:pPr>
              <w:suppressAutoHyphens/>
              <w:rPr>
                <w:rFonts w:ascii="Arial" w:hAnsi="Arial" w:cs="Arial"/>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1B0536CA"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FSPG II</w:t>
            </w:r>
          </w:p>
          <w:p w14:paraId="3213A76B"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0.8</w:t>
            </w:r>
          </w:p>
          <w:p w14:paraId="370A8B03"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(2016/17)</w:t>
            </w:r>
          </w:p>
        </w:tc>
        <w:tc>
          <w:tcPr>
            <w:tcW w:w="1106" w:type="dxa"/>
            <w:vMerge/>
            <w:tcBorders>
              <w:top w:val="single" w:sz="4" w:space="0" w:color="auto"/>
              <w:left w:val="single" w:sz="4" w:space="0" w:color="auto"/>
              <w:bottom w:val="single" w:sz="4" w:space="0" w:color="auto"/>
              <w:right w:val="single" w:sz="4" w:space="0" w:color="auto"/>
            </w:tcBorders>
            <w:vAlign w:val="center"/>
          </w:tcPr>
          <w:p w14:paraId="2A83D572" w14:textId="77777777" w:rsidR="00412DF6" w:rsidRPr="00040AA9" w:rsidRDefault="00412DF6" w:rsidP="00040AA9">
            <w:pPr>
              <w:suppressAutoHyphens/>
              <w:rPr>
                <w:rFonts w:ascii="Arial" w:hAnsi="Arial" w:cs="Arial"/>
                <w:sz w:val="20"/>
                <w:szCs w:val="20"/>
              </w:rPr>
            </w:pPr>
          </w:p>
        </w:tc>
        <w:tc>
          <w:tcPr>
            <w:tcW w:w="5057" w:type="dxa"/>
            <w:vMerge/>
            <w:tcBorders>
              <w:top w:val="single" w:sz="4" w:space="0" w:color="auto"/>
              <w:left w:val="single" w:sz="4" w:space="0" w:color="auto"/>
              <w:bottom w:val="single" w:sz="4" w:space="0" w:color="auto"/>
              <w:right w:val="single" w:sz="4" w:space="0" w:color="auto"/>
            </w:tcBorders>
          </w:tcPr>
          <w:p w14:paraId="1EA04AB6" w14:textId="77777777" w:rsidR="00412DF6" w:rsidRPr="00040AA9" w:rsidRDefault="00412DF6" w:rsidP="00040AA9">
            <w:pPr>
              <w:suppressAutoHyphens/>
              <w:rPr>
                <w:rFonts w:ascii="Arial" w:hAnsi="Arial" w:cs="Arial"/>
                <w:sz w:val="20"/>
                <w:szCs w:val="20"/>
              </w:rPr>
            </w:pPr>
          </w:p>
        </w:tc>
      </w:tr>
      <w:tr w:rsidR="00412DF6" w:rsidRPr="00CF5903" w14:paraId="19D5614F" w14:textId="77777777" w:rsidTr="00E17354">
        <w:trPr>
          <w:trHeight w:val="1628"/>
        </w:trPr>
        <w:tc>
          <w:tcPr>
            <w:tcW w:w="1863" w:type="dxa"/>
            <w:vMerge/>
            <w:tcBorders>
              <w:top w:val="single" w:sz="4" w:space="0" w:color="auto"/>
              <w:left w:val="single" w:sz="4" w:space="0" w:color="auto"/>
              <w:bottom w:val="single" w:sz="4" w:space="0" w:color="auto"/>
              <w:right w:val="single" w:sz="4" w:space="0" w:color="auto"/>
            </w:tcBorders>
            <w:vAlign w:val="center"/>
            <w:hideMark/>
          </w:tcPr>
          <w:p w14:paraId="6B8565DD" w14:textId="77777777" w:rsidR="00412DF6" w:rsidRPr="00040AA9" w:rsidRDefault="00412DF6" w:rsidP="00040AA9">
            <w:pPr>
              <w:suppressAutoHyphens/>
              <w:rPr>
                <w:rFonts w:ascii="Arial" w:hAnsi="Arial" w:cs="Arial"/>
                <w:sz w:val="20"/>
                <w:szCs w:val="20"/>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77A1B975" w14:textId="77777777" w:rsidR="00412DF6" w:rsidRPr="00040AA9" w:rsidRDefault="00412DF6" w:rsidP="00040AA9">
            <w:pPr>
              <w:suppressAutoHyphens/>
              <w:rPr>
                <w:rFonts w:ascii="Arial" w:hAnsi="Arial" w:cs="Arial"/>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14:paraId="1254BD1C" w14:textId="77777777" w:rsidR="00412DF6" w:rsidRPr="00040AA9" w:rsidRDefault="00412DF6" w:rsidP="00040AA9">
            <w:pPr>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14:paraId="57E79B89" w14:textId="77777777" w:rsidR="00412DF6" w:rsidRPr="00040AA9" w:rsidRDefault="00412DF6" w:rsidP="00040AA9">
            <w:pPr>
              <w:suppressAutoHyphens/>
              <w:rPr>
                <w:rFonts w:ascii="Arial" w:hAnsi="Arial" w:cs="Arial"/>
                <w:sz w:val="20"/>
                <w:szCs w:val="20"/>
              </w:rPr>
            </w:pPr>
          </w:p>
        </w:tc>
        <w:tc>
          <w:tcPr>
            <w:tcW w:w="726" w:type="dxa"/>
            <w:tcBorders>
              <w:top w:val="single" w:sz="4" w:space="0" w:color="auto"/>
              <w:left w:val="single" w:sz="4" w:space="0" w:color="auto"/>
              <w:bottom w:val="single" w:sz="4" w:space="0" w:color="auto"/>
              <w:right w:val="single" w:sz="4" w:space="0" w:color="auto"/>
            </w:tcBorders>
            <w:vAlign w:val="center"/>
            <w:hideMark/>
          </w:tcPr>
          <w:p w14:paraId="6B46B1BB"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P(a)</w:t>
            </w:r>
          </w:p>
        </w:tc>
        <w:tc>
          <w:tcPr>
            <w:tcW w:w="1448" w:type="dxa"/>
            <w:tcBorders>
              <w:top w:val="single" w:sz="4" w:space="0" w:color="auto"/>
              <w:left w:val="single" w:sz="4" w:space="0" w:color="auto"/>
              <w:bottom w:val="single" w:sz="4" w:space="0" w:color="auto"/>
              <w:right w:val="single" w:sz="4" w:space="0" w:color="auto"/>
            </w:tcBorders>
            <w:vAlign w:val="center"/>
          </w:tcPr>
          <w:p w14:paraId="121D4068"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FSPG III</w:t>
            </w:r>
          </w:p>
          <w:p w14:paraId="073C97CC" w14:textId="77777777" w:rsidR="00412DF6" w:rsidRPr="00E420C4" w:rsidRDefault="00412DF6" w:rsidP="00040AA9">
            <w:pPr>
              <w:suppressAutoHyphens/>
              <w:jc w:val="center"/>
              <w:rPr>
                <w:rFonts w:ascii="Arial" w:hAnsi="Arial" w:cs="Arial"/>
                <w:sz w:val="20"/>
                <w:szCs w:val="20"/>
              </w:rPr>
            </w:pPr>
            <w:r w:rsidRPr="00E420C4">
              <w:rPr>
                <w:rFonts w:ascii="Arial" w:hAnsi="Arial" w:cs="Arial"/>
                <w:sz w:val="20"/>
                <w:szCs w:val="20"/>
              </w:rPr>
              <w:t>-0.9</w:t>
            </w:r>
          </w:p>
          <w:p w14:paraId="3A98218F"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(2016/17)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ED24139" w14:textId="4DEA8CA9" w:rsidR="00412DF6" w:rsidRPr="00040AA9" w:rsidRDefault="00412DF6" w:rsidP="00040AA9">
            <w:pPr>
              <w:suppressAutoHyphens/>
              <w:rPr>
                <w:rFonts w:ascii="Arial" w:hAnsi="Arial" w:cs="Arial"/>
                <w:sz w:val="20"/>
                <w:szCs w:val="20"/>
              </w:rPr>
            </w:pPr>
            <w:r w:rsidRPr="00040AA9">
              <w:rPr>
                <w:rFonts w:ascii="Arial" w:hAnsi="Arial" w:cs="Arial"/>
                <w:sz w:val="20"/>
                <w:szCs w:val="20"/>
              </w:rPr>
              <w:t>Expected improvement (EI): 3.</w:t>
            </w:r>
            <w:r w:rsidR="00C05213">
              <w:rPr>
                <w:rFonts w:ascii="Arial" w:hAnsi="Arial" w:cs="Arial"/>
                <w:sz w:val="20"/>
                <w:szCs w:val="20"/>
              </w:rPr>
              <w:t>2</w:t>
            </w:r>
            <w:r w:rsidRPr="00040AA9">
              <w:rPr>
                <w:rFonts w:ascii="Arial" w:hAnsi="Arial" w:cs="Arial"/>
                <w:sz w:val="20"/>
                <w:szCs w:val="20"/>
              </w:rPr>
              <w:t xml:space="preserve"> percentage points (pp)</w:t>
            </w:r>
            <w:r w:rsidRPr="00040AA9">
              <w:rPr>
                <w:rStyle w:val="FootnoteReference"/>
                <w:rFonts w:ascii="Arial" w:hAnsi="Arial" w:cs="Arial"/>
                <w:sz w:val="20"/>
                <w:szCs w:val="20"/>
              </w:rPr>
              <w:footnoteReference w:id="47"/>
            </w:r>
          </w:p>
        </w:tc>
        <w:tc>
          <w:tcPr>
            <w:tcW w:w="5057" w:type="dxa"/>
            <w:tcBorders>
              <w:top w:val="single" w:sz="4" w:space="0" w:color="auto"/>
              <w:left w:val="single" w:sz="4" w:space="0" w:color="auto"/>
              <w:bottom w:val="single" w:sz="4" w:space="0" w:color="auto"/>
              <w:right w:val="single" w:sz="4" w:space="0" w:color="auto"/>
            </w:tcBorders>
          </w:tcPr>
          <w:p w14:paraId="631D2150" w14:textId="77777777" w:rsidR="00412DF6" w:rsidRPr="00040AA9" w:rsidRDefault="00412DF6" w:rsidP="00040AA9">
            <w:pPr>
              <w:suppressAutoHyphens/>
              <w:rPr>
                <w:rFonts w:ascii="Arial" w:hAnsi="Arial" w:cs="Arial"/>
                <w:sz w:val="20"/>
                <w:szCs w:val="20"/>
              </w:rPr>
            </w:pPr>
          </w:p>
        </w:tc>
      </w:tr>
      <w:tr w:rsidR="00412DF6" w:rsidRPr="00CF5903" w14:paraId="3535AFEB" w14:textId="77777777" w:rsidTr="00040AA9">
        <w:trPr>
          <w:trHeight w:val="1349"/>
        </w:trPr>
        <w:tc>
          <w:tcPr>
            <w:tcW w:w="1863" w:type="dxa"/>
            <w:vMerge/>
            <w:tcBorders>
              <w:top w:val="single" w:sz="4" w:space="0" w:color="auto"/>
              <w:left w:val="single" w:sz="4" w:space="0" w:color="auto"/>
              <w:right w:val="single" w:sz="4" w:space="0" w:color="auto"/>
            </w:tcBorders>
            <w:vAlign w:val="center"/>
          </w:tcPr>
          <w:p w14:paraId="2A02E35A" w14:textId="77777777" w:rsidR="00412DF6" w:rsidRPr="00040AA9" w:rsidRDefault="00412DF6" w:rsidP="00040AA9">
            <w:pPr>
              <w:suppressAutoHyphens/>
              <w:rPr>
                <w:rFonts w:ascii="Arial" w:hAnsi="Arial" w:cs="Arial"/>
                <w:sz w:val="20"/>
                <w:szCs w:val="20"/>
              </w:rPr>
            </w:pPr>
          </w:p>
        </w:tc>
        <w:tc>
          <w:tcPr>
            <w:tcW w:w="806" w:type="dxa"/>
            <w:vMerge/>
            <w:tcBorders>
              <w:top w:val="single" w:sz="4" w:space="0" w:color="auto"/>
              <w:left w:val="single" w:sz="4" w:space="0" w:color="auto"/>
              <w:right w:val="single" w:sz="4" w:space="0" w:color="auto"/>
            </w:tcBorders>
            <w:vAlign w:val="center"/>
          </w:tcPr>
          <w:p w14:paraId="4BD8AA64" w14:textId="77777777" w:rsidR="00412DF6" w:rsidRPr="00040AA9" w:rsidRDefault="00412DF6" w:rsidP="00040AA9">
            <w:pPr>
              <w:suppressAutoHyphens/>
              <w:rPr>
                <w:rFonts w:ascii="Arial" w:hAnsi="Arial" w:cs="Arial"/>
                <w:sz w:val="20"/>
                <w:szCs w:val="20"/>
              </w:rPr>
            </w:pPr>
          </w:p>
        </w:tc>
        <w:tc>
          <w:tcPr>
            <w:tcW w:w="830" w:type="dxa"/>
            <w:vMerge/>
            <w:tcBorders>
              <w:top w:val="single" w:sz="4" w:space="0" w:color="auto"/>
              <w:left w:val="single" w:sz="4" w:space="0" w:color="auto"/>
              <w:right w:val="single" w:sz="4" w:space="0" w:color="auto"/>
            </w:tcBorders>
            <w:vAlign w:val="center"/>
          </w:tcPr>
          <w:p w14:paraId="520DAF18" w14:textId="77777777" w:rsidR="00412DF6" w:rsidRPr="00040AA9" w:rsidRDefault="00412DF6" w:rsidP="00040AA9">
            <w:pPr>
              <w:suppressAutoHyphens/>
              <w:rPr>
                <w:rFonts w:ascii="Arial" w:hAnsi="Arial" w:cs="Arial"/>
                <w:sz w:val="20"/>
                <w:szCs w:val="20"/>
              </w:rPr>
            </w:pPr>
          </w:p>
        </w:tc>
        <w:tc>
          <w:tcPr>
            <w:tcW w:w="939" w:type="dxa"/>
            <w:vMerge/>
            <w:tcBorders>
              <w:top w:val="single" w:sz="4" w:space="0" w:color="auto"/>
              <w:left w:val="single" w:sz="4" w:space="0" w:color="auto"/>
              <w:right w:val="single" w:sz="4" w:space="0" w:color="auto"/>
            </w:tcBorders>
            <w:vAlign w:val="center"/>
          </w:tcPr>
          <w:p w14:paraId="720313B7" w14:textId="77777777" w:rsidR="00412DF6" w:rsidRPr="00040AA9" w:rsidRDefault="00412DF6" w:rsidP="00040AA9">
            <w:pPr>
              <w:suppressAutoHyphens/>
              <w:rPr>
                <w:rFonts w:ascii="Arial" w:hAnsi="Arial" w:cs="Arial"/>
                <w:sz w:val="20"/>
                <w:szCs w:val="20"/>
              </w:rPr>
            </w:pPr>
          </w:p>
        </w:tc>
        <w:tc>
          <w:tcPr>
            <w:tcW w:w="726" w:type="dxa"/>
            <w:tcBorders>
              <w:top w:val="single" w:sz="4" w:space="0" w:color="auto"/>
              <w:left w:val="single" w:sz="4" w:space="0" w:color="auto"/>
              <w:right w:val="single" w:sz="4" w:space="0" w:color="auto"/>
            </w:tcBorders>
            <w:vAlign w:val="center"/>
          </w:tcPr>
          <w:p w14:paraId="7B18582D"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A</w:t>
            </w:r>
          </w:p>
        </w:tc>
        <w:tc>
          <w:tcPr>
            <w:tcW w:w="1448" w:type="dxa"/>
            <w:tcBorders>
              <w:top w:val="single" w:sz="4" w:space="0" w:color="auto"/>
              <w:left w:val="single" w:sz="4" w:space="0" w:color="auto"/>
              <w:right w:val="single" w:sz="4" w:space="0" w:color="auto"/>
            </w:tcBorders>
            <w:vAlign w:val="center"/>
          </w:tcPr>
          <w:p w14:paraId="6FFBAA8F"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-0.3</w:t>
            </w:r>
          </w:p>
          <w:p w14:paraId="24CB25AA"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(2015/16)</w:t>
            </w:r>
          </w:p>
          <w:p w14:paraId="2070AC06"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 xml:space="preserve">-0.7 </w:t>
            </w:r>
            <w:proofErr w:type="spellStart"/>
            <w:r w:rsidRPr="00040AA9">
              <w:rPr>
                <w:rFonts w:ascii="Arial" w:hAnsi="Arial" w:cs="Arial"/>
                <w:sz w:val="20"/>
                <w:szCs w:val="20"/>
              </w:rPr>
              <w:t>proj</w:t>
            </w:r>
            <w:proofErr w:type="spellEnd"/>
          </w:p>
          <w:p w14:paraId="1D841DAD"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(2016/17)</w:t>
            </w:r>
          </w:p>
        </w:tc>
        <w:tc>
          <w:tcPr>
            <w:tcW w:w="1106" w:type="dxa"/>
            <w:tcBorders>
              <w:top w:val="single" w:sz="4" w:space="0" w:color="auto"/>
              <w:left w:val="single" w:sz="4" w:space="0" w:color="auto"/>
              <w:bottom w:val="single" w:sz="4" w:space="0" w:color="auto"/>
              <w:right w:val="single" w:sz="4" w:space="0" w:color="auto"/>
            </w:tcBorders>
            <w:vAlign w:val="center"/>
          </w:tcPr>
          <w:p w14:paraId="707331DD" w14:textId="5FD245CC" w:rsidR="00412DF6" w:rsidRDefault="00412DF6" w:rsidP="00040AA9">
            <w:pPr>
              <w:suppressAutoHyphens/>
              <w:rPr>
                <w:rFonts w:ascii="Arial" w:hAnsi="Arial" w:cs="Arial"/>
                <w:sz w:val="20"/>
                <w:szCs w:val="20"/>
              </w:rPr>
            </w:pPr>
            <w:r w:rsidRPr="00040AA9">
              <w:rPr>
                <w:rFonts w:ascii="Arial" w:hAnsi="Arial" w:cs="Arial"/>
                <w:sz w:val="20"/>
                <w:szCs w:val="20"/>
              </w:rPr>
              <w:t>Actual improvement (AI): 3.4 pp’s</w:t>
            </w:r>
          </w:p>
          <w:p w14:paraId="20CC9620" w14:textId="5D994E1C" w:rsidR="00C05213" w:rsidRPr="009C086E" w:rsidRDefault="00C05213" w:rsidP="00040AA9">
            <w:pPr>
              <w:suppressAutoHyphens/>
              <w:rPr>
                <w:rFonts w:ascii="Arial" w:hAnsi="Arial" w:cs="Arial"/>
                <w:sz w:val="18"/>
                <w:szCs w:val="18"/>
              </w:rPr>
            </w:pPr>
            <w:r w:rsidRPr="009C086E">
              <w:rPr>
                <w:rFonts w:ascii="Arial" w:hAnsi="Arial" w:cs="Arial"/>
                <w:sz w:val="18"/>
                <w:szCs w:val="18"/>
              </w:rPr>
              <w:t>(for FY 16/17)</w:t>
            </w:r>
          </w:p>
          <w:p w14:paraId="0E4CD816" w14:textId="77777777" w:rsidR="00412DF6" w:rsidRPr="00040AA9" w:rsidRDefault="00412DF6" w:rsidP="00040AA9">
            <w:pPr>
              <w:suppressAutoHyphens/>
              <w:rPr>
                <w:rFonts w:ascii="Arial" w:hAnsi="Arial" w:cs="Arial"/>
                <w:sz w:val="20"/>
                <w:szCs w:val="20"/>
              </w:rPr>
            </w:pPr>
          </w:p>
          <w:p w14:paraId="6C1A9956" w14:textId="3A230663" w:rsidR="00412DF6" w:rsidRPr="00040AA9" w:rsidRDefault="00412DF6" w:rsidP="00040AA9">
            <w:pPr>
              <w:suppressAutoHyphens/>
              <w:rPr>
                <w:rFonts w:ascii="Arial" w:hAnsi="Arial" w:cs="Arial"/>
                <w:sz w:val="20"/>
                <w:szCs w:val="20"/>
              </w:rPr>
            </w:pPr>
            <w:r w:rsidRPr="00040AA9">
              <w:rPr>
                <w:rFonts w:ascii="Arial" w:hAnsi="Arial" w:cs="Arial"/>
                <w:i/>
                <w:sz w:val="20"/>
                <w:szCs w:val="20"/>
              </w:rPr>
              <w:t>=&gt; 1</w:t>
            </w:r>
            <w:r w:rsidR="008973DB">
              <w:rPr>
                <w:rFonts w:ascii="Arial" w:hAnsi="Arial" w:cs="Arial"/>
                <w:i/>
                <w:sz w:val="20"/>
                <w:szCs w:val="20"/>
              </w:rPr>
              <w:t>06</w:t>
            </w:r>
            <w:r w:rsidRPr="00040AA9">
              <w:rPr>
                <w:rFonts w:ascii="Arial" w:hAnsi="Arial" w:cs="Arial"/>
                <w:i/>
                <w:sz w:val="20"/>
                <w:szCs w:val="20"/>
              </w:rPr>
              <w:t>% achieved</w:t>
            </w:r>
          </w:p>
        </w:tc>
        <w:tc>
          <w:tcPr>
            <w:tcW w:w="5057" w:type="dxa"/>
            <w:tcBorders>
              <w:top w:val="single" w:sz="4" w:space="0" w:color="auto"/>
              <w:left w:val="single" w:sz="4" w:space="0" w:color="auto"/>
              <w:right w:val="single" w:sz="4" w:space="0" w:color="auto"/>
            </w:tcBorders>
          </w:tcPr>
          <w:p w14:paraId="53795886" w14:textId="7F35EF56" w:rsidR="00412DF6" w:rsidRPr="00040AA9" w:rsidRDefault="00412DF6" w:rsidP="00040AA9">
            <w:pPr>
              <w:suppressAutoHyphens/>
              <w:rPr>
                <w:rFonts w:ascii="Arial" w:hAnsi="Arial" w:cs="Arial"/>
                <w:sz w:val="20"/>
                <w:szCs w:val="20"/>
              </w:rPr>
            </w:pPr>
            <w:proofErr w:type="spellStart"/>
            <w:r w:rsidRPr="00040AA9">
              <w:rPr>
                <w:rFonts w:ascii="Arial" w:hAnsi="Arial" w:cs="Arial"/>
                <w:sz w:val="20"/>
                <w:szCs w:val="20"/>
              </w:rPr>
              <w:t>GoJ</w:t>
            </w:r>
            <w:proofErr w:type="spellEnd"/>
            <w:r w:rsidRPr="00040AA9">
              <w:rPr>
                <w:rFonts w:ascii="Arial" w:hAnsi="Arial" w:cs="Arial"/>
                <w:sz w:val="20"/>
                <w:szCs w:val="20"/>
              </w:rPr>
              <w:t xml:space="preserve"> </w:t>
            </w:r>
            <w:r w:rsidRPr="00040AA9">
              <w:rPr>
                <w:rFonts w:ascii="Arial" w:hAnsi="Arial" w:cs="Arial"/>
                <w:i/>
                <w:sz w:val="20"/>
                <w:szCs w:val="20"/>
              </w:rPr>
              <w:t>Fiscal Policy Paper 2017/18</w:t>
            </w:r>
            <w:r w:rsidRPr="00040AA9">
              <w:rPr>
                <w:rFonts w:ascii="Arial" w:hAnsi="Arial" w:cs="Arial"/>
                <w:sz w:val="20"/>
                <w:szCs w:val="20"/>
              </w:rPr>
              <w:t>, Feb. 9, 2017 Table 2A, p.17</w:t>
            </w:r>
            <w:r w:rsidRPr="00040AA9">
              <w:rPr>
                <w:rStyle w:val="FootnoteReference"/>
                <w:rFonts w:ascii="Arial" w:hAnsi="Arial" w:cs="Arial"/>
                <w:sz w:val="20"/>
                <w:szCs w:val="20"/>
              </w:rPr>
              <w:footnoteReference w:id="48"/>
            </w:r>
          </w:p>
        </w:tc>
      </w:tr>
      <w:tr w:rsidR="00412DF6" w:rsidRPr="00CF5903" w14:paraId="5FC39B92" w14:textId="77777777" w:rsidTr="00E17354">
        <w:tc>
          <w:tcPr>
            <w:tcW w:w="12775" w:type="dxa"/>
            <w:gridSpan w:val="8"/>
            <w:tcBorders>
              <w:top w:val="single" w:sz="4" w:space="0" w:color="auto"/>
              <w:left w:val="dotted" w:sz="4" w:space="0" w:color="auto"/>
              <w:bottom w:val="dotted" w:sz="4" w:space="0" w:color="auto"/>
              <w:right w:val="dotted" w:sz="4" w:space="0" w:color="auto"/>
            </w:tcBorders>
            <w:shd w:val="clear" w:color="auto" w:fill="F2F2F2" w:themeFill="background1" w:themeFillShade="F2"/>
            <w:vAlign w:val="center"/>
            <w:hideMark/>
          </w:tcPr>
          <w:p w14:paraId="67AAAC3A" w14:textId="77777777" w:rsidR="00412DF6" w:rsidRPr="00040AA9" w:rsidRDefault="00412DF6" w:rsidP="00040AA9">
            <w:pPr>
              <w:suppressAutoHyphens/>
              <w:rPr>
                <w:rFonts w:ascii="Arial" w:hAnsi="Arial" w:cs="Arial"/>
                <w:b/>
                <w:sz w:val="20"/>
                <w:szCs w:val="20"/>
              </w:rPr>
            </w:pPr>
            <w:r w:rsidRPr="00040AA9">
              <w:rPr>
                <w:rFonts w:ascii="Arial" w:hAnsi="Arial" w:cs="Arial"/>
                <w:b/>
                <w:sz w:val="20"/>
                <w:szCs w:val="20"/>
              </w:rPr>
              <w:t>Impact #2 Increased Economic Growth</w:t>
            </w:r>
          </w:p>
        </w:tc>
      </w:tr>
      <w:tr w:rsidR="00412DF6" w:rsidRPr="00CF5903" w14:paraId="67A02434" w14:textId="77777777" w:rsidTr="00E17354">
        <w:trPr>
          <w:trHeight w:val="944"/>
        </w:trPr>
        <w:tc>
          <w:tcPr>
            <w:tcW w:w="1863" w:type="dxa"/>
            <w:vMerge w:val="restart"/>
            <w:tcBorders>
              <w:top w:val="single" w:sz="4" w:space="0" w:color="auto"/>
              <w:left w:val="single" w:sz="4" w:space="0" w:color="auto"/>
              <w:bottom w:val="single" w:sz="4" w:space="0" w:color="auto"/>
              <w:right w:val="single" w:sz="4" w:space="0" w:color="auto"/>
            </w:tcBorders>
            <w:vAlign w:val="center"/>
            <w:hideMark/>
          </w:tcPr>
          <w:p w14:paraId="6E342659"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Indicator 2.1</w:t>
            </w:r>
          </w:p>
          <w:p w14:paraId="61B01D44" w14:textId="77777777" w:rsidR="00412DF6" w:rsidRPr="00040AA9" w:rsidRDefault="00412DF6" w:rsidP="00040AA9">
            <w:pPr>
              <w:suppressAutoHyphens/>
              <w:rPr>
                <w:rFonts w:ascii="Arial" w:hAnsi="Arial" w:cs="Arial"/>
                <w:sz w:val="20"/>
                <w:szCs w:val="20"/>
                <w:lang w:val="en-CA"/>
              </w:rPr>
            </w:pPr>
            <w:r w:rsidRPr="00040AA9">
              <w:rPr>
                <w:rFonts w:ascii="Arial" w:hAnsi="Arial" w:cs="Arial"/>
                <w:sz w:val="20"/>
                <w:szCs w:val="20"/>
                <w:lang w:val="en-CA"/>
              </w:rPr>
              <w:t>Real GDP Annual Growth Rate</w:t>
            </w:r>
          </w:p>
          <w:p w14:paraId="3C5F9A23" w14:textId="77777777" w:rsidR="00412DF6" w:rsidRPr="00040AA9" w:rsidRDefault="00412DF6" w:rsidP="00040AA9">
            <w:pPr>
              <w:suppressAutoHyphens/>
              <w:rPr>
                <w:rFonts w:ascii="Arial" w:hAnsi="Arial" w:cs="Arial"/>
                <w:sz w:val="20"/>
                <w:szCs w:val="20"/>
                <w:lang w:val="en-CA"/>
              </w:rPr>
            </w:pPr>
            <w:r w:rsidRPr="00040AA9">
              <w:rPr>
                <w:rFonts w:ascii="Arial" w:hAnsi="Arial" w:cs="Arial"/>
                <w:sz w:val="20"/>
                <w:szCs w:val="20"/>
                <w:lang w:val="en-CA"/>
              </w:rPr>
              <w:t>(FSPG I – Impact 2)</w:t>
            </w:r>
          </w:p>
          <w:p w14:paraId="3AA901CA" w14:textId="77777777" w:rsidR="00412DF6" w:rsidRPr="00040AA9" w:rsidRDefault="00412DF6" w:rsidP="00040AA9">
            <w:pPr>
              <w:suppressAutoHyphens/>
              <w:rPr>
                <w:rFonts w:ascii="Arial" w:hAnsi="Arial" w:cs="Arial"/>
                <w:sz w:val="20"/>
                <w:szCs w:val="20"/>
                <w:lang w:val="en-CA"/>
              </w:rPr>
            </w:pPr>
          </w:p>
          <w:p w14:paraId="00B66A65" w14:textId="6E031BEF" w:rsidR="00412DF6" w:rsidRPr="00040AA9" w:rsidRDefault="002642C1" w:rsidP="00040AA9">
            <w:pPr>
              <w:suppressAutoHyphens/>
              <w:rPr>
                <w:rFonts w:ascii="Arial" w:hAnsi="Arial" w:cs="Arial"/>
                <w:sz w:val="20"/>
                <w:szCs w:val="20"/>
              </w:rPr>
            </w:pPr>
            <w:r w:rsidRPr="00040AA9">
              <w:rPr>
                <w:rFonts w:ascii="Arial" w:hAnsi="Arial" w:cs="Arial"/>
                <w:i/>
                <w:sz w:val="20"/>
                <w:szCs w:val="20"/>
                <w:lang w:val="en-CA"/>
              </w:rPr>
              <w:t>(</w:t>
            </w:r>
            <w:r w:rsidR="00412DF6" w:rsidRPr="00040AA9">
              <w:rPr>
                <w:rFonts w:ascii="Arial" w:hAnsi="Arial" w:cs="Arial"/>
                <w:i/>
                <w:sz w:val="20"/>
                <w:szCs w:val="20"/>
              </w:rPr>
              <w:t>No indicators on economic grow</w:t>
            </w:r>
            <w:r w:rsidR="00A55DB7" w:rsidRPr="00040AA9">
              <w:rPr>
                <w:rFonts w:ascii="Arial" w:hAnsi="Arial" w:cs="Arial"/>
                <w:i/>
                <w:sz w:val="20"/>
                <w:szCs w:val="20"/>
              </w:rPr>
              <w:t>th</w:t>
            </w:r>
            <w:r w:rsidR="008B4E8F" w:rsidRPr="00040AA9">
              <w:rPr>
                <w:rFonts w:ascii="Arial" w:hAnsi="Arial" w:cs="Arial"/>
                <w:i/>
                <w:sz w:val="20"/>
                <w:szCs w:val="20"/>
              </w:rPr>
              <w:t xml:space="preserve"> is</w:t>
            </w:r>
            <w:r w:rsidR="00A55DB7" w:rsidRPr="00040AA9">
              <w:rPr>
                <w:rFonts w:ascii="Arial" w:hAnsi="Arial" w:cs="Arial"/>
                <w:i/>
                <w:sz w:val="20"/>
                <w:szCs w:val="20"/>
              </w:rPr>
              <w:t xml:space="preserve"> included in</w:t>
            </w:r>
            <w:r w:rsidRPr="00040AA9">
              <w:rPr>
                <w:rFonts w:ascii="Arial" w:hAnsi="Arial" w:cs="Arial"/>
                <w:i/>
                <w:sz w:val="20"/>
                <w:szCs w:val="20"/>
              </w:rPr>
              <w:t xml:space="preserve"> the RMs for the </w:t>
            </w:r>
            <w:proofErr w:type="spellStart"/>
            <w:r w:rsidR="00A55DB7" w:rsidRPr="00040AA9">
              <w:rPr>
                <w:rFonts w:ascii="Arial" w:hAnsi="Arial" w:cs="Arial"/>
                <w:i/>
                <w:sz w:val="20"/>
                <w:szCs w:val="20"/>
              </w:rPr>
              <w:t>FiSPEG</w:t>
            </w:r>
            <w:proofErr w:type="spellEnd"/>
            <w:r w:rsidR="00A55DB7" w:rsidRPr="00040AA9">
              <w:rPr>
                <w:rFonts w:ascii="Arial" w:hAnsi="Arial" w:cs="Arial"/>
                <w:i/>
                <w:sz w:val="20"/>
                <w:szCs w:val="20"/>
              </w:rPr>
              <w:t xml:space="preserve"> II or III</w:t>
            </w:r>
            <w:r w:rsidR="00412DF6" w:rsidRPr="00040AA9">
              <w:rPr>
                <w:rFonts w:ascii="Arial" w:hAnsi="Arial" w:cs="Arial"/>
                <w:i/>
                <w:sz w:val="20"/>
                <w:szCs w:val="20"/>
              </w:rPr>
              <w:t xml:space="preserve"> operations.</w:t>
            </w:r>
            <w:r w:rsidRPr="00040AA9">
              <w:rPr>
                <w:rFonts w:ascii="Arial" w:hAnsi="Arial" w:cs="Arial"/>
                <w:i/>
                <w:sz w:val="20"/>
                <w:szCs w:val="20"/>
              </w:rPr>
              <w:t>)</w:t>
            </w:r>
          </w:p>
        </w:tc>
        <w:tc>
          <w:tcPr>
            <w:tcW w:w="806" w:type="dxa"/>
            <w:vMerge w:val="restart"/>
            <w:tcBorders>
              <w:top w:val="single" w:sz="4" w:space="0" w:color="auto"/>
              <w:left w:val="single" w:sz="4" w:space="0" w:color="auto"/>
              <w:bottom w:val="single" w:sz="4" w:space="0" w:color="auto"/>
              <w:right w:val="single" w:sz="4" w:space="0" w:color="auto"/>
            </w:tcBorders>
            <w:vAlign w:val="center"/>
          </w:tcPr>
          <w:p w14:paraId="711C4728"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w:t>
            </w:r>
          </w:p>
        </w:tc>
        <w:tc>
          <w:tcPr>
            <w:tcW w:w="830" w:type="dxa"/>
            <w:vMerge w:val="restart"/>
            <w:tcBorders>
              <w:top w:val="single" w:sz="4" w:space="0" w:color="auto"/>
              <w:left w:val="single" w:sz="4" w:space="0" w:color="auto"/>
              <w:bottom w:val="single" w:sz="4" w:space="0" w:color="auto"/>
              <w:right w:val="single" w:sz="4" w:space="0" w:color="auto"/>
            </w:tcBorders>
            <w:vAlign w:val="center"/>
          </w:tcPr>
          <w:p w14:paraId="64E2B8A6"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-0.8</w:t>
            </w:r>
          </w:p>
        </w:tc>
        <w:tc>
          <w:tcPr>
            <w:tcW w:w="939" w:type="dxa"/>
            <w:vMerge w:val="restart"/>
            <w:tcBorders>
              <w:top w:val="single" w:sz="4" w:space="0" w:color="auto"/>
              <w:left w:val="single" w:sz="4" w:space="0" w:color="auto"/>
              <w:right w:val="single" w:sz="4" w:space="0" w:color="auto"/>
            </w:tcBorders>
            <w:vAlign w:val="center"/>
          </w:tcPr>
          <w:p w14:paraId="68D2AC11"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2012/13</w:t>
            </w:r>
          </w:p>
        </w:tc>
        <w:tc>
          <w:tcPr>
            <w:tcW w:w="726" w:type="dxa"/>
            <w:tcBorders>
              <w:top w:val="single" w:sz="4" w:space="0" w:color="auto"/>
              <w:left w:val="single" w:sz="4" w:space="0" w:color="auto"/>
              <w:bottom w:val="single" w:sz="4" w:space="0" w:color="auto"/>
              <w:right w:val="single" w:sz="4" w:space="0" w:color="auto"/>
            </w:tcBorders>
            <w:vAlign w:val="center"/>
            <w:hideMark/>
          </w:tcPr>
          <w:p w14:paraId="751FFA5D"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P</w:t>
            </w:r>
          </w:p>
        </w:tc>
        <w:tc>
          <w:tcPr>
            <w:tcW w:w="1448" w:type="dxa"/>
            <w:tcBorders>
              <w:top w:val="single" w:sz="4" w:space="0" w:color="auto"/>
              <w:left w:val="single" w:sz="4" w:space="0" w:color="auto"/>
              <w:bottom w:val="single" w:sz="4" w:space="0" w:color="auto"/>
              <w:right w:val="single" w:sz="4" w:space="0" w:color="auto"/>
            </w:tcBorders>
            <w:vAlign w:val="center"/>
          </w:tcPr>
          <w:p w14:paraId="66D4BB18"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1.8</w:t>
            </w:r>
          </w:p>
          <w:p w14:paraId="0A1A648F"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tcBorders>
              <w:top w:val="dotted" w:sz="4" w:space="0" w:color="auto"/>
              <w:left w:val="single" w:sz="4" w:space="0" w:color="auto"/>
              <w:bottom w:val="single" w:sz="4" w:space="0" w:color="auto"/>
              <w:right w:val="single" w:sz="4" w:space="0" w:color="auto"/>
            </w:tcBorders>
            <w:vAlign w:val="center"/>
          </w:tcPr>
          <w:p w14:paraId="31907773"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EI: 2.6 pp’s</w:t>
            </w:r>
          </w:p>
        </w:tc>
        <w:tc>
          <w:tcPr>
            <w:tcW w:w="5057" w:type="dxa"/>
            <w:tcBorders>
              <w:top w:val="single" w:sz="4" w:space="0" w:color="auto"/>
              <w:left w:val="single" w:sz="4" w:space="0" w:color="auto"/>
              <w:bottom w:val="single" w:sz="4" w:space="0" w:color="auto"/>
              <w:right w:val="single" w:sz="4" w:space="0" w:color="auto"/>
            </w:tcBorders>
          </w:tcPr>
          <w:p w14:paraId="0E4344C8"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Macro-Economic Performance Report prepared by the Ministry of Finance </w:t>
            </w:r>
            <w:proofErr w:type="spellStart"/>
            <w:r w:rsidRPr="00040AA9">
              <w:rPr>
                <w:rFonts w:ascii="Arial" w:hAnsi="Arial" w:cs="Arial"/>
                <w:sz w:val="20"/>
                <w:szCs w:val="20"/>
              </w:rPr>
              <w:t>GoJ</w:t>
            </w:r>
            <w:proofErr w:type="spellEnd"/>
            <w:r w:rsidRPr="00040AA9">
              <w:rPr>
                <w:rFonts w:ascii="Arial" w:hAnsi="Arial" w:cs="Arial"/>
                <w:sz w:val="20"/>
                <w:szCs w:val="20"/>
              </w:rPr>
              <w:t xml:space="preserve"> </w:t>
            </w:r>
            <w:r w:rsidRPr="00040AA9">
              <w:rPr>
                <w:rFonts w:ascii="Arial" w:hAnsi="Arial" w:cs="Arial"/>
                <w:i/>
                <w:sz w:val="20"/>
                <w:szCs w:val="20"/>
              </w:rPr>
              <w:t>Fiscal Policy Paper</w:t>
            </w:r>
          </w:p>
        </w:tc>
      </w:tr>
      <w:tr w:rsidR="00412DF6" w:rsidRPr="00CF5903" w14:paraId="5FF9A98A" w14:textId="77777777" w:rsidTr="00E17354">
        <w:trPr>
          <w:trHeight w:val="125"/>
        </w:trPr>
        <w:tc>
          <w:tcPr>
            <w:tcW w:w="1863" w:type="dxa"/>
            <w:vMerge/>
            <w:tcBorders>
              <w:top w:val="single" w:sz="4" w:space="0" w:color="auto"/>
              <w:left w:val="single" w:sz="4" w:space="0" w:color="auto"/>
              <w:bottom w:val="single" w:sz="4" w:space="0" w:color="auto"/>
              <w:right w:val="single" w:sz="4" w:space="0" w:color="auto"/>
            </w:tcBorders>
            <w:vAlign w:val="center"/>
            <w:hideMark/>
          </w:tcPr>
          <w:p w14:paraId="0599BEA7" w14:textId="77777777" w:rsidR="00412DF6" w:rsidRPr="00040AA9" w:rsidRDefault="00412DF6" w:rsidP="00040AA9">
            <w:pPr>
              <w:suppressAutoHyphens/>
              <w:rPr>
                <w:rFonts w:ascii="Arial" w:hAnsi="Arial" w:cs="Arial"/>
                <w:sz w:val="20"/>
                <w:szCs w:val="20"/>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7633C563" w14:textId="77777777" w:rsidR="00412DF6" w:rsidRPr="00040AA9" w:rsidRDefault="00412DF6" w:rsidP="00040AA9">
            <w:pPr>
              <w:suppressAutoHyphens/>
              <w:rPr>
                <w:rFonts w:ascii="Arial" w:hAnsi="Arial" w:cs="Arial"/>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14:paraId="3B285410" w14:textId="77777777" w:rsidR="00412DF6" w:rsidRPr="00040AA9" w:rsidRDefault="00412DF6" w:rsidP="00040AA9">
            <w:pPr>
              <w:suppressAutoHyphens/>
              <w:rPr>
                <w:rFonts w:ascii="Arial" w:hAnsi="Arial" w:cs="Arial"/>
                <w:sz w:val="20"/>
                <w:szCs w:val="20"/>
              </w:rPr>
            </w:pPr>
          </w:p>
        </w:tc>
        <w:tc>
          <w:tcPr>
            <w:tcW w:w="939" w:type="dxa"/>
            <w:vMerge/>
            <w:tcBorders>
              <w:left w:val="single" w:sz="4" w:space="0" w:color="auto"/>
              <w:right w:val="single" w:sz="4" w:space="0" w:color="auto"/>
            </w:tcBorders>
            <w:vAlign w:val="center"/>
            <w:hideMark/>
          </w:tcPr>
          <w:p w14:paraId="152DAF46" w14:textId="77777777" w:rsidR="00412DF6" w:rsidRPr="00040AA9" w:rsidRDefault="00412DF6" w:rsidP="00040AA9">
            <w:pPr>
              <w:suppressAutoHyphens/>
              <w:rPr>
                <w:rFonts w:ascii="Arial" w:hAnsi="Arial" w:cs="Arial"/>
                <w:sz w:val="20"/>
                <w:szCs w:val="20"/>
              </w:rPr>
            </w:pPr>
          </w:p>
        </w:tc>
        <w:tc>
          <w:tcPr>
            <w:tcW w:w="726" w:type="dxa"/>
            <w:tcBorders>
              <w:top w:val="single" w:sz="4" w:space="0" w:color="auto"/>
              <w:left w:val="single" w:sz="4" w:space="0" w:color="auto"/>
              <w:bottom w:val="single" w:sz="4" w:space="0" w:color="auto"/>
              <w:right w:val="single" w:sz="4" w:space="0" w:color="auto"/>
            </w:tcBorders>
            <w:vAlign w:val="center"/>
            <w:hideMark/>
          </w:tcPr>
          <w:p w14:paraId="14A9D285"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P(a)</w:t>
            </w:r>
          </w:p>
        </w:tc>
        <w:tc>
          <w:tcPr>
            <w:tcW w:w="1448" w:type="dxa"/>
            <w:tcBorders>
              <w:top w:val="single" w:sz="4" w:space="0" w:color="auto"/>
              <w:left w:val="single" w:sz="4" w:space="0" w:color="auto"/>
              <w:bottom w:val="single" w:sz="4" w:space="0" w:color="auto"/>
              <w:right w:val="single" w:sz="4" w:space="0" w:color="auto"/>
            </w:tcBorders>
            <w:vAlign w:val="center"/>
          </w:tcPr>
          <w:p w14:paraId="51FDF3BC" w14:textId="77777777" w:rsidR="00412DF6" w:rsidRPr="00040AA9" w:rsidRDefault="00412DF6" w:rsidP="00040AA9">
            <w:pPr>
              <w:suppressAutoHyphens/>
              <w:rPr>
                <w:rFonts w:ascii="Arial" w:hAnsi="Arial" w:cs="Arial"/>
                <w:sz w:val="20"/>
                <w:szCs w:val="20"/>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167C4EB6" w14:textId="77777777" w:rsidR="00412DF6" w:rsidRPr="00040AA9" w:rsidRDefault="00412DF6" w:rsidP="00040AA9">
            <w:pPr>
              <w:suppressAutoHyphens/>
              <w:rPr>
                <w:rFonts w:ascii="Arial" w:hAnsi="Arial" w:cs="Arial"/>
                <w:sz w:val="20"/>
                <w:szCs w:val="20"/>
              </w:rPr>
            </w:pPr>
          </w:p>
        </w:tc>
        <w:tc>
          <w:tcPr>
            <w:tcW w:w="5057" w:type="dxa"/>
            <w:tcBorders>
              <w:top w:val="single" w:sz="4" w:space="0" w:color="auto"/>
              <w:left w:val="single" w:sz="4" w:space="0" w:color="auto"/>
              <w:bottom w:val="single" w:sz="4" w:space="0" w:color="auto"/>
              <w:right w:val="single" w:sz="4" w:space="0" w:color="auto"/>
            </w:tcBorders>
          </w:tcPr>
          <w:p w14:paraId="39E466AC" w14:textId="77777777" w:rsidR="00412DF6" w:rsidRPr="00040AA9" w:rsidRDefault="00412DF6" w:rsidP="00040AA9">
            <w:pPr>
              <w:suppressAutoHyphens/>
              <w:rPr>
                <w:rFonts w:ascii="Arial" w:hAnsi="Arial" w:cs="Arial"/>
                <w:sz w:val="20"/>
                <w:szCs w:val="20"/>
              </w:rPr>
            </w:pPr>
          </w:p>
        </w:tc>
      </w:tr>
      <w:tr w:rsidR="00412DF6" w:rsidRPr="00CF5903" w14:paraId="320246F4" w14:textId="77777777" w:rsidTr="00E17354">
        <w:trPr>
          <w:trHeight w:val="2310"/>
        </w:trPr>
        <w:tc>
          <w:tcPr>
            <w:tcW w:w="1863" w:type="dxa"/>
            <w:vMerge/>
            <w:tcBorders>
              <w:top w:val="single" w:sz="4" w:space="0" w:color="auto"/>
              <w:left w:val="single" w:sz="4" w:space="0" w:color="auto"/>
              <w:bottom w:val="single" w:sz="4" w:space="0" w:color="auto"/>
              <w:right w:val="single" w:sz="4" w:space="0" w:color="auto"/>
            </w:tcBorders>
            <w:vAlign w:val="center"/>
            <w:hideMark/>
          </w:tcPr>
          <w:p w14:paraId="07EA0806" w14:textId="77777777" w:rsidR="00412DF6" w:rsidRPr="00040AA9" w:rsidRDefault="00412DF6" w:rsidP="00040AA9">
            <w:pPr>
              <w:suppressAutoHyphens/>
              <w:rPr>
                <w:rFonts w:ascii="Arial" w:hAnsi="Arial" w:cs="Arial"/>
                <w:sz w:val="20"/>
                <w:szCs w:val="20"/>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38428F71" w14:textId="77777777" w:rsidR="00412DF6" w:rsidRPr="00040AA9" w:rsidRDefault="00412DF6" w:rsidP="00040AA9">
            <w:pPr>
              <w:suppressAutoHyphens/>
              <w:rPr>
                <w:rFonts w:ascii="Arial" w:hAnsi="Arial" w:cs="Arial"/>
                <w:sz w:val="20"/>
                <w:szCs w:val="20"/>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14:paraId="6C85C3E8" w14:textId="77777777" w:rsidR="00412DF6" w:rsidRPr="00040AA9" w:rsidRDefault="00412DF6" w:rsidP="00040AA9">
            <w:pPr>
              <w:suppressAutoHyphens/>
              <w:rPr>
                <w:rFonts w:ascii="Arial" w:hAnsi="Arial" w:cs="Arial"/>
                <w:sz w:val="20"/>
                <w:szCs w:val="20"/>
              </w:rPr>
            </w:pPr>
          </w:p>
        </w:tc>
        <w:tc>
          <w:tcPr>
            <w:tcW w:w="939" w:type="dxa"/>
            <w:vMerge/>
            <w:tcBorders>
              <w:left w:val="single" w:sz="4" w:space="0" w:color="auto"/>
              <w:bottom w:val="single" w:sz="4" w:space="0" w:color="auto"/>
              <w:right w:val="single" w:sz="4" w:space="0" w:color="auto"/>
            </w:tcBorders>
            <w:vAlign w:val="center"/>
            <w:hideMark/>
          </w:tcPr>
          <w:p w14:paraId="62B97DA9" w14:textId="77777777" w:rsidR="00412DF6" w:rsidRPr="00040AA9" w:rsidRDefault="00412DF6" w:rsidP="00040AA9">
            <w:pPr>
              <w:suppressAutoHyphens/>
              <w:rPr>
                <w:rFonts w:ascii="Arial" w:hAnsi="Arial" w:cs="Arial"/>
                <w:sz w:val="20"/>
                <w:szCs w:val="20"/>
              </w:rPr>
            </w:pPr>
          </w:p>
        </w:tc>
        <w:tc>
          <w:tcPr>
            <w:tcW w:w="726" w:type="dxa"/>
            <w:tcBorders>
              <w:top w:val="single" w:sz="4" w:space="0" w:color="auto"/>
              <w:left w:val="single" w:sz="4" w:space="0" w:color="auto"/>
              <w:bottom w:val="single" w:sz="4" w:space="0" w:color="auto"/>
              <w:right w:val="single" w:sz="4" w:space="0" w:color="auto"/>
            </w:tcBorders>
            <w:vAlign w:val="center"/>
            <w:hideMark/>
          </w:tcPr>
          <w:p w14:paraId="0116A945"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A</w:t>
            </w:r>
          </w:p>
        </w:tc>
        <w:tc>
          <w:tcPr>
            <w:tcW w:w="1448" w:type="dxa"/>
            <w:tcBorders>
              <w:top w:val="single" w:sz="4" w:space="0" w:color="auto"/>
              <w:left w:val="single" w:sz="4" w:space="0" w:color="auto"/>
              <w:bottom w:val="single" w:sz="4" w:space="0" w:color="auto"/>
              <w:right w:val="single" w:sz="4" w:space="0" w:color="auto"/>
            </w:tcBorders>
            <w:vAlign w:val="center"/>
          </w:tcPr>
          <w:p w14:paraId="5D686C9E"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1.0</w:t>
            </w:r>
          </w:p>
          <w:p w14:paraId="0A1BDE37" w14:textId="77777777" w:rsidR="00412DF6" w:rsidRPr="00040AA9" w:rsidRDefault="00412DF6" w:rsidP="00040AA9">
            <w:pPr>
              <w:suppressAutoHyphens/>
              <w:jc w:val="center"/>
              <w:rPr>
                <w:rFonts w:ascii="Arial" w:hAnsi="Arial" w:cs="Arial"/>
                <w:sz w:val="20"/>
                <w:szCs w:val="20"/>
              </w:rPr>
            </w:pPr>
            <w:r w:rsidRPr="00040AA9">
              <w:rPr>
                <w:rFonts w:ascii="Arial" w:hAnsi="Arial" w:cs="Arial"/>
                <w:sz w:val="20"/>
                <w:szCs w:val="20"/>
              </w:rPr>
              <w:t>(2015/16)</w:t>
            </w:r>
          </w:p>
          <w:p w14:paraId="6A28A9BD" w14:textId="77777777" w:rsidR="00412DF6" w:rsidRPr="00040AA9" w:rsidRDefault="00412DF6" w:rsidP="00040AA9">
            <w:pPr>
              <w:suppressAutoHyphens/>
              <w:jc w:val="center"/>
              <w:rPr>
                <w:rFonts w:ascii="Arial" w:hAnsi="Arial" w:cs="Arial"/>
                <w:sz w:val="20"/>
                <w:szCs w:val="20"/>
              </w:rPr>
            </w:pPr>
          </w:p>
        </w:tc>
        <w:tc>
          <w:tcPr>
            <w:tcW w:w="1106" w:type="dxa"/>
            <w:tcBorders>
              <w:top w:val="dotted" w:sz="4" w:space="0" w:color="auto"/>
              <w:left w:val="single" w:sz="4" w:space="0" w:color="auto"/>
              <w:bottom w:val="single" w:sz="4" w:space="0" w:color="auto"/>
              <w:right w:val="single" w:sz="4" w:space="0" w:color="auto"/>
            </w:tcBorders>
            <w:vAlign w:val="center"/>
            <w:hideMark/>
          </w:tcPr>
          <w:p w14:paraId="3504959F"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AI: 0.8pp</w:t>
            </w:r>
          </w:p>
          <w:p w14:paraId="0BECC610" w14:textId="77777777" w:rsidR="00412DF6" w:rsidRPr="00040AA9" w:rsidRDefault="00412DF6" w:rsidP="00040AA9">
            <w:pPr>
              <w:suppressAutoHyphens/>
              <w:rPr>
                <w:rFonts w:ascii="Arial" w:hAnsi="Arial" w:cs="Arial"/>
                <w:sz w:val="20"/>
                <w:szCs w:val="20"/>
              </w:rPr>
            </w:pPr>
          </w:p>
          <w:p w14:paraId="15770A5D" w14:textId="77777777" w:rsidR="00412DF6" w:rsidRPr="00040AA9" w:rsidRDefault="00412DF6" w:rsidP="00040AA9">
            <w:pPr>
              <w:suppressAutoHyphens/>
              <w:rPr>
                <w:rFonts w:ascii="Arial" w:hAnsi="Arial" w:cs="Arial"/>
                <w:i/>
                <w:sz w:val="20"/>
                <w:szCs w:val="20"/>
              </w:rPr>
            </w:pPr>
            <w:r w:rsidRPr="00040AA9">
              <w:rPr>
                <w:rFonts w:ascii="Arial" w:hAnsi="Arial" w:cs="Arial"/>
                <w:i/>
                <w:sz w:val="20"/>
                <w:szCs w:val="20"/>
              </w:rPr>
              <w:t>=&gt; 33% achieved</w:t>
            </w:r>
          </w:p>
        </w:tc>
        <w:tc>
          <w:tcPr>
            <w:tcW w:w="5057" w:type="dxa"/>
            <w:tcBorders>
              <w:top w:val="single" w:sz="4" w:space="0" w:color="auto"/>
              <w:left w:val="single" w:sz="4" w:space="0" w:color="auto"/>
              <w:bottom w:val="single" w:sz="4" w:space="0" w:color="auto"/>
              <w:right w:val="single" w:sz="4" w:space="0" w:color="auto"/>
            </w:tcBorders>
          </w:tcPr>
          <w:p w14:paraId="12D54E41" w14:textId="0A2A3BD1" w:rsidR="00412DF6" w:rsidRPr="00040AA9" w:rsidRDefault="00412DF6" w:rsidP="00040AA9">
            <w:pPr>
              <w:suppressAutoHyphens/>
              <w:rPr>
                <w:rFonts w:ascii="Arial" w:hAnsi="Arial" w:cs="Arial"/>
                <w:sz w:val="20"/>
                <w:szCs w:val="20"/>
              </w:rPr>
            </w:pPr>
            <w:proofErr w:type="spellStart"/>
            <w:r w:rsidRPr="00040AA9">
              <w:rPr>
                <w:rFonts w:ascii="Arial" w:hAnsi="Arial" w:cs="Arial"/>
                <w:sz w:val="20"/>
                <w:szCs w:val="20"/>
              </w:rPr>
              <w:t>GoJ</w:t>
            </w:r>
            <w:proofErr w:type="spellEnd"/>
            <w:r w:rsidRPr="00040AA9">
              <w:rPr>
                <w:rFonts w:ascii="Arial" w:hAnsi="Arial" w:cs="Arial"/>
                <w:sz w:val="20"/>
                <w:szCs w:val="20"/>
              </w:rPr>
              <w:t xml:space="preserve"> Fiscal Policy Paper 2017/18, Feb. 9, 2017 Table 2A, p.17</w:t>
            </w:r>
            <w:r w:rsidRPr="00040AA9">
              <w:rPr>
                <w:rStyle w:val="FootnoteReference"/>
                <w:rFonts w:ascii="Arial" w:hAnsi="Arial" w:cs="Arial"/>
                <w:sz w:val="20"/>
                <w:szCs w:val="20"/>
              </w:rPr>
              <w:footnoteReference w:id="49"/>
            </w:r>
          </w:p>
          <w:p w14:paraId="1C27DD7F" w14:textId="539398D1" w:rsidR="00412DF6" w:rsidRPr="00040AA9" w:rsidRDefault="00491098" w:rsidP="00040AA9">
            <w:pPr>
              <w:suppressAutoHyphens/>
              <w:rPr>
                <w:rFonts w:ascii="Arial" w:hAnsi="Arial" w:cs="Arial"/>
                <w:sz w:val="20"/>
                <w:szCs w:val="20"/>
              </w:rPr>
            </w:pPr>
            <w:r w:rsidRPr="00040AA9">
              <w:rPr>
                <w:rFonts w:ascii="Arial" w:hAnsi="Arial" w:cs="Arial"/>
                <w:sz w:val="20"/>
                <w:szCs w:val="20"/>
              </w:rPr>
              <w:t xml:space="preserve">Note: </w:t>
            </w:r>
            <w:r w:rsidR="00412DF6" w:rsidRPr="00040AA9">
              <w:rPr>
                <w:rFonts w:ascii="Arial" w:hAnsi="Arial" w:cs="Arial"/>
                <w:sz w:val="20"/>
                <w:szCs w:val="20"/>
              </w:rPr>
              <w:t>1.6</w:t>
            </w:r>
            <w:r w:rsidRPr="00040AA9">
              <w:rPr>
                <w:rFonts w:ascii="Arial" w:hAnsi="Arial" w:cs="Arial"/>
                <w:sz w:val="20"/>
                <w:szCs w:val="20"/>
              </w:rPr>
              <w:t>% growth rate</w:t>
            </w:r>
            <w:r w:rsidR="00412DF6" w:rsidRPr="00040AA9">
              <w:rPr>
                <w:rFonts w:ascii="Arial" w:hAnsi="Arial" w:cs="Arial"/>
                <w:sz w:val="20"/>
                <w:szCs w:val="20"/>
              </w:rPr>
              <w:t xml:space="preserve"> proj</w:t>
            </w:r>
            <w:r w:rsidRPr="00040AA9">
              <w:rPr>
                <w:rFonts w:ascii="Arial" w:hAnsi="Arial" w:cs="Arial"/>
                <w:sz w:val="20"/>
                <w:szCs w:val="20"/>
              </w:rPr>
              <w:t xml:space="preserve">ected for </w:t>
            </w:r>
            <w:r w:rsidR="00412DF6" w:rsidRPr="00040AA9">
              <w:rPr>
                <w:rFonts w:ascii="Arial" w:hAnsi="Arial" w:cs="Arial"/>
                <w:sz w:val="20"/>
                <w:szCs w:val="20"/>
              </w:rPr>
              <w:t>(2016/17)</w:t>
            </w:r>
          </w:p>
          <w:p w14:paraId="4069085C" w14:textId="77777777" w:rsidR="00412DF6" w:rsidRPr="00040AA9" w:rsidRDefault="00412DF6" w:rsidP="00040AA9">
            <w:pPr>
              <w:suppressAutoHyphens/>
              <w:rPr>
                <w:rFonts w:ascii="Arial" w:hAnsi="Arial" w:cs="Arial"/>
                <w:sz w:val="20"/>
                <w:szCs w:val="20"/>
              </w:rPr>
            </w:pPr>
            <w:r w:rsidRPr="00040AA9">
              <w:rPr>
                <w:rFonts w:ascii="Arial" w:hAnsi="Arial" w:cs="Arial"/>
                <w:sz w:val="20"/>
                <w:szCs w:val="20"/>
              </w:rPr>
              <w:t xml:space="preserve"> </w:t>
            </w:r>
          </w:p>
        </w:tc>
      </w:tr>
    </w:tbl>
    <w:p w14:paraId="31FD1A4A" w14:textId="77777777" w:rsidR="00447C1B" w:rsidRPr="00040AA9" w:rsidRDefault="00447C1B" w:rsidP="009C086E">
      <w:pPr>
        <w:pageBreakBefore/>
        <w:suppressAutoHyphens/>
        <w:outlineLvl w:val="0"/>
        <w:rPr>
          <w:rFonts w:ascii="Arial" w:hAnsi="Arial" w:cs="Arial"/>
          <w:b/>
          <w:sz w:val="20"/>
          <w:szCs w:val="20"/>
          <w:lang w:val="es-MX"/>
        </w:rPr>
      </w:pPr>
      <w:r w:rsidRPr="00040AA9">
        <w:rPr>
          <w:rFonts w:ascii="Arial" w:hAnsi="Arial" w:cs="Arial"/>
          <w:b/>
          <w:sz w:val="20"/>
          <w:szCs w:val="20"/>
          <w:lang w:val="es-MX"/>
        </w:rPr>
        <w:t>OUTCOMES</w:t>
      </w:r>
    </w:p>
    <w:tbl>
      <w:tblPr>
        <w:tblStyle w:val="TableGrid"/>
        <w:tblW w:w="130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8"/>
        <w:gridCol w:w="810"/>
        <w:gridCol w:w="900"/>
        <w:gridCol w:w="720"/>
        <w:gridCol w:w="597"/>
        <w:gridCol w:w="1080"/>
        <w:gridCol w:w="1171"/>
        <w:gridCol w:w="32"/>
        <w:gridCol w:w="5374"/>
      </w:tblGrid>
      <w:tr w:rsidR="00A55DB7" w:rsidRPr="00CF5903" w14:paraId="15BC7A5E" w14:textId="77777777" w:rsidTr="00D60FB9">
        <w:trPr>
          <w:trHeight w:val="944"/>
          <w:tblHeader/>
          <w:jc w:val="center"/>
        </w:trPr>
        <w:tc>
          <w:tcPr>
            <w:tcW w:w="2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E65BD4"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Outcome/Indicator</w:t>
            </w:r>
          </w:p>
        </w:tc>
        <w:tc>
          <w:tcPr>
            <w:tcW w:w="81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5DB0C8"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Unit of Measure</w:t>
            </w:r>
          </w:p>
        </w:tc>
        <w:tc>
          <w:tcPr>
            <w:tcW w:w="9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2539731"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Baseline value</w:t>
            </w:r>
          </w:p>
        </w:tc>
        <w:tc>
          <w:tcPr>
            <w:tcW w:w="72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BDBDE8F"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Baseline year</w:t>
            </w:r>
          </w:p>
        </w:tc>
        <w:tc>
          <w:tcPr>
            <w:tcW w:w="16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F5FC49"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Targets &amp; achievement</w:t>
            </w:r>
          </w:p>
        </w:tc>
        <w:tc>
          <w:tcPr>
            <w:tcW w:w="1203"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3DC5011"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 Achieved</w:t>
            </w:r>
          </w:p>
        </w:tc>
        <w:tc>
          <w:tcPr>
            <w:tcW w:w="537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F863F5" w14:textId="77777777" w:rsidR="00A55DB7" w:rsidRPr="00040AA9" w:rsidRDefault="00A55DB7" w:rsidP="00040AA9">
            <w:pPr>
              <w:suppressAutoHyphens/>
              <w:jc w:val="center"/>
              <w:rPr>
                <w:rFonts w:ascii="Arial" w:hAnsi="Arial" w:cs="Arial"/>
                <w:b/>
                <w:sz w:val="20"/>
                <w:szCs w:val="20"/>
              </w:rPr>
            </w:pPr>
            <w:r w:rsidRPr="00040AA9">
              <w:rPr>
                <w:rFonts w:ascii="Arial" w:hAnsi="Arial" w:cs="Arial"/>
                <w:b/>
                <w:sz w:val="20"/>
                <w:szCs w:val="20"/>
              </w:rPr>
              <w:t>Means of verification</w:t>
            </w:r>
          </w:p>
        </w:tc>
      </w:tr>
      <w:tr w:rsidR="00A55DB7" w:rsidRPr="00D60FB9" w14:paraId="7D7F2A67" w14:textId="77777777" w:rsidTr="00D60FB9">
        <w:trPr>
          <w:jc w:val="center"/>
        </w:trPr>
        <w:tc>
          <w:tcPr>
            <w:tcW w:w="13052" w:type="dxa"/>
            <w:gridSpan w:val="9"/>
            <w:tcBorders>
              <w:top w:val="single" w:sz="4" w:space="0" w:color="auto"/>
              <w:left w:val="single" w:sz="4" w:space="0" w:color="auto"/>
              <w:bottom w:val="single" w:sz="4" w:space="0" w:color="auto"/>
              <w:right w:val="dotted" w:sz="4" w:space="0" w:color="auto"/>
            </w:tcBorders>
            <w:shd w:val="clear" w:color="auto" w:fill="E5DFEC" w:themeFill="accent4" w:themeFillTint="33"/>
          </w:tcPr>
          <w:p w14:paraId="7AAF28CF" w14:textId="77777777" w:rsidR="00A55DB7" w:rsidRPr="00D60FB9" w:rsidRDefault="00A55DB7" w:rsidP="00040AA9">
            <w:pPr>
              <w:suppressAutoHyphens/>
              <w:rPr>
                <w:rFonts w:ascii="Arial" w:hAnsi="Arial" w:cs="Arial"/>
                <w:b/>
                <w:sz w:val="20"/>
                <w:szCs w:val="20"/>
              </w:rPr>
            </w:pPr>
            <w:r w:rsidRPr="00D60FB9">
              <w:rPr>
                <w:rFonts w:ascii="Arial" w:hAnsi="Arial" w:cs="Arial"/>
                <w:b/>
                <w:sz w:val="20"/>
                <w:szCs w:val="20"/>
              </w:rPr>
              <w:t>OUTCOMES (EXPECTED RESULTS) for COMPONENT II – Strengthening Tax Policy and Administration</w:t>
            </w:r>
          </w:p>
        </w:tc>
      </w:tr>
      <w:tr w:rsidR="00A55DB7" w:rsidRPr="00D60FB9" w14:paraId="3D6E67D0" w14:textId="77777777" w:rsidTr="00D60FB9">
        <w:trPr>
          <w:jc w:val="center"/>
        </w:trPr>
        <w:tc>
          <w:tcPr>
            <w:tcW w:w="13052" w:type="dxa"/>
            <w:gridSpan w:val="9"/>
            <w:tcBorders>
              <w:top w:val="single" w:sz="4" w:space="0" w:color="auto"/>
              <w:left w:val="single" w:sz="4" w:space="0" w:color="auto"/>
              <w:bottom w:val="single" w:sz="4" w:space="0" w:color="auto"/>
              <w:right w:val="dotted" w:sz="4" w:space="0" w:color="auto"/>
            </w:tcBorders>
            <w:shd w:val="clear" w:color="auto" w:fill="F2F2F2" w:themeFill="background1" w:themeFillShade="F2"/>
            <w:vAlign w:val="center"/>
            <w:hideMark/>
          </w:tcPr>
          <w:p w14:paraId="128AA928" w14:textId="3DFF5F6E" w:rsidR="00A55DB7" w:rsidRPr="00D60FB9" w:rsidRDefault="00A55DB7" w:rsidP="00040AA9">
            <w:pPr>
              <w:suppressAutoHyphens/>
              <w:rPr>
                <w:rFonts w:ascii="Arial" w:hAnsi="Arial" w:cs="Arial"/>
                <w:b/>
                <w:sz w:val="20"/>
                <w:szCs w:val="20"/>
              </w:rPr>
            </w:pPr>
            <w:r w:rsidRPr="00D60FB9">
              <w:rPr>
                <w:rFonts w:ascii="Arial" w:hAnsi="Arial" w:cs="Arial"/>
                <w:b/>
                <w:sz w:val="20"/>
                <w:szCs w:val="20"/>
              </w:rPr>
              <w:t>Outcome (Result)</w:t>
            </w:r>
            <w:r w:rsidR="007A1766" w:rsidRPr="00D60FB9">
              <w:rPr>
                <w:rFonts w:ascii="Arial" w:hAnsi="Arial" w:cs="Arial"/>
                <w:b/>
                <w:sz w:val="20"/>
                <w:szCs w:val="20"/>
              </w:rPr>
              <w:t xml:space="preserve"> II.</w:t>
            </w:r>
            <w:r w:rsidRPr="00D60FB9">
              <w:rPr>
                <w:rFonts w:ascii="Arial" w:hAnsi="Arial" w:cs="Arial"/>
                <w:b/>
                <w:sz w:val="20"/>
                <w:szCs w:val="20"/>
              </w:rPr>
              <w:t>1 Increased tax revenue as % of GDP</w:t>
            </w:r>
          </w:p>
        </w:tc>
      </w:tr>
      <w:tr w:rsidR="00A55DB7" w:rsidRPr="00CF5903" w14:paraId="31129025" w14:textId="77777777" w:rsidTr="00E420C4">
        <w:trPr>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4F9158B9" w14:textId="66BAC768"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5B59EF" w:rsidRPr="00040AA9">
              <w:rPr>
                <w:rFonts w:ascii="Arial" w:hAnsi="Arial" w:cs="Arial"/>
                <w:sz w:val="20"/>
                <w:szCs w:val="20"/>
              </w:rPr>
              <w:t>II.</w:t>
            </w:r>
            <w:r w:rsidRPr="00040AA9">
              <w:rPr>
                <w:rFonts w:ascii="Arial" w:hAnsi="Arial" w:cs="Arial"/>
                <w:sz w:val="20"/>
                <w:szCs w:val="20"/>
              </w:rPr>
              <w:t>1.1</w:t>
            </w:r>
          </w:p>
          <w:p w14:paraId="160599F6"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Tax revenue</w:t>
            </w:r>
          </w:p>
          <w:p w14:paraId="6FF0234B"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(FSPG I, result 1)</w:t>
            </w:r>
          </w:p>
          <w:p w14:paraId="6A86E589" w14:textId="77777777" w:rsidR="00A55DB7" w:rsidRPr="00040AA9" w:rsidRDefault="00A55DB7" w:rsidP="00040AA9">
            <w:pPr>
              <w:suppressAutoHyphens/>
              <w:rPr>
                <w:rFonts w:ascii="Arial" w:hAnsi="Arial" w:cs="Arial"/>
                <w:sz w:val="20"/>
                <w:szCs w:val="20"/>
                <w:lang w:val="en-CA"/>
              </w:rPr>
            </w:pPr>
          </w:p>
          <w:p w14:paraId="5420AB2F"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rPr>
              <w:t>Tax revenue / Nominal GDP</w:t>
            </w:r>
          </w:p>
          <w:p w14:paraId="045411EE"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II, result 1)</w:t>
            </w:r>
          </w:p>
          <w:p w14:paraId="2840817F"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(FISPEG III result 1)</w:t>
            </w:r>
          </w:p>
          <w:p w14:paraId="4DB4BB27" w14:textId="77777777" w:rsidR="00A55DB7" w:rsidRPr="00040AA9" w:rsidRDefault="00A55DB7" w:rsidP="00040AA9">
            <w:pPr>
              <w:suppressAutoHyphens/>
              <w:rPr>
                <w:rFonts w:ascii="Arial" w:hAnsi="Arial" w:cs="Arial"/>
                <w:sz w:val="20"/>
                <w:szCs w:val="20"/>
              </w:rPr>
            </w:pPr>
          </w:p>
          <w:p w14:paraId="297CB517" w14:textId="449D1A22" w:rsidR="00A55DB7" w:rsidRPr="00040AA9" w:rsidRDefault="00A55DB7" w:rsidP="00040AA9">
            <w:pPr>
              <w:suppressAutoHyphens/>
              <w:rPr>
                <w:rFonts w:ascii="Arial" w:hAnsi="Arial" w:cs="Arial"/>
                <w:sz w:val="20"/>
                <w:szCs w:val="20"/>
              </w:rPr>
            </w:pPr>
            <w:r w:rsidRPr="00040AA9">
              <w:rPr>
                <w:rFonts w:ascii="Arial" w:hAnsi="Arial" w:cs="Arial"/>
                <w:sz w:val="20"/>
                <w:szCs w:val="20"/>
              </w:rPr>
              <w:t>Note: The name of the indicator used in the FSPG II &amp; III operations is more complete and accurate, therefore it is the name used in Convergence</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303BF8B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lang w:val="en-CA"/>
              </w:rPr>
              <w:t>% of the GDP</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07C24C25" w14:textId="77777777" w:rsidR="00A55DB7" w:rsidRPr="00040AA9" w:rsidRDefault="00A55DB7" w:rsidP="00040AA9">
            <w:pPr>
              <w:suppressAutoHyphens/>
              <w:jc w:val="center"/>
              <w:rPr>
                <w:rFonts w:ascii="Arial" w:hAnsi="Arial" w:cs="Arial"/>
                <w:sz w:val="20"/>
                <w:szCs w:val="20"/>
                <w:lang w:val="en-CA"/>
              </w:rPr>
            </w:pPr>
            <w:r w:rsidRPr="00040AA9">
              <w:rPr>
                <w:rFonts w:ascii="Arial" w:hAnsi="Arial" w:cs="Arial"/>
                <w:sz w:val="20"/>
                <w:szCs w:val="20"/>
                <w:lang w:val="en-CA"/>
              </w:rPr>
              <w:t>24.6</w:t>
            </w:r>
          </w:p>
          <w:p w14:paraId="43EFE6FB" w14:textId="77777777" w:rsidR="00A55DB7" w:rsidRPr="00040AA9" w:rsidRDefault="00A55DB7" w:rsidP="00040AA9">
            <w:pPr>
              <w:suppressAutoHyphens/>
              <w:jc w:val="center"/>
              <w:rPr>
                <w:rFonts w:ascii="Arial" w:hAnsi="Arial" w:cs="Arial"/>
                <w:sz w:val="20"/>
                <w:szCs w:val="20"/>
                <w:lang w:val="en-CA"/>
              </w:rPr>
            </w:pPr>
            <w:r w:rsidRPr="00040AA9">
              <w:rPr>
                <w:rFonts w:ascii="Arial" w:hAnsi="Arial" w:cs="Arial"/>
                <w:sz w:val="20"/>
                <w:szCs w:val="20"/>
                <w:lang w:val="en-CA"/>
              </w:rPr>
              <w:t>(FSPG I)</w:t>
            </w:r>
          </w:p>
          <w:p w14:paraId="657D0638" w14:textId="77777777" w:rsidR="00A55DB7" w:rsidRPr="00040AA9" w:rsidRDefault="00A55DB7" w:rsidP="00040AA9">
            <w:pPr>
              <w:suppressAutoHyphens/>
              <w:jc w:val="center"/>
              <w:rPr>
                <w:rFonts w:ascii="Arial" w:hAnsi="Arial" w:cs="Arial"/>
                <w:sz w:val="20"/>
                <w:szCs w:val="20"/>
                <w:lang w:val="en-CA"/>
              </w:rPr>
            </w:pPr>
          </w:p>
          <w:p w14:paraId="086486C9" w14:textId="77777777" w:rsidR="00A55DB7" w:rsidRPr="00040AA9" w:rsidRDefault="00A55DB7" w:rsidP="00040AA9">
            <w:pPr>
              <w:suppressAutoHyphens/>
              <w:jc w:val="center"/>
              <w:rPr>
                <w:rFonts w:ascii="Arial" w:hAnsi="Arial" w:cs="Arial"/>
                <w:color w:val="000000"/>
                <w:sz w:val="20"/>
                <w:szCs w:val="20"/>
              </w:rPr>
            </w:pPr>
            <w:r w:rsidRPr="00040AA9">
              <w:rPr>
                <w:rFonts w:ascii="Arial" w:hAnsi="Arial" w:cs="Arial"/>
                <w:color w:val="000000"/>
                <w:sz w:val="20"/>
                <w:szCs w:val="20"/>
              </w:rPr>
              <w:t>23.9</w:t>
            </w:r>
          </w:p>
          <w:p w14:paraId="13938AD7" w14:textId="77777777" w:rsidR="00A55DB7" w:rsidRPr="00040AA9" w:rsidRDefault="00A55DB7" w:rsidP="00040AA9">
            <w:pPr>
              <w:suppressAutoHyphens/>
              <w:jc w:val="center"/>
              <w:rPr>
                <w:rFonts w:ascii="Arial" w:hAnsi="Arial" w:cs="Arial"/>
                <w:color w:val="000000"/>
                <w:sz w:val="20"/>
                <w:szCs w:val="20"/>
              </w:rPr>
            </w:pPr>
            <w:r w:rsidRPr="00040AA9">
              <w:rPr>
                <w:rFonts w:ascii="Arial" w:hAnsi="Arial" w:cs="Arial"/>
                <w:color w:val="000000"/>
                <w:sz w:val="20"/>
                <w:szCs w:val="20"/>
              </w:rPr>
              <w:t>(FSPG II)</w:t>
            </w:r>
          </w:p>
          <w:p w14:paraId="1E4207F7" w14:textId="77777777" w:rsidR="00A55DB7" w:rsidRPr="00040AA9" w:rsidRDefault="00A55DB7" w:rsidP="00040AA9">
            <w:pPr>
              <w:suppressAutoHyphens/>
              <w:jc w:val="center"/>
              <w:rPr>
                <w:rFonts w:ascii="Arial" w:hAnsi="Arial" w:cs="Arial"/>
                <w:sz w:val="20"/>
                <w:szCs w:val="20"/>
              </w:rPr>
            </w:pPr>
            <w:r w:rsidRPr="00040AA9">
              <w:rPr>
                <w:rFonts w:ascii="Arial" w:hAnsi="Arial" w:cs="Arial"/>
                <w:color w:val="000000"/>
                <w:sz w:val="20"/>
                <w:szCs w:val="20"/>
              </w:rPr>
              <w:t>FSPG III)</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66384880"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18423211"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P </w:t>
            </w:r>
          </w:p>
        </w:tc>
        <w:tc>
          <w:tcPr>
            <w:tcW w:w="1080" w:type="dxa"/>
            <w:tcBorders>
              <w:top w:val="single" w:sz="4" w:space="0" w:color="auto"/>
              <w:left w:val="single" w:sz="4" w:space="0" w:color="auto"/>
              <w:bottom w:val="single" w:sz="4" w:space="0" w:color="auto"/>
              <w:right w:val="single" w:sz="4" w:space="0" w:color="auto"/>
            </w:tcBorders>
            <w:vAlign w:val="center"/>
          </w:tcPr>
          <w:p w14:paraId="3E87684E" w14:textId="77777777" w:rsidR="00A55DB7" w:rsidRPr="00040AA9" w:rsidRDefault="00A55DB7" w:rsidP="00040AA9">
            <w:pPr>
              <w:suppressAutoHyphens/>
              <w:jc w:val="center"/>
              <w:rPr>
                <w:rFonts w:ascii="Arial" w:hAnsi="Arial" w:cs="Arial"/>
                <w:color w:val="000000"/>
                <w:sz w:val="20"/>
                <w:szCs w:val="20"/>
              </w:rPr>
            </w:pPr>
            <w:r w:rsidRPr="00040AA9">
              <w:rPr>
                <w:rFonts w:ascii="Arial" w:hAnsi="Arial" w:cs="Arial"/>
                <w:color w:val="000000"/>
                <w:sz w:val="20"/>
                <w:szCs w:val="20"/>
              </w:rPr>
              <w:t>25.5</w:t>
            </w:r>
          </w:p>
          <w:p w14:paraId="6BB93FAA" w14:textId="77777777" w:rsidR="00A55DB7" w:rsidRPr="00040AA9" w:rsidRDefault="00A55DB7" w:rsidP="00040AA9">
            <w:pPr>
              <w:suppressAutoHyphens/>
              <w:jc w:val="center"/>
              <w:rPr>
                <w:rFonts w:ascii="Arial" w:hAnsi="Arial" w:cs="Arial"/>
                <w:color w:val="000000"/>
                <w:sz w:val="20"/>
                <w:szCs w:val="20"/>
              </w:rPr>
            </w:pPr>
            <w:r w:rsidRPr="00040AA9">
              <w:rPr>
                <w:rFonts w:ascii="Arial" w:hAnsi="Arial" w:cs="Arial"/>
                <w:color w:val="000000"/>
                <w:sz w:val="20"/>
                <w:szCs w:val="20"/>
              </w:rPr>
              <w:t>(FSPG II)</w:t>
            </w:r>
          </w:p>
          <w:p w14:paraId="3CCC59F7" w14:textId="77777777" w:rsidR="00A55DB7" w:rsidRPr="00040AA9" w:rsidRDefault="00A55DB7" w:rsidP="00040AA9">
            <w:pPr>
              <w:suppressAutoHyphens/>
              <w:jc w:val="center"/>
              <w:rPr>
                <w:rFonts w:ascii="Arial" w:hAnsi="Arial" w:cs="Arial"/>
                <w:color w:val="000000"/>
                <w:sz w:val="20"/>
                <w:szCs w:val="20"/>
              </w:rPr>
            </w:pPr>
            <w:r w:rsidRPr="00040AA9">
              <w:rPr>
                <w:rFonts w:ascii="Arial" w:hAnsi="Arial" w:cs="Arial"/>
                <w:color w:val="000000"/>
                <w:sz w:val="20"/>
                <w:szCs w:val="20"/>
              </w:rPr>
              <w:t>(2016/17)</w:t>
            </w:r>
          </w:p>
          <w:p w14:paraId="06A4204A" w14:textId="77777777" w:rsidR="00A55DB7" w:rsidRPr="00040AA9" w:rsidRDefault="00A55DB7" w:rsidP="00040AA9">
            <w:pPr>
              <w:suppressAutoHyphens/>
              <w:jc w:val="center"/>
              <w:rPr>
                <w:rFonts w:ascii="Arial" w:hAnsi="Arial" w:cs="Arial"/>
                <w:color w:val="000000"/>
                <w:sz w:val="20"/>
                <w:szCs w:val="20"/>
              </w:rPr>
            </w:pPr>
          </w:p>
          <w:p w14:paraId="61777C44" w14:textId="77777777" w:rsidR="00A55DB7" w:rsidRPr="00040AA9" w:rsidRDefault="00A55DB7" w:rsidP="00040AA9">
            <w:pPr>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FE71E2F"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07DD6FB"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Tax Administration of Jamaica (TAJ) annual report</w:t>
            </w:r>
          </w:p>
          <w:p w14:paraId="16AD0FDC" w14:textId="77777777" w:rsidR="00A55DB7" w:rsidRPr="00040AA9" w:rsidRDefault="00A55DB7" w:rsidP="00040AA9">
            <w:pPr>
              <w:suppressAutoHyphens/>
              <w:rPr>
                <w:rFonts w:ascii="Arial" w:hAnsi="Arial" w:cs="Arial"/>
                <w:sz w:val="20"/>
                <w:szCs w:val="20"/>
                <w:lang w:val="en-CA"/>
              </w:rPr>
            </w:pPr>
          </w:p>
          <w:p w14:paraId="0846390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lang w:val="en-CA"/>
              </w:rPr>
              <w:t xml:space="preserve">Note: FISPEG I posited a planned level of 25.7 in 2015/16 for this indicator </w:t>
            </w:r>
          </w:p>
        </w:tc>
      </w:tr>
      <w:tr w:rsidR="00A55DB7" w:rsidRPr="00CF5903" w14:paraId="255ED1C5" w14:textId="77777777" w:rsidTr="00E420C4">
        <w:trPr>
          <w:trHeight w:val="260"/>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3030BB93"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5898D1F7"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9BBC938"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3423570A"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4ACEF179"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0129CC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26.1</w:t>
            </w:r>
            <w:r w:rsidRPr="00040AA9">
              <w:rPr>
                <w:rStyle w:val="FootnoteReference"/>
                <w:rFonts w:ascii="Arial" w:hAnsi="Arial" w:cs="Arial"/>
                <w:sz w:val="20"/>
                <w:szCs w:val="20"/>
              </w:rPr>
              <w:footnoteReference w:id="50"/>
            </w:r>
          </w:p>
          <w:p w14:paraId="65164940"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(FSPG III)</w:t>
            </w:r>
          </w:p>
          <w:p w14:paraId="230501DB"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(2016/17)</w:t>
            </w:r>
          </w:p>
          <w:p w14:paraId="1224FB5D" w14:textId="77777777" w:rsidR="00A55DB7" w:rsidRPr="00040AA9" w:rsidRDefault="00A55DB7" w:rsidP="00040AA9">
            <w:pPr>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FCBD93B"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EI: 2.2pp</w:t>
            </w:r>
          </w:p>
        </w:tc>
        <w:tc>
          <w:tcPr>
            <w:tcW w:w="5374" w:type="dxa"/>
            <w:tcBorders>
              <w:top w:val="single" w:sz="4" w:space="0" w:color="auto"/>
              <w:left w:val="single" w:sz="4" w:space="0" w:color="auto"/>
              <w:bottom w:val="single" w:sz="4" w:space="0" w:color="auto"/>
              <w:right w:val="single" w:sz="4" w:space="0" w:color="auto"/>
            </w:tcBorders>
          </w:tcPr>
          <w:p w14:paraId="3A5979FC" w14:textId="77777777" w:rsidR="00A55DB7" w:rsidRPr="00040AA9" w:rsidRDefault="00A55DB7" w:rsidP="00040AA9">
            <w:pPr>
              <w:suppressAutoHyphens/>
              <w:rPr>
                <w:rFonts w:ascii="Arial" w:hAnsi="Arial" w:cs="Arial"/>
                <w:sz w:val="20"/>
                <w:szCs w:val="20"/>
              </w:rPr>
            </w:pPr>
          </w:p>
        </w:tc>
      </w:tr>
      <w:tr w:rsidR="00A55DB7" w:rsidRPr="00CF5903" w14:paraId="1DFEF175" w14:textId="77777777" w:rsidTr="00E420C4">
        <w:trPr>
          <w:trHeight w:val="485"/>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41A229B7"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05271F56"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48E9CF27"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4CBCEBC0" w14:textId="77777777" w:rsidR="00A55DB7" w:rsidRPr="00040AA9" w:rsidRDefault="00A55DB7" w:rsidP="00040AA9">
            <w:pPr>
              <w:suppressAutoHyphens/>
              <w:jc w:val="center"/>
              <w:rPr>
                <w:rFonts w:ascii="Arial" w:hAnsi="Arial" w:cs="Arial"/>
                <w:sz w:val="20"/>
                <w:szCs w:val="20"/>
              </w:rPr>
            </w:pPr>
          </w:p>
        </w:tc>
        <w:tc>
          <w:tcPr>
            <w:tcW w:w="597" w:type="dxa"/>
            <w:tcBorders>
              <w:left w:val="single" w:sz="4" w:space="0" w:color="auto"/>
              <w:bottom w:val="single" w:sz="4" w:space="0" w:color="auto"/>
              <w:right w:val="single" w:sz="4" w:space="0" w:color="auto"/>
            </w:tcBorders>
            <w:vAlign w:val="center"/>
          </w:tcPr>
          <w:p w14:paraId="06AD03C3"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36760F9B"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25.7</w:t>
            </w:r>
          </w:p>
          <w:p w14:paraId="6A4176E3" w14:textId="77777777" w:rsidR="00A55DB7" w:rsidRPr="00040AA9" w:rsidRDefault="00A55DB7" w:rsidP="00040AA9">
            <w:pPr>
              <w:suppressAutoHyphens/>
              <w:jc w:val="center"/>
              <w:rPr>
                <w:rFonts w:ascii="Arial" w:hAnsi="Arial" w:cs="Arial"/>
                <w:sz w:val="20"/>
                <w:szCs w:val="20"/>
              </w:rPr>
            </w:pPr>
            <w:r w:rsidRPr="00040AA9">
              <w:rPr>
                <w:rFonts w:ascii="Arial" w:hAnsi="Arial" w:cs="Arial"/>
                <w:color w:val="000000"/>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6C7ACA8A"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AI: 1.8pp</w:t>
            </w:r>
          </w:p>
          <w:p w14:paraId="3DB8F570" w14:textId="77777777" w:rsidR="00A55DB7" w:rsidRPr="00040AA9" w:rsidRDefault="00A55DB7" w:rsidP="00040AA9">
            <w:pPr>
              <w:suppressAutoHyphens/>
              <w:rPr>
                <w:rFonts w:ascii="Arial" w:hAnsi="Arial" w:cs="Arial"/>
                <w:color w:val="000000"/>
                <w:sz w:val="20"/>
                <w:szCs w:val="20"/>
              </w:rPr>
            </w:pPr>
            <w:r w:rsidRPr="00040AA9">
              <w:rPr>
                <w:rFonts w:ascii="Arial" w:hAnsi="Arial" w:cs="Arial"/>
                <w:color w:val="000000"/>
                <w:sz w:val="20"/>
                <w:szCs w:val="20"/>
              </w:rPr>
              <w:t>(2016/17)</w:t>
            </w:r>
          </w:p>
          <w:p w14:paraId="7BAC9357" w14:textId="77777777" w:rsidR="00A55DB7" w:rsidRPr="00040AA9" w:rsidRDefault="00A55DB7" w:rsidP="00040AA9">
            <w:pPr>
              <w:suppressAutoHyphens/>
              <w:rPr>
                <w:rFonts w:ascii="Arial" w:hAnsi="Arial" w:cs="Arial"/>
                <w:sz w:val="20"/>
                <w:szCs w:val="20"/>
              </w:rPr>
            </w:pPr>
          </w:p>
          <w:p w14:paraId="269D5FA7" w14:textId="77777777" w:rsidR="00A55DB7" w:rsidRPr="00040AA9" w:rsidRDefault="00A55DB7" w:rsidP="00040AA9">
            <w:pPr>
              <w:suppressAutoHyphens/>
              <w:rPr>
                <w:rFonts w:ascii="Arial" w:hAnsi="Arial" w:cs="Arial"/>
                <w:sz w:val="20"/>
                <w:szCs w:val="20"/>
              </w:rPr>
            </w:pPr>
            <w:r w:rsidRPr="00040AA9">
              <w:rPr>
                <w:rFonts w:ascii="Arial" w:hAnsi="Arial" w:cs="Arial"/>
                <w:i/>
                <w:sz w:val="20"/>
                <w:szCs w:val="20"/>
              </w:rPr>
              <w:t>=&gt;82% achieved</w:t>
            </w:r>
            <w:r w:rsidRPr="00040AA9">
              <w:rPr>
                <w:rFonts w:ascii="Arial" w:hAnsi="Arial" w:cs="Arial"/>
                <w:sz w:val="20"/>
                <w:szCs w:val="20"/>
              </w:rPr>
              <w:t xml:space="preserve"> </w:t>
            </w:r>
          </w:p>
        </w:tc>
        <w:tc>
          <w:tcPr>
            <w:tcW w:w="5374" w:type="dxa"/>
            <w:tcBorders>
              <w:top w:val="single" w:sz="4" w:space="0" w:color="auto"/>
              <w:left w:val="single" w:sz="4" w:space="0" w:color="auto"/>
              <w:bottom w:val="single" w:sz="4" w:space="0" w:color="auto"/>
              <w:right w:val="single" w:sz="4" w:space="0" w:color="auto"/>
            </w:tcBorders>
          </w:tcPr>
          <w:p w14:paraId="7E6B44A2" w14:textId="4E59211C" w:rsidR="00A55DB7" w:rsidRPr="00040AA9" w:rsidRDefault="00A55DB7" w:rsidP="00040AA9">
            <w:pPr>
              <w:suppressAutoHyphens/>
              <w:rPr>
                <w:rFonts w:ascii="Arial" w:hAnsi="Arial" w:cs="Arial"/>
                <w:sz w:val="20"/>
                <w:szCs w:val="20"/>
              </w:rPr>
            </w:pPr>
            <w:proofErr w:type="spellStart"/>
            <w:r w:rsidRPr="00040AA9">
              <w:rPr>
                <w:rFonts w:ascii="Arial" w:hAnsi="Arial" w:cs="Arial"/>
                <w:sz w:val="20"/>
                <w:szCs w:val="20"/>
              </w:rPr>
              <w:t>GoJ</w:t>
            </w:r>
            <w:proofErr w:type="spellEnd"/>
            <w:r w:rsidRPr="00040AA9">
              <w:rPr>
                <w:rFonts w:ascii="Arial" w:hAnsi="Arial" w:cs="Arial"/>
                <w:sz w:val="20"/>
                <w:szCs w:val="20"/>
              </w:rPr>
              <w:t xml:space="preserve"> Fiscal Policy Paper FY2017/18, Feb. 9, 2017, Table 3K, p. 59</w:t>
            </w:r>
            <w:r w:rsidRPr="00040AA9">
              <w:rPr>
                <w:rStyle w:val="FootnoteReference"/>
                <w:rFonts w:ascii="Arial" w:hAnsi="Arial" w:cs="Arial"/>
                <w:sz w:val="20"/>
                <w:szCs w:val="20"/>
              </w:rPr>
              <w:footnoteReference w:id="51"/>
            </w:r>
          </w:p>
        </w:tc>
      </w:tr>
      <w:tr w:rsidR="00A55DB7" w:rsidRPr="00CF5903" w14:paraId="3B60C20B" w14:textId="77777777" w:rsidTr="00040AA9">
        <w:trPr>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81E933" w14:textId="43616DF7" w:rsidR="00A55DB7" w:rsidRPr="00040AA9" w:rsidRDefault="00350FE4" w:rsidP="00040AA9">
            <w:pPr>
              <w:suppressAutoHyphens/>
              <w:rPr>
                <w:rFonts w:ascii="Arial" w:hAnsi="Arial" w:cs="Arial"/>
                <w:b/>
                <w:sz w:val="20"/>
                <w:szCs w:val="20"/>
              </w:rPr>
            </w:pPr>
            <w:r w:rsidRPr="00CF5903">
              <w:rPr>
                <w:rFonts w:ascii="Arial" w:hAnsi="Arial" w:cs="Arial"/>
                <w:b/>
                <w:sz w:val="20"/>
                <w:szCs w:val="20"/>
              </w:rPr>
              <w:t>Outcome (</w:t>
            </w:r>
            <w:r w:rsidR="00A55DB7" w:rsidRPr="00040AA9">
              <w:rPr>
                <w:rFonts w:ascii="Arial" w:hAnsi="Arial" w:cs="Arial"/>
                <w:b/>
                <w:sz w:val="20"/>
                <w:szCs w:val="20"/>
              </w:rPr>
              <w:t xml:space="preserve">Result) </w:t>
            </w:r>
            <w:r w:rsidR="007A1766" w:rsidRPr="00040AA9">
              <w:rPr>
                <w:rFonts w:ascii="Arial" w:hAnsi="Arial" w:cs="Arial"/>
                <w:b/>
                <w:sz w:val="20"/>
                <w:szCs w:val="20"/>
              </w:rPr>
              <w:t>II.</w:t>
            </w:r>
            <w:r w:rsidR="00A55DB7" w:rsidRPr="00040AA9">
              <w:rPr>
                <w:rFonts w:ascii="Arial" w:hAnsi="Arial" w:cs="Arial"/>
                <w:b/>
                <w:sz w:val="20"/>
                <w:szCs w:val="20"/>
              </w:rPr>
              <w:t>2 Reduce the average tariffs rates on imports of non-agriculture and agriculture products</w:t>
            </w:r>
          </w:p>
        </w:tc>
      </w:tr>
      <w:tr w:rsidR="00A55DB7" w:rsidRPr="00CF5903" w14:paraId="0B49F0F8" w14:textId="77777777" w:rsidTr="00E420C4">
        <w:trPr>
          <w:trHeight w:val="125"/>
          <w:jc w:val="center"/>
        </w:trPr>
        <w:tc>
          <w:tcPr>
            <w:tcW w:w="2368" w:type="dxa"/>
            <w:vMerge w:val="restart"/>
            <w:tcBorders>
              <w:top w:val="single" w:sz="4" w:space="0" w:color="auto"/>
              <w:left w:val="single" w:sz="4" w:space="0" w:color="auto"/>
              <w:right w:val="single" w:sz="4" w:space="0" w:color="auto"/>
            </w:tcBorders>
            <w:vAlign w:val="center"/>
          </w:tcPr>
          <w:p w14:paraId="113BF9EC" w14:textId="36E31329"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 xml:space="preserve">2.1 </w:t>
            </w:r>
          </w:p>
          <w:p w14:paraId="44EF9AD1" w14:textId="7E4924F8" w:rsidR="00A55DB7" w:rsidRPr="00E420C4" w:rsidRDefault="00E64792" w:rsidP="00040AA9">
            <w:pPr>
              <w:suppressAutoHyphens/>
              <w:rPr>
                <w:rFonts w:ascii="Arial" w:hAnsi="Arial" w:cs="Arial"/>
                <w:sz w:val="20"/>
                <w:szCs w:val="20"/>
              </w:rPr>
            </w:pPr>
            <w:r w:rsidRPr="00E420C4">
              <w:rPr>
                <w:rFonts w:ascii="Arial" w:hAnsi="Arial" w:cs="Arial"/>
                <w:sz w:val="20"/>
                <w:szCs w:val="20"/>
              </w:rPr>
              <w:t>(As Amended</w:t>
            </w:r>
            <w:r w:rsidR="001D44D2" w:rsidRPr="00E420C4">
              <w:rPr>
                <w:rFonts w:ascii="Arial" w:hAnsi="Arial" w:cs="Arial"/>
                <w:sz w:val="20"/>
                <w:szCs w:val="20"/>
              </w:rPr>
              <w:t xml:space="preserve"> – See Table 1</w:t>
            </w:r>
            <w:r w:rsidRPr="00E420C4">
              <w:rPr>
                <w:rFonts w:ascii="Arial" w:hAnsi="Arial" w:cs="Arial"/>
                <w:sz w:val="20"/>
                <w:szCs w:val="20"/>
              </w:rPr>
              <w:t>)</w:t>
            </w:r>
            <w:r w:rsidR="00A55DB7" w:rsidRPr="00E420C4">
              <w:rPr>
                <w:rFonts w:ascii="Arial" w:hAnsi="Arial" w:cs="Arial"/>
                <w:sz w:val="20"/>
                <w:szCs w:val="20"/>
              </w:rPr>
              <w:t xml:space="preserve"> </w:t>
            </w:r>
          </w:p>
          <w:p w14:paraId="371313BA"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Average </w:t>
            </w:r>
            <w:r w:rsidRPr="00040AA9">
              <w:rPr>
                <w:rFonts w:ascii="Arial" w:hAnsi="Arial" w:cs="Arial"/>
                <w:b/>
                <w:i/>
                <w:sz w:val="20"/>
                <w:szCs w:val="20"/>
              </w:rPr>
              <w:t>Effective</w:t>
            </w:r>
            <w:r w:rsidRPr="00040AA9">
              <w:rPr>
                <w:rFonts w:ascii="Arial" w:hAnsi="Arial" w:cs="Arial"/>
                <w:sz w:val="20"/>
                <w:szCs w:val="20"/>
              </w:rPr>
              <w:t xml:space="preserve"> tariff rate</w:t>
            </w:r>
          </w:p>
        </w:tc>
        <w:tc>
          <w:tcPr>
            <w:tcW w:w="810" w:type="dxa"/>
            <w:vMerge w:val="restart"/>
            <w:tcBorders>
              <w:top w:val="single" w:sz="4" w:space="0" w:color="auto"/>
              <w:left w:val="single" w:sz="4" w:space="0" w:color="auto"/>
              <w:right w:val="single" w:sz="4" w:space="0" w:color="auto"/>
            </w:tcBorders>
            <w:vAlign w:val="center"/>
          </w:tcPr>
          <w:p w14:paraId="71E88B34"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right w:val="single" w:sz="4" w:space="0" w:color="auto"/>
            </w:tcBorders>
            <w:vAlign w:val="center"/>
          </w:tcPr>
          <w:p w14:paraId="0131326B"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8.6</w:t>
            </w:r>
            <w:r w:rsidRPr="00040AA9">
              <w:rPr>
                <w:rStyle w:val="FootnoteReference"/>
                <w:rFonts w:ascii="Arial" w:hAnsi="Arial" w:cs="Arial"/>
                <w:sz w:val="20"/>
                <w:szCs w:val="20"/>
              </w:rPr>
              <w:footnoteReference w:id="52"/>
            </w:r>
          </w:p>
        </w:tc>
        <w:tc>
          <w:tcPr>
            <w:tcW w:w="720" w:type="dxa"/>
            <w:vMerge w:val="restart"/>
            <w:tcBorders>
              <w:top w:val="single" w:sz="4" w:space="0" w:color="auto"/>
              <w:left w:val="single" w:sz="4" w:space="0" w:color="auto"/>
              <w:right w:val="single" w:sz="4" w:space="0" w:color="auto"/>
            </w:tcBorders>
            <w:vAlign w:val="center"/>
          </w:tcPr>
          <w:p w14:paraId="5767F555"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4A3B9C24"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2653AD67" w14:textId="77777777" w:rsidR="0064316F" w:rsidRPr="00040AA9" w:rsidRDefault="0064316F" w:rsidP="00040AA9">
            <w:pPr>
              <w:suppressAutoHyphens/>
              <w:jc w:val="center"/>
              <w:rPr>
                <w:rFonts w:ascii="Arial" w:hAnsi="Arial" w:cs="Arial"/>
                <w:sz w:val="20"/>
                <w:szCs w:val="20"/>
              </w:rPr>
            </w:pPr>
          </w:p>
          <w:p w14:paraId="16436ACF"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8.9%</w:t>
            </w:r>
          </w:p>
          <w:p w14:paraId="59FA8C02" w14:textId="7BDA0ACE" w:rsidR="00D67B68" w:rsidRPr="00040AA9" w:rsidRDefault="00D67B68" w:rsidP="00040AA9">
            <w:pPr>
              <w:suppressAutoHyphens/>
              <w:jc w:val="center"/>
              <w:rPr>
                <w:rFonts w:ascii="Arial" w:hAnsi="Arial" w:cs="Arial"/>
                <w:sz w:val="20"/>
                <w:szCs w:val="20"/>
              </w:rPr>
            </w:pPr>
            <w:r w:rsidRPr="00040AA9">
              <w:rPr>
                <w:rFonts w:ascii="Arial" w:hAnsi="Arial" w:cs="Arial"/>
                <w:sz w:val="20"/>
                <w:szCs w:val="20"/>
              </w:rPr>
              <w:t>(2016/17)</w:t>
            </w:r>
          </w:p>
          <w:p w14:paraId="53DBB81B" w14:textId="73301285" w:rsidR="0064316F" w:rsidRPr="00040AA9" w:rsidRDefault="0064316F" w:rsidP="00040AA9">
            <w:pPr>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F32B781" w14:textId="62E7E053" w:rsidR="00A55DB7" w:rsidRPr="00040AA9" w:rsidRDefault="00A55DB7" w:rsidP="00040AA9">
            <w:pPr>
              <w:suppressAutoHyphens/>
              <w:rPr>
                <w:rFonts w:ascii="Arial" w:hAnsi="Arial" w:cs="Arial"/>
                <w:sz w:val="20"/>
                <w:szCs w:val="20"/>
              </w:rPr>
            </w:pPr>
            <w:r w:rsidRPr="00040AA9">
              <w:rPr>
                <w:rFonts w:ascii="Arial" w:hAnsi="Arial" w:cs="Arial"/>
                <w:sz w:val="20"/>
                <w:szCs w:val="20"/>
              </w:rPr>
              <w:t>EI:+0.3pp</w:t>
            </w:r>
          </w:p>
        </w:tc>
        <w:tc>
          <w:tcPr>
            <w:tcW w:w="5374" w:type="dxa"/>
            <w:tcBorders>
              <w:top w:val="single" w:sz="4" w:space="0" w:color="auto"/>
              <w:left w:val="single" w:sz="4" w:space="0" w:color="auto"/>
              <w:bottom w:val="single" w:sz="4" w:space="0" w:color="auto"/>
              <w:right w:val="single" w:sz="4" w:space="0" w:color="auto"/>
            </w:tcBorders>
          </w:tcPr>
          <w:p w14:paraId="47B6A595" w14:textId="4B97539C" w:rsidR="00A55DB7" w:rsidRPr="00040AA9" w:rsidRDefault="00A55DB7" w:rsidP="00040AA9">
            <w:pPr>
              <w:suppressAutoHyphens/>
              <w:rPr>
                <w:rFonts w:ascii="Arial" w:hAnsi="Arial" w:cs="Arial"/>
                <w:sz w:val="20"/>
                <w:szCs w:val="20"/>
              </w:rPr>
            </w:pPr>
            <w:r w:rsidRPr="00040AA9">
              <w:rPr>
                <w:rFonts w:ascii="Arial" w:hAnsi="Arial" w:cs="Arial"/>
                <w:sz w:val="20"/>
                <w:szCs w:val="20"/>
              </w:rPr>
              <w:t>Expected EOP level of effective tariff rate assuming all proposed reforms are completed</w:t>
            </w:r>
            <w:r w:rsidRPr="00040AA9">
              <w:rPr>
                <w:rStyle w:val="FootnoteReference"/>
                <w:rFonts w:ascii="Arial" w:hAnsi="Arial" w:cs="Arial"/>
                <w:sz w:val="20"/>
                <w:szCs w:val="20"/>
              </w:rPr>
              <w:footnoteReference w:id="53"/>
            </w:r>
          </w:p>
        </w:tc>
      </w:tr>
      <w:tr w:rsidR="00A55DB7" w:rsidRPr="00CF5903" w14:paraId="64D83FF2" w14:textId="77777777" w:rsidTr="00E420C4">
        <w:trPr>
          <w:trHeight w:val="125"/>
          <w:jc w:val="center"/>
        </w:trPr>
        <w:tc>
          <w:tcPr>
            <w:tcW w:w="2368" w:type="dxa"/>
            <w:vMerge/>
            <w:tcBorders>
              <w:left w:val="single" w:sz="4" w:space="0" w:color="auto"/>
              <w:right w:val="single" w:sz="4" w:space="0" w:color="auto"/>
            </w:tcBorders>
            <w:vAlign w:val="center"/>
          </w:tcPr>
          <w:p w14:paraId="2EAE016F" w14:textId="77777777" w:rsidR="00A55DB7" w:rsidRPr="00040AA9" w:rsidRDefault="00A55DB7" w:rsidP="00040AA9">
            <w:pPr>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6479C0A9" w14:textId="77777777" w:rsidR="00A55DB7" w:rsidRPr="00040AA9" w:rsidRDefault="00A55DB7" w:rsidP="00040AA9">
            <w:pPr>
              <w:suppressAutoHyphens/>
              <w:rPr>
                <w:rFonts w:ascii="Arial" w:hAnsi="Arial" w:cs="Arial"/>
                <w:sz w:val="20"/>
                <w:szCs w:val="20"/>
              </w:rPr>
            </w:pPr>
          </w:p>
        </w:tc>
        <w:tc>
          <w:tcPr>
            <w:tcW w:w="900" w:type="dxa"/>
            <w:vMerge/>
            <w:tcBorders>
              <w:left w:val="single" w:sz="4" w:space="0" w:color="auto"/>
              <w:right w:val="single" w:sz="4" w:space="0" w:color="auto"/>
            </w:tcBorders>
            <w:vAlign w:val="center"/>
          </w:tcPr>
          <w:p w14:paraId="2DE0FC38" w14:textId="77777777" w:rsidR="00A55DB7" w:rsidRPr="00040AA9" w:rsidRDefault="00A55DB7" w:rsidP="00040AA9">
            <w:pPr>
              <w:suppressAutoHyphens/>
              <w:rPr>
                <w:rFonts w:ascii="Arial" w:hAnsi="Arial" w:cs="Arial"/>
                <w:sz w:val="20"/>
                <w:szCs w:val="20"/>
              </w:rPr>
            </w:pPr>
          </w:p>
        </w:tc>
        <w:tc>
          <w:tcPr>
            <w:tcW w:w="720" w:type="dxa"/>
            <w:vMerge/>
            <w:tcBorders>
              <w:left w:val="single" w:sz="4" w:space="0" w:color="auto"/>
              <w:right w:val="single" w:sz="4" w:space="0" w:color="auto"/>
            </w:tcBorders>
            <w:vAlign w:val="center"/>
          </w:tcPr>
          <w:p w14:paraId="2B38CE9B"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3D5AD71E"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60FB6653" w14:textId="77777777" w:rsidR="00A55DB7" w:rsidRPr="00040AA9" w:rsidRDefault="00A55DB7" w:rsidP="00040AA9">
            <w:pPr>
              <w:suppressAutoHyphens/>
              <w:jc w:val="center"/>
              <w:rPr>
                <w:rFonts w:ascii="Arial" w:hAnsi="Arial" w:cs="Arial"/>
                <w:sz w:val="20"/>
                <w:szCs w:val="20"/>
              </w:rPr>
            </w:pPr>
          </w:p>
        </w:tc>
        <w:tc>
          <w:tcPr>
            <w:tcW w:w="1203" w:type="dxa"/>
            <w:gridSpan w:val="2"/>
            <w:tcBorders>
              <w:top w:val="dotted" w:sz="4" w:space="0" w:color="auto"/>
              <w:left w:val="single" w:sz="4" w:space="0" w:color="auto"/>
              <w:bottom w:val="single" w:sz="4" w:space="0" w:color="auto"/>
              <w:right w:val="single" w:sz="4" w:space="0" w:color="auto"/>
            </w:tcBorders>
            <w:vAlign w:val="center"/>
          </w:tcPr>
          <w:p w14:paraId="2791627C"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0F7BEAD8" w14:textId="77777777" w:rsidR="00A55DB7" w:rsidRPr="00040AA9" w:rsidRDefault="00A55DB7" w:rsidP="00040AA9">
            <w:pPr>
              <w:suppressAutoHyphens/>
              <w:rPr>
                <w:rFonts w:ascii="Arial" w:hAnsi="Arial" w:cs="Arial"/>
                <w:sz w:val="20"/>
                <w:szCs w:val="20"/>
              </w:rPr>
            </w:pPr>
          </w:p>
        </w:tc>
      </w:tr>
      <w:tr w:rsidR="00A55DB7" w:rsidRPr="00CF5903" w14:paraId="3FBDC914" w14:textId="77777777" w:rsidTr="00E420C4">
        <w:trPr>
          <w:trHeight w:val="125"/>
          <w:jc w:val="center"/>
        </w:trPr>
        <w:tc>
          <w:tcPr>
            <w:tcW w:w="2368" w:type="dxa"/>
            <w:vMerge/>
            <w:tcBorders>
              <w:left w:val="single" w:sz="4" w:space="0" w:color="auto"/>
              <w:bottom w:val="single" w:sz="4" w:space="0" w:color="auto"/>
              <w:right w:val="single" w:sz="4" w:space="0" w:color="auto"/>
            </w:tcBorders>
            <w:vAlign w:val="center"/>
          </w:tcPr>
          <w:p w14:paraId="571A1EB9" w14:textId="77777777" w:rsidR="00A55DB7" w:rsidRPr="00040AA9" w:rsidRDefault="00A55DB7" w:rsidP="00040AA9">
            <w:pPr>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20198A0F" w14:textId="77777777" w:rsidR="00A55DB7" w:rsidRPr="00040AA9" w:rsidRDefault="00A55DB7" w:rsidP="00040AA9">
            <w:pPr>
              <w:suppressAutoHyphens/>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0ED215AD" w14:textId="77777777" w:rsidR="00A55DB7" w:rsidRPr="00040AA9" w:rsidRDefault="00A55DB7" w:rsidP="00040AA9">
            <w:pPr>
              <w:suppressAutoHyphens/>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2C96587A"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1ECD16DD"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76DD781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6.15</w:t>
            </w:r>
            <w:r w:rsidRPr="00040AA9">
              <w:rPr>
                <w:rStyle w:val="FootnoteReference"/>
                <w:rFonts w:ascii="Arial" w:hAnsi="Arial" w:cs="Arial"/>
                <w:sz w:val="20"/>
                <w:szCs w:val="20"/>
              </w:rPr>
              <w:footnoteReference w:id="54"/>
            </w:r>
          </w:p>
          <w:p w14:paraId="3CF2EE42" w14:textId="29561DB2" w:rsidR="00D67B68" w:rsidRPr="00040AA9" w:rsidRDefault="00D67B68" w:rsidP="00040AA9">
            <w:pPr>
              <w:suppressAutoHyphens/>
              <w:jc w:val="center"/>
              <w:rPr>
                <w:rFonts w:ascii="Arial" w:hAnsi="Arial" w:cs="Arial"/>
                <w:sz w:val="20"/>
                <w:szCs w:val="20"/>
              </w:rPr>
            </w:pPr>
            <w:r w:rsidRPr="00040AA9">
              <w:rPr>
                <w:rFonts w:ascii="Arial" w:hAnsi="Arial" w:cs="Arial"/>
                <w:sz w:val="20"/>
                <w:szCs w:val="20"/>
              </w:rPr>
              <w:t>(2016)</w:t>
            </w:r>
          </w:p>
        </w:tc>
        <w:tc>
          <w:tcPr>
            <w:tcW w:w="1203" w:type="dxa"/>
            <w:gridSpan w:val="2"/>
            <w:tcBorders>
              <w:top w:val="dotted" w:sz="4" w:space="0" w:color="auto"/>
              <w:left w:val="single" w:sz="4" w:space="0" w:color="auto"/>
              <w:bottom w:val="single" w:sz="4" w:space="0" w:color="auto"/>
              <w:right w:val="single" w:sz="4" w:space="0" w:color="auto"/>
            </w:tcBorders>
            <w:vAlign w:val="center"/>
          </w:tcPr>
          <w:p w14:paraId="7495BCB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AI:-2.45</w:t>
            </w:r>
          </w:p>
          <w:p w14:paraId="4EAB28E0" w14:textId="076F784B" w:rsidR="00A55DB7" w:rsidRPr="00040AA9" w:rsidRDefault="00A55DB7" w:rsidP="00040AA9">
            <w:pPr>
              <w:suppressAutoHyphens/>
              <w:rPr>
                <w:rFonts w:ascii="Arial" w:hAnsi="Arial" w:cs="Arial"/>
                <w:i/>
                <w:sz w:val="20"/>
                <w:szCs w:val="20"/>
              </w:rPr>
            </w:pPr>
            <w:r w:rsidRPr="00040AA9">
              <w:rPr>
                <w:rFonts w:ascii="Arial" w:hAnsi="Arial" w:cs="Arial"/>
                <w:i/>
                <w:sz w:val="20"/>
                <w:szCs w:val="20"/>
              </w:rPr>
              <w:t xml:space="preserve">=&gt;Target surpassed </w:t>
            </w:r>
          </w:p>
        </w:tc>
        <w:tc>
          <w:tcPr>
            <w:tcW w:w="5374" w:type="dxa"/>
            <w:tcBorders>
              <w:top w:val="single" w:sz="4" w:space="0" w:color="auto"/>
              <w:left w:val="single" w:sz="4" w:space="0" w:color="auto"/>
              <w:bottom w:val="single" w:sz="4" w:space="0" w:color="auto"/>
              <w:right w:val="single" w:sz="4" w:space="0" w:color="auto"/>
            </w:tcBorders>
          </w:tcPr>
          <w:p w14:paraId="174BFD7B" w14:textId="127A54DA" w:rsidR="00A55DB7" w:rsidRPr="00040AA9" w:rsidRDefault="00A55DB7" w:rsidP="00040AA9">
            <w:pPr>
              <w:suppressAutoHyphens/>
              <w:rPr>
                <w:rFonts w:ascii="Arial" w:hAnsi="Arial" w:cs="Arial"/>
                <w:sz w:val="20"/>
                <w:szCs w:val="20"/>
              </w:rPr>
            </w:pPr>
          </w:p>
        </w:tc>
      </w:tr>
      <w:tr w:rsidR="00A55DB7" w:rsidRPr="00CF5903" w14:paraId="3A64511B" w14:textId="77777777" w:rsidTr="00040AA9">
        <w:trPr>
          <w:trHeight w:val="323"/>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7DF73" w14:textId="0BC471B4" w:rsidR="00A55DB7" w:rsidRPr="00040AA9" w:rsidRDefault="00350FE4" w:rsidP="00040AA9">
            <w:pPr>
              <w:keepNext/>
              <w:keepLines/>
              <w:suppressAutoHyphens/>
              <w:rPr>
                <w:rFonts w:ascii="Arial" w:hAnsi="Arial" w:cs="Arial"/>
                <w:sz w:val="20"/>
                <w:szCs w:val="20"/>
              </w:rPr>
            </w:pPr>
            <w:r w:rsidRPr="00CF5903">
              <w:rPr>
                <w:rFonts w:ascii="Arial" w:hAnsi="Arial" w:cs="Arial"/>
                <w:b/>
                <w:sz w:val="20"/>
                <w:szCs w:val="20"/>
              </w:rPr>
              <w:t>Outcome (</w:t>
            </w:r>
            <w:r w:rsidR="00A55DB7" w:rsidRPr="00040AA9">
              <w:rPr>
                <w:rFonts w:ascii="Arial" w:hAnsi="Arial" w:cs="Arial"/>
                <w:b/>
                <w:sz w:val="20"/>
                <w:szCs w:val="20"/>
              </w:rPr>
              <w:t xml:space="preserve">Result) </w:t>
            </w:r>
            <w:r w:rsidR="007A1766" w:rsidRPr="00040AA9">
              <w:rPr>
                <w:rFonts w:ascii="Arial" w:hAnsi="Arial" w:cs="Arial"/>
                <w:b/>
                <w:sz w:val="20"/>
                <w:szCs w:val="20"/>
              </w:rPr>
              <w:t>II.</w:t>
            </w:r>
            <w:r w:rsidR="00A55DB7" w:rsidRPr="00040AA9">
              <w:rPr>
                <w:rFonts w:ascii="Arial" w:hAnsi="Arial" w:cs="Arial"/>
                <w:b/>
                <w:sz w:val="20"/>
                <w:szCs w:val="20"/>
              </w:rPr>
              <w:t xml:space="preserve">3 </w:t>
            </w:r>
            <w:r w:rsidR="00A55DB7" w:rsidRPr="00040AA9">
              <w:rPr>
                <w:rFonts w:ascii="Arial" w:hAnsi="Arial" w:cs="Arial"/>
                <w:sz w:val="20"/>
                <w:szCs w:val="20"/>
              </w:rPr>
              <w:t xml:space="preserve">  </w:t>
            </w:r>
            <w:r w:rsidR="00A55DB7" w:rsidRPr="00040AA9">
              <w:rPr>
                <w:rFonts w:ascii="Arial" w:hAnsi="Arial" w:cs="Arial"/>
                <w:b/>
                <w:sz w:val="20"/>
                <w:szCs w:val="20"/>
              </w:rPr>
              <w:t>Increase General Consumption Tax (GCT) tax revenue on government purchases</w:t>
            </w:r>
          </w:p>
        </w:tc>
      </w:tr>
      <w:tr w:rsidR="00A55DB7" w:rsidRPr="00CF5903" w14:paraId="129F5905" w14:textId="77777777" w:rsidTr="00E420C4">
        <w:trPr>
          <w:trHeight w:val="494"/>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35884DC7" w14:textId="4062DCE4"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3.1</w:t>
            </w:r>
          </w:p>
          <w:p w14:paraId="53479828" w14:textId="6E3621E5" w:rsidR="00EA3F9B" w:rsidRPr="00E420C4" w:rsidRDefault="00EA3F9B" w:rsidP="00040AA9">
            <w:pPr>
              <w:suppressAutoHyphens/>
              <w:rPr>
                <w:rFonts w:ascii="Arial" w:hAnsi="Arial" w:cs="Arial"/>
                <w:sz w:val="20"/>
                <w:szCs w:val="20"/>
              </w:rPr>
            </w:pPr>
            <w:r w:rsidRPr="00E420C4">
              <w:rPr>
                <w:rFonts w:ascii="Arial" w:hAnsi="Arial" w:cs="Arial"/>
                <w:sz w:val="20"/>
                <w:szCs w:val="20"/>
              </w:rPr>
              <w:t>(As amended</w:t>
            </w:r>
            <w:r w:rsidR="001D44D2" w:rsidRPr="00E420C4">
              <w:rPr>
                <w:rFonts w:ascii="Arial" w:hAnsi="Arial" w:cs="Arial"/>
                <w:sz w:val="20"/>
                <w:szCs w:val="20"/>
              </w:rPr>
              <w:t xml:space="preserve"> – See Table 1</w:t>
            </w:r>
            <w:r w:rsidRPr="00E420C4">
              <w:rPr>
                <w:rFonts w:ascii="Arial" w:hAnsi="Arial" w:cs="Arial"/>
                <w:sz w:val="20"/>
                <w:szCs w:val="20"/>
              </w:rPr>
              <w:t>)</w:t>
            </w:r>
          </w:p>
          <w:p w14:paraId="491CA462"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GCT revenue collections </w:t>
            </w:r>
          </w:p>
          <w:p w14:paraId="6ADB1C5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 result 3)</w:t>
            </w:r>
          </w:p>
          <w:p w14:paraId="72DA2BA9" w14:textId="77777777" w:rsidR="00A55DB7" w:rsidRPr="00040AA9" w:rsidRDefault="00A55DB7" w:rsidP="00040AA9">
            <w:pPr>
              <w:suppressAutoHyphens/>
              <w:rPr>
                <w:rFonts w:ascii="Arial" w:hAnsi="Arial" w:cs="Arial"/>
                <w:sz w:val="20"/>
                <w:szCs w:val="20"/>
              </w:rPr>
            </w:pPr>
          </w:p>
          <w:p w14:paraId="7A2243B5" w14:textId="50381580" w:rsidR="00A55DB7" w:rsidRPr="00040AA9" w:rsidRDefault="00A55DB7" w:rsidP="00040AA9">
            <w:pPr>
              <w:suppressAutoHyphens/>
              <w:rPr>
                <w:rFonts w:ascii="Arial" w:hAnsi="Arial" w:cs="Arial"/>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0F8C7A2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JD$ m</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4E955D47" w14:textId="6370B769" w:rsidR="00A55DB7" w:rsidRPr="00040AA9" w:rsidRDefault="00591B28" w:rsidP="00040AA9">
            <w:pPr>
              <w:suppressAutoHyphens/>
              <w:jc w:val="center"/>
              <w:rPr>
                <w:rFonts w:ascii="Arial" w:hAnsi="Arial" w:cs="Arial"/>
                <w:sz w:val="20"/>
                <w:szCs w:val="20"/>
              </w:rPr>
            </w:pPr>
            <w:r w:rsidRPr="00040AA9">
              <w:rPr>
                <w:rFonts w:ascii="Arial" w:hAnsi="Arial" w:cs="Arial"/>
                <w:sz w:val="20"/>
                <w:szCs w:val="20"/>
              </w:rPr>
              <w:t>0</w:t>
            </w:r>
            <w:r w:rsidR="00A55DB7" w:rsidRPr="00040AA9">
              <w:rPr>
                <w:rStyle w:val="FootnoteReference"/>
                <w:rFonts w:ascii="Arial" w:hAnsi="Arial" w:cs="Arial"/>
                <w:sz w:val="20"/>
                <w:szCs w:val="20"/>
              </w:rPr>
              <w:footnoteReference w:id="55"/>
            </w:r>
          </w:p>
          <w:p w14:paraId="532842E2" w14:textId="77777777" w:rsidR="00A55DB7" w:rsidRPr="00040AA9" w:rsidRDefault="00A55DB7" w:rsidP="00040AA9">
            <w:pPr>
              <w:suppressAutoHyphens/>
              <w:jc w:val="center"/>
              <w:rPr>
                <w:rFonts w:ascii="Arial" w:hAnsi="Arial" w:cs="Arial"/>
                <w:sz w:val="20"/>
                <w:szCs w:val="20"/>
              </w:rPr>
            </w:pPr>
          </w:p>
          <w:p w14:paraId="4A9ACCFD" w14:textId="77777777" w:rsidR="00A55DB7" w:rsidRPr="00040AA9" w:rsidRDefault="00A55DB7" w:rsidP="00040AA9">
            <w:pPr>
              <w:suppressAutoHyphens/>
              <w:rPr>
                <w:rFonts w:ascii="Arial" w:hAnsi="Arial" w:cs="Arial"/>
                <w:i/>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2FB6ED8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17C382A1"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5BCB3D4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3,630</w:t>
            </w:r>
            <w:r w:rsidR="004E732A" w:rsidRPr="00040AA9">
              <w:rPr>
                <w:rStyle w:val="FootnoteReference"/>
                <w:rFonts w:ascii="Arial" w:hAnsi="Arial" w:cs="Arial"/>
                <w:sz w:val="20"/>
                <w:szCs w:val="20"/>
              </w:rPr>
              <w:footnoteReference w:id="56"/>
            </w:r>
          </w:p>
          <w:p w14:paraId="44420658" w14:textId="38EA783C" w:rsidR="008975AD" w:rsidRPr="00040AA9" w:rsidRDefault="008975AD" w:rsidP="00040AA9">
            <w:pPr>
              <w:suppressAutoHyphens/>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091F6446" w14:textId="6A840C3A"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EI: 3,</w:t>
            </w:r>
            <w:r w:rsidR="002C2C3C" w:rsidRPr="00040AA9">
              <w:rPr>
                <w:rFonts w:ascii="Arial" w:hAnsi="Arial" w:cs="Arial"/>
                <w:sz w:val="20"/>
                <w:szCs w:val="20"/>
              </w:rPr>
              <w:t>630</w:t>
            </w:r>
          </w:p>
        </w:tc>
        <w:tc>
          <w:tcPr>
            <w:tcW w:w="5374" w:type="dxa"/>
            <w:tcBorders>
              <w:top w:val="single" w:sz="4" w:space="0" w:color="auto"/>
              <w:left w:val="single" w:sz="4" w:space="0" w:color="auto"/>
              <w:bottom w:val="single" w:sz="4" w:space="0" w:color="auto"/>
              <w:right w:val="single" w:sz="4" w:space="0" w:color="auto"/>
            </w:tcBorders>
          </w:tcPr>
          <w:p w14:paraId="14568CA0" w14:textId="77777777" w:rsidR="00A55DB7" w:rsidRPr="00040AA9" w:rsidRDefault="00A55DB7" w:rsidP="00040AA9">
            <w:pPr>
              <w:keepNext/>
              <w:keepLines/>
              <w:suppressAutoHyphens/>
              <w:rPr>
                <w:rFonts w:ascii="Arial" w:hAnsi="Arial" w:cs="Arial"/>
                <w:sz w:val="20"/>
                <w:szCs w:val="20"/>
                <w:lang w:val="en-CA"/>
              </w:rPr>
            </w:pPr>
            <w:r w:rsidRPr="00040AA9">
              <w:rPr>
                <w:rFonts w:ascii="Arial" w:hAnsi="Arial" w:cs="Arial"/>
                <w:sz w:val="20"/>
                <w:szCs w:val="20"/>
                <w:lang w:val="en-CA"/>
              </w:rPr>
              <w:t xml:space="preserve">Tax Administration of Jamaica (TAJ) annual report from Tax Policy Division </w:t>
            </w:r>
          </w:p>
          <w:p w14:paraId="575D9CA2" w14:textId="77777777" w:rsidR="00A55DB7" w:rsidRPr="00040AA9" w:rsidRDefault="00A55DB7" w:rsidP="00040AA9">
            <w:pPr>
              <w:pStyle w:val="p2"/>
              <w:keepNext/>
              <w:keepLines/>
              <w:suppressAutoHyphens/>
              <w:rPr>
                <w:rFonts w:ascii="Arial" w:hAnsi="Arial" w:cs="Arial"/>
                <w:sz w:val="20"/>
                <w:szCs w:val="20"/>
              </w:rPr>
            </w:pPr>
          </w:p>
        </w:tc>
      </w:tr>
      <w:tr w:rsidR="00A55DB7" w:rsidRPr="00CF5903" w14:paraId="08B236DA"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2B734629"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00574F11"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080ED2F"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5D17EBC8"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79BD395C" w14:textId="26FE91F1"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6B4E793A"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C8D9B2F"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1F873052" w14:textId="77777777" w:rsidR="00A55DB7" w:rsidRPr="00040AA9" w:rsidRDefault="00A55DB7" w:rsidP="00040AA9">
            <w:pPr>
              <w:keepNext/>
              <w:keepLines/>
              <w:suppressAutoHyphens/>
              <w:rPr>
                <w:rFonts w:ascii="Arial" w:hAnsi="Arial" w:cs="Arial"/>
                <w:sz w:val="20"/>
                <w:szCs w:val="20"/>
              </w:rPr>
            </w:pPr>
          </w:p>
        </w:tc>
      </w:tr>
      <w:tr w:rsidR="00626171" w:rsidRPr="00CF5903" w14:paraId="466D058F" w14:textId="77777777" w:rsidTr="00E420C4">
        <w:trPr>
          <w:trHeight w:val="728"/>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37EF0570" w14:textId="77777777" w:rsidR="00626171" w:rsidRPr="00040AA9" w:rsidRDefault="00626171"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67B07506" w14:textId="77777777" w:rsidR="00626171" w:rsidRPr="00040AA9" w:rsidRDefault="00626171"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7865120" w14:textId="77777777" w:rsidR="00626171" w:rsidRPr="00040AA9" w:rsidRDefault="00626171"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76E332AE" w14:textId="77777777" w:rsidR="00626171" w:rsidRPr="00040AA9" w:rsidRDefault="00626171"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bottom"/>
          </w:tcPr>
          <w:p w14:paraId="0F319482" w14:textId="77777777" w:rsidR="00626171" w:rsidRPr="00040AA9" w:rsidRDefault="00626171" w:rsidP="00040AA9">
            <w:pPr>
              <w:suppressAutoHyphens/>
              <w:rPr>
                <w:rFonts w:ascii="Arial" w:hAnsi="Arial" w:cs="Arial"/>
                <w:sz w:val="20"/>
                <w:szCs w:val="20"/>
              </w:rPr>
            </w:pPr>
            <w:r w:rsidRPr="00040AA9">
              <w:rPr>
                <w:rFonts w:ascii="Arial" w:hAnsi="Arial" w:cs="Arial"/>
                <w:sz w:val="20"/>
                <w:szCs w:val="20"/>
              </w:rPr>
              <w:t>A</w:t>
            </w:r>
          </w:p>
          <w:p w14:paraId="051C395F" w14:textId="77777777" w:rsidR="00626171" w:rsidRPr="00040AA9" w:rsidRDefault="00626171" w:rsidP="00040AA9">
            <w:pPr>
              <w:suppressAutoHyphens/>
              <w:rPr>
                <w:rFonts w:ascii="Arial" w:hAnsi="Arial" w:cs="Arial"/>
                <w:sz w:val="20"/>
                <w:szCs w:val="20"/>
              </w:rPr>
            </w:pPr>
          </w:p>
        </w:tc>
        <w:tc>
          <w:tcPr>
            <w:tcW w:w="1080" w:type="dxa"/>
            <w:tcBorders>
              <w:top w:val="single" w:sz="4" w:space="0" w:color="auto"/>
              <w:left w:val="single" w:sz="4" w:space="0" w:color="auto"/>
              <w:right w:val="single" w:sz="4" w:space="0" w:color="auto"/>
            </w:tcBorders>
            <w:vAlign w:val="bottom"/>
          </w:tcPr>
          <w:p w14:paraId="35676CF2" w14:textId="77777777" w:rsidR="008975AD" w:rsidRPr="00040AA9" w:rsidRDefault="008975AD" w:rsidP="00040AA9">
            <w:pPr>
              <w:suppressAutoHyphens/>
              <w:rPr>
                <w:rFonts w:ascii="Arial" w:hAnsi="Arial" w:cs="Arial"/>
                <w:sz w:val="20"/>
                <w:szCs w:val="20"/>
              </w:rPr>
            </w:pPr>
          </w:p>
          <w:p w14:paraId="73BC671B" w14:textId="77777777" w:rsidR="00626171" w:rsidRPr="00040AA9" w:rsidRDefault="00626171" w:rsidP="00040AA9">
            <w:pPr>
              <w:suppressAutoHyphens/>
              <w:rPr>
                <w:rFonts w:ascii="Arial" w:hAnsi="Arial" w:cs="Arial"/>
                <w:sz w:val="20"/>
                <w:szCs w:val="20"/>
              </w:rPr>
            </w:pPr>
            <w:r w:rsidRPr="00040AA9">
              <w:rPr>
                <w:rFonts w:ascii="Arial" w:hAnsi="Arial" w:cs="Arial"/>
                <w:sz w:val="20"/>
                <w:szCs w:val="20"/>
              </w:rPr>
              <w:t>11,700</w:t>
            </w:r>
          </w:p>
          <w:p w14:paraId="26D1A43D" w14:textId="41A6E869" w:rsidR="00626171" w:rsidRPr="00040AA9" w:rsidRDefault="00406A35" w:rsidP="00040AA9">
            <w:pPr>
              <w:suppressAutoHyphens/>
              <w:rPr>
                <w:rFonts w:ascii="Arial" w:hAnsi="Arial" w:cs="Arial"/>
                <w:sz w:val="20"/>
                <w:szCs w:val="20"/>
                <w:highlight w:val="yellow"/>
              </w:rPr>
            </w:pPr>
            <w:r w:rsidRPr="00040AA9">
              <w:rPr>
                <w:rFonts w:ascii="Arial" w:hAnsi="Arial" w:cs="Arial"/>
                <w:sz w:val="20"/>
                <w:szCs w:val="20"/>
              </w:rPr>
              <w:t>(2015/16)</w:t>
            </w:r>
          </w:p>
        </w:tc>
        <w:tc>
          <w:tcPr>
            <w:tcW w:w="1203" w:type="dxa"/>
            <w:gridSpan w:val="2"/>
            <w:tcBorders>
              <w:top w:val="single" w:sz="4" w:space="0" w:color="auto"/>
              <w:left w:val="single" w:sz="4" w:space="0" w:color="auto"/>
              <w:right w:val="single" w:sz="4" w:space="0" w:color="auto"/>
            </w:tcBorders>
            <w:vAlign w:val="center"/>
          </w:tcPr>
          <w:p w14:paraId="3B2ED046" w14:textId="0DF8D5E4" w:rsidR="00406A35" w:rsidRPr="00040AA9" w:rsidRDefault="00406A35" w:rsidP="00040AA9">
            <w:pPr>
              <w:keepNext/>
              <w:keepLines/>
              <w:suppressAutoHyphens/>
              <w:rPr>
                <w:rFonts w:ascii="Arial" w:hAnsi="Arial" w:cs="Arial"/>
                <w:sz w:val="20"/>
                <w:szCs w:val="20"/>
              </w:rPr>
            </w:pPr>
            <w:r w:rsidRPr="00040AA9">
              <w:rPr>
                <w:rFonts w:ascii="Arial" w:hAnsi="Arial" w:cs="Arial"/>
                <w:sz w:val="20"/>
                <w:szCs w:val="20"/>
              </w:rPr>
              <w:t>AI: 11,700</w:t>
            </w:r>
          </w:p>
          <w:p w14:paraId="1E3231BF" w14:textId="77777777" w:rsidR="00406A35" w:rsidRPr="00040AA9" w:rsidRDefault="00406A35" w:rsidP="00040AA9">
            <w:pPr>
              <w:keepNext/>
              <w:keepLines/>
              <w:suppressAutoHyphens/>
              <w:rPr>
                <w:rFonts w:ascii="Arial" w:hAnsi="Arial" w:cs="Arial"/>
                <w:i/>
                <w:sz w:val="20"/>
                <w:szCs w:val="20"/>
              </w:rPr>
            </w:pPr>
          </w:p>
          <w:p w14:paraId="141E4284" w14:textId="77777777" w:rsidR="00626171" w:rsidRPr="00040AA9" w:rsidRDefault="00626171" w:rsidP="00040AA9">
            <w:pPr>
              <w:keepNext/>
              <w:keepLines/>
              <w:suppressAutoHyphens/>
              <w:rPr>
                <w:rFonts w:ascii="Arial" w:hAnsi="Arial" w:cs="Arial"/>
                <w:i/>
                <w:sz w:val="20"/>
                <w:szCs w:val="20"/>
              </w:rPr>
            </w:pPr>
            <w:r w:rsidRPr="00040AA9">
              <w:rPr>
                <w:rFonts w:ascii="Arial" w:hAnsi="Arial" w:cs="Arial"/>
                <w:i/>
                <w:sz w:val="20"/>
                <w:szCs w:val="20"/>
              </w:rPr>
              <w:t>=&gt;322%</w:t>
            </w:r>
          </w:p>
          <w:p w14:paraId="18B6FA84" w14:textId="5C71E12F" w:rsidR="00626171" w:rsidRPr="00040AA9" w:rsidRDefault="00626171" w:rsidP="00040AA9">
            <w:pPr>
              <w:keepNext/>
              <w:keepLines/>
              <w:suppressAutoHyphens/>
              <w:rPr>
                <w:rFonts w:ascii="Arial" w:hAnsi="Arial" w:cs="Arial"/>
                <w:sz w:val="20"/>
                <w:szCs w:val="20"/>
                <w:highlight w:val="yellow"/>
              </w:rPr>
            </w:pPr>
          </w:p>
        </w:tc>
        <w:tc>
          <w:tcPr>
            <w:tcW w:w="5374" w:type="dxa"/>
            <w:tcBorders>
              <w:top w:val="single" w:sz="4" w:space="0" w:color="auto"/>
              <w:left w:val="single" w:sz="4" w:space="0" w:color="auto"/>
              <w:right w:val="single" w:sz="4" w:space="0" w:color="auto"/>
            </w:tcBorders>
          </w:tcPr>
          <w:p w14:paraId="675662FF" w14:textId="77777777" w:rsidR="00626171" w:rsidRPr="00040AA9" w:rsidRDefault="00626171" w:rsidP="00040AA9">
            <w:pPr>
              <w:keepNext/>
              <w:keepLines/>
              <w:suppressAutoHyphens/>
              <w:rPr>
                <w:rFonts w:ascii="Arial" w:hAnsi="Arial" w:cs="Arial"/>
                <w:sz w:val="20"/>
                <w:szCs w:val="20"/>
              </w:rPr>
            </w:pPr>
            <w:r w:rsidRPr="00040AA9">
              <w:rPr>
                <w:rFonts w:ascii="Arial" w:hAnsi="Arial" w:cs="Arial"/>
                <w:sz w:val="20"/>
                <w:szCs w:val="20"/>
              </w:rPr>
              <w:t xml:space="preserve">TAJ Special Tax Data Report prepared for PCR team in May 2017 provided the following information: </w:t>
            </w:r>
          </w:p>
          <w:p w14:paraId="50FB3368" w14:textId="74C48388" w:rsidR="00626171" w:rsidRPr="00040AA9" w:rsidRDefault="00626171" w:rsidP="00040AA9">
            <w:pPr>
              <w:keepNext/>
              <w:keepLines/>
              <w:suppressAutoHyphens/>
              <w:rPr>
                <w:rFonts w:ascii="Arial" w:hAnsi="Arial" w:cs="Arial"/>
                <w:sz w:val="20"/>
                <w:szCs w:val="20"/>
              </w:rPr>
            </w:pPr>
            <w:r w:rsidRPr="00040AA9">
              <w:rPr>
                <w:rFonts w:ascii="Arial" w:hAnsi="Arial" w:cs="Arial"/>
                <w:sz w:val="20"/>
                <w:szCs w:val="20"/>
              </w:rPr>
              <w:t xml:space="preserve">“214 Government entities withheld GCT of </w:t>
            </w:r>
            <w:r w:rsidRPr="00040AA9">
              <w:rPr>
                <w:rFonts w:ascii="Arial" w:hAnsi="Arial" w:cs="Arial"/>
                <w:b/>
                <w:bCs/>
                <w:sz w:val="20"/>
                <w:szCs w:val="20"/>
              </w:rPr>
              <w:t>$11.7B</w:t>
            </w:r>
            <w:r w:rsidRPr="00040AA9">
              <w:rPr>
                <w:rFonts w:ascii="Arial" w:hAnsi="Arial" w:cs="Arial"/>
                <w:sz w:val="20"/>
                <w:szCs w:val="20"/>
              </w:rPr>
              <w:t xml:space="preserve">, re taxable Supplies of </w:t>
            </w:r>
            <w:r w:rsidRPr="00040AA9">
              <w:rPr>
                <w:rFonts w:ascii="Arial" w:hAnsi="Arial" w:cs="Arial"/>
                <w:b/>
                <w:bCs/>
                <w:sz w:val="20"/>
                <w:szCs w:val="20"/>
              </w:rPr>
              <w:t xml:space="preserve">$76.11B </w:t>
            </w:r>
            <w:r w:rsidRPr="00040AA9">
              <w:rPr>
                <w:rFonts w:ascii="Arial" w:hAnsi="Arial" w:cs="Arial"/>
                <w:sz w:val="20"/>
                <w:szCs w:val="20"/>
              </w:rPr>
              <w:t>per last two financial years”.</w:t>
            </w:r>
            <w:r w:rsidRPr="00040AA9">
              <w:rPr>
                <w:rStyle w:val="FootnoteReference"/>
                <w:rFonts w:ascii="Arial" w:hAnsi="Arial" w:cs="Arial"/>
                <w:sz w:val="20"/>
                <w:szCs w:val="20"/>
              </w:rPr>
              <w:footnoteReference w:id="57"/>
            </w:r>
            <w:r w:rsidRPr="00040AA9">
              <w:rPr>
                <w:rFonts w:ascii="Arial" w:hAnsi="Arial" w:cs="Arial"/>
                <w:sz w:val="20"/>
                <w:szCs w:val="20"/>
              </w:rPr>
              <w:t> </w:t>
            </w:r>
          </w:p>
        </w:tc>
      </w:tr>
      <w:tr w:rsidR="00A55DB7" w:rsidRPr="00CF5903" w14:paraId="75F8F5BE" w14:textId="77777777" w:rsidTr="00040AA9">
        <w:trPr>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7B1F75" w14:textId="7833A38A" w:rsidR="00A55DB7" w:rsidRPr="00040AA9" w:rsidRDefault="00A55DB7" w:rsidP="00040AA9">
            <w:pPr>
              <w:suppressAutoHyphens/>
              <w:rPr>
                <w:rFonts w:ascii="Arial" w:hAnsi="Arial" w:cs="Arial"/>
                <w:sz w:val="20"/>
                <w:szCs w:val="20"/>
                <w:lang w:val="en-CA"/>
              </w:rPr>
            </w:pPr>
            <w:r w:rsidRPr="00040AA9">
              <w:rPr>
                <w:rFonts w:ascii="Arial" w:hAnsi="Arial" w:cs="Arial"/>
                <w:b/>
                <w:sz w:val="20"/>
                <w:szCs w:val="20"/>
              </w:rPr>
              <w:t xml:space="preserve">Outcome (Result) </w:t>
            </w:r>
            <w:r w:rsidR="007A1766" w:rsidRPr="00040AA9">
              <w:rPr>
                <w:rFonts w:ascii="Arial" w:hAnsi="Arial" w:cs="Arial"/>
                <w:b/>
                <w:sz w:val="20"/>
                <w:szCs w:val="20"/>
              </w:rPr>
              <w:t>II.</w:t>
            </w:r>
            <w:r w:rsidRPr="00040AA9">
              <w:rPr>
                <w:rFonts w:ascii="Arial" w:hAnsi="Arial" w:cs="Arial"/>
                <w:b/>
                <w:sz w:val="20"/>
                <w:szCs w:val="20"/>
              </w:rPr>
              <w:t>4 Decrease Corporate Income Tax (CIT) tax revenue for unregulated companies</w:t>
            </w:r>
          </w:p>
        </w:tc>
      </w:tr>
      <w:tr w:rsidR="00A55DB7" w:rsidRPr="00CF5903" w14:paraId="64484C74" w14:textId="77777777" w:rsidTr="00E420C4">
        <w:trPr>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hideMark/>
          </w:tcPr>
          <w:p w14:paraId="6AF86997" w14:textId="2BC0FE3B"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4.1</w:t>
            </w:r>
          </w:p>
          <w:p w14:paraId="56F7B18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CIT revenue collections</w:t>
            </w:r>
          </w:p>
          <w:p w14:paraId="776262A1"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 result 4)</w:t>
            </w:r>
          </w:p>
          <w:p w14:paraId="146EAB7C" w14:textId="77777777" w:rsidR="00A55DB7" w:rsidRPr="00040AA9" w:rsidRDefault="00A55DB7" w:rsidP="00040AA9">
            <w:pPr>
              <w:suppressAutoHyphens/>
              <w:rPr>
                <w:rFonts w:ascii="Arial" w:hAnsi="Arial" w:cs="Arial"/>
                <w:sz w:val="20"/>
                <w:szCs w:val="20"/>
              </w:rPr>
            </w:pPr>
          </w:p>
          <w:p w14:paraId="74B56439" w14:textId="1090E322" w:rsidR="00A55DB7" w:rsidRPr="00040AA9" w:rsidRDefault="00A55DB7" w:rsidP="00040AA9">
            <w:pPr>
              <w:suppressAutoHyphens/>
              <w:rPr>
                <w:rFonts w:ascii="Arial" w:hAnsi="Arial" w:cs="Arial"/>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6DD2D70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JD$</w:t>
            </w:r>
          </w:p>
          <w:p w14:paraId="4C90900C"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million</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60F2E81C"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29,556</w:t>
            </w:r>
          </w:p>
          <w:p w14:paraId="07B2BE7A" w14:textId="4BF8BDB8"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(per</w:t>
            </w:r>
            <w:r w:rsidR="00FF0AFC" w:rsidRPr="00040AA9">
              <w:rPr>
                <w:rFonts w:ascii="Arial" w:hAnsi="Arial" w:cs="Arial"/>
                <w:sz w:val="20"/>
                <w:szCs w:val="20"/>
              </w:rPr>
              <w:t xml:space="preserve"> </w:t>
            </w:r>
            <w:r w:rsidRPr="00040AA9">
              <w:rPr>
                <w:rFonts w:ascii="Arial" w:hAnsi="Arial" w:cs="Arial"/>
                <w:sz w:val="20"/>
                <w:szCs w:val="20"/>
              </w:rPr>
              <w:t>FSPG I)</w:t>
            </w:r>
            <w:r w:rsidRPr="00040AA9">
              <w:rPr>
                <w:rStyle w:val="FootnoteReference"/>
                <w:rFonts w:ascii="Arial" w:hAnsi="Arial" w:cs="Arial"/>
                <w:sz w:val="20"/>
                <w:szCs w:val="20"/>
              </w:rPr>
              <w:footnoteReference w:id="58"/>
            </w:r>
          </w:p>
          <w:p w14:paraId="6F41FC79" w14:textId="77777777" w:rsidR="00A55DB7" w:rsidRPr="00040AA9" w:rsidRDefault="00A55DB7" w:rsidP="00040AA9">
            <w:pPr>
              <w:suppressAutoHyphens/>
              <w:jc w:val="center"/>
              <w:rPr>
                <w:rFonts w:ascii="Arial" w:hAnsi="Arial" w:cs="Arial"/>
                <w:sz w:val="20"/>
                <w:szCs w:val="20"/>
              </w:rPr>
            </w:pPr>
          </w:p>
          <w:p w14:paraId="517FA9F6" w14:textId="77777777" w:rsidR="00A55DB7" w:rsidRPr="00040AA9" w:rsidRDefault="00A55DB7" w:rsidP="00040AA9">
            <w:pPr>
              <w:suppressAutoHyphens/>
              <w:jc w:val="center"/>
              <w:rPr>
                <w:rFonts w:ascii="Arial" w:hAnsi="Arial" w:cs="Arial"/>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29A833E3"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hideMark/>
          </w:tcPr>
          <w:p w14:paraId="34DB460F"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5B1B88EF"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29,036</w:t>
            </w:r>
          </w:p>
          <w:p w14:paraId="4A6130B6"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(2015/16)</w:t>
            </w:r>
          </w:p>
        </w:tc>
        <w:tc>
          <w:tcPr>
            <w:tcW w:w="1203" w:type="dxa"/>
            <w:gridSpan w:val="2"/>
            <w:tcBorders>
              <w:left w:val="single" w:sz="4" w:space="0" w:color="auto"/>
              <w:bottom w:val="single" w:sz="4" w:space="0" w:color="auto"/>
              <w:right w:val="single" w:sz="4" w:space="0" w:color="auto"/>
            </w:tcBorders>
            <w:vAlign w:val="center"/>
          </w:tcPr>
          <w:p w14:paraId="0D968193"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EI:-6,762</w:t>
            </w:r>
          </w:p>
        </w:tc>
        <w:tc>
          <w:tcPr>
            <w:tcW w:w="5374" w:type="dxa"/>
            <w:tcBorders>
              <w:top w:val="single" w:sz="4" w:space="0" w:color="auto"/>
              <w:left w:val="single" w:sz="4" w:space="0" w:color="auto"/>
              <w:bottom w:val="single" w:sz="4" w:space="0" w:color="auto"/>
              <w:right w:val="single" w:sz="4" w:space="0" w:color="auto"/>
            </w:tcBorders>
          </w:tcPr>
          <w:p w14:paraId="61F59481"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lang w:val="en-CA"/>
              </w:rPr>
              <w:t>Tax Administration of Jamaica (TAJ) annual report from Tax Policy Division</w:t>
            </w:r>
          </w:p>
        </w:tc>
      </w:tr>
      <w:tr w:rsidR="00A55DB7" w:rsidRPr="00CF5903" w14:paraId="3840E165"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44A9E1DF"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444AF8C9"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B370985"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974E644"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74B2AC52"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589BC08"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0FFF244C"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4A204396" w14:textId="77777777" w:rsidR="00A55DB7" w:rsidRPr="00040AA9" w:rsidRDefault="00A55DB7" w:rsidP="00040AA9">
            <w:pPr>
              <w:suppressAutoHyphens/>
              <w:rPr>
                <w:rFonts w:ascii="Arial" w:hAnsi="Arial" w:cs="Arial"/>
                <w:sz w:val="20"/>
                <w:szCs w:val="20"/>
              </w:rPr>
            </w:pPr>
          </w:p>
        </w:tc>
      </w:tr>
      <w:tr w:rsidR="00A55DB7" w:rsidRPr="00CF5903" w14:paraId="3F8ED62C" w14:textId="77777777" w:rsidTr="00E420C4">
        <w:trPr>
          <w:trHeight w:val="1259"/>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2C13B556"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0B206F53"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65B76C6"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2DE88FE7"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4DE56211"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73EFF526"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42,282</w:t>
            </w:r>
          </w:p>
          <w:p w14:paraId="579C9DE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(2015/16)</w:t>
            </w:r>
          </w:p>
          <w:p w14:paraId="2E6189F2" w14:textId="77777777" w:rsidR="00A55DB7" w:rsidRPr="00040AA9" w:rsidRDefault="00A55DB7" w:rsidP="00040AA9">
            <w:pPr>
              <w:suppressAutoHyphens/>
              <w:rPr>
                <w:rFonts w:ascii="Arial" w:hAnsi="Arial" w:cs="Arial"/>
                <w:sz w:val="20"/>
                <w:szCs w:val="20"/>
              </w:rPr>
            </w:pPr>
          </w:p>
          <w:p w14:paraId="6EF5CE25"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66F25B59"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AI:+6,484</w:t>
            </w:r>
          </w:p>
          <w:p w14:paraId="7AA7538C" w14:textId="77777777" w:rsidR="00A55DB7" w:rsidRPr="00040AA9" w:rsidRDefault="00A55DB7" w:rsidP="00040AA9">
            <w:pPr>
              <w:suppressAutoHyphens/>
              <w:rPr>
                <w:rFonts w:ascii="Arial" w:hAnsi="Arial" w:cs="Arial"/>
                <w:sz w:val="20"/>
                <w:szCs w:val="20"/>
              </w:rPr>
            </w:pPr>
          </w:p>
          <w:p w14:paraId="003D297C" w14:textId="77777777" w:rsidR="00A55DB7" w:rsidRPr="00040AA9" w:rsidRDefault="00A55DB7" w:rsidP="00040AA9">
            <w:pPr>
              <w:suppressAutoHyphens/>
              <w:rPr>
                <w:rFonts w:ascii="Arial" w:hAnsi="Arial" w:cs="Arial"/>
                <w:i/>
                <w:sz w:val="20"/>
                <w:szCs w:val="20"/>
              </w:rPr>
            </w:pPr>
            <w:r w:rsidRPr="00040AA9">
              <w:rPr>
                <w:rFonts w:ascii="Arial" w:hAnsi="Arial" w:cs="Arial"/>
                <w:i/>
                <w:sz w:val="20"/>
                <w:szCs w:val="20"/>
              </w:rPr>
              <w:t>=&gt;0%</w:t>
            </w:r>
          </w:p>
          <w:p w14:paraId="456D24D5" w14:textId="6FAC8C9C" w:rsidR="00A55DB7" w:rsidRPr="00040AA9" w:rsidRDefault="00435749" w:rsidP="00040AA9">
            <w:pPr>
              <w:suppressAutoHyphens/>
              <w:rPr>
                <w:rFonts w:ascii="Arial" w:hAnsi="Arial" w:cs="Arial"/>
                <w:i/>
                <w:sz w:val="20"/>
                <w:szCs w:val="20"/>
              </w:rPr>
            </w:pPr>
            <w:r w:rsidRPr="00CF5903">
              <w:rPr>
                <w:rFonts w:ascii="Arial" w:hAnsi="Arial" w:cs="Arial"/>
                <w:i/>
                <w:sz w:val="20"/>
                <w:szCs w:val="20"/>
              </w:rPr>
              <w:t>achieved as</w:t>
            </w:r>
            <w:r w:rsidR="00A55DB7" w:rsidRPr="00040AA9">
              <w:rPr>
                <w:rFonts w:ascii="Arial" w:hAnsi="Arial" w:cs="Arial"/>
                <w:i/>
                <w:sz w:val="20"/>
                <w:szCs w:val="20"/>
              </w:rPr>
              <w:t xml:space="preserve"> indicator went up not down</w:t>
            </w:r>
          </w:p>
        </w:tc>
        <w:tc>
          <w:tcPr>
            <w:tcW w:w="5374" w:type="dxa"/>
            <w:tcBorders>
              <w:top w:val="single" w:sz="4" w:space="0" w:color="auto"/>
              <w:left w:val="single" w:sz="4" w:space="0" w:color="auto"/>
              <w:bottom w:val="single" w:sz="4" w:space="0" w:color="auto"/>
              <w:right w:val="single" w:sz="4" w:space="0" w:color="auto"/>
            </w:tcBorders>
          </w:tcPr>
          <w:p w14:paraId="072ACE5C" w14:textId="227ECA68"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Based on monthly </w:t>
            </w:r>
            <w:proofErr w:type="spellStart"/>
            <w:r w:rsidRPr="00040AA9">
              <w:rPr>
                <w:rFonts w:ascii="Arial" w:hAnsi="Arial" w:cs="Arial"/>
                <w:sz w:val="20"/>
                <w:szCs w:val="20"/>
              </w:rPr>
              <w:t>MoF</w:t>
            </w:r>
            <w:proofErr w:type="spellEnd"/>
            <w:r w:rsidRPr="00040AA9">
              <w:rPr>
                <w:rFonts w:ascii="Arial" w:hAnsi="Arial" w:cs="Arial"/>
                <w:sz w:val="20"/>
                <w:szCs w:val="20"/>
              </w:rPr>
              <w:t xml:space="preserve"> revenue data as compiled by Jorge Baca</w:t>
            </w:r>
            <w:r w:rsidRPr="00040AA9">
              <w:rPr>
                <w:rStyle w:val="FootnoteReference"/>
                <w:rFonts w:ascii="Arial" w:hAnsi="Arial" w:cs="Arial"/>
                <w:sz w:val="20"/>
                <w:szCs w:val="20"/>
              </w:rPr>
              <w:footnoteReference w:id="59"/>
            </w:r>
          </w:p>
          <w:p w14:paraId="103B4C28" w14:textId="77777777" w:rsidR="00A55DB7" w:rsidRPr="00040AA9" w:rsidRDefault="00A55DB7" w:rsidP="00040AA9">
            <w:pPr>
              <w:suppressAutoHyphens/>
              <w:rPr>
                <w:rFonts w:ascii="Arial" w:hAnsi="Arial" w:cs="Arial"/>
                <w:sz w:val="20"/>
                <w:szCs w:val="20"/>
              </w:rPr>
            </w:pPr>
          </w:p>
        </w:tc>
      </w:tr>
      <w:tr w:rsidR="00A55DB7" w:rsidRPr="00CF5903" w14:paraId="5D272C35" w14:textId="77777777" w:rsidTr="00040AA9">
        <w:trPr>
          <w:trHeight w:val="21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BB2675" w14:textId="7015D1C7" w:rsidR="00A55DB7" w:rsidRPr="00040AA9" w:rsidRDefault="00A55DB7" w:rsidP="00040AA9">
            <w:pPr>
              <w:keepNext/>
              <w:keepLines/>
              <w:suppressAutoHyphens/>
              <w:rPr>
                <w:rFonts w:ascii="Arial" w:hAnsi="Arial" w:cs="Arial"/>
                <w:sz w:val="20"/>
                <w:szCs w:val="20"/>
              </w:rPr>
            </w:pPr>
            <w:r w:rsidRPr="00040AA9">
              <w:rPr>
                <w:rFonts w:ascii="Arial" w:hAnsi="Arial" w:cs="Arial"/>
                <w:b/>
                <w:sz w:val="20"/>
                <w:szCs w:val="20"/>
              </w:rPr>
              <w:t xml:space="preserve">Outcome (Result) </w:t>
            </w:r>
            <w:r w:rsidR="007A1766" w:rsidRPr="00040AA9">
              <w:rPr>
                <w:rFonts w:ascii="Arial" w:hAnsi="Arial" w:cs="Arial"/>
                <w:b/>
                <w:sz w:val="20"/>
                <w:szCs w:val="20"/>
              </w:rPr>
              <w:t>II.</w:t>
            </w:r>
            <w:r w:rsidRPr="00040AA9">
              <w:rPr>
                <w:rFonts w:ascii="Arial" w:hAnsi="Arial" w:cs="Arial"/>
                <w:b/>
                <w:sz w:val="20"/>
                <w:szCs w:val="20"/>
              </w:rPr>
              <w:t>5 Savings increase through the employment tax credit to foster economic growth</w:t>
            </w:r>
          </w:p>
        </w:tc>
      </w:tr>
      <w:tr w:rsidR="00A55DB7" w:rsidRPr="00CF5903" w14:paraId="61B3C6E8" w14:textId="77777777" w:rsidTr="00E420C4">
        <w:trPr>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hideMark/>
          </w:tcPr>
          <w:p w14:paraId="42D7D960" w14:textId="005DA05A" w:rsidR="00A55DB7" w:rsidRPr="00040AA9" w:rsidRDefault="00A55DB7" w:rsidP="00040AA9">
            <w:pPr>
              <w:suppressAutoHyphens/>
              <w:rPr>
                <w:rFonts w:ascii="Arial" w:hAnsi="Arial" w:cs="Arial"/>
                <w:sz w:val="20"/>
                <w:szCs w:val="20"/>
              </w:rPr>
            </w:pPr>
            <w:r w:rsidRPr="00040AA9">
              <w:rPr>
                <w:rFonts w:ascii="Arial" w:hAnsi="Arial" w:cs="Arial"/>
                <w:sz w:val="20"/>
                <w:szCs w:val="20"/>
              </w:rPr>
              <w:t>Indicator</w:t>
            </w:r>
            <w:r w:rsidR="00754E18" w:rsidRPr="00040AA9">
              <w:rPr>
                <w:rFonts w:ascii="Arial" w:hAnsi="Arial" w:cs="Arial"/>
                <w:sz w:val="20"/>
                <w:szCs w:val="20"/>
              </w:rPr>
              <w:t xml:space="preserve"> II.</w:t>
            </w:r>
            <w:r w:rsidRPr="00040AA9">
              <w:rPr>
                <w:rFonts w:ascii="Arial" w:hAnsi="Arial" w:cs="Arial"/>
                <w:sz w:val="20"/>
                <w:szCs w:val="20"/>
              </w:rPr>
              <w:t xml:space="preserve"> 5.1</w:t>
            </w:r>
          </w:p>
          <w:p w14:paraId="6DBB15D5" w14:textId="51082A6C"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Total savings in </w:t>
            </w:r>
            <w:r w:rsidR="00E420C4" w:rsidRPr="00040AA9">
              <w:rPr>
                <w:rFonts w:ascii="Arial" w:hAnsi="Arial" w:cs="Arial"/>
                <w:sz w:val="20"/>
                <w:szCs w:val="20"/>
              </w:rPr>
              <w:t>labor</w:t>
            </w:r>
            <w:r w:rsidRPr="00040AA9">
              <w:rPr>
                <w:rFonts w:ascii="Arial" w:hAnsi="Arial" w:cs="Arial"/>
                <w:sz w:val="20"/>
                <w:szCs w:val="20"/>
              </w:rPr>
              <w:t xml:space="preserve"> costs expected for employers </w:t>
            </w:r>
          </w:p>
          <w:p w14:paraId="3D41840A"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 result 5)</w:t>
            </w:r>
          </w:p>
          <w:p w14:paraId="1573509F" w14:textId="77777777" w:rsidR="00A55DB7" w:rsidRPr="00040AA9" w:rsidRDefault="00A55DB7" w:rsidP="00040AA9">
            <w:pPr>
              <w:suppressAutoHyphens/>
              <w:rPr>
                <w:rFonts w:ascii="Arial" w:hAnsi="Arial" w:cs="Arial"/>
                <w:sz w:val="20"/>
                <w:szCs w:val="20"/>
              </w:rPr>
            </w:pPr>
          </w:p>
          <w:p w14:paraId="03E8A734" w14:textId="77777777" w:rsidR="00A55DB7" w:rsidRPr="00040AA9" w:rsidRDefault="00A55DB7" w:rsidP="00040AA9">
            <w:pPr>
              <w:suppressAutoHyphens/>
              <w:rPr>
                <w:rFonts w:ascii="Arial" w:hAnsi="Arial" w:cs="Arial"/>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0F63154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JD$</w:t>
            </w:r>
          </w:p>
          <w:p w14:paraId="67346F7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million</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61A592FB"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0</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28048419"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hideMark/>
          </w:tcPr>
          <w:p w14:paraId="504C6F8C"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1F603E1B"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3,078</w:t>
            </w:r>
          </w:p>
          <w:p w14:paraId="4A3B4908"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F6D8CB9" w14:textId="77777777" w:rsidR="00A55DB7" w:rsidRPr="00040AA9" w:rsidRDefault="00A55DB7" w:rsidP="00040AA9">
            <w:pPr>
              <w:suppressAutoHyphens/>
              <w:jc w:val="center"/>
              <w:rPr>
                <w:rFonts w:ascii="Arial" w:hAnsi="Arial" w:cs="Arial"/>
                <w:sz w:val="20"/>
                <w:szCs w:val="20"/>
              </w:rPr>
            </w:pPr>
          </w:p>
          <w:p w14:paraId="08BC86BA" w14:textId="499B3F46" w:rsidR="00A55DB7" w:rsidRPr="00040AA9" w:rsidRDefault="00435749" w:rsidP="00040AA9">
            <w:pPr>
              <w:suppressAutoHyphens/>
              <w:rPr>
                <w:rFonts w:ascii="Arial" w:hAnsi="Arial" w:cs="Arial"/>
                <w:sz w:val="20"/>
                <w:szCs w:val="20"/>
              </w:rPr>
            </w:pPr>
            <w:r w:rsidRPr="00CF5903">
              <w:rPr>
                <w:rFonts w:ascii="Arial" w:hAnsi="Arial" w:cs="Arial"/>
                <w:sz w:val="20"/>
                <w:szCs w:val="20"/>
              </w:rPr>
              <w:t>EI: 3,078</w:t>
            </w:r>
          </w:p>
        </w:tc>
        <w:tc>
          <w:tcPr>
            <w:tcW w:w="5374" w:type="dxa"/>
            <w:tcBorders>
              <w:top w:val="single" w:sz="4" w:space="0" w:color="auto"/>
              <w:left w:val="single" w:sz="4" w:space="0" w:color="auto"/>
              <w:bottom w:val="single" w:sz="4" w:space="0" w:color="auto"/>
              <w:right w:val="single" w:sz="4" w:space="0" w:color="auto"/>
            </w:tcBorders>
          </w:tcPr>
          <w:p w14:paraId="4389482A"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lang w:val="en-CA"/>
              </w:rPr>
              <w:t>Tax Administration of Jamaica (TAJ) annual report from the Tax Policy Division</w:t>
            </w:r>
          </w:p>
        </w:tc>
      </w:tr>
      <w:tr w:rsidR="00A55DB7" w:rsidRPr="00CF5903" w14:paraId="1E43BFF2"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48E2A419"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39BE298D"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F4CD13A"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1037117"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0C16631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51E413C4"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35D718B3"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17DB6458" w14:textId="77777777" w:rsidR="00A55DB7" w:rsidRPr="00040AA9" w:rsidRDefault="00A55DB7" w:rsidP="00040AA9">
            <w:pPr>
              <w:keepNext/>
              <w:keepLines/>
              <w:suppressAutoHyphens/>
              <w:rPr>
                <w:rFonts w:ascii="Arial" w:hAnsi="Arial" w:cs="Arial"/>
                <w:sz w:val="20"/>
                <w:szCs w:val="20"/>
              </w:rPr>
            </w:pPr>
          </w:p>
        </w:tc>
      </w:tr>
      <w:tr w:rsidR="00A55DB7" w:rsidRPr="00CF5903" w14:paraId="1F15ACD3" w14:textId="77777777" w:rsidTr="00D60FB9">
        <w:trPr>
          <w:trHeight w:val="269"/>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28277285"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0C61165C"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3A38A30"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33F900D8"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72A23B2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54C43B75" w14:textId="77777777" w:rsidR="00A55DB7" w:rsidRPr="00040AA9" w:rsidRDefault="00A55DB7" w:rsidP="00040AA9">
            <w:pPr>
              <w:suppressAutoHyphens/>
              <w:rPr>
                <w:rFonts w:ascii="Arial" w:hAnsi="Arial" w:cs="Arial"/>
                <w:sz w:val="20"/>
                <w:szCs w:val="20"/>
              </w:rPr>
            </w:pPr>
          </w:p>
          <w:p w14:paraId="0729CDC0" w14:textId="77777777" w:rsidR="00A55DB7" w:rsidRPr="00040AA9" w:rsidRDefault="00A55DB7" w:rsidP="00040AA9">
            <w:pPr>
              <w:suppressAutoHyphens/>
              <w:rPr>
                <w:rFonts w:ascii="Arial" w:hAnsi="Arial" w:cs="Arial"/>
                <w:sz w:val="20"/>
                <w:szCs w:val="20"/>
              </w:rPr>
            </w:pPr>
          </w:p>
          <w:p w14:paraId="69C6F4D9"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4,393</w:t>
            </w:r>
          </w:p>
          <w:p w14:paraId="10AC083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(Weighted average for FY 2015/16)</w:t>
            </w: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32C40896"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AI: 4,393</w:t>
            </w:r>
          </w:p>
          <w:p w14:paraId="258A3DD5" w14:textId="77777777" w:rsidR="00A55DB7" w:rsidRPr="00040AA9" w:rsidRDefault="00A55DB7" w:rsidP="00040AA9">
            <w:pPr>
              <w:suppressAutoHyphens/>
              <w:jc w:val="center"/>
              <w:rPr>
                <w:rFonts w:ascii="Arial" w:hAnsi="Arial" w:cs="Arial"/>
                <w:sz w:val="20"/>
                <w:szCs w:val="20"/>
              </w:rPr>
            </w:pPr>
          </w:p>
          <w:p w14:paraId="4372D7F7" w14:textId="77777777" w:rsidR="00A55DB7" w:rsidRPr="00040AA9" w:rsidRDefault="00A55DB7" w:rsidP="00040AA9">
            <w:pPr>
              <w:suppressAutoHyphens/>
              <w:jc w:val="center"/>
              <w:rPr>
                <w:rFonts w:ascii="Arial" w:hAnsi="Arial" w:cs="Arial"/>
                <w:i/>
                <w:sz w:val="20"/>
                <w:szCs w:val="20"/>
              </w:rPr>
            </w:pPr>
            <w:r w:rsidRPr="00040AA9">
              <w:rPr>
                <w:rFonts w:ascii="Arial" w:hAnsi="Arial" w:cs="Arial"/>
                <w:i/>
                <w:sz w:val="20"/>
                <w:szCs w:val="20"/>
              </w:rPr>
              <w:t>143%</w:t>
            </w:r>
          </w:p>
          <w:p w14:paraId="27D3F26D" w14:textId="77777777" w:rsidR="00A55DB7" w:rsidRPr="00040AA9" w:rsidRDefault="00A55DB7" w:rsidP="00040AA9">
            <w:pPr>
              <w:suppressAutoHyphens/>
              <w:jc w:val="center"/>
              <w:rPr>
                <w:rFonts w:ascii="Arial" w:hAnsi="Arial" w:cs="Arial"/>
                <w:i/>
                <w:sz w:val="20"/>
                <w:szCs w:val="20"/>
              </w:rPr>
            </w:pPr>
            <w:r w:rsidRPr="00040AA9">
              <w:rPr>
                <w:rFonts w:ascii="Arial" w:hAnsi="Arial" w:cs="Arial"/>
                <w:i/>
                <w:sz w:val="20"/>
                <w:szCs w:val="20"/>
              </w:rPr>
              <w:t>achieved</w:t>
            </w:r>
          </w:p>
          <w:p w14:paraId="09081552"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(of target in 2015/16)</w:t>
            </w:r>
          </w:p>
          <w:p w14:paraId="1626967A" w14:textId="77777777" w:rsidR="00A55DB7" w:rsidRPr="00040AA9" w:rsidRDefault="00A55DB7" w:rsidP="00040AA9">
            <w:pPr>
              <w:suppressAutoHyphens/>
              <w:jc w:val="center"/>
              <w:rPr>
                <w:rFonts w:ascii="Arial" w:hAnsi="Arial" w:cs="Arial"/>
                <w:sz w:val="20"/>
                <w:szCs w:val="20"/>
              </w:rPr>
            </w:pPr>
          </w:p>
          <w:p w14:paraId="616775D3" w14:textId="77777777" w:rsidR="00A55DB7" w:rsidRPr="00040AA9" w:rsidRDefault="00A55DB7" w:rsidP="00040AA9">
            <w:pPr>
              <w:suppressAutoHyphens/>
              <w:jc w:val="center"/>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591FFFA2"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 xml:space="preserve">TAJ “Employment Tax Credits Claimed 2015 – 2016” (Table prepared on request) Includes claims made on Corporate and Individual Tax returns: Note these data are on a calendar year basis as follows: </w:t>
            </w:r>
          </w:p>
          <w:p w14:paraId="3B9EDDD7"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4,388 (CY2016)</w:t>
            </w:r>
          </w:p>
          <w:p w14:paraId="58B161D6"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4,408 (CY2015)</w:t>
            </w:r>
          </w:p>
        </w:tc>
      </w:tr>
      <w:tr w:rsidR="00A55DB7" w:rsidRPr="00D60FB9" w14:paraId="7F92EA6F" w14:textId="77777777" w:rsidTr="00D60FB9">
        <w:trPr>
          <w:trHeight w:val="287"/>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93E4FC" w14:textId="77777777" w:rsidR="00A55DB7" w:rsidRPr="00D60FB9" w:rsidRDefault="00A55DB7" w:rsidP="00040AA9">
            <w:pPr>
              <w:suppressAutoHyphens/>
              <w:rPr>
                <w:rFonts w:ascii="Arial" w:hAnsi="Arial" w:cs="Arial"/>
                <w:b/>
                <w:sz w:val="20"/>
                <w:szCs w:val="20"/>
              </w:rPr>
            </w:pPr>
            <w:r w:rsidRPr="00D60FB9">
              <w:rPr>
                <w:rFonts w:ascii="Arial" w:hAnsi="Arial" w:cs="Arial"/>
                <w:b/>
                <w:sz w:val="20"/>
                <w:szCs w:val="20"/>
              </w:rPr>
              <w:t>Outcomes regarding audits</w:t>
            </w:r>
          </w:p>
        </w:tc>
      </w:tr>
      <w:tr w:rsidR="00A55DB7" w:rsidRPr="00D60FB9" w14:paraId="07D89BE5" w14:textId="77777777" w:rsidTr="00D60FB9">
        <w:trPr>
          <w:trHeight w:val="287"/>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389817" w14:textId="101DA7D2" w:rsidR="00A55DB7" w:rsidRPr="00D60FB9" w:rsidRDefault="00A55DB7" w:rsidP="00040AA9">
            <w:pPr>
              <w:suppressAutoHyphens/>
              <w:rPr>
                <w:rFonts w:ascii="Arial" w:hAnsi="Arial" w:cs="Arial"/>
                <w:sz w:val="20"/>
                <w:szCs w:val="20"/>
              </w:rPr>
            </w:pPr>
            <w:r w:rsidRPr="00D60FB9">
              <w:rPr>
                <w:rFonts w:ascii="Arial" w:hAnsi="Arial" w:cs="Arial"/>
                <w:b/>
                <w:sz w:val="20"/>
                <w:szCs w:val="20"/>
              </w:rPr>
              <w:t xml:space="preserve">Outcome (Result) </w:t>
            </w:r>
            <w:r w:rsidR="007A1766" w:rsidRPr="00D60FB9">
              <w:rPr>
                <w:rFonts w:ascii="Arial" w:hAnsi="Arial" w:cs="Arial"/>
                <w:b/>
                <w:sz w:val="20"/>
                <w:szCs w:val="20"/>
              </w:rPr>
              <w:t>II.</w:t>
            </w:r>
            <w:r w:rsidRPr="00D60FB9">
              <w:rPr>
                <w:rFonts w:ascii="Arial" w:hAnsi="Arial" w:cs="Arial"/>
                <w:b/>
                <w:sz w:val="20"/>
                <w:szCs w:val="20"/>
              </w:rPr>
              <w:t>6 (Audits – part a) Reduce the time taken by TAJ to perform comprehensive audits on Large (LT) and Medium (MT) Taxpayers</w:t>
            </w:r>
            <w:r w:rsidRPr="00D60FB9">
              <w:rPr>
                <w:rStyle w:val="FootnoteReference"/>
                <w:rFonts w:ascii="Arial" w:hAnsi="Arial" w:cs="Arial"/>
                <w:b/>
                <w:sz w:val="20"/>
                <w:szCs w:val="20"/>
              </w:rPr>
              <w:footnoteReference w:id="60"/>
            </w:r>
          </w:p>
        </w:tc>
      </w:tr>
      <w:tr w:rsidR="00A55DB7" w:rsidRPr="00CF5903" w14:paraId="715C8036" w14:textId="77777777" w:rsidTr="00E420C4">
        <w:trPr>
          <w:trHeight w:val="692"/>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1BE15279" w14:textId="1C45DD18" w:rsidR="00A55DB7" w:rsidRPr="00040AA9" w:rsidRDefault="00A55DB7" w:rsidP="00040AA9">
            <w:pPr>
              <w:suppressAutoHyphens/>
              <w:rPr>
                <w:rFonts w:ascii="Arial" w:hAnsi="Arial" w:cs="Arial"/>
                <w:sz w:val="20"/>
                <w:szCs w:val="20"/>
              </w:rPr>
            </w:pPr>
            <w:r w:rsidRPr="00040AA9">
              <w:rPr>
                <w:rFonts w:ascii="Arial" w:hAnsi="Arial" w:cs="Arial"/>
                <w:sz w:val="20"/>
                <w:szCs w:val="20"/>
              </w:rPr>
              <w:t>Indicator</w:t>
            </w:r>
            <w:r w:rsidR="00754E18" w:rsidRPr="00040AA9">
              <w:rPr>
                <w:rFonts w:ascii="Arial" w:hAnsi="Arial" w:cs="Arial"/>
                <w:sz w:val="20"/>
                <w:szCs w:val="20"/>
              </w:rPr>
              <w:t xml:space="preserve"> II.</w:t>
            </w:r>
            <w:r w:rsidRPr="00040AA9">
              <w:rPr>
                <w:rFonts w:ascii="Arial" w:hAnsi="Arial" w:cs="Arial"/>
                <w:sz w:val="20"/>
                <w:szCs w:val="20"/>
              </w:rPr>
              <w:t xml:space="preserve"> 6.1</w:t>
            </w:r>
          </w:p>
          <w:p w14:paraId="2E259ADD"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[time taken for] Tax audits – Large Taxpayers</w:t>
            </w:r>
          </w:p>
          <w:p w14:paraId="73B2DEE2"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 result 6)</w:t>
            </w:r>
          </w:p>
          <w:p w14:paraId="301D72B2" w14:textId="77777777" w:rsidR="00A55DB7" w:rsidRPr="00040AA9" w:rsidRDefault="00A55DB7" w:rsidP="00040AA9">
            <w:pPr>
              <w:suppressAutoHyphens/>
              <w:rPr>
                <w:rFonts w:ascii="Arial" w:hAnsi="Arial" w:cs="Arial"/>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74C5F465"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Months</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693DCFCF"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10</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035A21A1"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right w:val="single" w:sz="4" w:space="0" w:color="auto"/>
            </w:tcBorders>
            <w:vAlign w:val="center"/>
          </w:tcPr>
          <w:p w14:paraId="33C8C06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right w:val="single" w:sz="4" w:space="0" w:color="auto"/>
            </w:tcBorders>
            <w:vAlign w:val="center"/>
          </w:tcPr>
          <w:p w14:paraId="378A21FC"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6</w:t>
            </w:r>
          </w:p>
          <w:p w14:paraId="49468FF8"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 xml:space="preserve"> (2015/16)</w:t>
            </w:r>
          </w:p>
        </w:tc>
        <w:tc>
          <w:tcPr>
            <w:tcW w:w="1203" w:type="dxa"/>
            <w:gridSpan w:val="2"/>
            <w:tcBorders>
              <w:top w:val="single" w:sz="4" w:space="0" w:color="auto"/>
              <w:left w:val="single" w:sz="4" w:space="0" w:color="auto"/>
              <w:right w:val="single" w:sz="4" w:space="0" w:color="auto"/>
            </w:tcBorders>
            <w:vAlign w:val="center"/>
          </w:tcPr>
          <w:p w14:paraId="330E0B9D" w14:textId="63D72AFB" w:rsidR="00A55DB7" w:rsidRPr="00040AA9" w:rsidRDefault="00435749" w:rsidP="00040AA9">
            <w:pPr>
              <w:suppressAutoHyphens/>
              <w:rPr>
                <w:rFonts w:ascii="Arial" w:hAnsi="Arial" w:cs="Arial"/>
                <w:sz w:val="20"/>
                <w:szCs w:val="20"/>
              </w:rPr>
            </w:pPr>
            <w:r w:rsidRPr="00CF5903">
              <w:rPr>
                <w:rFonts w:ascii="Arial" w:hAnsi="Arial" w:cs="Arial"/>
                <w:sz w:val="20"/>
                <w:szCs w:val="20"/>
              </w:rPr>
              <w:t>EI: -</w:t>
            </w:r>
            <w:r w:rsidR="00A55DB7" w:rsidRPr="00040AA9">
              <w:rPr>
                <w:rFonts w:ascii="Arial" w:hAnsi="Arial" w:cs="Arial"/>
                <w:sz w:val="20"/>
                <w:szCs w:val="20"/>
              </w:rPr>
              <w:t>4 months</w:t>
            </w:r>
          </w:p>
        </w:tc>
        <w:tc>
          <w:tcPr>
            <w:tcW w:w="5374" w:type="dxa"/>
            <w:tcBorders>
              <w:top w:val="single" w:sz="4" w:space="0" w:color="auto"/>
              <w:left w:val="single" w:sz="4" w:space="0" w:color="auto"/>
              <w:right w:val="single" w:sz="4" w:space="0" w:color="auto"/>
            </w:tcBorders>
          </w:tcPr>
          <w:p w14:paraId="3CE05CCD"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TAJ’s Large Taxpayers Office report</w:t>
            </w:r>
          </w:p>
          <w:p w14:paraId="06550B5A" w14:textId="5098D51F" w:rsidR="00A55DB7" w:rsidRPr="00040AA9" w:rsidRDefault="00A55DB7" w:rsidP="00040AA9">
            <w:pPr>
              <w:suppressAutoHyphens/>
              <w:rPr>
                <w:rFonts w:ascii="Arial" w:hAnsi="Arial" w:cs="Arial"/>
                <w:sz w:val="20"/>
                <w:szCs w:val="20"/>
              </w:rPr>
            </w:pPr>
            <w:r w:rsidRPr="00040AA9">
              <w:rPr>
                <w:rFonts w:ascii="Arial" w:hAnsi="Arial" w:cs="Arial"/>
                <w:sz w:val="20"/>
                <w:szCs w:val="20"/>
                <w:lang w:val="en-CA"/>
              </w:rPr>
              <w:t xml:space="preserve">Note: </w:t>
            </w:r>
            <w:r w:rsidRPr="00040AA9">
              <w:rPr>
                <w:rFonts w:ascii="Arial" w:hAnsi="Arial" w:cs="Arial"/>
                <w:sz w:val="20"/>
                <w:szCs w:val="20"/>
              </w:rPr>
              <w:t xml:space="preserve">Number of LT </w:t>
            </w:r>
            <w:r w:rsidR="00435749" w:rsidRPr="00CF5903">
              <w:rPr>
                <w:rFonts w:ascii="Arial" w:hAnsi="Arial" w:cs="Arial"/>
                <w:sz w:val="20"/>
                <w:szCs w:val="20"/>
              </w:rPr>
              <w:t>= 1,042</w:t>
            </w:r>
            <w:r w:rsidRPr="00040AA9">
              <w:rPr>
                <w:rFonts w:ascii="Arial" w:hAnsi="Arial" w:cs="Arial"/>
                <w:sz w:val="20"/>
                <w:szCs w:val="20"/>
              </w:rPr>
              <w:t xml:space="preserve"> </w:t>
            </w:r>
          </w:p>
        </w:tc>
      </w:tr>
      <w:tr w:rsidR="00A55DB7" w:rsidRPr="00CF5903" w14:paraId="229B0094" w14:textId="77777777" w:rsidTr="00E420C4">
        <w:trPr>
          <w:trHeight w:val="278"/>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04AF9EDE"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606E58E1"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4548C5B"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3A991FA7"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1F602409"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465322FE"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7E724D2D"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0207AE90" w14:textId="77777777" w:rsidR="00A55DB7" w:rsidRPr="00040AA9" w:rsidRDefault="00A55DB7" w:rsidP="00040AA9">
            <w:pPr>
              <w:suppressAutoHyphens/>
              <w:rPr>
                <w:rFonts w:ascii="Arial" w:hAnsi="Arial" w:cs="Arial"/>
                <w:sz w:val="20"/>
                <w:szCs w:val="20"/>
                <w:lang w:val="en-CA"/>
              </w:rPr>
            </w:pPr>
          </w:p>
        </w:tc>
      </w:tr>
      <w:tr w:rsidR="00A55DB7" w:rsidRPr="00CF5903" w14:paraId="2257C87D" w14:textId="77777777" w:rsidTr="00E420C4">
        <w:trPr>
          <w:trHeight w:val="476"/>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2F71E1FE"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3EF797E7"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B8B4F76"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6A7433D6"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6F58E02"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1555A078" w14:textId="177AA050" w:rsidR="00A55DB7" w:rsidRPr="00040AA9" w:rsidRDefault="00A77620" w:rsidP="00040AA9">
            <w:pPr>
              <w:suppressAutoHyphens/>
              <w:jc w:val="center"/>
              <w:rPr>
                <w:rFonts w:ascii="Arial" w:hAnsi="Arial" w:cs="Arial"/>
                <w:sz w:val="20"/>
                <w:szCs w:val="20"/>
              </w:rPr>
            </w:pPr>
            <w:r w:rsidRPr="00040AA9">
              <w:rPr>
                <w:rFonts w:ascii="Arial" w:hAnsi="Arial" w:cs="Arial"/>
                <w:sz w:val="20"/>
                <w:szCs w:val="20"/>
              </w:rPr>
              <w:t>6</w:t>
            </w:r>
          </w:p>
          <w:p w14:paraId="10F9E8D9" w14:textId="77777777" w:rsidR="00A55DB7" w:rsidRPr="00040AA9" w:rsidRDefault="00A55DB7" w:rsidP="00040AA9">
            <w:pPr>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E668AB9" w14:textId="1234DC5C" w:rsidR="00A55DB7" w:rsidRPr="00040AA9" w:rsidRDefault="00435749" w:rsidP="00040AA9">
            <w:pPr>
              <w:suppressAutoHyphens/>
              <w:rPr>
                <w:rFonts w:ascii="Arial" w:hAnsi="Arial" w:cs="Arial"/>
                <w:sz w:val="20"/>
                <w:szCs w:val="20"/>
              </w:rPr>
            </w:pPr>
            <w:r w:rsidRPr="00CF5903">
              <w:rPr>
                <w:rFonts w:ascii="Arial" w:hAnsi="Arial" w:cs="Arial"/>
                <w:sz w:val="20"/>
                <w:szCs w:val="20"/>
              </w:rPr>
              <w:t>AI: -</w:t>
            </w:r>
            <w:r w:rsidR="00E87BCF" w:rsidRPr="00040AA9">
              <w:rPr>
                <w:rFonts w:ascii="Arial" w:hAnsi="Arial" w:cs="Arial"/>
                <w:sz w:val="20"/>
                <w:szCs w:val="20"/>
              </w:rPr>
              <w:t>4months</w:t>
            </w:r>
          </w:p>
          <w:p w14:paraId="1EE4B666" w14:textId="2A898B12" w:rsidR="00A55DB7" w:rsidRPr="00040AA9" w:rsidRDefault="00E87BCF" w:rsidP="00040AA9">
            <w:pPr>
              <w:suppressAutoHyphens/>
              <w:rPr>
                <w:rFonts w:ascii="Arial" w:hAnsi="Arial" w:cs="Arial"/>
                <w:i/>
                <w:sz w:val="20"/>
                <w:szCs w:val="20"/>
              </w:rPr>
            </w:pPr>
            <w:r w:rsidRPr="00040AA9">
              <w:rPr>
                <w:rFonts w:ascii="Arial" w:hAnsi="Arial" w:cs="Arial"/>
                <w:i/>
                <w:sz w:val="20"/>
                <w:szCs w:val="20"/>
              </w:rPr>
              <w:t xml:space="preserve">100% </w:t>
            </w:r>
            <w:r w:rsidR="00A55DB7"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47361CB4" w14:textId="33F18A27" w:rsidR="00A55DB7" w:rsidRPr="00040AA9" w:rsidRDefault="00E87BCF" w:rsidP="00040AA9">
            <w:pPr>
              <w:suppressAutoHyphens/>
              <w:rPr>
                <w:rFonts w:ascii="Arial" w:hAnsi="Arial" w:cs="Arial"/>
                <w:sz w:val="20"/>
                <w:szCs w:val="20"/>
                <w:lang w:val="en-CA"/>
              </w:rPr>
            </w:pPr>
            <w:r w:rsidRPr="00040AA9">
              <w:rPr>
                <w:rFonts w:ascii="Arial" w:hAnsi="Arial" w:cs="Arial"/>
                <w:sz w:val="20"/>
                <w:szCs w:val="20"/>
                <w:lang w:val="en-CA"/>
              </w:rPr>
              <w:t xml:space="preserve">Email dated </w:t>
            </w:r>
            <w:r w:rsidR="005E4B9E" w:rsidRPr="00040AA9">
              <w:rPr>
                <w:rFonts w:ascii="Arial" w:hAnsi="Arial" w:cs="Arial"/>
                <w:sz w:val="20"/>
                <w:szCs w:val="20"/>
                <w:lang w:val="en-CA"/>
              </w:rPr>
              <w:t xml:space="preserve">29 September 2017, </w:t>
            </w:r>
            <w:r w:rsidRPr="00040AA9">
              <w:rPr>
                <w:rFonts w:ascii="Arial" w:hAnsi="Arial" w:cs="Arial"/>
                <w:sz w:val="20"/>
                <w:szCs w:val="20"/>
                <w:lang w:val="en-CA"/>
              </w:rPr>
              <w:t>from Hank Williams, Deputy Commissioner General TAJ</w:t>
            </w:r>
            <w:r w:rsidR="005E4B9E" w:rsidRPr="00040AA9">
              <w:rPr>
                <w:rFonts w:ascii="Arial" w:hAnsi="Arial" w:cs="Arial"/>
                <w:sz w:val="20"/>
                <w:szCs w:val="20"/>
                <w:lang w:val="en-CA"/>
              </w:rPr>
              <w:t xml:space="preserve"> to Hunt Howell</w:t>
            </w:r>
          </w:p>
        </w:tc>
      </w:tr>
      <w:tr w:rsidR="00A55DB7" w:rsidRPr="00CF5903" w14:paraId="1DD08098" w14:textId="77777777" w:rsidTr="00E420C4">
        <w:trPr>
          <w:jc w:val="center"/>
        </w:trPr>
        <w:tc>
          <w:tcPr>
            <w:tcW w:w="2368" w:type="dxa"/>
            <w:vMerge w:val="restart"/>
            <w:tcBorders>
              <w:top w:val="single" w:sz="4" w:space="0" w:color="auto"/>
              <w:left w:val="single" w:sz="4" w:space="0" w:color="auto"/>
              <w:right w:val="single" w:sz="4" w:space="0" w:color="auto"/>
            </w:tcBorders>
            <w:vAlign w:val="center"/>
          </w:tcPr>
          <w:p w14:paraId="1CB31624" w14:textId="3F3FB3C4"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6.2</w:t>
            </w:r>
          </w:p>
          <w:p w14:paraId="31B9801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[time taken for] Tax audits – Medium Taxpayers</w:t>
            </w:r>
          </w:p>
          <w:p w14:paraId="1D652C6F" w14:textId="0682044E" w:rsidR="00A55DB7" w:rsidRPr="00040AA9" w:rsidRDefault="00A55DB7" w:rsidP="00040AA9">
            <w:pPr>
              <w:suppressAutoHyphens/>
              <w:rPr>
                <w:rFonts w:ascii="Arial" w:hAnsi="Arial" w:cs="Arial"/>
                <w:sz w:val="20"/>
                <w:szCs w:val="20"/>
              </w:rPr>
            </w:pPr>
            <w:r w:rsidRPr="00040AA9">
              <w:rPr>
                <w:rFonts w:ascii="Arial" w:hAnsi="Arial" w:cs="Arial"/>
                <w:sz w:val="20"/>
                <w:szCs w:val="20"/>
              </w:rPr>
              <w:t>(FSPG I, result 6)</w:t>
            </w:r>
          </w:p>
        </w:tc>
        <w:tc>
          <w:tcPr>
            <w:tcW w:w="810" w:type="dxa"/>
            <w:vMerge w:val="restart"/>
            <w:tcBorders>
              <w:top w:val="single" w:sz="4" w:space="0" w:color="auto"/>
              <w:left w:val="single" w:sz="4" w:space="0" w:color="auto"/>
              <w:right w:val="single" w:sz="4" w:space="0" w:color="auto"/>
            </w:tcBorders>
            <w:vAlign w:val="center"/>
          </w:tcPr>
          <w:p w14:paraId="4D66717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Months</w:t>
            </w:r>
          </w:p>
        </w:tc>
        <w:tc>
          <w:tcPr>
            <w:tcW w:w="900" w:type="dxa"/>
            <w:vMerge w:val="restart"/>
            <w:tcBorders>
              <w:top w:val="single" w:sz="4" w:space="0" w:color="auto"/>
              <w:left w:val="single" w:sz="4" w:space="0" w:color="auto"/>
              <w:right w:val="single" w:sz="4" w:space="0" w:color="auto"/>
            </w:tcBorders>
            <w:vAlign w:val="center"/>
          </w:tcPr>
          <w:p w14:paraId="6E1CE070"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8</w:t>
            </w:r>
          </w:p>
        </w:tc>
        <w:tc>
          <w:tcPr>
            <w:tcW w:w="720" w:type="dxa"/>
            <w:vMerge w:val="restart"/>
            <w:tcBorders>
              <w:left w:val="single" w:sz="4" w:space="0" w:color="auto"/>
              <w:right w:val="single" w:sz="4" w:space="0" w:color="auto"/>
            </w:tcBorders>
            <w:vAlign w:val="center"/>
          </w:tcPr>
          <w:p w14:paraId="64DB1794"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4424826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47AA6F25"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4</w:t>
            </w:r>
          </w:p>
          <w:p w14:paraId="7076C936"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812169A" w14:textId="10F65D96" w:rsidR="00A55DB7" w:rsidRPr="00040AA9" w:rsidRDefault="00435749" w:rsidP="00040AA9">
            <w:pPr>
              <w:suppressAutoHyphens/>
              <w:rPr>
                <w:rFonts w:ascii="Arial" w:hAnsi="Arial" w:cs="Arial"/>
                <w:sz w:val="20"/>
                <w:szCs w:val="20"/>
              </w:rPr>
            </w:pPr>
            <w:r w:rsidRPr="00CF5903">
              <w:rPr>
                <w:rFonts w:ascii="Arial" w:hAnsi="Arial" w:cs="Arial"/>
                <w:sz w:val="20"/>
                <w:szCs w:val="20"/>
              </w:rPr>
              <w:t>EI: -</w:t>
            </w:r>
            <w:r w:rsidR="00A55DB7" w:rsidRPr="00040AA9">
              <w:rPr>
                <w:rFonts w:ascii="Arial" w:hAnsi="Arial" w:cs="Arial"/>
                <w:sz w:val="20"/>
                <w:szCs w:val="20"/>
              </w:rPr>
              <w:t>4 months</w:t>
            </w:r>
          </w:p>
        </w:tc>
        <w:tc>
          <w:tcPr>
            <w:tcW w:w="5374" w:type="dxa"/>
            <w:tcBorders>
              <w:top w:val="single" w:sz="4" w:space="0" w:color="auto"/>
              <w:left w:val="single" w:sz="4" w:space="0" w:color="auto"/>
              <w:bottom w:val="single" w:sz="4" w:space="0" w:color="auto"/>
              <w:right w:val="single" w:sz="4" w:space="0" w:color="auto"/>
            </w:tcBorders>
          </w:tcPr>
          <w:p w14:paraId="08F9E0B3"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TAJ’s Large Taxpayers Office report</w:t>
            </w:r>
          </w:p>
          <w:p w14:paraId="752DE2D4" w14:textId="77777777" w:rsidR="00A55DB7" w:rsidRPr="00040AA9" w:rsidRDefault="00A55DB7" w:rsidP="00040AA9">
            <w:pPr>
              <w:suppressAutoHyphens/>
              <w:rPr>
                <w:rFonts w:ascii="Arial" w:hAnsi="Arial" w:cs="Arial"/>
                <w:sz w:val="20"/>
                <w:szCs w:val="20"/>
                <w:highlight w:val="yellow"/>
                <w:lang w:val="en-CA"/>
              </w:rPr>
            </w:pPr>
            <w:r w:rsidRPr="00040AA9">
              <w:rPr>
                <w:rFonts w:ascii="Arial" w:hAnsi="Arial" w:cs="Arial"/>
                <w:sz w:val="20"/>
                <w:szCs w:val="20"/>
                <w:lang w:val="en-CA"/>
              </w:rPr>
              <w:t xml:space="preserve">Note: </w:t>
            </w:r>
            <w:r w:rsidRPr="00040AA9">
              <w:rPr>
                <w:rFonts w:ascii="Arial" w:hAnsi="Arial" w:cs="Arial"/>
                <w:sz w:val="20"/>
                <w:szCs w:val="20"/>
              </w:rPr>
              <w:t>Number of MT = 2,000</w:t>
            </w:r>
          </w:p>
        </w:tc>
      </w:tr>
      <w:tr w:rsidR="00A55DB7" w:rsidRPr="00CF5903" w14:paraId="75411F18" w14:textId="77777777" w:rsidTr="00E420C4">
        <w:trPr>
          <w:jc w:val="center"/>
        </w:trPr>
        <w:tc>
          <w:tcPr>
            <w:tcW w:w="2368" w:type="dxa"/>
            <w:vMerge/>
            <w:tcBorders>
              <w:left w:val="single" w:sz="4" w:space="0" w:color="auto"/>
              <w:right w:val="single" w:sz="4" w:space="0" w:color="auto"/>
            </w:tcBorders>
            <w:vAlign w:val="center"/>
          </w:tcPr>
          <w:p w14:paraId="62E20A21" w14:textId="77777777" w:rsidR="00A55DB7" w:rsidRPr="00040AA9" w:rsidRDefault="00A55DB7" w:rsidP="00040AA9">
            <w:pPr>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14AB75B3" w14:textId="77777777" w:rsidR="00A55DB7" w:rsidRPr="00040AA9" w:rsidRDefault="00A55DB7" w:rsidP="00040AA9">
            <w:pPr>
              <w:suppressAutoHyphens/>
              <w:rPr>
                <w:rFonts w:ascii="Arial" w:hAnsi="Arial" w:cs="Arial"/>
                <w:sz w:val="20"/>
                <w:szCs w:val="20"/>
              </w:rPr>
            </w:pPr>
          </w:p>
        </w:tc>
        <w:tc>
          <w:tcPr>
            <w:tcW w:w="900" w:type="dxa"/>
            <w:vMerge/>
            <w:tcBorders>
              <w:left w:val="single" w:sz="4" w:space="0" w:color="auto"/>
              <w:right w:val="single" w:sz="4" w:space="0" w:color="auto"/>
            </w:tcBorders>
            <w:vAlign w:val="center"/>
          </w:tcPr>
          <w:p w14:paraId="10CF021D" w14:textId="77777777" w:rsidR="00A55DB7" w:rsidRPr="00040AA9" w:rsidRDefault="00A55DB7" w:rsidP="00040AA9">
            <w:pPr>
              <w:suppressAutoHyphens/>
              <w:rPr>
                <w:rFonts w:ascii="Arial" w:hAnsi="Arial" w:cs="Arial"/>
                <w:sz w:val="20"/>
                <w:szCs w:val="20"/>
              </w:rPr>
            </w:pPr>
          </w:p>
        </w:tc>
        <w:tc>
          <w:tcPr>
            <w:tcW w:w="720" w:type="dxa"/>
            <w:vMerge/>
            <w:tcBorders>
              <w:left w:val="single" w:sz="4" w:space="0" w:color="auto"/>
              <w:right w:val="single" w:sz="4" w:space="0" w:color="auto"/>
            </w:tcBorders>
            <w:vAlign w:val="center"/>
          </w:tcPr>
          <w:p w14:paraId="7090BAD8"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7B5CE60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35F19A99" w14:textId="77777777" w:rsidR="00A55DB7" w:rsidRPr="00040AA9" w:rsidRDefault="00A55DB7" w:rsidP="00040AA9">
            <w:pPr>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0C4A365"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62BD1BED" w14:textId="77777777" w:rsidR="00A55DB7" w:rsidRPr="00040AA9" w:rsidRDefault="00A55DB7" w:rsidP="00040AA9">
            <w:pPr>
              <w:suppressAutoHyphens/>
              <w:rPr>
                <w:rFonts w:ascii="Arial" w:hAnsi="Arial" w:cs="Arial"/>
                <w:sz w:val="20"/>
                <w:szCs w:val="20"/>
                <w:highlight w:val="yellow"/>
                <w:lang w:val="en-CA"/>
              </w:rPr>
            </w:pPr>
          </w:p>
        </w:tc>
      </w:tr>
      <w:tr w:rsidR="00A55DB7" w:rsidRPr="00CF5903" w14:paraId="6A72DBEA" w14:textId="77777777" w:rsidTr="00E420C4">
        <w:trPr>
          <w:jc w:val="center"/>
        </w:trPr>
        <w:tc>
          <w:tcPr>
            <w:tcW w:w="2368" w:type="dxa"/>
            <w:vMerge/>
            <w:tcBorders>
              <w:left w:val="single" w:sz="4" w:space="0" w:color="auto"/>
              <w:bottom w:val="single" w:sz="4" w:space="0" w:color="auto"/>
              <w:right w:val="single" w:sz="4" w:space="0" w:color="auto"/>
            </w:tcBorders>
            <w:vAlign w:val="center"/>
          </w:tcPr>
          <w:p w14:paraId="5E52CD62" w14:textId="77777777" w:rsidR="00A55DB7" w:rsidRPr="00040AA9" w:rsidRDefault="00A55DB7" w:rsidP="00040AA9">
            <w:pPr>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299E1792" w14:textId="77777777" w:rsidR="00A55DB7" w:rsidRPr="00040AA9" w:rsidRDefault="00A55DB7" w:rsidP="00040AA9">
            <w:pPr>
              <w:suppressAutoHyphens/>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30FB1641" w14:textId="77777777" w:rsidR="00A55DB7" w:rsidRPr="00040AA9" w:rsidRDefault="00A55DB7" w:rsidP="00040AA9">
            <w:pPr>
              <w:suppressAutoHyphens/>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2B9189C4"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95EE8FE"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191D0203" w14:textId="3025B451" w:rsidR="00A55DB7" w:rsidRPr="00040AA9" w:rsidRDefault="005E4B9E" w:rsidP="00040AA9">
            <w:pPr>
              <w:suppressAutoHyphens/>
              <w:jc w:val="center"/>
              <w:rPr>
                <w:rFonts w:ascii="Arial" w:hAnsi="Arial" w:cs="Arial"/>
                <w:sz w:val="20"/>
                <w:szCs w:val="20"/>
              </w:rPr>
            </w:pPr>
            <w:r w:rsidRPr="00040AA9">
              <w:rPr>
                <w:rFonts w:ascii="Arial" w:hAnsi="Arial" w:cs="Arial"/>
                <w:sz w:val="20"/>
                <w:szCs w:val="20"/>
              </w:rPr>
              <w:t>8.6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183610B" w14:textId="567104C1" w:rsidR="005E4B9E" w:rsidRPr="00040AA9" w:rsidRDefault="00435749" w:rsidP="00040AA9">
            <w:pPr>
              <w:suppressAutoHyphens/>
              <w:rPr>
                <w:rFonts w:ascii="Arial" w:hAnsi="Arial" w:cs="Arial"/>
                <w:i/>
                <w:sz w:val="20"/>
                <w:szCs w:val="20"/>
              </w:rPr>
            </w:pPr>
            <w:r w:rsidRPr="00CF5903">
              <w:rPr>
                <w:rFonts w:ascii="Arial" w:hAnsi="Arial" w:cs="Arial"/>
                <w:i/>
                <w:sz w:val="20"/>
                <w:szCs w:val="20"/>
              </w:rPr>
              <w:t>AI: +</w:t>
            </w:r>
            <w:r w:rsidR="00754809" w:rsidRPr="00040AA9">
              <w:rPr>
                <w:rFonts w:ascii="Arial" w:hAnsi="Arial" w:cs="Arial"/>
                <w:i/>
                <w:sz w:val="20"/>
                <w:szCs w:val="20"/>
              </w:rPr>
              <w:t>0.6mnth</w:t>
            </w:r>
          </w:p>
          <w:p w14:paraId="5214A08D" w14:textId="77777777" w:rsidR="00754809" w:rsidRPr="00040AA9" w:rsidRDefault="00754809" w:rsidP="00040AA9">
            <w:pPr>
              <w:suppressAutoHyphens/>
              <w:rPr>
                <w:rFonts w:ascii="Arial" w:hAnsi="Arial" w:cs="Arial"/>
                <w:i/>
                <w:sz w:val="20"/>
                <w:szCs w:val="20"/>
              </w:rPr>
            </w:pPr>
            <w:r w:rsidRPr="00040AA9">
              <w:rPr>
                <w:rFonts w:ascii="Arial" w:hAnsi="Arial" w:cs="Arial"/>
                <w:i/>
                <w:sz w:val="20"/>
                <w:szCs w:val="20"/>
              </w:rPr>
              <w:t>0%</w:t>
            </w:r>
          </w:p>
          <w:p w14:paraId="03CDC0D7" w14:textId="77777777" w:rsidR="00A55DB7" w:rsidRPr="00040AA9" w:rsidRDefault="00A55DB7" w:rsidP="00040AA9">
            <w:pPr>
              <w:suppressAutoHyphens/>
              <w:rPr>
                <w:rFonts w:ascii="Arial" w:hAnsi="Arial" w:cs="Arial"/>
                <w:i/>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076BBBFF" w14:textId="50D8E42D" w:rsidR="00A55DB7" w:rsidRPr="00040AA9" w:rsidRDefault="00754809" w:rsidP="00040AA9">
            <w:pPr>
              <w:suppressAutoHyphens/>
              <w:rPr>
                <w:rFonts w:ascii="Arial" w:hAnsi="Arial" w:cs="Arial"/>
                <w:sz w:val="20"/>
                <w:szCs w:val="20"/>
                <w:highlight w:val="yellow"/>
                <w:lang w:val="en-CA"/>
              </w:rPr>
            </w:pPr>
            <w:r w:rsidRPr="00040AA9">
              <w:rPr>
                <w:rFonts w:ascii="Arial" w:hAnsi="Arial" w:cs="Arial"/>
                <w:sz w:val="20"/>
                <w:szCs w:val="20"/>
                <w:lang w:val="en-CA"/>
              </w:rPr>
              <w:t>Email dated 29 September 2017, from Hank Williams, Deputy Commissioner General TAJ to Hunt Howell</w:t>
            </w:r>
          </w:p>
        </w:tc>
      </w:tr>
      <w:tr w:rsidR="00A55DB7" w:rsidRPr="00CF5903" w14:paraId="31CC7675" w14:textId="77777777" w:rsidTr="00040AA9">
        <w:trPr>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6B99EA" w14:textId="48D041F8" w:rsidR="00A55DB7" w:rsidRPr="00040AA9" w:rsidRDefault="00A55DB7" w:rsidP="00040AA9">
            <w:pPr>
              <w:keepNext/>
              <w:keepLines/>
              <w:suppressAutoHyphens/>
              <w:rPr>
                <w:rFonts w:ascii="Arial" w:hAnsi="Arial" w:cs="Arial"/>
                <w:sz w:val="20"/>
                <w:szCs w:val="20"/>
              </w:rPr>
            </w:pPr>
            <w:r w:rsidRPr="00040AA9">
              <w:rPr>
                <w:rFonts w:ascii="Arial" w:hAnsi="Arial" w:cs="Arial"/>
                <w:b/>
                <w:sz w:val="20"/>
                <w:szCs w:val="20"/>
                <w:shd w:val="clear" w:color="auto" w:fill="F2F2F2" w:themeFill="background1" w:themeFillShade="F2"/>
              </w:rPr>
              <w:t xml:space="preserve">Outcome (Result) </w:t>
            </w:r>
            <w:r w:rsidR="007A1766" w:rsidRPr="00040AA9">
              <w:rPr>
                <w:rFonts w:ascii="Arial" w:hAnsi="Arial" w:cs="Arial"/>
                <w:b/>
                <w:sz w:val="20"/>
                <w:szCs w:val="20"/>
                <w:shd w:val="clear" w:color="auto" w:fill="F2F2F2" w:themeFill="background1" w:themeFillShade="F2"/>
              </w:rPr>
              <w:t>II.</w:t>
            </w:r>
            <w:r w:rsidRPr="00040AA9">
              <w:rPr>
                <w:rFonts w:ascii="Arial" w:hAnsi="Arial" w:cs="Arial"/>
                <w:b/>
                <w:sz w:val="20"/>
                <w:szCs w:val="20"/>
                <w:shd w:val="clear" w:color="auto" w:fill="F2F2F2" w:themeFill="background1" w:themeFillShade="F2"/>
              </w:rPr>
              <w:t xml:space="preserve">7 (Audits – part </w:t>
            </w:r>
            <w:r w:rsidR="00960135" w:rsidRPr="00CF5903">
              <w:rPr>
                <w:rFonts w:ascii="Arial" w:hAnsi="Arial" w:cs="Arial"/>
                <w:b/>
                <w:sz w:val="20"/>
                <w:szCs w:val="20"/>
                <w:shd w:val="clear" w:color="auto" w:fill="F2F2F2" w:themeFill="background1" w:themeFillShade="F2"/>
              </w:rPr>
              <w:t xml:space="preserve">b) </w:t>
            </w:r>
            <w:r w:rsidRPr="00040AA9">
              <w:rPr>
                <w:rFonts w:ascii="Arial" w:hAnsi="Arial" w:cs="Arial"/>
                <w:b/>
                <w:sz w:val="20"/>
                <w:szCs w:val="20"/>
                <w:shd w:val="clear" w:color="auto" w:fill="F2F2F2" w:themeFill="background1" w:themeFillShade="F2"/>
              </w:rPr>
              <w:t>Increase annual audits</w:t>
            </w:r>
            <w:r w:rsidRPr="00040AA9">
              <w:rPr>
                <w:rFonts w:ascii="Arial" w:hAnsi="Arial" w:cs="Arial"/>
                <w:b/>
                <w:sz w:val="20"/>
                <w:szCs w:val="20"/>
              </w:rPr>
              <w:t xml:space="preserve"> performed by the Large Taxpayers Office (LTO) and Medium Term (sic) Office (MTO)</w:t>
            </w:r>
          </w:p>
        </w:tc>
      </w:tr>
      <w:tr w:rsidR="00A55DB7" w:rsidRPr="00CF5903" w14:paraId="3AF8015C" w14:textId="77777777" w:rsidTr="00E420C4">
        <w:trPr>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0BE93BA0" w14:textId="09E03C13"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7.1</w:t>
            </w:r>
          </w:p>
          <w:p w14:paraId="0DA129CB"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Number of Audits Performed - LTO</w:t>
            </w:r>
          </w:p>
          <w:p w14:paraId="7ACCFADA"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(FSPG II, result 2)</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24C0808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Number</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08103E60"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8</w:t>
            </w:r>
          </w:p>
          <w:p w14:paraId="72358F3C" w14:textId="77777777" w:rsidR="00A55DB7" w:rsidRPr="00040AA9" w:rsidRDefault="00A55DB7" w:rsidP="00040AA9">
            <w:pPr>
              <w:keepNext/>
              <w:keepLines/>
              <w:suppressAutoHyphens/>
              <w:jc w:val="center"/>
              <w:rPr>
                <w:rFonts w:ascii="Arial" w:hAnsi="Arial" w:cs="Arial"/>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0BC4F101"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1D5E5EC0"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4865A5BF"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156</w:t>
            </w:r>
          </w:p>
          <w:p w14:paraId="7E945A7D"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(2016/17)</w:t>
            </w:r>
          </w:p>
          <w:p w14:paraId="1C605FE7" w14:textId="77777777" w:rsidR="00A55DB7" w:rsidRPr="00040AA9" w:rsidRDefault="00A55DB7" w:rsidP="00040AA9">
            <w:pPr>
              <w:keepNext/>
              <w:keepLines/>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84BE960" w14:textId="77777777" w:rsidR="00A55DB7" w:rsidRPr="00040AA9" w:rsidRDefault="00A55DB7" w:rsidP="00040AA9">
            <w:pPr>
              <w:keepNext/>
              <w:keepLines/>
              <w:suppressAutoHyphens/>
              <w:rPr>
                <w:rFonts w:ascii="Arial" w:hAnsi="Arial" w:cs="Arial"/>
                <w:i/>
                <w:sz w:val="20"/>
                <w:szCs w:val="20"/>
              </w:rPr>
            </w:pPr>
          </w:p>
          <w:p w14:paraId="5344D427"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 xml:space="preserve">EI:148 </w:t>
            </w:r>
          </w:p>
          <w:p w14:paraId="128BB290" w14:textId="77777777" w:rsidR="00A55DB7" w:rsidRPr="00040AA9" w:rsidRDefault="00A55DB7" w:rsidP="00040AA9">
            <w:pPr>
              <w:keepNext/>
              <w:keepLines/>
              <w:suppressAutoHyphens/>
              <w:rPr>
                <w:rFonts w:ascii="Arial" w:hAnsi="Arial" w:cs="Arial"/>
                <w:i/>
                <w:sz w:val="20"/>
                <w:szCs w:val="20"/>
              </w:rPr>
            </w:pPr>
            <w:r w:rsidRPr="00040AA9">
              <w:rPr>
                <w:rFonts w:ascii="Arial" w:hAnsi="Arial" w:cs="Arial"/>
                <w:sz w:val="20"/>
                <w:szCs w:val="20"/>
              </w:rPr>
              <w:t>returns</w:t>
            </w:r>
          </w:p>
        </w:tc>
        <w:tc>
          <w:tcPr>
            <w:tcW w:w="5374" w:type="dxa"/>
            <w:tcBorders>
              <w:top w:val="single" w:sz="4" w:space="0" w:color="auto"/>
              <w:left w:val="single" w:sz="4" w:space="0" w:color="auto"/>
              <w:bottom w:val="single" w:sz="4" w:space="0" w:color="auto"/>
              <w:right w:val="single" w:sz="4" w:space="0" w:color="auto"/>
            </w:tcBorders>
          </w:tcPr>
          <w:p w14:paraId="144E025A"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TAJ Annual Performance Report</w:t>
            </w:r>
          </w:p>
        </w:tc>
      </w:tr>
      <w:tr w:rsidR="00A55DB7" w:rsidRPr="00CF5903" w14:paraId="603E89FF"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5758E729" w14:textId="77777777" w:rsidR="00A55DB7" w:rsidRPr="00040AA9" w:rsidRDefault="00A55DB7" w:rsidP="00040AA9">
            <w:pPr>
              <w:keepNext/>
              <w:keepLines/>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08A8E757" w14:textId="77777777" w:rsidR="00A55DB7" w:rsidRPr="00040AA9" w:rsidRDefault="00A55DB7" w:rsidP="00040AA9">
            <w:pPr>
              <w:keepNext/>
              <w:keepLines/>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52BFA71B" w14:textId="77777777" w:rsidR="00A55DB7" w:rsidRPr="00040AA9" w:rsidRDefault="00A55DB7" w:rsidP="00040AA9">
            <w:pPr>
              <w:keepNext/>
              <w:keepLines/>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1D7AA0FC" w14:textId="77777777" w:rsidR="00A55DB7" w:rsidRPr="00040AA9" w:rsidRDefault="00A55DB7" w:rsidP="00040AA9">
            <w:pPr>
              <w:keepNext/>
              <w:keepLines/>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47EA5CA"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9AAD961" w14:textId="77777777" w:rsidR="00A55DB7" w:rsidRPr="00040AA9" w:rsidRDefault="00A55DB7" w:rsidP="00040AA9">
            <w:pPr>
              <w:keepNext/>
              <w:keepLines/>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7A620B0B" w14:textId="77777777" w:rsidR="00A55DB7" w:rsidRPr="00040AA9" w:rsidRDefault="00A55DB7" w:rsidP="00040AA9">
            <w:pPr>
              <w:keepNext/>
              <w:keepLines/>
              <w:suppressAutoHyphens/>
              <w:rPr>
                <w:rFonts w:ascii="Arial" w:hAnsi="Arial" w:cs="Arial"/>
                <w:i/>
                <w:sz w:val="20"/>
                <w:szCs w:val="20"/>
              </w:rPr>
            </w:pPr>
          </w:p>
        </w:tc>
        <w:tc>
          <w:tcPr>
            <w:tcW w:w="5374" w:type="dxa"/>
            <w:tcBorders>
              <w:top w:val="single" w:sz="4" w:space="0" w:color="auto"/>
              <w:left w:val="single" w:sz="4" w:space="0" w:color="auto"/>
              <w:bottom w:val="single" w:sz="4" w:space="0" w:color="auto"/>
              <w:right w:val="single" w:sz="4" w:space="0" w:color="auto"/>
            </w:tcBorders>
          </w:tcPr>
          <w:p w14:paraId="1E4E96AA" w14:textId="77777777" w:rsidR="00A55DB7" w:rsidRPr="00040AA9" w:rsidRDefault="00A55DB7" w:rsidP="00040AA9">
            <w:pPr>
              <w:keepNext/>
              <w:keepLines/>
              <w:suppressAutoHyphens/>
              <w:rPr>
                <w:rFonts w:ascii="Arial" w:hAnsi="Arial" w:cs="Arial"/>
                <w:sz w:val="20"/>
                <w:szCs w:val="20"/>
              </w:rPr>
            </w:pPr>
          </w:p>
        </w:tc>
      </w:tr>
      <w:tr w:rsidR="00A55DB7" w:rsidRPr="00CF5903" w14:paraId="3ADA5247" w14:textId="77777777" w:rsidTr="00E420C4">
        <w:trPr>
          <w:trHeight w:val="728"/>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5A40F026" w14:textId="77777777" w:rsidR="00A55DB7" w:rsidRPr="00040AA9" w:rsidRDefault="00A55DB7" w:rsidP="00040AA9">
            <w:pPr>
              <w:keepNext/>
              <w:keepLines/>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0849CCF5" w14:textId="77777777" w:rsidR="00A55DB7" w:rsidRPr="00040AA9" w:rsidRDefault="00A55DB7" w:rsidP="00040AA9">
            <w:pPr>
              <w:keepNext/>
              <w:keepLines/>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12487CBE" w14:textId="77777777" w:rsidR="00A55DB7" w:rsidRPr="00040AA9" w:rsidRDefault="00A55DB7" w:rsidP="00040AA9">
            <w:pPr>
              <w:keepNext/>
              <w:keepLines/>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1E63F2C" w14:textId="77777777" w:rsidR="00A55DB7" w:rsidRPr="00040AA9" w:rsidRDefault="00A55DB7" w:rsidP="00040AA9">
            <w:pPr>
              <w:keepNext/>
              <w:keepLines/>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79122CA9"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494839A5"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186 returns</w:t>
            </w:r>
          </w:p>
          <w:p w14:paraId="72D84F39"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 xml:space="preserve"> (2016/17)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6F642734"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 xml:space="preserve">AI:178 </w:t>
            </w:r>
          </w:p>
          <w:p w14:paraId="7040EC80"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returns</w:t>
            </w:r>
          </w:p>
          <w:p w14:paraId="05BDD906" w14:textId="77777777" w:rsidR="00A55DB7" w:rsidRPr="00040AA9" w:rsidRDefault="00A55DB7" w:rsidP="00040AA9">
            <w:pPr>
              <w:keepNext/>
              <w:keepLines/>
              <w:suppressAutoHyphens/>
              <w:rPr>
                <w:rFonts w:ascii="Arial" w:hAnsi="Arial" w:cs="Arial"/>
                <w:i/>
                <w:sz w:val="20"/>
                <w:szCs w:val="20"/>
              </w:rPr>
            </w:pPr>
          </w:p>
          <w:p w14:paraId="5F3B6BA8" w14:textId="77777777" w:rsidR="00A55DB7" w:rsidRPr="00040AA9" w:rsidRDefault="00A55DB7" w:rsidP="00040AA9">
            <w:pPr>
              <w:keepNext/>
              <w:keepLines/>
              <w:suppressAutoHyphens/>
              <w:rPr>
                <w:rFonts w:ascii="Arial" w:hAnsi="Arial" w:cs="Arial"/>
                <w:i/>
                <w:sz w:val="20"/>
                <w:szCs w:val="20"/>
              </w:rPr>
            </w:pPr>
            <w:r w:rsidRPr="00040AA9">
              <w:rPr>
                <w:rFonts w:ascii="Arial" w:hAnsi="Arial" w:cs="Arial"/>
                <w:i/>
                <w:sz w:val="20"/>
                <w:szCs w:val="20"/>
              </w:rPr>
              <w:t>120%</w:t>
            </w:r>
          </w:p>
          <w:p w14:paraId="059DF9E1" w14:textId="77777777" w:rsidR="00A55DB7" w:rsidRPr="00040AA9" w:rsidRDefault="00A55DB7" w:rsidP="00040AA9">
            <w:pPr>
              <w:keepNext/>
              <w:keepLines/>
              <w:suppressAutoHyphens/>
              <w:rPr>
                <w:rFonts w:ascii="Arial" w:hAnsi="Arial" w:cs="Arial"/>
                <w:i/>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1887EB28" w14:textId="77777777" w:rsidR="00A55DB7" w:rsidRPr="00040AA9" w:rsidRDefault="00A55DB7" w:rsidP="00040AA9">
            <w:pPr>
              <w:keepNext/>
              <w:keepLines/>
              <w:suppressAutoHyphens/>
              <w:rPr>
                <w:rFonts w:ascii="Arial" w:hAnsi="Arial" w:cs="Arial"/>
                <w:sz w:val="20"/>
                <w:szCs w:val="20"/>
                <w:lang w:val="en-CA"/>
              </w:rPr>
            </w:pPr>
            <w:r w:rsidRPr="00040AA9">
              <w:rPr>
                <w:rFonts w:ascii="Arial" w:hAnsi="Arial" w:cs="Arial"/>
                <w:sz w:val="20"/>
                <w:szCs w:val="20"/>
                <w:lang w:val="en-CA"/>
              </w:rPr>
              <w:t>TAJ Annual Performance Report FY 2016/17 Appendix 4 Tabular Performance Review FY 16/17</w:t>
            </w:r>
          </w:p>
          <w:p w14:paraId="31551CC6" w14:textId="787FA979" w:rsidR="00A55DB7" w:rsidRPr="00040AA9" w:rsidRDefault="002642C1" w:rsidP="00040AA9">
            <w:pPr>
              <w:keepNext/>
              <w:keepLines/>
              <w:suppressAutoHyphens/>
              <w:rPr>
                <w:rFonts w:ascii="Arial" w:hAnsi="Arial" w:cs="Arial"/>
                <w:sz w:val="20"/>
                <w:szCs w:val="20"/>
              </w:rPr>
            </w:pPr>
            <w:r w:rsidRPr="00040AA9">
              <w:rPr>
                <w:rFonts w:ascii="Arial" w:hAnsi="Arial" w:cs="Arial"/>
                <w:sz w:val="20"/>
                <w:szCs w:val="20"/>
              </w:rPr>
              <w:t>(</w:t>
            </w:r>
            <w:r w:rsidR="00A55DB7" w:rsidRPr="00040AA9">
              <w:rPr>
                <w:rFonts w:ascii="Arial" w:hAnsi="Arial" w:cs="Arial"/>
                <w:sz w:val="20"/>
                <w:szCs w:val="20"/>
              </w:rPr>
              <w:t xml:space="preserve">Audits conducted on 78 </w:t>
            </w:r>
            <w:r w:rsidR="00435749" w:rsidRPr="00CF5903">
              <w:rPr>
                <w:rFonts w:ascii="Arial" w:hAnsi="Arial" w:cs="Arial"/>
                <w:sz w:val="20"/>
                <w:szCs w:val="20"/>
              </w:rPr>
              <w:t>large taxpayers</w:t>
            </w:r>
            <w:r w:rsidRPr="00040AA9">
              <w:rPr>
                <w:rFonts w:ascii="Arial" w:hAnsi="Arial" w:cs="Arial"/>
                <w:sz w:val="20"/>
                <w:szCs w:val="20"/>
              </w:rPr>
              <w:t>)</w:t>
            </w:r>
          </w:p>
        </w:tc>
      </w:tr>
      <w:tr w:rsidR="00A55DB7" w:rsidRPr="00CF5903" w14:paraId="06524464" w14:textId="77777777" w:rsidTr="00E420C4">
        <w:trPr>
          <w:trHeight w:val="395"/>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64935079" w14:textId="7A6D5E85"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7.2</w:t>
            </w:r>
          </w:p>
          <w:p w14:paraId="02831444"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Number of Audits Performed - MTO</w:t>
            </w:r>
          </w:p>
          <w:p w14:paraId="79AD342A"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II, result 2)</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04B729B2"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Number</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01C75494"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100</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57046D1C"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5FDA9F9E"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612A5613"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200</w:t>
            </w:r>
          </w:p>
          <w:p w14:paraId="30350366"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(2016/17)</w:t>
            </w:r>
          </w:p>
          <w:p w14:paraId="7CD03A7D"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B60D6D4" w14:textId="77777777" w:rsidR="00A55DB7" w:rsidRPr="00040AA9" w:rsidRDefault="00A55DB7" w:rsidP="00040AA9">
            <w:pPr>
              <w:suppressAutoHyphens/>
              <w:rPr>
                <w:rFonts w:ascii="Arial" w:hAnsi="Arial" w:cs="Arial"/>
                <w:i/>
                <w:sz w:val="20"/>
                <w:szCs w:val="20"/>
              </w:rPr>
            </w:pPr>
            <w:r w:rsidRPr="00040AA9">
              <w:rPr>
                <w:rFonts w:ascii="Arial" w:hAnsi="Arial" w:cs="Arial"/>
                <w:sz w:val="20"/>
                <w:szCs w:val="20"/>
              </w:rPr>
              <w:t>EI:100 returns</w:t>
            </w:r>
          </w:p>
        </w:tc>
        <w:tc>
          <w:tcPr>
            <w:tcW w:w="5374" w:type="dxa"/>
            <w:tcBorders>
              <w:top w:val="single" w:sz="4" w:space="0" w:color="auto"/>
              <w:left w:val="single" w:sz="4" w:space="0" w:color="auto"/>
              <w:bottom w:val="single" w:sz="4" w:space="0" w:color="auto"/>
              <w:right w:val="single" w:sz="4" w:space="0" w:color="auto"/>
            </w:tcBorders>
          </w:tcPr>
          <w:p w14:paraId="2D1E61F4"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rPr>
              <w:t>TAJ Annual Performance Report</w:t>
            </w:r>
          </w:p>
        </w:tc>
      </w:tr>
      <w:tr w:rsidR="00A55DB7" w:rsidRPr="00CF5903" w14:paraId="16EC4D89" w14:textId="77777777" w:rsidTr="00E420C4">
        <w:trPr>
          <w:trHeight w:val="188"/>
          <w:jc w:val="center"/>
        </w:trPr>
        <w:tc>
          <w:tcPr>
            <w:tcW w:w="2368" w:type="dxa"/>
            <w:vMerge/>
            <w:tcBorders>
              <w:top w:val="single" w:sz="4" w:space="0" w:color="auto"/>
              <w:left w:val="single" w:sz="4" w:space="0" w:color="auto"/>
              <w:right w:val="single" w:sz="4" w:space="0" w:color="auto"/>
            </w:tcBorders>
            <w:vAlign w:val="center"/>
          </w:tcPr>
          <w:p w14:paraId="1D1671AB"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right w:val="single" w:sz="4" w:space="0" w:color="auto"/>
            </w:tcBorders>
            <w:vAlign w:val="center"/>
          </w:tcPr>
          <w:p w14:paraId="01137B15"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right w:val="single" w:sz="4" w:space="0" w:color="auto"/>
            </w:tcBorders>
            <w:vAlign w:val="center"/>
          </w:tcPr>
          <w:p w14:paraId="63659388"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right w:val="single" w:sz="4" w:space="0" w:color="auto"/>
            </w:tcBorders>
            <w:vAlign w:val="center"/>
          </w:tcPr>
          <w:p w14:paraId="4AD9A1C2"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1A1F78E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446DFF33"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4AE413BB"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AD5BC5C" w14:textId="77777777" w:rsidR="00A55DB7" w:rsidRPr="00040AA9" w:rsidRDefault="00A55DB7" w:rsidP="00040AA9">
            <w:pPr>
              <w:suppressAutoHyphens/>
              <w:rPr>
                <w:rFonts w:ascii="Arial" w:hAnsi="Arial" w:cs="Arial"/>
                <w:sz w:val="20"/>
                <w:szCs w:val="20"/>
                <w:lang w:val="en-CA"/>
              </w:rPr>
            </w:pPr>
          </w:p>
        </w:tc>
      </w:tr>
      <w:tr w:rsidR="00A55DB7" w:rsidRPr="00CF5903" w14:paraId="681ACC38" w14:textId="77777777" w:rsidTr="00E420C4">
        <w:trPr>
          <w:trHeight w:val="236"/>
          <w:jc w:val="center"/>
        </w:trPr>
        <w:tc>
          <w:tcPr>
            <w:tcW w:w="2368" w:type="dxa"/>
            <w:vMerge/>
            <w:tcBorders>
              <w:left w:val="single" w:sz="4" w:space="0" w:color="auto"/>
              <w:bottom w:val="single" w:sz="4" w:space="0" w:color="auto"/>
              <w:right w:val="single" w:sz="4" w:space="0" w:color="auto"/>
            </w:tcBorders>
            <w:vAlign w:val="center"/>
          </w:tcPr>
          <w:p w14:paraId="02674149" w14:textId="77777777" w:rsidR="00A55DB7" w:rsidRPr="00040AA9" w:rsidRDefault="00A55DB7" w:rsidP="00040AA9">
            <w:pPr>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4E40500E" w14:textId="77777777" w:rsidR="00A55DB7" w:rsidRPr="00040AA9" w:rsidRDefault="00A55DB7" w:rsidP="00040AA9">
            <w:pPr>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144C0E52" w14:textId="77777777" w:rsidR="00A55DB7" w:rsidRPr="00040AA9" w:rsidRDefault="00A55DB7" w:rsidP="00040AA9">
            <w:pPr>
              <w:suppressAutoHyphens/>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44CE131D"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30C029A3"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570A0D7B"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1,374 returns</w:t>
            </w:r>
          </w:p>
          <w:p w14:paraId="37B41B86"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(2016/17)</w:t>
            </w:r>
          </w:p>
          <w:p w14:paraId="1390B67A"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AI: 1174 returns</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1B53525"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AI: 1174 returns</w:t>
            </w:r>
          </w:p>
          <w:p w14:paraId="0FC4A995" w14:textId="77777777" w:rsidR="00A55DB7" w:rsidRPr="00040AA9" w:rsidRDefault="00A55DB7" w:rsidP="00040AA9">
            <w:pPr>
              <w:suppressAutoHyphens/>
              <w:rPr>
                <w:rFonts w:ascii="Arial" w:hAnsi="Arial" w:cs="Arial"/>
                <w:i/>
                <w:sz w:val="20"/>
                <w:szCs w:val="20"/>
              </w:rPr>
            </w:pPr>
            <w:r w:rsidRPr="00040AA9">
              <w:rPr>
                <w:rFonts w:ascii="Arial" w:hAnsi="Arial" w:cs="Arial"/>
                <w:i/>
                <w:sz w:val="20"/>
                <w:szCs w:val="20"/>
              </w:rPr>
              <w:t xml:space="preserve"> </w:t>
            </w:r>
          </w:p>
          <w:p w14:paraId="06AA6424" w14:textId="2505C2F3" w:rsidR="00A55DB7" w:rsidRPr="00040AA9" w:rsidRDefault="00A55DB7" w:rsidP="00040AA9">
            <w:pPr>
              <w:suppressAutoHyphens/>
              <w:rPr>
                <w:rFonts w:ascii="Arial" w:hAnsi="Arial" w:cs="Arial"/>
                <w:i/>
                <w:sz w:val="20"/>
                <w:szCs w:val="20"/>
              </w:rPr>
            </w:pPr>
            <w:r w:rsidRPr="00040AA9">
              <w:rPr>
                <w:rFonts w:ascii="Arial" w:hAnsi="Arial" w:cs="Arial"/>
                <w:i/>
                <w:sz w:val="20"/>
                <w:szCs w:val="20"/>
              </w:rPr>
              <w:t>1,174%</w:t>
            </w:r>
          </w:p>
          <w:p w14:paraId="51D07698" w14:textId="77777777" w:rsidR="00A55DB7" w:rsidRPr="00040AA9" w:rsidRDefault="00A55DB7" w:rsidP="00040AA9">
            <w:pPr>
              <w:suppressAutoHyphens/>
              <w:rPr>
                <w:rFonts w:ascii="Arial" w:hAnsi="Arial" w:cs="Arial"/>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456283EE"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TAJ Annual Performance Report FY 2016/17 Appendix 4 Tabular Performance Review FY 16/17</w:t>
            </w:r>
          </w:p>
          <w:p w14:paraId="6F6C0BB6" w14:textId="363898AA" w:rsidR="00A55DB7" w:rsidRPr="00040AA9" w:rsidRDefault="002642C1" w:rsidP="00040AA9">
            <w:pPr>
              <w:suppressAutoHyphens/>
              <w:rPr>
                <w:rFonts w:ascii="Arial" w:hAnsi="Arial" w:cs="Arial"/>
                <w:sz w:val="20"/>
                <w:szCs w:val="20"/>
                <w:lang w:val="en-CA"/>
              </w:rPr>
            </w:pPr>
            <w:r w:rsidRPr="00040AA9">
              <w:rPr>
                <w:rFonts w:ascii="Arial" w:hAnsi="Arial" w:cs="Arial"/>
                <w:sz w:val="20"/>
                <w:szCs w:val="20"/>
                <w:lang w:val="en-CA"/>
              </w:rPr>
              <w:t>(</w:t>
            </w:r>
            <w:r w:rsidR="00A55DB7" w:rsidRPr="00040AA9">
              <w:rPr>
                <w:rFonts w:ascii="Arial" w:hAnsi="Arial" w:cs="Arial"/>
                <w:sz w:val="20"/>
                <w:szCs w:val="20"/>
                <w:lang w:val="en-CA"/>
              </w:rPr>
              <w:t>Audits conducted on 728 medium taxpayers</w:t>
            </w:r>
            <w:r w:rsidRPr="00040AA9">
              <w:rPr>
                <w:rFonts w:ascii="Arial" w:hAnsi="Arial" w:cs="Arial"/>
                <w:sz w:val="20"/>
                <w:szCs w:val="20"/>
                <w:lang w:val="en-CA"/>
              </w:rPr>
              <w:t>)</w:t>
            </w:r>
          </w:p>
        </w:tc>
      </w:tr>
      <w:tr w:rsidR="00A55DB7" w:rsidRPr="00CF5903" w14:paraId="37560B28" w14:textId="77777777" w:rsidTr="00040AA9">
        <w:trPr>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981AB" w14:textId="549573C1" w:rsidR="00A55DB7" w:rsidRPr="00040AA9" w:rsidRDefault="00A55DB7" w:rsidP="00040AA9">
            <w:pPr>
              <w:suppressAutoHyphens/>
              <w:rPr>
                <w:rFonts w:ascii="Arial" w:hAnsi="Arial" w:cs="Arial"/>
                <w:b/>
                <w:sz w:val="20"/>
                <w:szCs w:val="20"/>
              </w:rPr>
            </w:pPr>
            <w:r w:rsidRPr="00040AA9">
              <w:rPr>
                <w:rFonts w:ascii="Arial" w:hAnsi="Arial" w:cs="Arial"/>
                <w:b/>
                <w:sz w:val="20"/>
                <w:szCs w:val="20"/>
              </w:rPr>
              <w:t xml:space="preserve">Outcome (Result) </w:t>
            </w:r>
            <w:r w:rsidR="00A854F2" w:rsidRPr="00040AA9">
              <w:rPr>
                <w:rFonts w:ascii="Arial" w:hAnsi="Arial" w:cs="Arial"/>
                <w:b/>
                <w:sz w:val="20"/>
                <w:szCs w:val="20"/>
              </w:rPr>
              <w:t>II.</w:t>
            </w:r>
            <w:r w:rsidRPr="00040AA9">
              <w:rPr>
                <w:rFonts w:ascii="Arial" w:hAnsi="Arial" w:cs="Arial"/>
                <w:b/>
                <w:sz w:val="20"/>
                <w:szCs w:val="20"/>
              </w:rPr>
              <w:t>8 (Audits – part c</w:t>
            </w:r>
            <w:r w:rsidR="00435749" w:rsidRPr="00CF5903">
              <w:rPr>
                <w:rFonts w:ascii="Arial" w:hAnsi="Arial" w:cs="Arial"/>
                <w:b/>
                <w:sz w:val="20"/>
                <w:szCs w:val="20"/>
              </w:rPr>
              <w:t>) Increase</w:t>
            </w:r>
            <w:r w:rsidRPr="00040AA9">
              <w:rPr>
                <w:rFonts w:ascii="Arial" w:hAnsi="Arial" w:cs="Arial"/>
                <w:b/>
                <w:sz w:val="20"/>
                <w:szCs w:val="20"/>
              </w:rPr>
              <w:t xml:space="preserve"> the ratio between the number of comprehensive audits and the total number of large taxpayers</w:t>
            </w:r>
          </w:p>
        </w:tc>
      </w:tr>
      <w:tr w:rsidR="00A55DB7" w:rsidRPr="00CF5903" w14:paraId="530FD202" w14:textId="77777777" w:rsidTr="00E420C4">
        <w:trPr>
          <w:trHeight w:val="503"/>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7AF6D15F" w14:textId="50D0084E" w:rsidR="00A55DB7" w:rsidRPr="00040AA9" w:rsidRDefault="00A55DB7" w:rsidP="00040AA9">
            <w:pPr>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8.1</w:t>
            </w:r>
          </w:p>
          <w:p w14:paraId="69CB338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Number of total comprehensive audits performed / Total number of [large] taxpayers.</w:t>
            </w:r>
          </w:p>
          <w:p w14:paraId="3384B25D"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(FSPG III, result 3)</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04BB57FB"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 Large tax payers</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222AE285"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0.7</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6240D3D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6C0BE2E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1F0CA52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15%</w:t>
            </w:r>
          </w:p>
          <w:p w14:paraId="43290FC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950199F"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30F39CB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TAJ Annual Performance Report.</w:t>
            </w:r>
          </w:p>
        </w:tc>
      </w:tr>
      <w:tr w:rsidR="00A55DB7" w:rsidRPr="00CF5903" w14:paraId="28A47C65" w14:textId="77777777" w:rsidTr="00E420C4">
        <w:trPr>
          <w:trHeight w:val="278"/>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20F873DD"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7681B6A7"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69492EE9"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37997F6E"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16BA7030"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96E9105"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12.5%</w:t>
            </w:r>
          </w:p>
          <w:p w14:paraId="71BE2D67"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7E0B84A"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EI:11.8pp</w:t>
            </w:r>
          </w:p>
        </w:tc>
        <w:tc>
          <w:tcPr>
            <w:tcW w:w="5374" w:type="dxa"/>
            <w:tcBorders>
              <w:top w:val="single" w:sz="4" w:space="0" w:color="auto"/>
              <w:left w:val="single" w:sz="4" w:space="0" w:color="auto"/>
              <w:bottom w:val="single" w:sz="4" w:space="0" w:color="auto"/>
              <w:right w:val="single" w:sz="4" w:space="0" w:color="auto"/>
            </w:tcBorders>
          </w:tcPr>
          <w:p w14:paraId="730AA9B3" w14:textId="6220CB9E" w:rsidR="00A55DB7" w:rsidRPr="00040AA9" w:rsidRDefault="00A55DB7" w:rsidP="00040AA9">
            <w:pPr>
              <w:suppressAutoHyphens/>
              <w:rPr>
                <w:rFonts w:ascii="Arial" w:hAnsi="Arial" w:cs="Arial"/>
                <w:sz w:val="20"/>
                <w:szCs w:val="20"/>
              </w:rPr>
            </w:pPr>
            <w:r w:rsidRPr="00040AA9">
              <w:rPr>
                <w:rFonts w:ascii="Arial" w:hAnsi="Arial" w:cs="Arial"/>
                <w:sz w:val="20"/>
                <w:szCs w:val="20"/>
                <w:lang w:val="en-CA"/>
              </w:rPr>
              <w:t xml:space="preserve">Letter from TAJ Commissioner General to Bank dated Nov. 24, 2016 referencing </w:t>
            </w:r>
            <w:r w:rsidR="00927F00" w:rsidRPr="00040AA9">
              <w:rPr>
                <w:rFonts w:ascii="Arial" w:hAnsi="Arial" w:cs="Arial"/>
                <w:sz w:val="20"/>
                <w:szCs w:val="20"/>
                <w:lang w:val="en-CA"/>
              </w:rPr>
              <w:t xml:space="preserve">the </w:t>
            </w:r>
            <w:r w:rsidRPr="00040AA9">
              <w:rPr>
                <w:rFonts w:ascii="Arial" w:hAnsi="Arial" w:cs="Arial"/>
                <w:sz w:val="20"/>
                <w:szCs w:val="20"/>
                <w:lang w:val="en-CA"/>
              </w:rPr>
              <w:t>FISPEG III neg</w:t>
            </w:r>
            <w:r w:rsidR="00301146" w:rsidRPr="00040AA9">
              <w:rPr>
                <w:rFonts w:ascii="Arial" w:hAnsi="Arial" w:cs="Arial"/>
                <w:sz w:val="20"/>
                <w:szCs w:val="20"/>
                <w:lang w:val="en-CA"/>
              </w:rPr>
              <w:t>otia</w:t>
            </w:r>
            <w:r w:rsidR="00927F00" w:rsidRPr="00040AA9">
              <w:rPr>
                <w:rFonts w:ascii="Arial" w:hAnsi="Arial" w:cs="Arial"/>
                <w:sz w:val="20"/>
                <w:szCs w:val="20"/>
                <w:lang w:val="en-CA"/>
              </w:rPr>
              <w:t xml:space="preserve">tions on </w:t>
            </w:r>
            <w:r w:rsidRPr="00040AA9">
              <w:rPr>
                <w:rFonts w:ascii="Arial" w:hAnsi="Arial" w:cs="Arial"/>
                <w:sz w:val="20"/>
                <w:szCs w:val="20"/>
                <w:lang w:val="en-CA"/>
              </w:rPr>
              <w:t xml:space="preserve">Nov. 14, 2016 </w:t>
            </w:r>
            <w:r w:rsidR="00927F00" w:rsidRPr="00040AA9">
              <w:rPr>
                <w:rFonts w:ascii="Arial" w:hAnsi="Arial" w:cs="Arial"/>
                <w:sz w:val="20"/>
                <w:szCs w:val="20"/>
                <w:lang w:val="en-CA"/>
              </w:rPr>
              <w:t>at</w:t>
            </w:r>
            <w:r w:rsidRPr="00040AA9">
              <w:rPr>
                <w:rFonts w:ascii="Arial" w:hAnsi="Arial" w:cs="Arial"/>
                <w:sz w:val="20"/>
                <w:szCs w:val="20"/>
                <w:lang w:val="en-CA"/>
              </w:rPr>
              <w:t xml:space="preserve"> which it was agreed that target for comprehensive audits of large taxpayers would be set at 12.5% by 2015/16</w:t>
            </w:r>
          </w:p>
        </w:tc>
      </w:tr>
      <w:tr w:rsidR="00A55DB7" w:rsidRPr="00CF5903" w14:paraId="07419434" w14:textId="77777777" w:rsidTr="00E420C4">
        <w:trPr>
          <w:trHeight w:val="260"/>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4944FB58"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766B31D6"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963DAE7"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56D182A5"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3E8DCCA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60F12544"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12.7%</w:t>
            </w:r>
          </w:p>
          <w:p w14:paraId="1E2F928C"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215CD7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AI:12pp</w:t>
            </w:r>
          </w:p>
          <w:p w14:paraId="39782872" w14:textId="77777777" w:rsidR="00A55DB7" w:rsidRPr="00040AA9" w:rsidRDefault="00A55DB7" w:rsidP="00040AA9">
            <w:pPr>
              <w:suppressAutoHyphens/>
              <w:rPr>
                <w:rFonts w:ascii="Arial" w:hAnsi="Arial" w:cs="Arial"/>
                <w:sz w:val="20"/>
                <w:szCs w:val="20"/>
              </w:rPr>
            </w:pPr>
          </w:p>
          <w:p w14:paraId="51B46B90" w14:textId="77777777" w:rsidR="00A55DB7" w:rsidRPr="00040AA9" w:rsidRDefault="00A55DB7" w:rsidP="00040AA9">
            <w:pPr>
              <w:suppressAutoHyphens/>
              <w:rPr>
                <w:rFonts w:ascii="Arial" w:hAnsi="Arial" w:cs="Arial"/>
                <w:i/>
                <w:sz w:val="20"/>
                <w:szCs w:val="20"/>
              </w:rPr>
            </w:pPr>
            <w:r w:rsidRPr="00040AA9">
              <w:rPr>
                <w:rFonts w:ascii="Arial" w:hAnsi="Arial" w:cs="Arial"/>
                <w:i/>
                <w:sz w:val="20"/>
                <w:szCs w:val="20"/>
              </w:rPr>
              <w:t>=&gt;102%</w:t>
            </w:r>
          </w:p>
          <w:p w14:paraId="118F5E77" w14:textId="77777777" w:rsidR="00A55DB7" w:rsidRPr="00040AA9" w:rsidRDefault="00A55DB7" w:rsidP="00040AA9">
            <w:pPr>
              <w:suppressAutoHyphens/>
              <w:rPr>
                <w:rFonts w:ascii="Arial" w:hAnsi="Arial" w:cs="Arial"/>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4427A4F7"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lang w:val="en-CA"/>
              </w:rPr>
              <w:t>Letter from TAJ Commissioner General to Bank dated Nov. 24, 2016 stating that “a total of 114 comprehensive audits were completed which is equivalent to 12.7% of large tax payers audited. See also TAJ Performance Report FY2015/16 p. 23</w:t>
            </w:r>
          </w:p>
        </w:tc>
      </w:tr>
      <w:tr w:rsidR="00A55DB7" w:rsidRPr="00CF5903" w14:paraId="462B25B0" w14:textId="77777777" w:rsidTr="00040AA9">
        <w:trPr>
          <w:trHeight w:val="269"/>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DF52C6" w14:textId="2CCC35FC" w:rsidR="00A55DB7" w:rsidRPr="00040AA9" w:rsidRDefault="00A55DB7" w:rsidP="00040AA9">
            <w:pPr>
              <w:keepNext/>
              <w:keepLines/>
              <w:suppressAutoHyphens/>
              <w:rPr>
                <w:rFonts w:ascii="Arial" w:hAnsi="Arial" w:cs="Arial"/>
                <w:b/>
                <w:i/>
                <w:sz w:val="20"/>
                <w:szCs w:val="20"/>
              </w:rPr>
            </w:pPr>
            <w:r w:rsidRPr="00040AA9">
              <w:rPr>
                <w:rFonts w:ascii="Arial" w:hAnsi="Arial" w:cs="Arial"/>
                <w:b/>
                <w:sz w:val="20"/>
                <w:szCs w:val="20"/>
              </w:rPr>
              <w:t xml:space="preserve">Outcome (Result) </w:t>
            </w:r>
            <w:r w:rsidR="00A854F2" w:rsidRPr="00040AA9">
              <w:rPr>
                <w:rFonts w:ascii="Arial" w:hAnsi="Arial" w:cs="Arial"/>
                <w:b/>
                <w:sz w:val="20"/>
                <w:szCs w:val="20"/>
              </w:rPr>
              <w:t>II.</w:t>
            </w:r>
            <w:r w:rsidRPr="00040AA9">
              <w:rPr>
                <w:rFonts w:ascii="Arial" w:hAnsi="Arial" w:cs="Arial"/>
                <w:b/>
                <w:sz w:val="20"/>
                <w:szCs w:val="20"/>
              </w:rPr>
              <w:t>9   Increase the % of medium and large taxpayers e-filing their tax return</w:t>
            </w:r>
          </w:p>
        </w:tc>
      </w:tr>
      <w:tr w:rsidR="00A55DB7" w:rsidRPr="00CF5903" w14:paraId="2927141D" w14:textId="77777777" w:rsidTr="00E420C4">
        <w:trPr>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hideMark/>
          </w:tcPr>
          <w:p w14:paraId="18C11EF0" w14:textId="57DB7911"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 xml:space="preserve">Indicator </w:t>
            </w:r>
            <w:r w:rsidR="00754E18" w:rsidRPr="00E420C4">
              <w:rPr>
                <w:rFonts w:ascii="Arial" w:hAnsi="Arial" w:cs="Arial"/>
                <w:sz w:val="20"/>
                <w:szCs w:val="20"/>
              </w:rPr>
              <w:t>II.</w:t>
            </w:r>
            <w:r w:rsidRPr="00E420C4">
              <w:rPr>
                <w:rFonts w:ascii="Arial" w:hAnsi="Arial" w:cs="Arial"/>
                <w:sz w:val="20"/>
                <w:szCs w:val="20"/>
              </w:rPr>
              <w:t>9.1</w:t>
            </w:r>
          </w:p>
          <w:p w14:paraId="027C7295" w14:textId="22B20B70" w:rsidR="00B35597" w:rsidRPr="00E420C4" w:rsidRDefault="00B35597" w:rsidP="00040AA9">
            <w:pPr>
              <w:keepNext/>
              <w:keepLines/>
              <w:suppressAutoHyphens/>
              <w:rPr>
                <w:rFonts w:ascii="Arial" w:hAnsi="Arial" w:cs="Arial"/>
                <w:sz w:val="20"/>
                <w:szCs w:val="20"/>
              </w:rPr>
            </w:pPr>
            <w:r w:rsidRPr="00E420C4">
              <w:rPr>
                <w:rFonts w:ascii="Arial" w:hAnsi="Arial" w:cs="Arial"/>
                <w:sz w:val="20"/>
                <w:szCs w:val="20"/>
              </w:rPr>
              <w:t>(Deactivated – See Table 1)</w:t>
            </w:r>
          </w:p>
          <w:p w14:paraId="43CCA7AB"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Medium and large taxpayers e-filing / Total medium and large Taxpayers</w:t>
            </w:r>
          </w:p>
          <w:p w14:paraId="1D4913BB"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(FSPG I, result 7)</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786A0C9"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22D30D2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5</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15AD15C5"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hideMark/>
          </w:tcPr>
          <w:p w14:paraId="2C28F6AB"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3A8BB844"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100</w:t>
            </w:r>
          </w:p>
          <w:p w14:paraId="1D28E0BF"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(2015/16)</w:t>
            </w:r>
          </w:p>
          <w:p w14:paraId="4442C346" w14:textId="77777777" w:rsidR="00A55DB7" w:rsidRPr="00040AA9" w:rsidRDefault="00A55DB7" w:rsidP="00040AA9">
            <w:pPr>
              <w:keepNext/>
              <w:keepLines/>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04A1DA2"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EI: 95pp</w:t>
            </w:r>
          </w:p>
        </w:tc>
        <w:tc>
          <w:tcPr>
            <w:tcW w:w="5374" w:type="dxa"/>
            <w:tcBorders>
              <w:top w:val="single" w:sz="4" w:space="0" w:color="auto"/>
              <w:left w:val="single" w:sz="4" w:space="0" w:color="auto"/>
              <w:bottom w:val="single" w:sz="4" w:space="0" w:color="auto"/>
              <w:right w:val="single" w:sz="4" w:space="0" w:color="auto"/>
            </w:tcBorders>
          </w:tcPr>
          <w:p w14:paraId="465FBB73" w14:textId="77777777" w:rsidR="00A55DB7" w:rsidRPr="00040AA9" w:rsidRDefault="00A55DB7" w:rsidP="00040AA9">
            <w:pPr>
              <w:keepNext/>
              <w:keepLines/>
              <w:suppressAutoHyphens/>
              <w:rPr>
                <w:rFonts w:ascii="Arial" w:hAnsi="Arial" w:cs="Arial"/>
                <w:sz w:val="20"/>
                <w:szCs w:val="20"/>
                <w:lang w:val="en-CA"/>
              </w:rPr>
            </w:pPr>
            <w:r w:rsidRPr="00040AA9">
              <w:rPr>
                <w:rFonts w:ascii="Arial" w:hAnsi="Arial" w:cs="Arial"/>
                <w:sz w:val="20"/>
                <w:szCs w:val="20"/>
                <w:lang w:val="en-CA"/>
              </w:rPr>
              <w:t>TAJ</w:t>
            </w:r>
          </w:p>
          <w:p w14:paraId="61A6FE52"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lang w:val="en-CA"/>
              </w:rPr>
              <w:t>Note: 3,042 total taxpayers</w:t>
            </w:r>
          </w:p>
        </w:tc>
      </w:tr>
      <w:tr w:rsidR="00A55DB7" w:rsidRPr="00CF5903" w14:paraId="3F512ECB" w14:textId="77777777" w:rsidTr="00E420C4">
        <w:trPr>
          <w:trHeight w:val="251"/>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5B3B71A7" w14:textId="77777777" w:rsidR="00A55DB7" w:rsidRPr="00040AA9" w:rsidRDefault="00A55DB7" w:rsidP="00040AA9">
            <w:pPr>
              <w:keepNext/>
              <w:keepLines/>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1283FAB3" w14:textId="77777777" w:rsidR="00A55DB7" w:rsidRPr="00040AA9" w:rsidRDefault="00A55DB7" w:rsidP="00040AA9">
            <w:pPr>
              <w:keepNext/>
              <w:keepLines/>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C354F22" w14:textId="77777777" w:rsidR="00A55DB7" w:rsidRPr="00040AA9" w:rsidRDefault="00A55DB7" w:rsidP="00040AA9">
            <w:pPr>
              <w:keepNext/>
              <w:keepLines/>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429CEB3" w14:textId="77777777" w:rsidR="00A55DB7" w:rsidRPr="00040AA9" w:rsidRDefault="00A55DB7" w:rsidP="00040AA9">
            <w:pPr>
              <w:keepNext/>
              <w:keepLines/>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62EB92E6"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26F74A6" w14:textId="77777777" w:rsidR="00A55DB7" w:rsidRPr="00040AA9" w:rsidRDefault="00A55DB7" w:rsidP="00040AA9">
            <w:pPr>
              <w:keepNext/>
              <w:keepLines/>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08DAB7C9"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49C94555" w14:textId="77777777" w:rsidR="00A55DB7" w:rsidRPr="00040AA9" w:rsidRDefault="00A55DB7" w:rsidP="00040AA9">
            <w:pPr>
              <w:keepNext/>
              <w:keepLines/>
              <w:suppressAutoHyphens/>
              <w:rPr>
                <w:rFonts w:ascii="Arial" w:hAnsi="Arial" w:cs="Arial"/>
                <w:sz w:val="20"/>
                <w:szCs w:val="20"/>
              </w:rPr>
            </w:pPr>
          </w:p>
        </w:tc>
      </w:tr>
      <w:tr w:rsidR="00A55DB7" w:rsidRPr="00CF5903" w14:paraId="1ACB84EF" w14:textId="77777777" w:rsidTr="00E420C4">
        <w:trPr>
          <w:trHeight w:val="944"/>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287CEC3A"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5B7F35AD" w14:textId="77777777" w:rsidR="00A55DB7" w:rsidRPr="00040AA9" w:rsidRDefault="00A55DB7" w:rsidP="00040AA9">
            <w:pPr>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A3B0810" w14:textId="77777777" w:rsidR="00A55DB7" w:rsidRPr="00040AA9" w:rsidRDefault="00A55DB7" w:rsidP="00040AA9">
            <w:pPr>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05B11BF7" w14:textId="77777777" w:rsidR="00A55DB7" w:rsidRPr="00040AA9" w:rsidRDefault="00A55DB7" w:rsidP="00040AA9">
            <w:pPr>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768A9783" w14:textId="109A72F8" w:rsidR="00A55DB7" w:rsidRPr="00040AA9" w:rsidRDefault="00A55DB7" w:rsidP="00040AA9">
            <w:pPr>
              <w:suppressAutoHyphens/>
              <w:rPr>
                <w:rFonts w:ascii="Arial" w:hAnsi="Arial" w:cs="Arial"/>
                <w:sz w:val="20"/>
                <w:szCs w:val="20"/>
              </w:rPr>
            </w:pPr>
            <w:r w:rsidRPr="00040AA9">
              <w:rPr>
                <w:rFonts w:ascii="Arial" w:hAnsi="Arial" w:cs="Arial"/>
                <w:sz w:val="20"/>
                <w:szCs w:val="20"/>
              </w:rPr>
              <w:t>A</w:t>
            </w:r>
            <w:r w:rsidRPr="00040AA9">
              <w:rPr>
                <w:rStyle w:val="FootnoteReference"/>
                <w:rFonts w:ascii="Arial" w:hAnsi="Arial" w:cs="Arial"/>
                <w:sz w:val="20"/>
                <w:szCs w:val="20"/>
              </w:rPr>
              <w:footnoteReference w:id="61"/>
            </w:r>
          </w:p>
        </w:tc>
        <w:tc>
          <w:tcPr>
            <w:tcW w:w="1080" w:type="dxa"/>
            <w:tcBorders>
              <w:top w:val="single" w:sz="4" w:space="0" w:color="auto"/>
              <w:left w:val="single" w:sz="4" w:space="0" w:color="auto"/>
              <w:bottom w:val="single" w:sz="4" w:space="0" w:color="auto"/>
              <w:right w:val="single" w:sz="4" w:space="0" w:color="auto"/>
            </w:tcBorders>
            <w:vAlign w:val="center"/>
          </w:tcPr>
          <w:p w14:paraId="73498158" w14:textId="58052FF0" w:rsidR="00A55DB7" w:rsidRPr="00040AA9" w:rsidRDefault="00902F0F" w:rsidP="00040AA9">
            <w:pPr>
              <w:suppressAutoHyphens/>
              <w:jc w:val="center"/>
              <w:rPr>
                <w:rFonts w:ascii="Arial" w:hAnsi="Arial" w:cs="Arial"/>
                <w:sz w:val="20"/>
                <w:szCs w:val="20"/>
              </w:rPr>
            </w:pPr>
            <w:proofErr w:type="spellStart"/>
            <w:r w:rsidRPr="00040AA9">
              <w:rPr>
                <w:rFonts w:ascii="Arial" w:hAnsi="Arial" w:cs="Arial"/>
                <w:sz w:val="20"/>
                <w:szCs w:val="20"/>
              </w:rPr>
              <w:t>Insuffi</w:t>
            </w:r>
            <w:r w:rsidR="0018557D">
              <w:rPr>
                <w:rFonts w:ascii="Arial" w:hAnsi="Arial" w:cs="Arial"/>
                <w:sz w:val="20"/>
                <w:szCs w:val="20"/>
              </w:rPr>
              <w:t>-</w:t>
            </w:r>
            <w:r w:rsidRPr="00040AA9">
              <w:rPr>
                <w:rFonts w:ascii="Arial" w:hAnsi="Arial" w:cs="Arial"/>
                <w:sz w:val="20"/>
                <w:szCs w:val="20"/>
              </w:rPr>
              <w:t>cient</w:t>
            </w:r>
            <w:proofErr w:type="spellEnd"/>
            <w:r w:rsidRPr="00040AA9">
              <w:rPr>
                <w:rFonts w:ascii="Arial" w:hAnsi="Arial" w:cs="Arial"/>
                <w:sz w:val="20"/>
                <w:szCs w:val="20"/>
              </w:rPr>
              <w:t xml:space="preserve"> data</w:t>
            </w:r>
            <w:r w:rsidRPr="00040AA9">
              <w:rPr>
                <w:rStyle w:val="FootnoteReference"/>
                <w:rFonts w:ascii="Arial" w:hAnsi="Arial" w:cs="Arial"/>
                <w:sz w:val="20"/>
                <w:szCs w:val="20"/>
              </w:rPr>
              <w:footnoteReference w:id="62"/>
            </w: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584B4E57" w14:textId="76B7C4A5" w:rsidR="00A55DB7" w:rsidRPr="00040AA9" w:rsidRDefault="002B597D" w:rsidP="00040AA9">
            <w:pPr>
              <w:suppressAutoHyphens/>
              <w:rPr>
                <w:rFonts w:ascii="Arial" w:hAnsi="Arial" w:cs="Arial"/>
                <w:sz w:val="20"/>
                <w:szCs w:val="20"/>
              </w:rPr>
            </w:pPr>
            <w:r w:rsidRPr="00040AA9">
              <w:rPr>
                <w:rFonts w:ascii="Arial" w:hAnsi="Arial" w:cs="Arial"/>
                <w:i/>
                <w:sz w:val="20"/>
                <w:szCs w:val="20"/>
              </w:rPr>
              <w:t>Value cannot be computed</w:t>
            </w:r>
          </w:p>
        </w:tc>
        <w:tc>
          <w:tcPr>
            <w:tcW w:w="5374" w:type="dxa"/>
            <w:tcBorders>
              <w:top w:val="single" w:sz="4" w:space="0" w:color="auto"/>
              <w:left w:val="single" w:sz="4" w:space="0" w:color="auto"/>
              <w:bottom w:val="single" w:sz="4" w:space="0" w:color="auto"/>
              <w:right w:val="single" w:sz="4" w:space="0" w:color="auto"/>
            </w:tcBorders>
          </w:tcPr>
          <w:p w14:paraId="597EA714" w14:textId="77777777" w:rsidR="00A55DB7" w:rsidRPr="00040AA9" w:rsidRDefault="00A55DB7" w:rsidP="00040AA9">
            <w:pPr>
              <w:suppressAutoHyphens/>
              <w:rPr>
                <w:rFonts w:ascii="Arial" w:hAnsi="Arial" w:cs="Arial"/>
                <w:sz w:val="20"/>
                <w:szCs w:val="20"/>
                <w:lang w:val="pt-BR"/>
              </w:rPr>
            </w:pPr>
            <w:r w:rsidRPr="00040AA9">
              <w:rPr>
                <w:rFonts w:ascii="Arial" w:hAnsi="Arial" w:cs="Arial"/>
                <w:sz w:val="20"/>
                <w:szCs w:val="20"/>
                <w:lang w:val="pt-BR"/>
              </w:rPr>
              <w:t xml:space="preserve">Jorge Baca, "Jamaica, </w:t>
            </w:r>
            <w:proofErr w:type="spellStart"/>
            <w:r w:rsidRPr="00040AA9">
              <w:rPr>
                <w:rFonts w:ascii="Arial" w:hAnsi="Arial" w:cs="Arial"/>
                <w:sz w:val="20"/>
                <w:szCs w:val="20"/>
                <w:lang w:val="pt-BR"/>
              </w:rPr>
              <w:t>Tax</w:t>
            </w:r>
            <w:proofErr w:type="spellEnd"/>
            <w:r w:rsidRPr="00040AA9">
              <w:rPr>
                <w:rFonts w:ascii="Arial" w:hAnsi="Arial" w:cs="Arial"/>
                <w:sz w:val="20"/>
                <w:szCs w:val="20"/>
                <w:lang w:val="pt-BR"/>
              </w:rPr>
              <w:t xml:space="preserve"> </w:t>
            </w:r>
            <w:proofErr w:type="spellStart"/>
            <w:r w:rsidRPr="00040AA9">
              <w:rPr>
                <w:rFonts w:ascii="Arial" w:hAnsi="Arial" w:cs="Arial"/>
                <w:sz w:val="20"/>
                <w:szCs w:val="20"/>
                <w:lang w:val="pt-BR"/>
              </w:rPr>
              <w:t>Reform</w:t>
            </w:r>
            <w:proofErr w:type="spellEnd"/>
            <w:r w:rsidRPr="00040AA9">
              <w:rPr>
                <w:rFonts w:ascii="Arial" w:hAnsi="Arial" w:cs="Arial"/>
                <w:sz w:val="20"/>
                <w:szCs w:val="20"/>
                <w:lang w:val="pt-BR"/>
              </w:rPr>
              <w:t xml:space="preserve"> Assessment", </w:t>
            </w:r>
          </w:p>
          <w:p w14:paraId="5C0940C9" w14:textId="6ADC8E11" w:rsidR="00A55DB7" w:rsidRPr="00040AA9" w:rsidRDefault="00A55DB7" w:rsidP="00040AA9">
            <w:pPr>
              <w:suppressAutoHyphens/>
              <w:rPr>
                <w:rFonts w:ascii="Arial" w:hAnsi="Arial" w:cs="Arial"/>
                <w:sz w:val="20"/>
                <w:szCs w:val="20"/>
                <w:u w:val="single"/>
                <w:lang w:val="en-CA"/>
              </w:rPr>
            </w:pPr>
            <w:r w:rsidRPr="00040AA9">
              <w:rPr>
                <w:rFonts w:ascii="Arial" w:hAnsi="Arial" w:cs="Arial"/>
                <w:sz w:val="20"/>
                <w:szCs w:val="20"/>
                <w:u w:val="single"/>
                <w:lang w:val="en-CA"/>
              </w:rPr>
              <w:t xml:space="preserve">LTO Electronic Filing  </w:t>
            </w:r>
          </w:p>
          <w:p w14:paraId="6A074F69" w14:textId="77777777" w:rsidR="00A55DB7" w:rsidRPr="00040AA9" w:rsidRDefault="00A55DB7" w:rsidP="00040AA9">
            <w:pPr>
              <w:suppressAutoHyphens/>
              <w:rPr>
                <w:rFonts w:ascii="Arial" w:hAnsi="Arial" w:cs="Arial"/>
                <w:sz w:val="20"/>
                <w:szCs w:val="20"/>
                <w:lang w:val="en-CA"/>
              </w:rPr>
            </w:pPr>
            <w:r w:rsidRPr="00040AA9">
              <w:rPr>
                <w:rFonts w:ascii="Arial" w:hAnsi="Arial" w:cs="Arial"/>
                <w:sz w:val="20"/>
                <w:szCs w:val="20"/>
                <w:lang w:val="en-CA"/>
              </w:rPr>
              <w:t xml:space="preserve">37.7% All taxpayers (table 11, p 65) </w:t>
            </w:r>
          </w:p>
          <w:p w14:paraId="357E5AAB" w14:textId="25D08F70" w:rsidR="001003F1" w:rsidRPr="00040AA9" w:rsidRDefault="00A55DB7" w:rsidP="00040AA9">
            <w:pPr>
              <w:suppressAutoHyphens/>
              <w:rPr>
                <w:rFonts w:ascii="Arial" w:hAnsi="Arial" w:cs="Arial"/>
                <w:sz w:val="20"/>
                <w:szCs w:val="20"/>
              </w:rPr>
            </w:pPr>
            <w:r w:rsidRPr="00040AA9">
              <w:rPr>
                <w:rFonts w:ascii="Arial" w:hAnsi="Arial" w:cs="Arial"/>
                <w:sz w:val="20"/>
                <w:szCs w:val="20"/>
                <w:lang w:val="en-CA"/>
              </w:rPr>
              <w:t>100% Large taxpayers (table 12, p. 65)</w:t>
            </w:r>
            <w:r w:rsidRPr="00040AA9">
              <w:rPr>
                <w:rStyle w:val="FootnoteReference"/>
                <w:rFonts w:ascii="Arial" w:hAnsi="Arial" w:cs="Arial"/>
                <w:sz w:val="20"/>
                <w:szCs w:val="20"/>
              </w:rPr>
              <w:t xml:space="preserve"> </w:t>
            </w:r>
          </w:p>
        </w:tc>
      </w:tr>
      <w:tr w:rsidR="00A55DB7" w:rsidRPr="00CF5903" w14:paraId="6C342C6C" w14:textId="77777777" w:rsidTr="00040AA9">
        <w:trPr>
          <w:trHeight w:val="323"/>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B77861" w14:textId="313FC284" w:rsidR="00A55DB7" w:rsidRPr="00040AA9" w:rsidRDefault="00A55DB7" w:rsidP="00040AA9">
            <w:pPr>
              <w:widowControl w:val="0"/>
              <w:suppressAutoHyphens/>
              <w:rPr>
                <w:rFonts w:ascii="Arial" w:hAnsi="Arial" w:cs="Arial"/>
                <w:b/>
                <w:sz w:val="20"/>
                <w:szCs w:val="20"/>
              </w:rPr>
            </w:pPr>
            <w:r w:rsidRPr="00040AA9">
              <w:rPr>
                <w:rFonts w:ascii="Arial" w:hAnsi="Arial" w:cs="Arial"/>
                <w:b/>
                <w:sz w:val="20"/>
                <w:szCs w:val="20"/>
              </w:rPr>
              <w:t xml:space="preserve">Outcome (Result) </w:t>
            </w:r>
            <w:r w:rsidR="00A854F2" w:rsidRPr="00040AA9">
              <w:rPr>
                <w:rFonts w:ascii="Arial" w:hAnsi="Arial" w:cs="Arial"/>
                <w:b/>
                <w:sz w:val="20"/>
                <w:szCs w:val="20"/>
              </w:rPr>
              <w:t>II.</w:t>
            </w:r>
            <w:r w:rsidRPr="00040AA9">
              <w:rPr>
                <w:rFonts w:ascii="Arial" w:hAnsi="Arial" w:cs="Arial"/>
                <w:b/>
                <w:sz w:val="20"/>
                <w:szCs w:val="20"/>
              </w:rPr>
              <w:t>10 Increase in proportion of large taxpayers e-filing as % of LTO taxpayers</w:t>
            </w:r>
          </w:p>
          <w:p w14:paraId="7591D383"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i/>
                <w:sz w:val="20"/>
                <w:szCs w:val="20"/>
              </w:rPr>
              <w:t xml:space="preserve"> (identical for FSPG II &amp; III)</w:t>
            </w:r>
            <w:r w:rsidRPr="00040AA9">
              <w:rPr>
                <w:rStyle w:val="FootnoteReference"/>
                <w:rFonts w:ascii="Arial" w:hAnsi="Arial" w:cs="Arial"/>
                <w:sz w:val="20"/>
                <w:szCs w:val="20"/>
              </w:rPr>
              <w:t xml:space="preserve"> </w:t>
            </w:r>
            <w:r w:rsidRPr="00040AA9">
              <w:rPr>
                <w:rStyle w:val="FootnoteReference"/>
                <w:rFonts w:ascii="Arial" w:hAnsi="Arial" w:cs="Arial"/>
                <w:sz w:val="20"/>
                <w:szCs w:val="20"/>
              </w:rPr>
              <w:footnoteReference w:id="63"/>
            </w:r>
          </w:p>
        </w:tc>
      </w:tr>
      <w:tr w:rsidR="00A55DB7" w:rsidRPr="00CF5903" w14:paraId="02BB4586" w14:textId="77777777" w:rsidTr="00E420C4">
        <w:trPr>
          <w:trHeight w:val="287"/>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hideMark/>
          </w:tcPr>
          <w:p w14:paraId="28992751" w14:textId="19C06E20"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 xml:space="preserve">10.1 </w:t>
            </w:r>
          </w:p>
          <w:p w14:paraId="1686207A"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Large taxpayers filing/total large taxpayers e-filing by tax type: - CIT</w:t>
            </w:r>
          </w:p>
          <w:p w14:paraId="329897D3"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 (FSPG II, result 3 and</w:t>
            </w:r>
          </w:p>
          <w:p w14:paraId="230559A3"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FSPG III, result 4)</w:t>
            </w:r>
          </w:p>
          <w:p w14:paraId="1F4C8FD8" w14:textId="77777777" w:rsidR="00A55DB7" w:rsidRPr="00040AA9" w:rsidRDefault="00A55DB7" w:rsidP="00040AA9">
            <w:pPr>
              <w:widowControl w:val="0"/>
              <w:suppressAutoHyphens/>
              <w:rPr>
                <w:rFonts w:ascii="Arial" w:hAnsi="Arial" w:cs="Arial"/>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7370BD6"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75CDFDAF"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55</w:t>
            </w:r>
          </w:p>
          <w:p w14:paraId="7A8A26D2" w14:textId="77777777" w:rsidR="00A55DB7" w:rsidRPr="00040AA9" w:rsidRDefault="00A55DB7" w:rsidP="00040AA9">
            <w:pPr>
              <w:widowControl w:val="0"/>
              <w:suppressAutoHyphens/>
              <w:jc w:val="center"/>
              <w:rPr>
                <w:rFonts w:ascii="Arial" w:hAnsi="Arial" w:cs="Arial"/>
                <w:sz w:val="20"/>
                <w:szCs w:val="20"/>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2100370F"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hideMark/>
          </w:tcPr>
          <w:p w14:paraId="204CFC2A"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44729633"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lang w:val="en-GB"/>
              </w:rPr>
              <w:t>85</w:t>
            </w:r>
          </w:p>
          <w:p w14:paraId="7AF8EC2E"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A898FC1"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EI: 30pp</w:t>
            </w:r>
          </w:p>
        </w:tc>
        <w:tc>
          <w:tcPr>
            <w:tcW w:w="5374" w:type="dxa"/>
            <w:tcBorders>
              <w:top w:val="single" w:sz="4" w:space="0" w:color="auto"/>
              <w:left w:val="single" w:sz="4" w:space="0" w:color="auto"/>
              <w:bottom w:val="single" w:sz="4" w:space="0" w:color="auto"/>
              <w:right w:val="single" w:sz="4" w:space="0" w:color="auto"/>
            </w:tcBorders>
            <w:vAlign w:val="center"/>
          </w:tcPr>
          <w:p w14:paraId="4A5CC072"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TAJ Annual Performance Report</w:t>
            </w:r>
          </w:p>
        </w:tc>
      </w:tr>
      <w:tr w:rsidR="00A55DB7" w:rsidRPr="00CF5903" w14:paraId="7C681934" w14:textId="77777777" w:rsidTr="00E420C4">
        <w:trPr>
          <w:trHeight w:val="70"/>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6566CCA4" w14:textId="77777777"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33C59ACE" w14:textId="77777777" w:rsidR="00A55DB7" w:rsidRPr="00040AA9" w:rsidRDefault="00A55DB7" w:rsidP="00040AA9">
            <w:pPr>
              <w:widowControl w:val="0"/>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ED0988B"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6378DFD1"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2F2F2E2B"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400AE7E9" w14:textId="77777777" w:rsidR="00A55DB7" w:rsidRPr="00040AA9" w:rsidRDefault="00A55DB7" w:rsidP="00040AA9">
            <w:pPr>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7D6FA9A3" w14:textId="77777777"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vAlign w:val="center"/>
          </w:tcPr>
          <w:p w14:paraId="3FCBC3CE" w14:textId="77777777" w:rsidR="00A55DB7" w:rsidRPr="00040AA9" w:rsidRDefault="00A55DB7" w:rsidP="00040AA9">
            <w:pPr>
              <w:widowControl w:val="0"/>
              <w:suppressAutoHyphens/>
              <w:rPr>
                <w:rFonts w:ascii="Arial" w:hAnsi="Arial" w:cs="Arial"/>
                <w:sz w:val="20"/>
                <w:szCs w:val="20"/>
              </w:rPr>
            </w:pPr>
          </w:p>
        </w:tc>
      </w:tr>
      <w:tr w:rsidR="00A55DB7" w:rsidRPr="00CF5903" w14:paraId="7900278B" w14:textId="77777777" w:rsidTr="00E420C4">
        <w:trPr>
          <w:trHeight w:val="63"/>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409BD827" w14:textId="77777777"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35C0182D" w14:textId="77777777" w:rsidR="00A55DB7" w:rsidRPr="00040AA9" w:rsidRDefault="00A55DB7" w:rsidP="00040AA9">
            <w:pPr>
              <w:widowControl w:val="0"/>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56C3F2E"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44C09077"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2A730D62"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1AD52E83"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100%</w:t>
            </w:r>
          </w:p>
          <w:p w14:paraId="7F661D1F"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lang w:val="en-GB"/>
              </w:rPr>
              <w:t>(2016)</w:t>
            </w: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0B781DAF"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AI: 45 pp</w:t>
            </w:r>
          </w:p>
          <w:p w14:paraId="1A1779F3" w14:textId="77777777" w:rsidR="00A55DB7" w:rsidRPr="00040AA9" w:rsidRDefault="00A55DB7" w:rsidP="00040AA9">
            <w:pPr>
              <w:widowControl w:val="0"/>
              <w:suppressAutoHyphens/>
              <w:rPr>
                <w:rFonts w:ascii="Arial" w:hAnsi="Arial" w:cs="Arial"/>
                <w:sz w:val="20"/>
                <w:szCs w:val="20"/>
              </w:rPr>
            </w:pPr>
          </w:p>
          <w:p w14:paraId="11AE1BAC" w14:textId="77777777" w:rsidR="00A55DB7" w:rsidRPr="00040AA9" w:rsidRDefault="00A55DB7" w:rsidP="00040AA9">
            <w:pPr>
              <w:widowControl w:val="0"/>
              <w:suppressAutoHyphens/>
              <w:rPr>
                <w:rFonts w:ascii="Arial" w:hAnsi="Arial" w:cs="Arial"/>
                <w:i/>
                <w:sz w:val="20"/>
                <w:szCs w:val="20"/>
              </w:rPr>
            </w:pPr>
            <w:r w:rsidRPr="00040AA9">
              <w:rPr>
                <w:rFonts w:ascii="Arial" w:hAnsi="Arial" w:cs="Arial"/>
                <w:i/>
                <w:sz w:val="20"/>
                <w:szCs w:val="20"/>
              </w:rPr>
              <w:t>=&gt;150%</w:t>
            </w:r>
          </w:p>
          <w:p w14:paraId="5F685865" w14:textId="77777777" w:rsidR="00A55DB7" w:rsidRPr="00040AA9" w:rsidRDefault="00A55DB7" w:rsidP="00040AA9">
            <w:pPr>
              <w:widowControl w:val="0"/>
              <w:suppressAutoHyphens/>
              <w:rPr>
                <w:rFonts w:ascii="Arial" w:hAnsi="Arial" w:cs="Arial"/>
                <w:sz w:val="20"/>
                <w:szCs w:val="20"/>
                <w:highlight w:val="yellow"/>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vAlign w:val="center"/>
          </w:tcPr>
          <w:p w14:paraId="4113FC66" w14:textId="04868311"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lang w:val="en-CA"/>
              </w:rPr>
              <w:t xml:space="preserve">Jorge Baca, "Jamaica, Tax Reform Assessment", LTO Electronic </w:t>
            </w:r>
            <w:r w:rsidR="00435749" w:rsidRPr="00CF5903">
              <w:rPr>
                <w:rFonts w:ascii="Arial" w:hAnsi="Arial" w:cs="Arial"/>
                <w:sz w:val="20"/>
                <w:szCs w:val="20"/>
                <w:lang w:val="en-CA"/>
              </w:rPr>
              <w:t>Filing (</w:t>
            </w:r>
            <w:r w:rsidRPr="00040AA9">
              <w:rPr>
                <w:rFonts w:ascii="Arial" w:hAnsi="Arial" w:cs="Arial"/>
                <w:sz w:val="20"/>
                <w:szCs w:val="20"/>
                <w:lang w:val="en-CA"/>
              </w:rPr>
              <w:t>table 12, p. 65)</w:t>
            </w:r>
            <w:r w:rsidRPr="00040AA9">
              <w:rPr>
                <w:rStyle w:val="FootnoteReference"/>
                <w:rFonts w:ascii="Arial" w:hAnsi="Arial" w:cs="Arial"/>
                <w:sz w:val="20"/>
                <w:szCs w:val="20"/>
              </w:rPr>
              <w:t xml:space="preserve"> </w:t>
            </w:r>
          </w:p>
          <w:p w14:paraId="36C6A980" w14:textId="02FFDA4B" w:rsidR="00A55DB7" w:rsidRPr="00040AA9" w:rsidRDefault="002642C1" w:rsidP="00040AA9">
            <w:pPr>
              <w:widowControl w:val="0"/>
              <w:suppressAutoHyphens/>
              <w:rPr>
                <w:rFonts w:ascii="Arial" w:hAnsi="Arial" w:cs="Arial"/>
                <w:sz w:val="20"/>
                <w:szCs w:val="20"/>
                <w:highlight w:val="yellow"/>
              </w:rPr>
            </w:pPr>
            <w:r w:rsidRPr="00040AA9">
              <w:rPr>
                <w:rFonts w:ascii="Arial" w:hAnsi="Arial" w:cs="Arial"/>
                <w:sz w:val="20"/>
                <w:szCs w:val="20"/>
                <w:lang w:val="en-CA"/>
              </w:rPr>
              <w:t>(</w:t>
            </w:r>
            <w:r w:rsidR="00A55DB7" w:rsidRPr="00040AA9">
              <w:rPr>
                <w:rFonts w:ascii="Arial" w:hAnsi="Arial" w:cs="Arial"/>
                <w:sz w:val="20"/>
                <w:szCs w:val="20"/>
                <w:lang w:val="en-CA"/>
              </w:rPr>
              <w:t>All large taxpayers file CIT electronically but 73% file via internet and 27% file on computers at LTO</w:t>
            </w:r>
            <w:r w:rsidRPr="00040AA9">
              <w:rPr>
                <w:rFonts w:ascii="Arial" w:hAnsi="Arial" w:cs="Arial"/>
                <w:sz w:val="20"/>
                <w:szCs w:val="20"/>
                <w:lang w:val="en-CA"/>
              </w:rPr>
              <w:t>)</w:t>
            </w:r>
          </w:p>
        </w:tc>
      </w:tr>
      <w:tr w:rsidR="00A55DB7" w:rsidRPr="00CF5903" w14:paraId="73F9B26D" w14:textId="77777777" w:rsidTr="00E420C4">
        <w:trPr>
          <w:trHeight w:val="440"/>
          <w:jc w:val="center"/>
        </w:trPr>
        <w:tc>
          <w:tcPr>
            <w:tcW w:w="2368" w:type="dxa"/>
            <w:vMerge w:val="restart"/>
            <w:tcBorders>
              <w:top w:val="single" w:sz="4" w:space="0" w:color="auto"/>
              <w:left w:val="single" w:sz="4" w:space="0" w:color="auto"/>
              <w:right w:val="single" w:sz="4" w:space="0" w:color="auto"/>
            </w:tcBorders>
            <w:vAlign w:val="center"/>
          </w:tcPr>
          <w:p w14:paraId="15F9FF8D" w14:textId="064D792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 xml:space="preserve">10.2  </w:t>
            </w:r>
          </w:p>
          <w:p w14:paraId="32CD8809"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Large taxpayers filing/total large taxpayers e-filing by tax type: - GCT</w:t>
            </w:r>
          </w:p>
          <w:p w14:paraId="11E88382"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 (FSPG II, result 3 and</w:t>
            </w:r>
          </w:p>
          <w:p w14:paraId="2009DB95"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FSPG III, result 4)</w:t>
            </w:r>
          </w:p>
          <w:p w14:paraId="3539B64D" w14:textId="77777777" w:rsidR="00A55DB7" w:rsidRPr="00040AA9" w:rsidRDefault="00A55DB7" w:rsidP="00040AA9">
            <w:pPr>
              <w:widowControl w:val="0"/>
              <w:suppressAutoHyphens/>
              <w:rPr>
                <w:rFonts w:ascii="Arial" w:hAnsi="Arial" w:cs="Arial"/>
                <w:sz w:val="20"/>
                <w:szCs w:val="20"/>
              </w:rPr>
            </w:pPr>
          </w:p>
        </w:tc>
        <w:tc>
          <w:tcPr>
            <w:tcW w:w="810" w:type="dxa"/>
            <w:vMerge w:val="restart"/>
            <w:tcBorders>
              <w:top w:val="single" w:sz="4" w:space="0" w:color="auto"/>
              <w:left w:val="single" w:sz="4" w:space="0" w:color="auto"/>
              <w:right w:val="single" w:sz="4" w:space="0" w:color="auto"/>
            </w:tcBorders>
            <w:vAlign w:val="center"/>
          </w:tcPr>
          <w:p w14:paraId="02137348"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right w:val="single" w:sz="4" w:space="0" w:color="auto"/>
            </w:tcBorders>
            <w:vAlign w:val="center"/>
          </w:tcPr>
          <w:p w14:paraId="3F3A3353"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24</w:t>
            </w:r>
          </w:p>
        </w:tc>
        <w:tc>
          <w:tcPr>
            <w:tcW w:w="720" w:type="dxa"/>
            <w:vMerge w:val="restart"/>
            <w:tcBorders>
              <w:top w:val="single" w:sz="4" w:space="0" w:color="auto"/>
              <w:left w:val="single" w:sz="4" w:space="0" w:color="auto"/>
              <w:right w:val="single" w:sz="4" w:space="0" w:color="auto"/>
            </w:tcBorders>
            <w:vAlign w:val="center"/>
          </w:tcPr>
          <w:p w14:paraId="36CFCA67"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5C949454"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tcPr>
          <w:p w14:paraId="4B0B3C39"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lang w:val="en-GB"/>
              </w:rPr>
              <w:t>95</w:t>
            </w:r>
          </w:p>
          <w:p w14:paraId="09122B28"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90E45D8"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EI: 71pp</w:t>
            </w:r>
          </w:p>
        </w:tc>
        <w:tc>
          <w:tcPr>
            <w:tcW w:w="5374" w:type="dxa"/>
            <w:tcBorders>
              <w:top w:val="single" w:sz="4" w:space="0" w:color="auto"/>
              <w:left w:val="single" w:sz="4" w:space="0" w:color="auto"/>
              <w:bottom w:val="single" w:sz="4" w:space="0" w:color="auto"/>
              <w:right w:val="single" w:sz="4" w:space="0" w:color="auto"/>
            </w:tcBorders>
          </w:tcPr>
          <w:p w14:paraId="539A3EAB" w14:textId="77777777"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rPr>
              <w:t>TAJ Annual Performance Report</w:t>
            </w:r>
          </w:p>
        </w:tc>
      </w:tr>
      <w:tr w:rsidR="00A55DB7" w:rsidRPr="00CF5903" w14:paraId="4E14C83C" w14:textId="77777777" w:rsidTr="00E420C4">
        <w:trPr>
          <w:jc w:val="center"/>
        </w:trPr>
        <w:tc>
          <w:tcPr>
            <w:tcW w:w="2368" w:type="dxa"/>
            <w:vMerge/>
            <w:tcBorders>
              <w:left w:val="single" w:sz="4" w:space="0" w:color="auto"/>
              <w:right w:val="single" w:sz="4" w:space="0" w:color="auto"/>
            </w:tcBorders>
            <w:vAlign w:val="center"/>
          </w:tcPr>
          <w:p w14:paraId="4D3EE55A"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00F17AF3"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left w:val="single" w:sz="4" w:space="0" w:color="auto"/>
              <w:right w:val="single" w:sz="4" w:space="0" w:color="auto"/>
            </w:tcBorders>
            <w:vAlign w:val="center"/>
          </w:tcPr>
          <w:p w14:paraId="4B067A2B"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right w:val="single" w:sz="4" w:space="0" w:color="auto"/>
            </w:tcBorders>
            <w:vAlign w:val="center"/>
          </w:tcPr>
          <w:p w14:paraId="52899ECF"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49E52AE"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tcPr>
          <w:p w14:paraId="48D68AC4" w14:textId="77777777" w:rsidR="00A55DB7" w:rsidRPr="00040AA9" w:rsidRDefault="00A55DB7" w:rsidP="00040AA9">
            <w:pPr>
              <w:widowControl w:val="0"/>
              <w:suppressAutoHyphens/>
              <w:jc w:val="center"/>
              <w:rPr>
                <w:rFonts w:ascii="Arial" w:hAnsi="Arial" w:cs="Arial"/>
                <w:sz w:val="20"/>
                <w:szCs w:val="20"/>
                <w:lang w:val="en-GB"/>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69966BD3" w14:textId="77777777" w:rsidR="00A55DB7" w:rsidRPr="00040AA9" w:rsidRDefault="00A55DB7" w:rsidP="00040AA9">
            <w:pPr>
              <w:widowControl w:val="0"/>
              <w:suppressAutoHyphens/>
              <w:rPr>
                <w:rFonts w:ascii="Arial" w:hAnsi="Arial" w:cs="Arial"/>
                <w:sz w:val="20"/>
                <w:szCs w:val="20"/>
                <w:highlight w:val="yellow"/>
              </w:rPr>
            </w:pPr>
          </w:p>
        </w:tc>
        <w:tc>
          <w:tcPr>
            <w:tcW w:w="5374" w:type="dxa"/>
            <w:tcBorders>
              <w:top w:val="single" w:sz="4" w:space="0" w:color="auto"/>
              <w:left w:val="single" w:sz="4" w:space="0" w:color="auto"/>
              <w:bottom w:val="single" w:sz="4" w:space="0" w:color="auto"/>
              <w:right w:val="single" w:sz="4" w:space="0" w:color="auto"/>
            </w:tcBorders>
          </w:tcPr>
          <w:p w14:paraId="4AB369B3"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490626F5" w14:textId="77777777" w:rsidTr="00E420C4">
        <w:trPr>
          <w:trHeight w:val="836"/>
          <w:jc w:val="center"/>
        </w:trPr>
        <w:tc>
          <w:tcPr>
            <w:tcW w:w="2368" w:type="dxa"/>
            <w:vMerge/>
            <w:tcBorders>
              <w:left w:val="single" w:sz="4" w:space="0" w:color="auto"/>
              <w:bottom w:val="single" w:sz="4" w:space="0" w:color="auto"/>
              <w:right w:val="single" w:sz="4" w:space="0" w:color="auto"/>
            </w:tcBorders>
            <w:vAlign w:val="center"/>
          </w:tcPr>
          <w:p w14:paraId="0E528256"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0E5EDD3C"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6859FEEB"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5F955915"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7F87610D"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tcPr>
          <w:p w14:paraId="07A33B8B"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100%</w:t>
            </w:r>
          </w:p>
          <w:p w14:paraId="1C2FF4E0"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CA"/>
              </w:rPr>
              <w:t>(2016)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76D203BF"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AI: 76 pp</w:t>
            </w:r>
          </w:p>
          <w:p w14:paraId="71E6B670" w14:textId="77777777" w:rsidR="00A55DB7" w:rsidRPr="00040AA9" w:rsidRDefault="00A55DB7" w:rsidP="00040AA9">
            <w:pPr>
              <w:widowControl w:val="0"/>
              <w:suppressAutoHyphens/>
              <w:rPr>
                <w:rFonts w:ascii="Arial" w:hAnsi="Arial" w:cs="Arial"/>
                <w:sz w:val="20"/>
                <w:szCs w:val="20"/>
              </w:rPr>
            </w:pPr>
          </w:p>
          <w:p w14:paraId="3AF1D0DD" w14:textId="77777777" w:rsidR="00A55DB7" w:rsidRPr="00040AA9" w:rsidRDefault="00A55DB7" w:rsidP="00040AA9">
            <w:pPr>
              <w:widowControl w:val="0"/>
              <w:suppressAutoHyphens/>
              <w:rPr>
                <w:rFonts w:ascii="Arial" w:hAnsi="Arial" w:cs="Arial"/>
                <w:i/>
                <w:sz w:val="20"/>
                <w:szCs w:val="20"/>
              </w:rPr>
            </w:pPr>
            <w:r w:rsidRPr="00040AA9">
              <w:rPr>
                <w:rFonts w:ascii="Arial" w:hAnsi="Arial" w:cs="Arial"/>
                <w:i/>
                <w:sz w:val="20"/>
                <w:szCs w:val="20"/>
              </w:rPr>
              <w:t>=&gt;107%</w:t>
            </w:r>
          </w:p>
          <w:p w14:paraId="69E67098" w14:textId="77777777" w:rsidR="00A55DB7" w:rsidRPr="00040AA9" w:rsidRDefault="00A55DB7" w:rsidP="00040AA9">
            <w:pPr>
              <w:widowControl w:val="0"/>
              <w:suppressAutoHyphens/>
              <w:rPr>
                <w:rFonts w:ascii="Arial" w:hAnsi="Arial" w:cs="Arial"/>
                <w:sz w:val="20"/>
                <w:szCs w:val="20"/>
                <w:highlight w:val="yellow"/>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487A6DE8" w14:textId="375ECF62"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lang w:val="en-CA"/>
              </w:rPr>
              <w:t xml:space="preserve">Jorge Baca, "Jamaica, Tax Reform Assessment", LTO Electronic </w:t>
            </w:r>
            <w:r w:rsidR="00435749" w:rsidRPr="00CF5903">
              <w:rPr>
                <w:rFonts w:ascii="Arial" w:hAnsi="Arial" w:cs="Arial"/>
                <w:sz w:val="20"/>
                <w:szCs w:val="20"/>
                <w:lang w:val="en-CA"/>
              </w:rPr>
              <w:t>Filing (</w:t>
            </w:r>
            <w:r w:rsidRPr="00040AA9">
              <w:rPr>
                <w:rFonts w:ascii="Arial" w:hAnsi="Arial" w:cs="Arial"/>
                <w:sz w:val="20"/>
                <w:szCs w:val="20"/>
                <w:lang w:val="en-CA"/>
              </w:rPr>
              <w:t>table 12, p. 65)</w:t>
            </w:r>
          </w:p>
          <w:p w14:paraId="1BD72C55" w14:textId="4B46C2E2" w:rsidR="00A55DB7" w:rsidRPr="00040AA9" w:rsidRDefault="002642C1" w:rsidP="00040AA9">
            <w:pPr>
              <w:widowControl w:val="0"/>
              <w:suppressAutoHyphens/>
              <w:rPr>
                <w:rFonts w:ascii="Arial" w:hAnsi="Arial" w:cs="Arial"/>
                <w:sz w:val="20"/>
                <w:szCs w:val="20"/>
                <w:lang w:val="en-CA"/>
              </w:rPr>
            </w:pPr>
            <w:r w:rsidRPr="00040AA9">
              <w:rPr>
                <w:rFonts w:ascii="Arial" w:hAnsi="Arial" w:cs="Arial"/>
                <w:sz w:val="20"/>
                <w:szCs w:val="20"/>
                <w:lang w:val="en-CA"/>
              </w:rPr>
              <w:t>(</w:t>
            </w:r>
            <w:r w:rsidR="00A55DB7" w:rsidRPr="00040AA9">
              <w:rPr>
                <w:rFonts w:ascii="Arial" w:hAnsi="Arial" w:cs="Arial"/>
                <w:sz w:val="20"/>
                <w:szCs w:val="20"/>
                <w:lang w:val="en-CA"/>
              </w:rPr>
              <w:t xml:space="preserve">All large taxpayers </w:t>
            </w:r>
            <w:r w:rsidR="00435749" w:rsidRPr="00CF5903">
              <w:rPr>
                <w:rFonts w:ascii="Arial" w:hAnsi="Arial" w:cs="Arial"/>
                <w:sz w:val="20"/>
                <w:szCs w:val="20"/>
                <w:lang w:val="en-CA"/>
              </w:rPr>
              <w:t>file GCT</w:t>
            </w:r>
            <w:r w:rsidR="00A55DB7" w:rsidRPr="00040AA9">
              <w:rPr>
                <w:rFonts w:ascii="Arial" w:hAnsi="Arial" w:cs="Arial"/>
                <w:sz w:val="20"/>
                <w:szCs w:val="20"/>
                <w:lang w:val="en-CA"/>
              </w:rPr>
              <w:t xml:space="preserve"> electronically but 87% file via internet and 13% file on computers at LTO</w:t>
            </w:r>
            <w:r w:rsidRPr="00040AA9">
              <w:rPr>
                <w:rFonts w:ascii="Arial" w:hAnsi="Arial" w:cs="Arial"/>
                <w:sz w:val="20"/>
                <w:szCs w:val="20"/>
                <w:lang w:val="en-CA"/>
              </w:rPr>
              <w:t>)</w:t>
            </w:r>
          </w:p>
        </w:tc>
      </w:tr>
      <w:tr w:rsidR="00A55DB7" w:rsidRPr="00CF5903" w14:paraId="2029A731" w14:textId="77777777" w:rsidTr="00E420C4">
        <w:trPr>
          <w:trHeight w:val="260"/>
          <w:jc w:val="center"/>
        </w:trPr>
        <w:tc>
          <w:tcPr>
            <w:tcW w:w="2368" w:type="dxa"/>
            <w:vMerge w:val="restart"/>
            <w:tcBorders>
              <w:top w:val="single" w:sz="4" w:space="0" w:color="auto"/>
              <w:left w:val="single" w:sz="4" w:space="0" w:color="auto"/>
              <w:right w:val="single" w:sz="4" w:space="0" w:color="auto"/>
            </w:tcBorders>
            <w:vAlign w:val="center"/>
          </w:tcPr>
          <w:p w14:paraId="0C116A03" w14:textId="652D7122"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w:t>
            </w:r>
            <w:r w:rsidRPr="00040AA9">
              <w:rPr>
                <w:rFonts w:ascii="Arial" w:hAnsi="Arial" w:cs="Arial"/>
                <w:sz w:val="20"/>
                <w:szCs w:val="20"/>
              </w:rPr>
              <w:t xml:space="preserve">10.3  </w:t>
            </w:r>
          </w:p>
          <w:p w14:paraId="131CA2E0"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Large taxpayers filing/total large taxpayers e-filing by tax type: - PAYE</w:t>
            </w:r>
          </w:p>
          <w:p w14:paraId="4CA11E2D"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 (FSPG II, result 3 and</w:t>
            </w:r>
          </w:p>
          <w:p w14:paraId="5C0F8408"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FSPG III, result 4)</w:t>
            </w:r>
          </w:p>
          <w:p w14:paraId="5A48FF05" w14:textId="77777777" w:rsidR="00A55DB7" w:rsidRPr="00040AA9" w:rsidRDefault="00A55DB7" w:rsidP="00040AA9">
            <w:pPr>
              <w:widowControl w:val="0"/>
              <w:suppressAutoHyphens/>
              <w:rPr>
                <w:rFonts w:ascii="Arial" w:hAnsi="Arial" w:cs="Arial"/>
                <w:sz w:val="20"/>
                <w:szCs w:val="20"/>
              </w:rPr>
            </w:pPr>
          </w:p>
        </w:tc>
        <w:tc>
          <w:tcPr>
            <w:tcW w:w="810" w:type="dxa"/>
            <w:vMerge w:val="restart"/>
            <w:tcBorders>
              <w:top w:val="single" w:sz="4" w:space="0" w:color="auto"/>
              <w:left w:val="single" w:sz="4" w:space="0" w:color="auto"/>
              <w:right w:val="single" w:sz="4" w:space="0" w:color="auto"/>
            </w:tcBorders>
            <w:vAlign w:val="center"/>
          </w:tcPr>
          <w:p w14:paraId="3D6C5409"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right w:val="single" w:sz="4" w:space="0" w:color="auto"/>
            </w:tcBorders>
            <w:vAlign w:val="center"/>
          </w:tcPr>
          <w:p w14:paraId="7FE0A25A"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57</w:t>
            </w:r>
          </w:p>
        </w:tc>
        <w:tc>
          <w:tcPr>
            <w:tcW w:w="720" w:type="dxa"/>
            <w:vMerge w:val="restart"/>
            <w:tcBorders>
              <w:top w:val="single" w:sz="4" w:space="0" w:color="auto"/>
              <w:left w:val="single" w:sz="4" w:space="0" w:color="auto"/>
              <w:right w:val="single" w:sz="4" w:space="0" w:color="auto"/>
            </w:tcBorders>
            <w:vAlign w:val="center"/>
          </w:tcPr>
          <w:p w14:paraId="67C142AA"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7C276A37"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tcPr>
          <w:p w14:paraId="0F22C6DB"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90</w:t>
            </w:r>
          </w:p>
          <w:p w14:paraId="4433713C"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048BF50D"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EI: 33pp</w:t>
            </w:r>
          </w:p>
        </w:tc>
        <w:tc>
          <w:tcPr>
            <w:tcW w:w="5374" w:type="dxa"/>
            <w:tcBorders>
              <w:top w:val="single" w:sz="4" w:space="0" w:color="auto"/>
              <w:left w:val="single" w:sz="4" w:space="0" w:color="auto"/>
              <w:bottom w:val="single" w:sz="4" w:space="0" w:color="auto"/>
              <w:right w:val="single" w:sz="4" w:space="0" w:color="auto"/>
            </w:tcBorders>
          </w:tcPr>
          <w:p w14:paraId="08449691" w14:textId="77777777"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rPr>
              <w:t>TAJ Annual Performance Report</w:t>
            </w:r>
          </w:p>
        </w:tc>
      </w:tr>
      <w:tr w:rsidR="00A55DB7" w:rsidRPr="00CF5903" w14:paraId="313E9F2E" w14:textId="77777777" w:rsidTr="00E420C4">
        <w:trPr>
          <w:jc w:val="center"/>
        </w:trPr>
        <w:tc>
          <w:tcPr>
            <w:tcW w:w="2368" w:type="dxa"/>
            <w:vMerge/>
            <w:tcBorders>
              <w:left w:val="single" w:sz="4" w:space="0" w:color="auto"/>
              <w:right w:val="single" w:sz="4" w:space="0" w:color="auto"/>
            </w:tcBorders>
            <w:vAlign w:val="center"/>
          </w:tcPr>
          <w:p w14:paraId="78FFCA94"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080B906C" w14:textId="77777777" w:rsidR="00A55DB7" w:rsidRPr="00040AA9" w:rsidRDefault="00A55DB7" w:rsidP="00040AA9">
            <w:pPr>
              <w:widowControl w:val="0"/>
              <w:suppressAutoHyphens/>
              <w:rPr>
                <w:rFonts w:ascii="Arial" w:hAnsi="Arial" w:cs="Arial"/>
                <w:sz w:val="20"/>
                <w:szCs w:val="20"/>
              </w:rPr>
            </w:pPr>
          </w:p>
        </w:tc>
        <w:tc>
          <w:tcPr>
            <w:tcW w:w="900" w:type="dxa"/>
            <w:vMerge/>
            <w:tcBorders>
              <w:left w:val="single" w:sz="4" w:space="0" w:color="auto"/>
              <w:right w:val="single" w:sz="4" w:space="0" w:color="auto"/>
            </w:tcBorders>
            <w:vAlign w:val="center"/>
          </w:tcPr>
          <w:p w14:paraId="3EB02E11"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right w:val="single" w:sz="4" w:space="0" w:color="auto"/>
            </w:tcBorders>
            <w:vAlign w:val="center"/>
          </w:tcPr>
          <w:p w14:paraId="07E409D0"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5259168D"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tcPr>
          <w:p w14:paraId="3EC2FC95" w14:textId="77777777" w:rsidR="00A55DB7" w:rsidRPr="00040AA9" w:rsidRDefault="00A55DB7" w:rsidP="00040AA9">
            <w:pPr>
              <w:widowControl w:val="0"/>
              <w:suppressAutoHyphens/>
              <w:jc w:val="center"/>
              <w:rPr>
                <w:rFonts w:ascii="Arial" w:hAnsi="Arial" w:cs="Arial"/>
                <w:sz w:val="20"/>
                <w:szCs w:val="20"/>
                <w:lang w:val="en-GB"/>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960C668" w14:textId="77777777"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70A85B4B"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4D385CB7" w14:textId="77777777" w:rsidTr="00E420C4">
        <w:trPr>
          <w:jc w:val="center"/>
        </w:trPr>
        <w:tc>
          <w:tcPr>
            <w:tcW w:w="2368" w:type="dxa"/>
            <w:vMerge/>
            <w:tcBorders>
              <w:left w:val="single" w:sz="4" w:space="0" w:color="auto"/>
              <w:bottom w:val="single" w:sz="4" w:space="0" w:color="auto"/>
              <w:right w:val="single" w:sz="4" w:space="0" w:color="auto"/>
            </w:tcBorders>
            <w:vAlign w:val="center"/>
          </w:tcPr>
          <w:p w14:paraId="4A6D714A"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63A00BF5" w14:textId="77777777" w:rsidR="00A55DB7" w:rsidRPr="00040AA9" w:rsidRDefault="00A55DB7" w:rsidP="00040AA9">
            <w:pPr>
              <w:widowControl w:val="0"/>
              <w:suppressAutoHyphens/>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0DF79B4F"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6F0DEF5A"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4A43EBE"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tcPr>
          <w:p w14:paraId="2C07B9FE"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100</w:t>
            </w:r>
          </w:p>
          <w:p w14:paraId="3F771D3D"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CA"/>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7A99070"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AI: 43pp</w:t>
            </w:r>
          </w:p>
          <w:p w14:paraId="1F170C61" w14:textId="77777777" w:rsidR="00A55DB7" w:rsidRPr="00040AA9" w:rsidRDefault="00A55DB7" w:rsidP="00040AA9">
            <w:pPr>
              <w:widowControl w:val="0"/>
              <w:suppressAutoHyphens/>
              <w:rPr>
                <w:rFonts w:ascii="Arial" w:hAnsi="Arial" w:cs="Arial"/>
                <w:i/>
                <w:sz w:val="20"/>
                <w:szCs w:val="20"/>
              </w:rPr>
            </w:pPr>
          </w:p>
          <w:p w14:paraId="5242AA19" w14:textId="77777777" w:rsidR="00A55DB7" w:rsidRPr="00040AA9" w:rsidRDefault="00A55DB7" w:rsidP="00040AA9">
            <w:pPr>
              <w:widowControl w:val="0"/>
              <w:suppressAutoHyphens/>
              <w:rPr>
                <w:rFonts w:ascii="Arial" w:hAnsi="Arial" w:cs="Arial"/>
                <w:i/>
                <w:sz w:val="20"/>
                <w:szCs w:val="20"/>
              </w:rPr>
            </w:pPr>
            <w:r w:rsidRPr="00040AA9">
              <w:rPr>
                <w:rFonts w:ascii="Arial" w:hAnsi="Arial" w:cs="Arial"/>
                <w:i/>
                <w:sz w:val="20"/>
                <w:szCs w:val="20"/>
              </w:rPr>
              <w:t>=&gt;130%</w:t>
            </w:r>
          </w:p>
          <w:p w14:paraId="62845826"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0A368632" w14:textId="74AF4199"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lang w:val="en-CA"/>
              </w:rPr>
              <w:t xml:space="preserve">Jorge Baca, "Jamaica, Tax Reform Assessment", LTO Electronic </w:t>
            </w:r>
            <w:r w:rsidR="00435749" w:rsidRPr="00CF5903">
              <w:rPr>
                <w:rFonts w:ascii="Arial" w:hAnsi="Arial" w:cs="Arial"/>
                <w:sz w:val="20"/>
                <w:szCs w:val="20"/>
                <w:lang w:val="en-CA"/>
              </w:rPr>
              <w:t>Filing (</w:t>
            </w:r>
            <w:r w:rsidRPr="00040AA9">
              <w:rPr>
                <w:rFonts w:ascii="Arial" w:hAnsi="Arial" w:cs="Arial"/>
                <w:sz w:val="20"/>
                <w:szCs w:val="20"/>
                <w:lang w:val="en-CA"/>
              </w:rPr>
              <w:t>table 12, p. 65)</w:t>
            </w:r>
          </w:p>
          <w:p w14:paraId="68C6DE37" w14:textId="02748133" w:rsidR="00A55DB7" w:rsidRPr="00040AA9" w:rsidRDefault="002642C1" w:rsidP="00040AA9">
            <w:pPr>
              <w:widowControl w:val="0"/>
              <w:suppressAutoHyphens/>
              <w:rPr>
                <w:rFonts w:ascii="Arial" w:hAnsi="Arial" w:cs="Arial"/>
                <w:sz w:val="20"/>
                <w:szCs w:val="20"/>
                <w:lang w:val="en-CA"/>
              </w:rPr>
            </w:pPr>
            <w:r w:rsidRPr="00040AA9">
              <w:rPr>
                <w:rFonts w:ascii="Arial" w:hAnsi="Arial" w:cs="Arial"/>
                <w:sz w:val="20"/>
                <w:szCs w:val="20"/>
                <w:lang w:val="en-CA"/>
              </w:rPr>
              <w:t>(</w:t>
            </w:r>
            <w:r w:rsidR="00A55DB7" w:rsidRPr="00040AA9">
              <w:rPr>
                <w:rFonts w:ascii="Arial" w:hAnsi="Arial" w:cs="Arial"/>
                <w:sz w:val="20"/>
                <w:szCs w:val="20"/>
                <w:lang w:val="en-CA"/>
              </w:rPr>
              <w:t xml:space="preserve">All large taxpayers file </w:t>
            </w:r>
            <w:r w:rsidR="00435749" w:rsidRPr="00CF5903">
              <w:rPr>
                <w:rFonts w:ascii="Arial" w:hAnsi="Arial" w:cs="Arial"/>
                <w:sz w:val="20"/>
                <w:szCs w:val="20"/>
                <w:lang w:val="en-CA"/>
              </w:rPr>
              <w:t>PAYE electronically</w:t>
            </w:r>
            <w:r w:rsidR="00A55DB7" w:rsidRPr="00040AA9">
              <w:rPr>
                <w:rFonts w:ascii="Arial" w:hAnsi="Arial" w:cs="Arial"/>
                <w:sz w:val="20"/>
                <w:szCs w:val="20"/>
                <w:lang w:val="en-CA"/>
              </w:rPr>
              <w:t xml:space="preserve"> and 100% file via internet.</w:t>
            </w:r>
            <w:r w:rsidRPr="00040AA9">
              <w:rPr>
                <w:rFonts w:ascii="Arial" w:hAnsi="Arial" w:cs="Arial"/>
                <w:sz w:val="20"/>
                <w:szCs w:val="20"/>
                <w:lang w:val="en-CA"/>
              </w:rPr>
              <w:t>)</w:t>
            </w:r>
          </w:p>
        </w:tc>
      </w:tr>
      <w:tr w:rsidR="00A55DB7" w:rsidRPr="00CF5903" w14:paraId="2F96789D" w14:textId="77777777" w:rsidTr="00040AA9">
        <w:trPr>
          <w:trHeight w:val="188"/>
          <w:jc w:val="center"/>
        </w:trPr>
        <w:tc>
          <w:tcPr>
            <w:tcW w:w="13052" w:type="dxa"/>
            <w:gridSpan w:val="9"/>
            <w:tcBorders>
              <w:top w:val="single" w:sz="4" w:space="0" w:color="auto"/>
              <w:left w:val="single" w:sz="4" w:space="0" w:color="auto"/>
              <w:bottom w:val="single" w:sz="4" w:space="0" w:color="auto"/>
              <w:right w:val="single" w:sz="4" w:space="0" w:color="auto"/>
            </w:tcBorders>
            <w:shd w:val="pct5" w:color="auto" w:fill="auto"/>
            <w:vAlign w:val="center"/>
          </w:tcPr>
          <w:p w14:paraId="0649C5F4" w14:textId="2390D78F" w:rsidR="00A55DB7" w:rsidRPr="00040AA9" w:rsidRDefault="00A55DB7" w:rsidP="00040AA9">
            <w:pPr>
              <w:widowControl w:val="0"/>
              <w:suppressAutoHyphens/>
              <w:rPr>
                <w:rFonts w:ascii="Arial" w:hAnsi="Arial" w:cs="Arial"/>
                <w:sz w:val="20"/>
                <w:szCs w:val="20"/>
              </w:rPr>
            </w:pPr>
            <w:r w:rsidRPr="00040AA9">
              <w:rPr>
                <w:rFonts w:ascii="Arial" w:hAnsi="Arial" w:cs="Arial"/>
                <w:b/>
                <w:sz w:val="20"/>
                <w:szCs w:val="20"/>
              </w:rPr>
              <w:t xml:space="preserve">Outcome (Result) </w:t>
            </w:r>
            <w:r w:rsidR="00435749" w:rsidRPr="00CF5903">
              <w:rPr>
                <w:rFonts w:ascii="Arial" w:hAnsi="Arial" w:cs="Arial"/>
                <w:b/>
                <w:sz w:val="20"/>
                <w:szCs w:val="20"/>
              </w:rPr>
              <w:t>II.11 Decrease</w:t>
            </w:r>
            <w:r w:rsidRPr="00040AA9">
              <w:rPr>
                <w:rFonts w:ascii="Arial" w:hAnsi="Arial" w:cs="Arial"/>
                <w:b/>
                <w:sz w:val="20"/>
                <w:szCs w:val="20"/>
              </w:rPr>
              <w:t xml:space="preserve"> the ratio between tax expenditures and the GDP (tax distortion)</w:t>
            </w:r>
          </w:p>
        </w:tc>
      </w:tr>
      <w:tr w:rsidR="00A55DB7" w:rsidRPr="00CF5903" w14:paraId="46F6F369" w14:textId="77777777" w:rsidTr="00E420C4">
        <w:trPr>
          <w:trHeight w:val="476"/>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3A9DDC54" w14:textId="1B5A0663" w:rsidR="00A55DB7" w:rsidRPr="00E420C4" w:rsidRDefault="00A55DB7" w:rsidP="00040AA9">
            <w:pPr>
              <w:widowControl w:val="0"/>
              <w:suppressAutoHyphens/>
              <w:rPr>
                <w:rFonts w:ascii="Arial" w:hAnsi="Arial" w:cs="Arial"/>
                <w:sz w:val="20"/>
                <w:szCs w:val="20"/>
              </w:rPr>
            </w:pPr>
            <w:r w:rsidRPr="00E420C4">
              <w:rPr>
                <w:rFonts w:ascii="Arial" w:hAnsi="Arial" w:cs="Arial"/>
                <w:sz w:val="20"/>
                <w:szCs w:val="20"/>
              </w:rPr>
              <w:t xml:space="preserve">Indicator </w:t>
            </w:r>
            <w:r w:rsidR="00754E18" w:rsidRPr="00E420C4">
              <w:rPr>
                <w:rFonts w:ascii="Arial" w:hAnsi="Arial" w:cs="Arial"/>
                <w:sz w:val="20"/>
                <w:szCs w:val="20"/>
              </w:rPr>
              <w:t>II.</w:t>
            </w:r>
            <w:r w:rsidRPr="00E420C4">
              <w:rPr>
                <w:rFonts w:ascii="Arial" w:hAnsi="Arial" w:cs="Arial"/>
                <w:sz w:val="20"/>
                <w:szCs w:val="20"/>
              </w:rPr>
              <w:t>11.1</w:t>
            </w:r>
          </w:p>
          <w:p w14:paraId="49B96A6C" w14:textId="6934914A" w:rsidR="002F3F0A" w:rsidRPr="00E420C4" w:rsidRDefault="002F3F0A" w:rsidP="00040AA9">
            <w:pPr>
              <w:widowControl w:val="0"/>
              <w:suppressAutoHyphens/>
              <w:rPr>
                <w:rFonts w:ascii="Arial" w:hAnsi="Arial" w:cs="Arial"/>
                <w:sz w:val="20"/>
                <w:szCs w:val="20"/>
              </w:rPr>
            </w:pPr>
            <w:r w:rsidRPr="00E420C4">
              <w:rPr>
                <w:rFonts w:ascii="Arial" w:hAnsi="Arial" w:cs="Arial"/>
                <w:sz w:val="20"/>
                <w:szCs w:val="20"/>
              </w:rPr>
              <w:t>(Revised EOP target year)</w:t>
            </w:r>
          </w:p>
          <w:p w14:paraId="551A4C52" w14:textId="77777777" w:rsidR="00A55DB7" w:rsidRPr="00E420C4" w:rsidRDefault="00A55DB7" w:rsidP="00040AA9">
            <w:pPr>
              <w:widowControl w:val="0"/>
              <w:suppressAutoHyphens/>
              <w:rPr>
                <w:rFonts w:ascii="Arial" w:hAnsi="Arial" w:cs="Arial"/>
                <w:sz w:val="20"/>
                <w:szCs w:val="20"/>
              </w:rPr>
            </w:pPr>
            <w:r w:rsidRPr="00E420C4">
              <w:rPr>
                <w:rFonts w:ascii="Arial" w:hAnsi="Arial" w:cs="Arial"/>
                <w:sz w:val="20"/>
                <w:szCs w:val="20"/>
              </w:rPr>
              <w:t>Total tax expenditures / Nominal GDP</w:t>
            </w:r>
          </w:p>
          <w:p w14:paraId="6CEEBC67" w14:textId="77777777" w:rsidR="00A55DB7" w:rsidRPr="00E420C4" w:rsidRDefault="00A55DB7" w:rsidP="00040AA9">
            <w:pPr>
              <w:widowControl w:val="0"/>
              <w:suppressAutoHyphens/>
              <w:rPr>
                <w:rFonts w:ascii="Arial" w:hAnsi="Arial" w:cs="Arial"/>
                <w:sz w:val="20"/>
                <w:szCs w:val="20"/>
              </w:rPr>
            </w:pPr>
            <w:r w:rsidRPr="00E420C4">
              <w:rPr>
                <w:rFonts w:ascii="Arial" w:hAnsi="Arial" w:cs="Arial"/>
                <w:sz w:val="20"/>
                <w:szCs w:val="20"/>
              </w:rPr>
              <w:t>(FSPG III, result 2)</w:t>
            </w:r>
          </w:p>
          <w:p w14:paraId="1DBEBAB9" w14:textId="77777777" w:rsidR="00A55DB7" w:rsidRPr="00E420C4" w:rsidRDefault="00A55DB7" w:rsidP="00040AA9">
            <w:pPr>
              <w:widowControl w:val="0"/>
              <w:suppressAutoHyphens/>
              <w:rPr>
                <w:rFonts w:ascii="Arial" w:hAnsi="Arial" w:cs="Arial"/>
                <w:sz w:val="20"/>
                <w:szCs w:val="20"/>
              </w:rPr>
            </w:pPr>
          </w:p>
          <w:p w14:paraId="390E1610" w14:textId="28BA6CDE" w:rsidR="00A55DB7" w:rsidRPr="00E420C4" w:rsidRDefault="00FF2B50" w:rsidP="00040AA9">
            <w:pPr>
              <w:widowControl w:val="0"/>
              <w:suppressAutoHyphens/>
              <w:rPr>
                <w:rFonts w:ascii="Arial" w:hAnsi="Arial" w:cs="Arial"/>
                <w:sz w:val="20"/>
                <w:szCs w:val="20"/>
              </w:rPr>
            </w:pPr>
            <w:r w:rsidRPr="00E420C4">
              <w:rPr>
                <w:rFonts w:ascii="Arial" w:hAnsi="Arial" w:cs="Arial"/>
                <w:i/>
                <w:sz w:val="20"/>
                <w:szCs w:val="20"/>
              </w:rPr>
              <w:t xml:space="preserve">(The FISPEG I &amp; II RMs do not </w:t>
            </w:r>
            <w:r w:rsidR="00435749" w:rsidRPr="00E420C4">
              <w:rPr>
                <w:rFonts w:ascii="Arial" w:hAnsi="Arial" w:cs="Arial"/>
                <w:i/>
                <w:sz w:val="20"/>
                <w:szCs w:val="20"/>
              </w:rPr>
              <w:t>include outcome</w:t>
            </w:r>
            <w:r w:rsidR="00A55DB7" w:rsidRPr="00E420C4">
              <w:rPr>
                <w:rFonts w:ascii="Arial" w:hAnsi="Arial" w:cs="Arial"/>
                <w:i/>
                <w:sz w:val="20"/>
                <w:szCs w:val="20"/>
              </w:rPr>
              <w:t xml:space="preserve"> (result) indicators </w:t>
            </w:r>
            <w:r w:rsidRPr="00E420C4">
              <w:rPr>
                <w:rFonts w:ascii="Arial" w:hAnsi="Arial" w:cs="Arial"/>
                <w:i/>
                <w:sz w:val="20"/>
                <w:szCs w:val="20"/>
              </w:rPr>
              <w:t>for</w:t>
            </w:r>
            <w:r w:rsidR="00A55DB7" w:rsidRPr="00E420C4">
              <w:rPr>
                <w:rFonts w:ascii="Arial" w:hAnsi="Arial" w:cs="Arial"/>
                <w:i/>
                <w:sz w:val="20"/>
                <w:szCs w:val="20"/>
              </w:rPr>
              <w:t xml:space="preserve"> Tax Expenditure</w:t>
            </w:r>
            <w:r w:rsidRPr="00E420C4">
              <w:rPr>
                <w:rFonts w:ascii="Arial" w:hAnsi="Arial" w:cs="Arial"/>
                <w:i/>
                <w:sz w:val="20"/>
                <w:szCs w:val="20"/>
              </w:rPr>
              <w:t>)</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6C7128E5"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4C3AC52A" w14:textId="7D9115C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5.0</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05AAAC5C"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7FA2FF90"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tcPr>
          <w:p w14:paraId="1E9315CF" w14:textId="2DD07C30" w:rsidR="00780753" w:rsidRPr="00040AA9" w:rsidRDefault="00780753"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3.4%</w:t>
            </w:r>
            <w:r w:rsidR="00501C81" w:rsidRPr="00040AA9">
              <w:rPr>
                <w:rStyle w:val="FootnoteReference"/>
                <w:rFonts w:ascii="Arial" w:hAnsi="Arial" w:cs="Arial"/>
                <w:sz w:val="20"/>
                <w:szCs w:val="20"/>
              </w:rPr>
              <w:footnoteReference w:id="64"/>
            </w:r>
          </w:p>
          <w:p w14:paraId="0BB85E40" w14:textId="66678E71" w:rsidR="00780753" w:rsidRPr="00040AA9" w:rsidRDefault="00780753" w:rsidP="00040AA9">
            <w:pPr>
              <w:widowControl w:val="0"/>
              <w:suppressAutoHyphens/>
              <w:jc w:val="center"/>
              <w:rPr>
                <w:rFonts w:ascii="Arial" w:hAnsi="Arial" w:cs="Arial"/>
                <w:sz w:val="20"/>
                <w:szCs w:val="20"/>
                <w:lang w:val="en-GB"/>
              </w:rPr>
            </w:pPr>
            <w:r w:rsidRPr="00040AA9">
              <w:rPr>
                <w:rFonts w:ascii="Arial" w:hAnsi="Arial" w:cs="Arial"/>
                <w:sz w:val="20"/>
                <w:szCs w:val="20"/>
              </w:rPr>
              <w:t>(2015/16)</w:t>
            </w:r>
          </w:p>
          <w:p w14:paraId="66A097CD" w14:textId="56DE602E" w:rsidR="00A55DB7" w:rsidRPr="00040AA9" w:rsidRDefault="00A55DB7" w:rsidP="00040AA9">
            <w:pPr>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7623ACEC" w14:textId="12EF4343" w:rsidR="00A577A6" w:rsidRPr="00040AA9" w:rsidRDefault="00435749" w:rsidP="00040AA9">
            <w:pPr>
              <w:widowControl w:val="0"/>
              <w:suppressAutoHyphens/>
              <w:rPr>
                <w:rFonts w:ascii="Arial" w:hAnsi="Arial" w:cs="Arial"/>
                <w:sz w:val="20"/>
                <w:szCs w:val="20"/>
              </w:rPr>
            </w:pPr>
            <w:r w:rsidRPr="00CF5903">
              <w:rPr>
                <w:rFonts w:ascii="Arial" w:hAnsi="Arial" w:cs="Arial"/>
                <w:sz w:val="20"/>
                <w:szCs w:val="20"/>
              </w:rPr>
              <w:t>EI: -</w:t>
            </w:r>
            <w:r w:rsidR="009975D5" w:rsidRPr="00040AA9">
              <w:rPr>
                <w:rFonts w:ascii="Arial" w:hAnsi="Arial" w:cs="Arial"/>
                <w:sz w:val="20"/>
                <w:szCs w:val="20"/>
              </w:rPr>
              <w:t>1.6</w:t>
            </w:r>
          </w:p>
          <w:p w14:paraId="5F1D462C" w14:textId="26AE7375" w:rsidR="009975D5" w:rsidRPr="00040AA9" w:rsidRDefault="009975D5" w:rsidP="00040AA9">
            <w:pPr>
              <w:widowControl w:val="0"/>
              <w:suppressAutoHyphens/>
              <w:rPr>
                <w:rFonts w:ascii="Arial" w:hAnsi="Arial" w:cs="Arial"/>
                <w:sz w:val="20"/>
                <w:szCs w:val="20"/>
              </w:rPr>
            </w:pPr>
            <w:r w:rsidRPr="00040AA9">
              <w:rPr>
                <w:rFonts w:ascii="Arial" w:hAnsi="Arial" w:cs="Arial"/>
                <w:sz w:val="20"/>
                <w:szCs w:val="20"/>
              </w:rPr>
              <w:t>(2015/16)</w:t>
            </w:r>
          </w:p>
          <w:p w14:paraId="42775634" w14:textId="2C1C9D21"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7732DCCF"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Tax Expenditure Estimates prepared by the MOFPS.</w:t>
            </w:r>
          </w:p>
        </w:tc>
      </w:tr>
      <w:tr w:rsidR="00A55DB7" w:rsidRPr="00CF5903" w14:paraId="12FC9659" w14:textId="77777777" w:rsidTr="00E420C4">
        <w:trPr>
          <w:trHeight w:val="404"/>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0AE4E12F" w14:textId="0119F0D6"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099F79FB" w14:textId="77777777" w:rsidR="00A55DB7" w:rsidRPr="00040AA9" w:rsidRDefault="00A55DB7" w:rsidP="00040AA9">
            <w:pPr>
              <w:widowControl w:val="0"/>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4617449C" w14:textId="77777777" w:rsidR="00A55DB7" w:rsidRPr="00040AA9" w:rsidRDefault="00A55DB7" w:rsidP="00040AA9">
            <w:pPr>
              <w:widowControl w:val="0"/>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5AFF7E1"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4AC53918"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B2C3D11" w14:textId="77777777" w:rsidR="00A55DB7" w:rsidRPr="00040AA9" w:rsidRDefault="00A55DB7" w:rsidP="00040AA9">
            <w:pPr>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B2F6581" w14:textId="77777777"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455E5C6" w14:textId="77777777" w:rsidR="00A55DB7" w:rsidRPr="00040AA9" w:rsidRDefault="00A55DB7" w:rsidP="00040AA9">
            <w:pPr>
              <w:widowControl w:val="0"/>
              <w:suppressAutoHyphens/>
              <w:rPr>
                <w:rFonts w:ascii="Arial" w:hAnsi="Arial" w:cs="Arial"/>
                <w:sz w:val="20"/>
                <w:szCs w:val="20"/>
              </w:rPr>
            </w:pPr>
          </w:p>
        </w:tc>
      </w:tr>
      <w:tr w:rsidR="00A55DB7" w:rsidRPr="00CF5903" w14:paraId="77C7EFE9" w14:textId="77777777" w:rsidTr="00E420C4">
        <w:trPr>
          <w:trHeight w:val="809"/>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7F209A89" w14:textId="77777777"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20D5818B" w14:textId="77777777" w:rsidR="00A55DB7" w:rsidRPr="00040AA9" w:rsidRDefault="00A55DB7" w:rsidP="00040AA9">
            <w:pPr>
              <w:widowControl w:val="0"/>
              <w:suppressAutoHyphens/>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9D76A11" w14:textId="77777777" w:rsidR="00A55DB7" w:rsidRPr="00040AA9" w:rsidRDefault="00A55DB7" w:rsidP="00040AA9">
            <w:pPr>
              <w:widowControl w:val="0"/>
              <w:suppressAutoHyphens/>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180CED56" w14:textId="77777777" w:rsidR="00A55DB7" w:rsidRPr="00040AA9" w:rsidRDefault="00A55DB7" w:rsidP="00040AA9">
            <w:pPr>
              <w:widowControl w:val="0"/>
              <w:suppressAutoHyphens/>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42F9C9F1"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03C50A41"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3.7%</w:t>
            </w:r>
          </w:p>
          <w:p w14:paraId="39272213" w14:textId="1A1E0826"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(CY 2015)</w:t>
            </w:r>
            <w:r w:rsidRPr="00040AA9">
              <w:rPr>
                <w:rStyle w:val="FootnoteReference"/>
                <w:rFonts w:ascii="Arial" w:hAnsi="Arial" w:cs="Arial"/>
                <w:sz w:val="20"/>
                <w:szCs w:val="20"/>
              </w:rPr>
              <w:footnoteReference w:id="65"/>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D53112A" w14:textId="7FF4272B" w:rsidR="00A55DB7" w:rsidRPr="00040AA9" w:rsidRDefault="00435749" w:rsidP="00040AA9">
            <w:pPr>
              <w:widowControl w:val="0"/>
              <w:suppressAutoHyphens/>
              <w:rPr>
                <w:rFonts w:ascii="Arial" w:hAnsi="Arial" w:cs="Arial"/>
                <w:sz w:val="20"/>
                <w:szCs w:val="20"/>
              </w:rPr>
            </w:pPr>
            <w:r w:rsidRPr="00CF5903">
              <w:rPr>
                <w:rFonts w:ascii="Arial" w:hAnsi="Arial" w:cs="Arial"/>
                <w:sz w:val="20"/>
                <w:szCs w:val="20"/>
              </w:rPr>
              <w:t>AI: -</w:t>
            </w:r>
            <w:r w:rsidR="00A55DB7" w:rsidRPr="00040AA9">
              <w:rPr>
                <w:rFonts w:ascii="Arial" w:hAnsi="Arial" w:cs="Arial"/>
                <w:sz w:val="20"/>
                <w:szCs w:val="20"/>
              </w:rPr>
              <w:t>1.3pp</w:t>
            </w:r>
          </w:p>
          <w:p w14:paraId="45F16746" w14:textId="266F8692" w:rsidR="00A55DB7" w:rsidRPr="00040AA9" w:rsidRDefault="00A55DB7" w:rsidP="00040AA9">
            <w:pPr>
              <w:widowControl w:val="0"/>
              <w:suppressAutoHyphens/>
              <w:rPr>
                <w:rFonts w:ascii="Arial" w:hAnsi="Arial" w:cs="Arial"/>
                <w:i/>
                <w:sz w:val="20"/>
                <w:szCs w:val="20"/>
              </w:rPr>
            </w:pPr>
            <w:r w:rsidRPr="00040AA9">
              <w:rPr>
                <w:rFonts w:ascii="Arial" w:hAnsi="Arial" w:cs="Arial"/>
                <w:i/>
                <w:sz w:val="20"/>
                <w:szCs w:val="20"/>
              </w:rPr>
              <w:t>=&gt;</w:t>
            </w:r>
            <w:r w:rsidR="00B62180" w:rsidRPr="00040AA9">
              <w:rPr>
                <w:rFonts w:ascii="Arial" w:hAnsi="Arial" w:cs="Arial"/>
                <w:i/>
                <w:sz w:val="20"/>
                <w:szCs w:val="20"/>
              </w:rPr>
              <w:t>81</w:t>
            </w:r>
            <w:r w:rsidRPr="00040AA9">
              <w:rPr>
                <w:rFonts w:ascii="Arial" w:hAnsi="Arial" w:cs="Arial"/>
                <w:i/>
                <w:sz w:val="20"/>
                <w:szCs w:val="20"/>
              </w:rPr>
              <w:t>% achieved</w:t>
            </w:r>
            <w:r w:rsidR="00B62180" w:rsidRPr="00040AA9">
              <w:rPr>
                <w:rStyle w:val="FootnoteReference"/>
                <w:rFonts w:ascii="Arial" w:hAnsi="Arial" w:cs="Arial"/>
                <w:i/>
                <w:sz w:val="20"/>
                <w:szCs w:val="20"/>
              </w:rPr>
              <w:footnoteReference w:id="66"/>
            </w:r>
          </w:p>
        </w:tc>
        <w:tc>
          <w:tcPr>
            <w:tcW w:w="5374" w:type="dxa"/>
            <w:tcBorders>
              <w:top w:val="single" w:sz="4" w:space="0" w:color="auto"/>
              <w:left w:val="single" w:sz="4" w:space="0" w:color="auto"/>
              <w:bottom w:val="single" w:sz="4" w:space="0" w:color="auto"/>
              <w:right w:val="single" w:sz="4" w:space="0" w:color="auto"/>
            </w:tcBorders>
          </w:tcPr>
          <w:p w14:paraId="72BE55BB" w14:textId="26298943" w:rsidR="00A55DB7" w:rsidRPr="00040AA9" w:rsidRDefault="00AD4161" w:rsidP="00040AA9">
            <w:pPr>
              <w:widowControl w:val="0"/>
              <w:suppressAutoHyphens/>
              <w:rPr>
                <w:rFonts w:ascii="Arial" w:hAnsi="Arial" w:cs="Arial"/>
                <w:sz w:val="20"/>
                <w:szCs w:val="20"/>
              </w:rPr>
            </w:pPr>
            <w:r w:rsidRPr="00040AA9">
              <w:rPr>
                <w:rFonts w:ascii="Arial" w:hAnsi="Arial" w:cs="Arial"/>
                <w:sz w:val="20"/>
                <w:szCs w:val="20"/>
              </w:rPr>
              <w:t xml:space="preserve">Annex III - </w:t>
            </w:r>
            <w:r w:rsidR="00007157" w:rsidRPr="00040AA9">
              <w:rPr>
                <w:rFonts w:ascii="Arial" w:hAnsi="Arial" w:cs="Arial"/>
                <w:sz w:val="20"/>
                <w:szCs w:val="20"/>
              </w:rPr>
              <w:t xml:space="preserve">J Baca </w:t>
            </w:r>
            <w:r w:rsidR="00A55DB7" w:rsidRPr="00040AA9">
              <w:rPr>
                <w:rFonts w:ascii="Arial" w:hAnsi="Arial" w:cs="Arial"/>
                <w:i/>
                <w:sz w:val="20"/>
                <w:szCs w:val="20"/>
              </w:rPr>
              <w:t>Tax Reform Assessment</w:t>
            </w:r>
            <w:r w:rsidR="00A55DB7" w:rsidRPr="00040AA9">
              <w:rPr>
                <w:rFonts w:ascii="Arial" w:hAnsi="Arial" w:cs="Arial"/>
                <w:sz w:val="20"/>
                <w:szCs w:val="20"/>
              </w:rPr>
              <w:t xml:space="preserve"> Table 5 </w:t>
            </w:r>
            <w:r w:rsidRPr="00040AA9">
              <w:rPr>
                <w:rFonts w:ascii="Arial" w:hAnsi="Arial" w:cs="Arial"/>
                <w:sz w:val="20"/>
                <w:szCs w:val="20"/>
              </w:rPr>
              <w:t>“</w:t>
            </w:r>
            <w:r w:rsidR="00A55DB7" w:rsidRPr="00040AA9">
              <w:rPr>
                <w:rFonts w:ascii="Arial" w:hAnsi="Arial" w:cs="Arial"/>
                <w:sz w:val="20"/>
                <w:szCs w:val="20"/>
              </w:rPr>
              <w:t>Tax Expenditures as % of GDP</w:t>
            </w:r>
            <w:r w:rsidR="00435749" w:rsidRPr="00CF5903">
              <w:rPr>
                <w:rFonts w:ascii="Arial" w:hAnsi="Arial" w:cs="Arial"/>
                <w:sz w:val="20"/>
                <w:szCs w:val="20"/>
              </w:rPr>
              <w:t>”, p.</w:t>
            </w:r>
            <w:r w:rsidR="00A55DB7" w:rsidRPr="00040AA9">
              <w:rPr>
                <w:rFonts w:ascii="Arial" w:hAnsi="Arial" w:cs="Arial"/>
                <w:sz w:val="20"/>
                <w:szCs w:val="20"/>
              </w:rPr>
              <w:t xml:space="preserve"> 47</w:t>
            </w:r>
            <w:r w:rsidR="00437C13" w:rsidRPr="00040AA9">
              <w:rPr>
                <w:rStyle w:val="FootnoteReference"/>
                <w:rFonts w:ascii="Arial" w:hAnsi="Arial" w:cs="Arial"/>
                <w:sz w:val="20"/>
                <w:szCs w:val="20"/>
              </w:rPr>
              <w:footnoteReference w:id="67"/>
            </w:r>
          </w:p>
          <w:p w14:paraId="5913CA96" w14:textId="4EE34D15" w:rsidR="00007157" w:rsidRPr="00040AA9" w:rsidRDefault="00007157" w:rsidP="00040AA9">
            <w:pPr>
              <w:widowControl w:val="0"/>
              <w:suppressAutoHyphens/>
              <w:rPr>
                <w:rFonts w:ascii="Arial" w:hAnsi="Arial" w:cs="Arial"/>
                <w:sz w:val="20"/>
                <w:szCs w:val="20"/>
              </w:rPr>
            </w:pPr>
          </w:p>
        </w:tc>
      </w:tr>
      <w:tr w:rsidR="00A55DB7" w:rsidRPr="00CF5903" w14:paraId="60E8BB31" w14:textId="77777777" w:rsidTr="00040AA9">
        <w:trPr>
          <w:trHeight w:val="21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C4BB574" w14:textId="77777777" w:rsidR="00A55DB7" w:rsidRPr="00D60FB9" w:rsidRDefault="00A55DB7" w:rsidP="00040AA9">
            <w:pPr>
              <w:widowControl w:val="0"/>
              <w:suppressAutoHyphens/>
              <w:rPr>
                <w:rFonts w:ascii="Arial" w:hAnsi="Arial" w:cs="Arial"/>
                <w:b/>
                <w:sz w:val="20"/>
                <w:szCs w:val="20"/>
              </w:rPr>
            </w:pPr>
            <w:r w:rsidRPr="00D60FB9">
              <w:rPr>
                <w:rFonts w:ascii="Arial" w:hAnsi="Arial" w:cs="Arial"/>
                <w:b/>
                <w:sz w:val="20"/>
                <w:szCs w:val="20"/>
              </w:rPr>
              <w:t>OUTCOMES (RESULTS) for COMPONENT III – Rationalization of Expenditure</w:t>
            </w:r>
          </w:p>
        </w:tc>
      </w:tr>
      <w:tr w:rsidR="00A55DB7" w:rsidRPr="00CF5903" w14:paraId="074C9E30" w14:textId="77777777" w:rsidTr="00040AA9">
        <w:trPr>
          <w:trHeight w:val="12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62268F" w14:textId="60C4BB5A" w:rsidR="00A55DB7" w:rsidRPr="00040AA9" w:rsidRDefault="00A55DB7" w:rsidP="00040AA9">
            <w:pPr>
              <w:widowControl w:val="0"/>
              <w:suppressAutoHyphens/>
              <w:rPr>
                <w:rFonts w:ascii="Arial" w:hAnsi="Arial" w:cs="Arial"/>
                <w:b/>
                <w:sz w:val="20"/>
                <w:szCs w:val="20"/>
                <w:lang w:val="en-CA"/>
              </w:rPr>
            </w:pPr>
            <w:r w:rsidRPr="00040AA9">
              <w:rPr>
                <w:rFonts w:ascii="Arial" w:hAnsi="Arial" w:cs="Arial"/>
                <w:b/>
                <w:sz w:val="20"/>
                <w:szCs w:val="20"/>
                <w:lang w:val="en-CA"/>
              </w:rPr>
              <w:t xml:space="preserve">Outcome </w:t>
            </w:r>
            <w:r w:rsidRPr="00040AA9">
              <w:rPr>
                <w:rFonts w:ascii="Arial" w:hAnsi="Arial" w:cs="Arial"/>
                <w:b/>
                <w:sz w:val="20"/>
                <w:szCs w:val="20"/>
              </w:rPr>
              <w:t xml:space="preserve">(Result) </w:t>
            </w:r>
            <w:r w:rsidR="00A854F2" w:rsidRPr="00040AA9">
              <w:rPr>
                <w:rFonts w:ascii="Arial" w:hAnsi="Arial" w:cs="Arial"/>
                <w:b/>
                <w:sz w:val="20"/>
                <w:szCs w:val="20"/>
                <w:lang w:val="en-CA"/>
              </w:rPr>
              <w:t>III.</w:t>
            </w:r>
            <w:r w:rsidRPr="00040AA9">
              <w:rPr>
                <w:rFonts w:ascii="Arial" w:hAnsi="Arial" w:cs="Arial"/>
                <w:b/>
                <w:sz w:val="20"/>
                <w:szCs w:val="20"/>
                <w:lang w:val="en-CA"/>
              </w:rPr>
              <w:t xml:space="preserve">12 </w:t>
            </w:r>
            <w:r w:rsidRPr="00040AA9">
              <w:rPr>
                <w:rFonts w:ascii="Arial" w:hAnsi="Arial" w:cs="Arial"/>
                <w:b/>
                <w:sz w:val="20"/>
                <w:szCs w:val="20"/>
              </w:rPr>
              <w:t>Decrease annual central government’s sector wage bill</w:t>
            </w:r>
            <w:r w:rsidRPr="00040AA9">
              <w:rPr>
                <w:rStyle w:val="FootnoteReference"/>
                <w:rFonts w:ascii="Arial" w:hAnsi="Arial" w:cs="Arial"/>
                <w:sz w:val="20"/>
                <w:szCs w:val="20"/>
              </w:rPr>
              <w:footnoteReference w:id="68"/>
            </w:r>
          </w:p>
        </w:tc>
      </w:tr>
      <w:tr w:rsidR="00A55DB7" w:rsidRPr="00CF5903" w14:paraId="2ECE55AF" w14:textId="77777777" w:rsidTr="00E420C4">
        <w:trPr>
          <w:trHeight w:val="251"/>
          <w:jc w:val="center"/>
        </w:trPr>
        <w:tc>
          <w:tcPr>
            <w:tcW w:w="2368" w:type="dxa"/>
            <w:vMerge w:val="restart"/>
            <w:tcBorders>
              <w:top w:val="single" w:sz="4" w:space="0" w:color="auto"/>
              <w:left w:val="single" w:sz="4" w:space="0" w:color="auto"/>
              <w:right w:val="single" w:sz="4" w:space="0" w:color="auto"/>
            </w:tcBorders>
            <w:vAlign w:val="center"/>
          </w:tcPr>
          <w:p w14:paraId="215D3BA1" w14:textId="77777777" w:rsidR="00A55DB7" w:rsidRPr="00040AA9" w:rsidRDefault="00A55DB7" w:rsidP="00040AA9">
            <w:pPr>
              <w:widowControl w:val="0"/>
              <w:suppressAutoHyphens/>
              <w:rPr>
                <w:rFonts w:ascii="Arial" w:hAnsi="Arial" w:cs="Arial"/>
                <w:sz w:val="20"/>
                <w:szCs w:val="20"/>
              </w:rPr>
            </w:pPr>
          </w:p>
          <w:p w14:paraId="10C55F11" w14:textId="77777777" w:rsidR="00A55DB7" w:rsidRPr="00040AA9" w:rsidRDefault="00A55DB7" w:rsidP="00040AA9">
            <w:pPr>
              <w:widowControl w:val="0"/>
              <w:suppressAutoHyphens/>
              <w:rPr>
                <w:rFonts w:ascii="Arial" w:hAnsi="Arial" w:cs="Arial"/>
                <w:sz w:val="20"/>
                <w:szCs w:val="20"/>
              </w:rPr>
            </w:pPr>
          </w:p>
          <w:p w14:paraId="7EDCBEE7" w14:textId="77777777" w:rsidR="00A55DB7" w:rsidRPr="00040AA9" w:rsidRDefault="00A55DB7" w:rsidP="00040AA9">
            <w:pPr>
              <w:widowControl w:val="0"/>
              <w:suppressAutoHyphens/>
              <w:rPr>
                <w:rFonts w:ascii="Arial" w:hAnsi="Arial" w:cs="Arial"/>
                <w:sz w:val="20"/>
                <w:szCs w:val="20"/>
              </w:rPr>
            </w:pPr>
          </w:p>
          <w:p w14:paraId="759498CE" w14:textId="10B1C06D"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w:t>
            </w:r>
            <w:r w:rsidR="00EE4BBC" w:rsidRPr="00040AA9">
              <w:rPr>
                <w:rFonts w:ascii="Arial" w:hAnsi="Arial" w:cs="Arial"/>
                <w:sz w:val="20"/>
                <w:szCs w:val="20"/>
              </w:rPr>
              <w:t>I</w:t>
            </w:r>
            <w:r w:rsidR="00754E18" w:rsidRPr="00040AA9">
              <w:rPr>
                <w:rFonts w:ascii="Arial" w:hAnsi="Arial" w:cs="Arial"/>
                <w:sz w:val="20"/>
                <w:szCs w:val="20"/>
              </w:rPr>
              <w:t>I.</w:t>
            </w:r>
            <w:r w:rsidRPr="00040AA9">
              <w:rPr>
                <w:rFonts w:ascii="Arial" w:hAnsi="Arial" w:cs="Arial"/>
                <w:sz w:val="20"/>
                <w:szCs w:val="20"/>
              </w:rPr>
              <w:t>12.1</w:t>
            </w:r>
          </w:p>
          <w:p w14:paraId="60B6FE76" w14:textId="77777777" w:rsidR="00A55DB7" w:rsidRPr="00040AA9" w:rsidRDefault="00A55DB7" w:rsidP="00040AA9">
            <w:pPr>
              <w:widowControl w:val="0"/>
              <w:suppressAutoHyphens/>
              <w:rPr>
                <w:rFonts w:ascii="Arial" w:hAnsi="Arial" w:cs="Arial"/>
                <w:sz w:val="20"/>
                <w:szCs w:val="20"/>
              </w:rPr>
            </w:pPr>
          </w:p>
          <w:p w14:paraId="674CD6CC"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Wage bill</w:t>
            </w:r>
          </w:p>
          <w:p w14:paraId="09D93976"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(FSPG I, result 9)</w:t>
            </w:r>
          </w:p>
          <w:p w14:paraId="6D7E262D" w14:textId="77777777" w:rsidR="00A55DB7" w:rsidRPr="00040AA9" w:rsidRDefault="00A55DB7" w:rsidP="00040AA9">
            <w:pPr>
              <w:widowControl w:val="0"/>
              <w:suppressAutoHyphens/>
              <w:rPr>
                <w:rFonts w:ascii="Arial" w:hAnsi="Arial" w:cs="Arial"/>
                <w:sz w:val="20"/>
                <w:szCs w:val="20"/>
              </w:rPr>
            </w:pPr>
          </w:p>
          <w:p w14:paraId="1B8B8309" w14:textId="1D487305"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Expenditure of the central government on Wage bill / Nominal GDP.</w:t>
            </w:r>
            <w:r w:rsidRPr="00040AA9">
              <w:rPr>
                <w:rStyle w:val="FootnoteReference"/>
                <w:rFonts w:ascii="Arial" w:hAnsi="Arial" w:cs="Arial"/>
                <w:sz w:val="20"/>
                <w:szCs w:val="20"/>
              </w:rPr>
              <w:t xml:space="preserve"> </w:t>
            </w:r>
            <w:r w:rsidRPr="00040AA9">
              <w:rPr>
                <w:rStyle w:val="FootnoteReference"/>
                <w:rFonts w:ascii="Arial" w:hAnsi="Arial" w:cs="Arial"/>
                <w:sz w:val="20"/>
                <w:szCs w:val="20"/>
              </w:rPr>
              <w:footnoteReference w:id="69"/>
            </w:r>
          </w:p>
          <w:p w14:paraId="522EBF51"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(FSPG II, result 4)</w:t>
            </w:r>
          </w:p>
          <w:p w14:paraId="666E7877"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(FSPG III, result 5)</w:t>
            </w:r>
          </w:p>
          <w:p w14:paraId="3710589B" w14:textId="77777777" w:rsidR="00A55DB7" w:rsidRPr="00040AA9" w:rsidRDefault="00A55DB7" w:rsidP="00040AA9">
            <w:pPr>
              <w:widowControl w:val="0"/>
              <w:suppressAutoHyphens/>
              <w:rPr>
                <w:rFonts w:ascii="Arial" w:hAnsi="Arial" w:cs="Arial"/>
                <w:sz w:val="20"/>
                <w:szCs w:val="20"/>
              </w:rPr>
            </w:pPr>
          </w:p>
          <w:p w14:paraId="0923F0F4" w14:textId="7BE687A0" w:rsidR="00A55DB7" w:rsidRPr="00040AA9" w:rsidRDefault="00A55DB7" w:rsidP="00040AA9">
            <w:pPr>
              <w:widowControl w:val="0"/>
              <w:suppressAutoHyphens/>
              <w:rPr>
                <w:rFonts w:ascii="Arial" w:hAnsi="Arial" w:cs="Arial"/>
                <w:sz w:val="20"/>
                <w:szCs w:val="20"/>
              </w:rPr>
            </w:pPr>
          </w:p>
        </w:tc>
        <w:tc>
          <w:tcPr>
            <w:tcW w:w="810" w:type="dxa"/>
            <w:vMerge w:val="restart"/>
            <w:tcBorders>
              <w:top w:val="single" w:sz="4" w:space="0" w:color="auto"/>
              <w:left w:val="single" w:sz="4" w:space="0" w:color="auto"/>
              <w:right w:val="single" w:sz="4" w:space="0" w:color="auto"/>
            </w:tcBorders>
            <w:vAlign w:val="center"/>
          </w:tcPr>
          <w:p w14:paraId="42DF6E6C" w14:textId="77777777" w:rsidR="00A55DB7" w:rsidRPr="00040AA9" w:rsidRDefault="00A55DB7" w:rsidP="00040AA9">
            <w:pPr>
              <w:widowControl w:val="0"/>
              <w:suppressAutoHyphens/>
              <w:jc w:val="center"/>
              <w:rPr>
                <w:rFonts w:ascii="Arial" w:hAnsi="Arial" w:cs="Arial"/>
                <w:sz w:val="20"/>
                <w:szCs w:val="20"/>
              </w:rPr>
            </w:pPr>
          </w:p>
          <w:p w14:paraId="109BFE67" w14:textId="77777777" w:rsidR="00A55DB7" w:rsidRPr="00040AA9" w:rsidRDefault="00A55DB7" w:rsidP="00040AA9">
            <w:pPr>
              <w:widowControl w:val="0"/>
              <w:suppressAutoHyphens/>
              <w:jc w:val="center"/>
              <w:rPr>
                <w:rFonts w:ascii="Arial" w:hAnsi="Arial" w:cs="Arial"/>
                <w:sz w:val="20"/>
                <w:szCs w:val="20"/>
              </w:rPr>
            </w:pPr>
          </w:p>
          <w:p w14:paraId="4B7B6EBD" w14:textId="77777777" w:rsidR="00A55DB7" w:rsidRPr="00040AA9" w:rsidRDefault="00A55DB7" w:rsidP="00040AA9">
            <w:pPr>
              <w:widowControl w:val="0"/>
              <w:suppressAutoHyphens/>
              <w:jc w:val="center"/>
              <w:rPr>
                <w:rFonts w:ascii="Arial" w:hAnsi="Arial" w:cs="Arial"/>
                <w:sz w:val="20"/>
                <w:szCs w:val="20"/>
              </w:rPr>
            </w:pPr>
          </w:p>
          <w:p w14:paraId="595420C6"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 of GDP</w:t>
            </w:r>
          </w:p>
        </w:tc>
        <w:tc>
          <w:tcPr>
            <w:tcW w:w="900" w:type="dxa"/>
            <w:vMerge w:val="restart"/>
            <w:tcBorders>
              <w:top w:val="single" w:sz="4" w:space="0" w:color="auto"/>
              <w:left w:val="single" w:sz="4" w:space="0" w:color="auto"/>
              <w:right w:val="single" w:sz="4" w:space="0" w:color="auto"/>
            </w:tcBorders>
            <w:vAlign w:val="center"/>
          </w:tcPr>
          <w:p w14:paraId="0B7A3D26"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10.6</w:t>
            </w:r>
          </w:p>
          <w:p w14:paraId="6B889FE3"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(FSPG I)</w:t>
            </w:r>
          </w:p>
          <w:p w14:paraId="736AB36F" w14:textId="77777777" w:rsidR="00A55DB7" w:rsidRPr="00040AA9" w:rsidRDefault="00A55DB7" w:rsidP="00040AA9">
            <w:pPr>
              <w:widowControl w:val="0"/>
              <w:suppressAutoHyphens/>
              <w:jc w:val="center"/>
              <w:rPr>
                <w:rFonts w:ascii="Arial" w:hAnsi="Arial" w:cs="Arial"/>
                <w:sz w:val="20"/>
                <w:szCs w:val="20"/>
              </w:rPr>
            </w:pPr>
          </w:p>
          <w:p w14:paraId="5F729FC9" w14:textId="77777777" w:rsidR="00A55DB7" w:rsidRPr="00040AA9" w:rsidRDefault="00A55DB7" w:rsidP="00040AA9">
            <w:pPr>
              <w:widowControl w:val="0"/>
              <w:suppressAutoHyphens/>
              <w:jc w:val="center"/>
              <w:rPr>
                <w:rFonts w:ascii="Arial" w:hAnsi="Arial" w:cs="Arial"/>
                <w:sz w:val="20"/>
                <w:szCs w:val="20"/>
              </w:rPr>
            </w:pPr>
          </w:p>
          <w:p w14:paraId="4B68C29A" w14:textId="1B154272"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11.0</w:t>
            </w:r>
            <w:r w:rsidRPr="00040AA9">
              <w:rPr>
                <w:rStyle w:val="FootnoteReference"/>
                <w:rFonts w:ascii="Arial" w:hAnsi="Arial" w:cs="Arial"/>
                <w:sz w:val="20"/>
                <w:szCs w:val="20"/>
              </w:rPr>
              <w:footnoteReference w:id="70"/>
            </w:r>
          </w:p>
          <w:p w14:paraId="0CFE6CF5"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(FSPG II)</w:t>
            </w:r>
          </w:p>
          <w:p w14:paraId="17A6B2C5"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(FSPG III)</w:t>
            </w:r>
          </w:p>
          <w:p w14:paraId="7124F925" w14:textId="77777777" w:rsidR="00A55DB7" w:rsidRPr="00040AA9" w:rsidRDefault="00A55DB7" w:rsidP="00040AA9">
            <w:pPr>
              <w:widowControl w:val="0"/>
              <w:suppressAutoHyphens/>
              <w:jc w:val="center"/>
              <w:rPr>
                <w:rFonts w:ascii="Arial" w:hAnsi="Arial" w:cs="Arial"/>
                <w:sz w:val="20"/>
                <w:szCs w:val="20"/>
              </w:rPr>
            </w:pPr>
          </w:p>
          <w:p w14:paraId="3276E885" w14:textId="3A97C9D1" w:rsidR="00A55DB7" w:rsidRPr="00040AA9" w:rsidRDefault="00A55DB7" w:rsidP="00040AA9">
            <w:pPr>
              <w:widowControl w:val="0"/>
              <w:suppressAutoHyphens/>
              <w:jc w:val="center"/>
              <w:rPr>
                <w:rFonts w:ascii="Arial" w:hAnsi="Arial" w:cs="Arial"/>
                <w:sz w:val="20"/>
                <w:szCs w:val="20"/>
              </w:rPr>
            </w:pPr>
          </w:p>
        </w:tc>
        <w:tc>
          <w:tcPr>
            <w:tcW w:w="720" w:type="dxa"/>
            <w:vMerge w:val="restart"/>
            <w:tcBorders>
              <w:top w:val="single" w:sz="4" w:space="0" w:color="auto"/>
              <w:left w:val="single" w:sz="4" w:space="0" w:color="auto"/>
              <w:right w:val="single" w:sz="4" w:space="0" w:color="auto"/>
            </w:tcBorders>
            <w:vAlign w:val="center"/>
          </w:tcPr>
          <w:p w14:paraId="16C2F555"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504A8E80"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5749AF6C"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9.1</w:t>
            </w:r>
          </w:p>
          <w:p w14:paraId="40DBA3CB"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(FSPG I)</w:t>
            </w:r>
          </w:p>
          <w:p w14:paraId="45276941"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(2015/16)</w:t>
            </w:r>
          </w:p>
          <w:p w14:paraId="13FDB988" w14:textId="77777777" w:rsidR="00A55DB7" w:rsidRPr="00040AA9" w:rsidRDefault="00A55DB7" w:rsidP="00040AA9">
            <w:pPr>
              <w:widowControl w:val="0"/>
              <w:suppressAutoHyphens/>
              <w:jc w:val="center"/>
              <w:rPr>
                <w:rFonts w:ascii="Arial" w:hAnsi="Arial" w:cs="Arial"/>
                <w:sz w:val="20"/>
                <w:szCs w:val="20"/>
              </w:rPr>
            </w:pPr>
          </w:p>
          <w:p w14:paraId="07C364DC"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9.0</w:t>
            </w:r>
          </w:p>
          <w:p w14:paraId="6E010637"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FSPG II</w:t>
            </w:r>
          </w:p>
          <w:p w14:paraId="385851F5"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(2016/17)</w:t>
            </w:r>
          </w:p>
          <w:p w14:paraId="2F4D0616" w14:textId="77777777" w:rsidR="00A55DB7" w:rsidRPr="00040AA9" w:rsidRDefault="00A55DB7" w:rsidP="00040AA9">
            <w:pPr>
              <w:widowControl w:val="0"/>
              <w:suppressAutoHyphens/>
              <w:jc w:val="center"/>
              <w:rPr>
                <w:rFonts w:ascii="Arial" w:hAnsi="Arial" w:cs="Arial"/>
                <w:sz w:val="20"/>
                <w:szCs w:val="20"/>
              </w:rPr>
            </w:pPr>
          </w:p>
          <w:p w14:paraId="38EF4AEA" w14:textId="77777777" w:rsidR="00A55DB7" w:rsidRPr="00040AA9" w:rsidRDefault="00A55DB7" w:rsidP="00040AA9">
            <w:pPr>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4F19D371" w14:textId="77777777"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CD16720" w14:textId="22838D3C"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lang w:val="en-CA"/>
              </w:rPr>
              <w:t xml:space="preserve">Ministry of Finance </w:t>
            </w:r>
            <w:r w:rsidR="00435749" w:rsidRPr="00CF5903">
              <w:rPr>
                <w:rFonts w:ascii="Arial" w:hAnsi="Arial" w:cs="Arial"/>
                <w:sz w:val="20"/>
                <w:szCs w:val="20"/>
                <w:lang w:val="en-CA"/>
              </w:rPr>
              <w:t>Annual</w:t>
            </w:r>
            <w:r w:rsidRPr="00040AA9">
              <w:rPr>
                <w:rFonts w:ascii="Arial" w:hAnsi="Arial" w:cs="Arial"/>
                <w:sz w:val="20"/>
                <w:szCs w:val="20"/>
                <w:lang w:val="en-CA"/>
              </w:rPr>
              <w:t xml:space="preserve"> Financial Report</w:t>
            </w:r>
          </w:p>
        </w:tc>
      </w:tr>
      <w:tr w:rsidR="00A55DB7" w:rsidRPr="00CF5903" w14:paraId="6C96F855" w14:textId="77777777" w:rsidTr="00E420C4">
        <w:trPr>
          <w:trHeight w:val="251"/>
          <w:jc w:val="center"/>
        </w:trPr>
        <w:tc>
          <w:tcPr>
            <w:tcW w:w="2368" w:type="dxa"/>
            <w:vMerge/>
            <w:tcBorders>
              <w:top w:val="single" w:sz="4" w:space="0" w:color="auto"/>
              <w:left w:val="single" w:sz="4" w:space="0" w:color="auto"/>
              <w:right w:val="single" w:sz="4" w:space="0" w:color="auto"/>
            </w:tcBorders>
            <w:vAlign w:val="center"/>
          </w:tcPr>
          <w:p w14:paraId="3CB9E355" w14:textId="77777777"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right w:val="single" w:sz="4" w:space="0" w:color="auto"/>
            </w:tcBorders>
            <w:vAlign w:val="center"/>
          </w:tcPr>
          <w:p w14:paraId="4252F5AB"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top w:val="single" w:sz="4" w:space="0" w:color="auto"/>
              <w:left w:val="single" w:sz="4" w:space="0" w:color="auto"/>
              <w:right w:val="single" w:sz="4" w:space="0" w:color="auto"/>
            </w:tcBorders>
            <w:vAlign w:val="center"/>
          </w:tcPr>
          <w:p w14:paraId="03A76708"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top w:val="single" w:sz="4" w:space="0" w:color="auto"/>
              <w:left w:val="single" w:sz="4" w:space="0" w:color="auto"/>
              <w:right w:val="single" w:sz="4" w:space="0" w:color="auto"/>
            </w:tcBorders>
            <w:vAlign w:val="center"/>
          </w:tcPr>
          <w:p w14:paraId="48286371" w14:textId="77777777" w:rsidR="00A55DB7" w:rsidRPr="00040AA9" w:rsidRDefault="00A55DB7" w:rsidP="00040AA9">
            <w:pPr>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507BAF1B"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33F97C78"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10.1</w:t>
            </w:r>
          </w:p>
          <w:p w14:paraId="0528E363"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FSPG III</w:t>
            </w:r>
          </w:p>
          <w:p w14:paraId="0CA7EDA3"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1544130" w14:textId="2BCDEB9F" w:rsidR="00A55DB7" w:rsidRPr="00040AA9" w:rsidRDefault="00435749" w:rsidP="00040AA9">
            <w:pPr>
              <w:widowControl w:val="0"/>
              <w:suppressAutoHyphens/>
              <w:rPr>
                <w:rFonts w:ascii="Arial" w:hAnsi="Arial" w:cs="Arial"/>
                <w:sz w:val="20"/>
                <w:szCs w:val="20"/>
              </w:rPr>
            </w:pPr>
            <w:r w:rsidRPr="00CF5903">
              <w:rPr>
                <w:rFonts w:ascii="Arial" w:hAnsi="Arial" w:cs="Arial"/>
                <w:sz w:val="20"/>
                <w:szCs w:val="20"/>
              </w:rPr>
              <w:t>EI: -</w:t>
            </w:r>
            <w:r w:rsidR="00A55DB7" w:rsidRPr="00040AA9">
              <w:rPr>
                <w:rFonts w:ascii="Arial" w:hAnsi="Arial" w:cs="Arial"/>
                <w:sz w:val="20"/>
                <w:szCs w:val="20"/>
              </w:rPr>
              <w:t>0.9pp</w:t>
            </w:r>
          </w:p>
        </w:tc>
        <w:tc>
          <w:tcPr>
            <w:tcW w:w="5374" w:type="dxa"/>
            <w:tcBorders>
              <w:top w:val="single" w:sz="4" w:space="0" w:color="auto"/>
              <w:left w:val="single" w:sz="4" w:space="0" w:color="auto"/>
              <w:bottom w:val="single" w:sz="4" w:space="0" w:color="auto"/>
              <w:right w:val="single" w:sz="4" w:space="0" w:color="auto"/>
            </w:tcBorders>
          </w:tcPr>
          <w:p w14:paraId="3855800A"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17C9C4E0" w14:textId="77777777" w:rsidTr="00E420C4">
        <w:trPr>
          <w:trHeight w:val="1016"/>
          <w:jc w:val="center"/>
        </w:trPr>
        <w:tc>
          <w:tcPr>
            <w:tcW w:w="2368" w:type="dxa"/>
            <w:vMerge/>
            <w:tcBorders>
              <w:left w:val="single" w:sz="4" w:space="0" w:color="auto"/>
              <w:bottom w:val="single" w:sz="4" w:space="0" w:color="auto"/>
              <w:right w:val="single" w:sz="4" w:space="0" w:color="auto"/>
            </w:tcBorders>
            <w:vAlign w:val="center"/>
          </w:tcPr>
          <w:p w14:paraId="76C1C019"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01F37C97"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74FF69EB"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058F5E01" w14:textId="77777777" w:rsidR="00A55DB7" w:rsidRPr="00040AA9" w:rsidRDefault="00A55DB7" w:rsidP="00040AA9">
            <w:pPr>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6815F9B1"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0ED73CA7" w14:textId="0FBC2A88" w:rsidR="00A55DB7" w:rsidRPr="00040AA9" w:rsidRDefault="00A55DB7" w:rsidP="00040AA9">
            <w:pPr>
              <w:widowControl w:val="0"/>
              <w:suppressAutoHyphens/>
              <w:rPr>
                <w:rFonts w:ascii="Arial" w:hAnsi="Arial" w:cs="Arial"/>
                <w:sz w:val="20"/>
                <w:szCs w:val="20"/>
              </w:rPr>
            </w:pPr>
          </w:p>
          <w:p w14:paraId="723E822B" w14:textId="765446A8" w:rsidR="00A55DB7" w:rsidRPr="00040AA9" w:rsidRDefault="002409DD" w:rsidP="00040AA9">
            <w:pPr>
              <w:widowControl w:val="0"/>
              <w:suppressAutoHyphens/>
              <w:jc w:val="center"/>
              <w:rPr>
                <w:rFonts w:ascii="Arial" w:hAnsi="Arial" w:cs="Arial"/>
                <w:sz w:val="20"/>
                <w:szCs w:val="20"/>
              </w:rPr>
            </w:pPr>
            <w:r w:rsidRPr="00040AA9">
              <w:rPr>
                <w:rFonts w:ascii="Arial" w:hAnsi="Arial" w:cs="Arial"/>
                <w:sz w:val="20"/>
                <w:szCs w:val="20"/>
              </w:rPr>
              <w:t>10.</w:t>
            </w:r>
            <w:r w:rsidR="0099401E" w:rsidRPr="00040AA9">
              <w:rPr>
                <w:rFonts w:ascii="Arial" w:hAnsi="Arial" w:cs="Arial"/>
                <w:sz w:val="20"/>
                <w:szCs w:val="20"/>
              </w:rPr>
              <w:t>2</w:t>
            </w:r>
          </w:p>
          <w:p w14:paraId="6314B1F7"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BFC44CC" w14:textId="15D50EC7" w:rsidR="00A55DB7" w:rsidRPr="00040AA9" w:rsidRDefault="00435749" w:rsidP="00040AA9">
            <w:pPr>
              <w:widowControl w:val="0"/>
              <w:suppressAutoHyphens/>
              <w:rPr>
                <w:rFonts w:ascii="Arial" w:hAnsi="Arial" w:cs="Arial"/>
                <w:sz w:val="20"/>
                <w:szCs w:val="20"/>
              </w:rPr>
            </w:pPr>
            <w:r w:rsidRPr="00CF5903">
              <w:rPr>
                <w:rFonts w:ascii="Arial" w:hAnsi="Arial" w:cs="Arial"/>
                <w:sz w:val="20"/>
                <w:szCs w:val="20"/>
              </w:rPr>
              <w:t>AI: -</w:t>
            </w:r>
            <w:r w:rsidR="00E55161" w:rsidRPr="00040AA9">
              <w:rPr>
                <w:rFonts w:ascii="Arial" w:hAnsi="Arial" w:cs="Arial"/>
                <w:sz w:val="20"/>
                <w:szCs w:val="20"/>
              </w:rPr>
              <w:t>1.0</w:t>
            </w:r>
            <w:r w:rsidR="00E55161" w:rsidRPr="00040AA9" w:rsidDel="00E55161">
              <w:rPr>
                <w:rFonts w:ascii="Arial" w:hAnsi="Arial" w:cs="Arial"/>
                <w:sz w:val="20"/>
                <w:szCs w:val="20"/>
              </w:rPr>
              <w:t xml:space="preserve"> </w:t>
            </w:r>
            <w:r w:rsidR="00A55DB7" w:rsidRPr="00040AA9">
              <w:rPr>
                <w:rFonts w:ascii="Arial" w:hAnsi="Arial" w:cs="Arial"/>
                <w:sz w:val="20"/>
                <w:szCs w:val="20"/>
              </w:rPr>
              <w:t>pp</w:t>
            </w:r>
          </w:p>
          <w:p w14:paraId="07E80773"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(2016/17)</w:t>
            </w:r>
          </w:p>
          <w:p w14:paraId="6B72893D" w14:textId="77777777" w:rsidR="00A55DB7" w:rsidRPr="00040AA9" w:rsidRDefault="00A55DB7" w:rsidP="00040AA9">
            <w:pPr>
              <w:widowControl w:val="0"/>
              <w:suppressAutoHyphens/>
              <w:rPr>
                <w:rFonts w:ascii="Arial" w:hAnsi="Arial" w:cs="Arial"/>
                <w:sz w:val="20"/>
                <w:szCs w:val="20"/>
              </w:rPr>
            </w:pPr>
          </w:p>
          <w:p w14:paraId="2407C76C" w14:textId="1A278881" w:rsidR="00A55DB7" w:rsidRPr="00040AA9" w:rsidRDefault="0099401E" w:rsidP="00040AA9">
            <w:pPr>
              <w:widowControl w:val="0"/>
              <w:suppressAutoHyphens/>
              <w:rPr>
                <w:rFonts w:ascii="Arial" w:hAnsi="Arial" w:cs="Arial"/>
                <w:i/>
                <w:sz w:val="20"/>
                <w:szCs w:val="20"/>
              </w:rPr>
            </w:pPr>
            <w:r w:rsidRPr="00040AA9">
              <w:rPr>
                <w:rFonts w:ascii="Arial" w:hAnsi="Arial" w:cs="Arial"/>
                <w:i/>
                <w:sz w:val="20"/>
                <w:szCs w:val="20"/>
              </w:rPr>
              <w:t>89</w:t>
            </w:r>
            <w:r w:rsidR="00A55DB7" w:rsidRPr="00040AA9">
              <w:rPr>
                <w:rFonts w:ascii="Arial" w:hAnsi="Arial" w:cs="Arial"/>
                <w:i/>
                <w:sz w:val="20"/>
                <w:szCs w:val="20"/>
              </w:rPr>
              <w:t>%</w:t>
            </w:r>
          </w:p>
          <w:p w14:paraId="597A4131"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06FB8F78" w14:textId="77777777" w:rsidR="00A55DB7" w:rsidRDefault="00A55DB7" w:rsidP="00040AA9">
            <w:pPr>
              <w:widowControl w:val="0"/>
              <w:suppressAutoHyphens/>
              <w:rPr>
                <w:rFonts w:ascii="Arial" w:hAnsi="Arial" w:cs="Arial"/>
                <w:sz w:val="20"/>
                <w:szCs w:val="20"/>
                <w:lang w:val="en-CA"/>
              </w:rPr>
            </w:pPr>
            <w:proofErr w:type="spellStart"/>
            <w:r w:rsidRPr="00040AA9">
              <w:rPr>
                <w:rFonts w:ascii="Arial" w:hAnsi="Arial" w:cs="Arial"/>
                <w:sz w:val="20"/>
                <w:szCs w:val="20"/>
              </w:rPr>
              <w:t>GoJ</w:t>
            </w:r>
            <w:proofErr w:type="spellEnd"/>
            <w:r w:rsidRPr="00040AA9">
              <w:rPr>
                <w:rFonts w:ascii="Arial" w:hAnsi="Arial" w:cs="Arial"/>
                <w:sz w:val="20"/>
                <w:szCs w:val="20"/>
              </w:rPr>
              <w:t xml:space="preserve"> </w:t>
            </w:r>
            <w:r w:rsidRPr="00040AA9">
              <w:rPr>
                <w:rFonts w:ascii="Arial" w:hAnsi="Arial" w:cs="Arial"/>
                <w:i/>
                <w:sz w:val="20"/>
                <w:szCs w:val="20"/>
              </w:rPr>
              <w:t>Fiscal Policy Paper FY2017/18</w:t>
            </w:r>
            <w:r w:rsidRPr="00040AA9">
              <w:rPr>
                <w:rFonts w:ascii="Arial" w:hAnsi="Arial" w:cs="Arial"/>
                <w:sz w:val="20"/>
                <w:szCs w:val="20"/>
              </w:rPr>
              <w:t xml:space="preserve"> </w:t>
            </w:r>
            <w:r w:rsidRPr="00040AA9">
              <w:rPr>
                <w:rFonts w:ascii="Arial" w:hAnsi="Arial" w:cs="Arial"/>
                <w:sz w:val="20"/>
                <w:szCs w:val="20"/>
                <w:lang w:val="en-CA"/>
              </w:rPr>
              <w:t>Table 3K “Central Government Summary Accounts (%GDP) – Compensation of Employees” p. 59</w:t>
            </w:r>
            <w:r w:rsidRPr="00040AA9">
              <w:rPr>
                <w:rStyle w:val="FootnoteReference"/>
                <w:rFonts w:ascii="Arial" w:hAnsi="Arial" w:cs="Arial"/>
                <w:sz w:val="20"/>
                <w:szCs w:val="20"/>
                <w:lang w:val="en-CA"/>
              </w:rPr>
              <w:footnoteReference w:id="71"/>
            </w:r>
          </w:p>
          <w:p w14:paraId="4223CF2A" w14:textId="3B2B4B7B" w:rsidR="00F41A9A" w:rsidRPr="00040AA9" w:rsidRDefault="00F41A9A" w:rsidP="00040AA9">
            <w:pPr>
              <w:widowControl w:val="0"/>
              <w:suppressAutoHyphens/>
              <w:rPr>
                <w:rFonts w:ascii="Arial" w:hAnsi="Arial" w:cs="Arial"/>
                <w:sz w:val="20"/>
                <w:szCs w:val="20"/>
                <w:lang w:val="en-CA"/>
              </w:rPr>
            </w:pPr>
          </w:p>
        </w:tc>
      </w:tr>
      <w:tr w:rsidR="00A55DB7" w:rsidRPr="00CF5903" w14:paraId="37DB877E" w14:textId="77777777" w:rsidTr="00040AA9">
        <w:trPr>
          <w:trHeight w:val="261"/>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3335AB" w14:textId="2FC1E07D" w:rsidR="00A55DB7" w:rsidRPr="00040AA9" w:rsidRDefault="00435749" w:rsidP="00040AA9">
            <w:pPr>
              <w:keepNext/>
              <w:keepLines/>
              <w:widowControl w:val="0"/>
              <w:suppressAutoHyphens/>
              <w:rPr>
                <w:rFonts w:ascii="Arial" w:hAnsi="Arial" w:cs="Arial"/>
                <w:b/>
                <w:sz w:val="20"/>
                <w:szCs w:val="20"/>
                <w:lang w:val="en-CA"/>
              </w:rPr>
            </w:pPr>
            <w:r w:rsidRPr="00CF5903">
              <w:rPr>
                <w:rFonts w:ascii="Arial" w:hAnsi="Arial" w:cs="Arial"/>
                <w:b/>
                <w:sz w:val="20"/>
                <w:szCs w:val="20"/>
                <w:lang w:val="en-CA"/>
              </w:rPr>
              <w:t>Outcomes Regarding</w:t>
            </w:r>
            <w:r w:rsidR="00A55DB7" w:rsidRPr="00040AA9">
              <w:rPr>
                <w:rFonts w:ascii="Arial" w:hAnsi="Arial" w:cs="Arial"/>
                <w:b/>
                <w:sz w:val="20"/>
                <w:szCs w:val="20"/>
                <w:lang w:val="en-CA"/>
              </w:rPr>
              <w:t xml:space="preserve"> PBs prompt reporting to the Ministry of Finance</w:t>
            </w:r>
          </w:p>
        </w:tc>
      </w:tr>
      <w:tr w:rsidR="00A55DB7" w:rsidRPr="00CF5903" w14:paraId="47CB76A7" w14:textId="77777777" w:rsidTr="00040AA9">
        <w:trPr>
          <w:trHeight w:val="261"/>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E9B96C" w14:textId="1D3A27C4" w:rsidR="00A55DB7" w:rsidRPr="00040AA9" w:rsidRDefault="00A55DB7" w:rsidP="00040AA9">
            <w:pPr>
              <w:keepNext/>
              <w:keepLines/>
              <w:widowControl w:val="0"/>
              <w:suppressAutoHyphens/>
              <w:rPr>
                <w:rFonts w:ascii="Arial" w:hAnsi="Arial" w:cs="Arial"/>
                <w:b/>
                <w:sz w:val="20"/>
                <w:szCs w:val="20"/>
                <w:lang w:val="en-CA"/>
              </w:rPr>
            </w:pPr>
            <w:r w:rsidRPr="00040AA9">
              <w:rPr>
                <w:rFonts w:ascii="Arial" w:hAnsi="Arial" w:cs="Arial"/>
                <w:b/>
                <w:sz w:val="20"/>
                <w:szCs w:val="20"/>
                <w:lang w:val="en-CA"/>
              </w:rPr>
              <w:t xml:space="preserve">Outcome </w:t>
            </w:r>
            <w:r w:rsidRPr="00040AA9">
              <w:rPr>
                <w:rFonts w:ascii="Arial" w:hAnsi="Arial" w:cs="Arial"/>
                <w:b/>
                <w:sz w:val="20"/>
                <w:szCs w:val="20"/>
              </w:rPr>
              <w:t xml:space="preserve">(Result) </w:t>
            </w:r>
            <w:r w:rsidR="00A854F2" w:rsidRPr="00040AA9">
              <w:rPr>
                <w:rFonts w:ascii="Arial" w:hAnsi="Arial" w:cs="Arial"/>
                <w:b/>
                <w:sz w:val="20"/>
                <w:szCs w:val="20"/>
              </w:rPr>
              <w:t>III.</w:t>
            </w:r>
            <w:r w:rsidRPr="00040AA9">
              <w:rPr>
                <w:rFonts w:ascii="Arial" w:hAnsi="Arial" w:cs="Arial"/>
                <w:b/>
                <w:sz w:val="20"/>
                <w:szCs w:val="20"/>
                <w:lang w:val="en-CA"/>
              </w:rPr>
              <w:t xml:space="preserve">13 (PBs – part a) </w:t>
            </w:r>
            <w:r w:rsidRPr="00040AA9">
              <w:rPr>
                <w:rFonts w:ascii="Arial" w:hAnsi="Arial" w:cs="Arial"/>
                <w:b/>
                <w:sz w:val="20"/>
                <w:szCs w:val="20"/>
              </w:rPr>
              <w:t xml:space="preserve">Increase the number of PBs reporting on time to the </w:t>
            </w:r>
            <w:proofErr w:type="spellStart"/>
            <w:r w:rsidRPr="00040AA9">
              <w:rPr>
                <w:rFonts w:ascii="Arial" w:hAnsi="Arial" w:cs="Arial"/>
                <w:b/>
                <w:sz w:val="20"/>
                <w:szCs w:val="20"/>
              </w:rPr>
              <w:t>M</w:t>
            </w:r>
            <w:r w:rsidR="00800210">
              <w:rPr>
                <w:rFonts w:ascii="Arial" w:hAnsi="Arial" w:cs="Arial"/>
                <w:b/>
                <w:sz w:val="20"/>
                <w:szCs w:val="20"/>
              </w:rPr>
              <w:t>oF</w:t>
            </w:r>
            <w:proofErr w:type="spellEnd"/>
          </w:p>
        </w:tc>
      </w:tr>
      <w:tr w:rsidR="00A55DB7" w:rsidRPr="00CF5903" w14:paraId="36F4A98C" w14:textId="77777777" w:rsidTr="00E420C4">
        <w:trPr>
          <w:trHeight w:val="1723"/>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6393BBA8" w14:textId="0C4E930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Indicator </w:t>
            </w:r>
            <w:r w:rsidR="00754E18" w:rsidRPr="00040AA9">
              <w:rPr>
                <w:rFonts w:ascii="Arial" w:hAnsi="Arial" w:cs="Arial"/>
                <w:sz w:val="20"/>
                <w:szCs w:val="20"/>
              </w:rPr>
              <w:t>III.</w:t>
            </w:r>
            <w:r w:rsidRPr="00040AA9">
              <w:rPr>
                <w:rFonts w:ascii="Arial" w:hAnsi="Arial" w:cs="Arial"/>
                <w:sz w:val="20"/>
                <w:szCs w:val="20"/>
              </w:rPr>
              <w:t>13.1</w:t>
            </w:r>
          </w:p>
          <w:p w14:paraId="359317D0" w14:textId="5B1452CF"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Self-financing (SF) P</w:t>
            </w:r>
            <w:r w:rsidR="00800210">
              <w:rPr>
                <w:rFonts w:ascii="Arial" w:hAnsi="Arial" w:cs="Arial"/>
                <w:sz w:val="20"/>
                <w:szCs w:val="20"/>
              </w:rPr>
              <w:t>B</w:t>
            </w:r>
            <w:r w:rsidRPr="00040AA9">
              <w:rPr>
                <w:rFonts w:ascii="Arial" w:hAnsi="Arial" w:cs="Arial"/>
                <w:sz w:val="20"/>
                <w:szCs w:val="20"/>
              </w:rPr>
              <w:t xml:space="preserve">s reporting on time </w:t>
            </w:r>
          </w:p>
          <w:p w14:paraId="67056319"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 xml:space="preserve"> (FSPG I, result 10)</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4B79C6F"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Number</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22F92CD0"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4C38DCE9"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 xml:space="preserve">2012/13 </w:t>
            </w:r>
          </w:p>
        </w:tc>
        <w:tc>
          <w:tcPr>
            <w:tcW w:w="597" w:type="dxa"/>
            <w:tcBorders>
              <w:top w:val="single" w:sz="4" w:space="0" w:color="auto"/>
              <w:left w:val="single" w:sz="4" w:space="0" w:color="auto"/>
              <w:bottom w:val="single" w:sz="4" w:space="0" w:color="auto"/>
              <w:right w:val="single" w:sz="4" w:space="0" w:color="auto"/>
            </w:tcBorders>
            <w:vAlign w:val="center"/>
          </w:tcPr>
          <w:p w14:paraId="3C7FBD12"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0B8540FF"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lang w:val="en-GB"/>
              </w:rPr>
              <w:t>90</w:t>
            </w:r>
          </w:p>
          <w:p w14:paraId="66007DE9"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(2015/16)</w:t>
            </w:r>
          </w:p>
          <w:p w14:paraId="3BEB513A" w14:textId="77777777" w:rsidR="00A55DB7" w:rsidRPr="00040AA9" w:rsidRDefault="00A55DB7" w:rsidP="00040AA9">
            <w:pPr>
              <w:widowControl w:val="0"/>
              <w:suppressAutoHyphens/>
              <w:jc w:val="center"/>
              <w:rPr>
                <w:rFonts w:ascii="Arial" w:hAnsi="Arial" w:cs="Arial"/>
                <w:sz w:val="20"/>
                <w:szCs w:val="20"/>
                <w:lang w:val="en-GB"/>
              </w:rPr>
            </w:pPr>
          </w:p>
          <w:p w14:paraId="121B27DE" w14:textId="386252CB" w:rsidR="00A55DB7" w:rsidRPr="00040AA9" w:rsidRDefault="00A55DB7" w:rsidP="00040AA9">
            <w:pPr>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9BA1E4E" w14:textId="6F3D7F63"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lang w:val="en-GB"/>
              </w:rPr>
              <w:t>EI: 88 PBs</w:t>
            </w:r>
          </w:p>
        </w:tc>
        <w:tc>
          <w:tcPr>
            <w:tcW w:w="5374" w:type="dxa"/>
            <w:tcBorders>
              <w:top w:val="single" w:sz="4" w:space="0" w:color="auto"/>
              <w:left w:val="single" w:sz="4" w:space="0" w:color="auto"/>
              <w:bottom w:val="single" w:sz="4" w:space="0" w:color="auto"/>
              <w:right w:val="single" w:sz="4" w:space="0" w:color="auto"/>
            </w:tcBorders>
            <w:vAlign w:val="center"/>
          </w:tcPr>
          <w:p w14:paraId="142966A9" w14:textId="77777777" w:rsidR="00A55DB7" w:rsidRPr="00040AA9" w:rsidRDefault="00A55DB7" w:rsidP="00040AA9">
            <w:pPr>
              <w:widowControl w:val="0"/>
              <w:suppressAutoHyphens/>
              <w:rPr>
                <w:rFonts w:ascii="Arial" w:hAnsi="Arial" w:cs="Arial"/>
                <w:sz w:val="20"/>
                <w:szCs w:val="20"/>
                <w:lang w:val="en-CA"/>
              </w:rPr>
            </w:pPr>
          </w:p>
          <w:p w14:paraId="13543072" w14:textId="77777777" w:rsidR="00A55DB7" w:rsidRPr="00040AA9" w:rsidRDefault="00A55DB7" w:rsidP="00040AA9">
            <w:pPr>
              <w:widowControl w:val="0"/>
              <w:suppressAutoHyphens/>
              <w:rPr>
                <w:rFonts w:ascii="Arial" w:hAnsi="Arial" w:cs="Arial"/>
                <w:sz w:val="20"/>
                <w:szCs w:val="20"/>
                <w:lang w:val="en-CA"/>
              </w:rPr>
            </w:pPr>
          </w:p>
          <w:p w14:paraId="1FD35118" w14:textId="2A277A56" w:rsidR="00A55DB7" w:rsidRPr="00040AA9" w:rsidRDefault="00A55DB7" w:rsidP="00040AA9">
            <w:pPr>
              <w:widowControl w:val="0"/>
              <w:suppressAutoHyphens/>
              <w:rPr>
                <w:rFonts w:ascii="Arial" w:hAnsi="Arial" w:cs="Arial"/>
                <w:sz w:val="20"/>
                <w:szCs w:val="20"/>
                <w:lang w:val="en-CA"/>
              </w:rPr>
            </w:pPr>
            <w:r w:rsidRPr="00040AA9">
              <w:rPr>
                <w:rFonts w:ascii="Arial" w:hAnsi="Arial" w:cs="Arial"/>
                <w:sz w:val="20"/>
                <w:szCs w:val="20"/>
                <w:lang w:val="en-CA"/>
              </w:rPr>
              <w:t>MOF - Public Entities (</w:t>
            </w:r>
            <w:r w:rsidRPr="00472226">
              <w:rPr>
                <w:rFonts w:ascii="Arial" w:hAnsi="Arial" w:cs="Arial"/>
                <w:i/>
                <w:sz w:val="20"/>
                <w:szCs w:val="20"/>
                <w:lang w:val="en-CA"/>
              </w:rPr>
              <w:t>sic</w:t>
            </w:r>
            <w:r w:rsidRPr="00040AA9">
              <w:rPr>
                <w:rFonts w:ascii="Arial" w:hAnsi="Arial" w:cs="Arial"/>
                <w:sz w:val="20"/>
                <w:szCs w:val="20"/>
                <w:lang w:val="en-CA"/>
              </w:rPr>
              <w:t>) Division (PED) annual management report</w:t>
            </w:r>
            <w:r w:rsidRPr="00040AA9">
              <w:rPr>
                <w:rStyle w:val="FootnoteReference"/>
                <w:rFonts w:ascii="Arial" w:hAnsi="Arial" w:cs="Arial"/>
                <w:sz w:val="20"/>
                <w:szCs w:val="20"/>
                <w:lang w:val="en-CA"/>
              </w:rPr>
              <w:footnoteReference w:id="72"/>
            </w:r>
          </w:p>
        </w:tc>
      </w:tr>
      <w:tr w:rsidR="00A55DB7" w:rsidRPr="00CF5903" w14:paraId="2D4EDBB5" w14:textId="77777777" w:rsidTr="00E420C4">
        <w:trPr>
          <w:trHeight w:val="65"/>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63193906" w14:textId="77777777"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59AD7ADD"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4F4866"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4F996245" w14:textId="77777777" w:rsidR="00A55DB7" w:rsidRPr="00040AA9" w:rsidRDefault="00A55DB7" w:rsidP="00040AA9">
            <w:pPr>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4A5BDC97"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412A596F" w14:textId="77777777" w:rsidR="00A55DB7" w:rsidRPr="00040AA9" w:rsidRDefault="00A55DB7" w:rsidP="00040AA9">
            <w:pPr>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0B5C33B" w14:textId="77777777"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vAlign w:val="center"/>
          </w:tcPr>
          <w:p w14:paraId="280F61FC"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5C0329C3" w14:textId="77777777" w:rsidTr="00E420C4">
        <w:trPr>
          <w:trHeight w:val="926"/>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454F7D81" w14:textId="77777777" w:rsidR="00A55DB7" w:rsidRPr="00040AA9" w:rsidRDefault="00A55DB7" w:rsidP="00040AA9">
            <w:pPr>
              <w:widowControl w:val="0"/>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158E9409"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D1CC67"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209B4890" w14:textId="77777777" w:rsidR="00A55DB7" w:rsidRPr="00040AA9" w:rsidRDefault="00A55DB7" w:rsidP="00040AA9">
            <w:pPr>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03B782F"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047E5B93"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 xml:space="preserve">45 </w:t>
            </w:r>
          </w:p>
          <w:p w14:paraId="538D5FA0" w14:textId="17A31244"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 xml:space="preserve"> (2015/16)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308AEEE" w14:textId="77777777" w:rsidR="00A55DB7" w:rsidRPr="00040AA9" w:rsidRDefault="00A55DB7" w:rsidP="00040AA9">
            <w:pPr>
              <w:widowControl w:val="0"/>
              <w:suppressAutoHyphens/>
              <w:rPr>
                <w:rFonts w:ascii="Arial" w:hAnsi="Arial" w:cs="Arial"/>
                <w:sz w:val="20"/>
                <w:szCs w:val="20"/>
              </w:rPr>
            </w:pPr>
            <w:r w:rsidRPr="00040AA9">
              <w:rPr>
                <w:rFonts w:ascii="Arial" w:hAnsi="Arial" w:cs="Arial"/>
                <w:sz w:val="20"/>
                <w:szCs w:val="20"/>
              </w:rPr>
              <w:t>AI: 43 PBs</w:t>
            </w:r>
          </w:p>
          <w:p w14:paraId="4F2B8BC5" w14:textId="77777777" w:rsidR="00A55DB7" w:rsidRPr="00040AA9" w:rsidRDefault="00A55DB7" w:rsidP="00040AA9">
            <w:pPr>
              <w:widowControl w:val="0"/>
              <w:suppressAutoHyphens/>
              <w:rPr>
                <w:rFonts w:ascii="Arial" w:hAnsi="Arial" w:cs="Arial"/>
                <w:sz w:val="20"/>
                <w:szCs w:val="20"/>
              </w:rPr>
            </w:pPr>
          </w:p>
          <w:p w14:paraId="549DDDF4" w14:textId="698C3230" w:rsidR="00A55DB7" w:rsidRPr="00040AA9" w:rsidRDefault="00A55DB7" w:rsidP="00040AA9">
            <w:pPr>
              <w:widowControl w:val="0"/>
              <w:suppressAutoHyphens/>
              <w:rPr>
                <w:rFonts w:ascii="Arial" w:hAnsi="Arial" w:cs="Arial"/>
                <w:i/>
                <w:sz w:val="20"/>
                <w:szCs w:val="20"/>
              </w:rPr>
            </w:pPr>
            <w:r w:rsidRPr="00040AA9">
              <w:rPr>
                <w:rFonts w:ascii="Arial" w:hAnsi="Arial" w:cs="Arial"/>
                <w:i/>
                <w:sz w:val="20"/>
                <w:szCs w:val="20"/>
              </w:rPr>
              <w:t>=&gt;</w:t>
            </w:r>
            <w:r w:rsidR="009B507F" w:rsidRPr="00040AA9">
              <w:rPr>
                <w:rFonts w:ascii="Arial" w:hAnsi="Arial" w:cs="Arial"/>
                <w:i/>
                <w:sz w:val="20"/>
                <w:szCs w:val="20"/>
              </w:rPr>
              <w:t>50</w:t>
            </w:r>
            <w:r w:rsidRPr="00040AA9">
              <w:rPr>
                <w:rFonts w:ascii="Arial" w:hAnsi="Arial" w:cs="Arial"/>
                <w:i/>
                <w:sz w:val="20"/>
                <w:szCs w:val="20"/>
              </w:rPr>
              <w:t>%</w:t>
            </w:r>
          </w:p>
          <w:p w14:paraId="442E9941" w14:textId="77777777" w:rsidR="00A55DB7" w:rsidRPr="00040AA9" w:rsidRDefault="00A55DB7" w:rsidP="00040AA9">
            <w:pPr>
              <w:widowControl w:val="0"/>
              <w:suppressAutoHyphens/>
              <w:rPr>
                <w:rFonts w:ascii="Arial" w:hAnsi="Arial" w:cs="Arial"/>
                <w:i/>
                <w:sz w:val="20"/>
                <w:szCs w:val="20"/>
              </w:rPr>
            </w:pPr>
            <w:r w:rsidRPr="00040AA9">
              <w:rPr>
                <w:rFonts w:ascii="Arial" w:hAnsi="Arial" w:cs="Arial"/>
                <w:i/>
                <w:sz w:val="20"/>
                <w:szCs w:val="20"/>
              </w:rPr>
              <w:t>achieved</w:t>
            </w:r>
          </w:p>
          <w:p w14:paraId="4ABA2329" w14:textId="77777777" w:rsidR="00A55DB7" w:rsidRPr="00040AA9" w:rsidRDefault="00A55DB7" w:rsidP="00040AA9">
            <w:pPr>
              <w:widowControl w:val="0"/>
              <w:suppressAutoHyphens/>
              <w:rPr>
                <w:rFonts w:ascii="Arial" w:hAnsi="Arial" w:cs="Arial"/>
                <w:sz w:val="20"/>
                <w:szCs w:val="20"/>
              </w:rPr>
            </w:pPr>
          </w:p>
          <w:p w14:paraId="719A6F3D" w14:textId="34EC7930"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vAlign w:val="center"/>
          </w:tcPr>
          <w:p w14:paraId="4CAA6980" w14:textId="1C6D3C79" w:rsidR="00A55DB7" w:rsidRPr="00040AA9" w:rsidRDefault="00A55DB7" w:rsidP="00040AA9">
            <w:pPr>
              <w:widowControl w:val="0"/>
              <w:suppressAutoHyphens/>
              <w:rPr>
                <w:rFonts w:ascii="Arial" w:hAnsi="Arial" w:cs="Arial"/>
                <w:sz w:val="20"/>
                <w:szCs w:val="20"/>
                <w:lang w:val="en-CA"/>
              </w:rPr>
            </w:pPr>
            <w:proofErr w:type="spellStart"/>
            <w:r w:rsidRPr="00040AA9">
              <w:rPr>
                <w:rFonts w:ascii="Arial" w:hAnsi="Arial" w:cs="Arial"/>
                <w:sz w:val="20"/>
                <w:szCs w:val="20"/>
                <w:lang w:val="en-CA"/>
              </w:rPr>
              <w:t>MoF&amp;PS</w:t>
            </w:r>
            <w:proofErr w:type="spellEnd"/>
            <w:r w:rsidRPr="00040AA9">
              <w:rPr>
                <w:rFonts w:ascii="Arial" w:hAnsi="Arial" w:cs="Arial"/>
                <w:sz w:val="20"/>
                <w:szCs w:val="20"/>
                <w:lang w:val="en-CA"/>
              </w:rPr>
              <w:t xml:space="preserve"> / PED “Submission of Annual Reports to Parent Ministries FY2015/16”</w:t>
            </w:r>
            <w:r w:rsidRPr="00040AA9">
              <w:rPr>
                <w:rStyle w:val="FootnoteReference"/>
                <w:rFonts w:ascii="Arial" w:hAnsi="Arial" w:cs="Arial"/>
                <w:sz w:val="20"/>
                <w:szCs w:val="20"/>
                <w:lang w:val="en-CA"/>
              </w:rPr>
              <w:t xml:space="preserve"> </w:t>
            </w:r>
            <w:r w:rsidRPr="00040AA9">
              <w:rPr>
                <w:rStyle w:val="FootnoteReference"/>
                <w:rFonts w:ascii="Arial" w:hAnsi="Arial" w:cs="Arial"/>
                <w:sz w:val="20"/>
                <w:szCs w:val="20"/>
                <w:lang w:val="en-CA"/>
              </w:rPr>
              <w:footnoteReference w:id="73"/>
            </w:r>
            <w:r w:rsidRPr="00040AA9">
              <w:rPr>
                <w:rStyle w:val="FootnoteReference"/>
                <w:rFonts w:ascii="Arial" w:hAnsi="Arial" w:cs="Arial"/>
                <w:sz w:val="20"/>
                <w:szCs w:val="20"/>
                <w:lang w:val="en-CA"/>
              </w:rPr>
              <w:t xml:space="preserve"> </w:t>
            </w:r>
            <w:r w:rsidRPr="00040AA9">
              <w:rPr>
                <w:rFonts w:ascii="Arial" w:hAnsi="Arial" w:cs="Arial"/>
                <w:sz w:val="20"/>
                <w:szCs w:val="20"/>
              </w:rPr>
              <w:t xml:space="preserve"> </w:t>
            </w:r>
          </w:p>
          <w:p w14:paraId="409E3488" w14:textId="77777777" w:rsidR="00A55DB7" w:rsidRPr="00040AA9" w:rsidRDefault="00A55DB7" w:rsidP="00040AA9">
            <w:pPr>
              <w:widowControl w:val="0"/>
              <w:suppressAutoHyphens/>
              <w:rPr>
                <w:rFonts w:ascii="Arial" w:hAnsi="Arial" w:cs="Arial"/>
                <w:sz w:val="20"/>
                <w:szCs w:val="20"/>
                <w:lang w:val="en-CA"/>
              </w:rPr>
            </w:pPr>
          </w:p>
          <w:p w14:paraId="105227DE"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5BD31354" w14:textId="77777777" w:rsidTr="00E420C4">
        <w:trPr>
          <w:trHeight w:val="260"/>
          <w:jc w:val="center"/>
        </w:trPr>
        <w:tc>
          <w:tcPr>
            <w:tcW w:w="2368" w:type="dxa"/>
            <w:vMerge w:val="restart"/>
            <w:tcBorders>
              <w:top w:val="single" w:sz="4" w:space="0" w:color="auto"/>
              <w:left w:val="single" w:sz="4" w:space="0" w:color="auto"/>
              <w:right w:val="single" w:sz="4" w:space="0" w:color="auto"/>
            </w:tcBorders>
            <w:vAlign w:val="center"/>
          </w:tcPr>
          <w:p w14:paraId="00661727" w14:textId="5AD4C6D5" w:rsidR="00A55DB7" w:rsidRPr="00E420C4" w:rsidRDefault="00A55DB7" w:rsidP="00040AA9">
            <w:pPr>
              <w:widowControl w:val="0"/>
              <w:suppressAutoHyphens/>
              <w:rPr>
                <w:rFonts w:ascii="Arial" w:hAnsi="Arial" w:cs="Arial"/>
                <w:sz w:val="20"/>
                <w:szCs w:val="20"/>
              </w:rPr>
            </w:pPr>
            <w:r w:rsidRPr="00E420C4">
              <w:rPr>
                <w:rFonts w:ascii="Arial" w:hAnsi="Arial" w:cs="Arial"/>
                <w:sz w:val="20"/>
                <w:szCs w:val="20"/>
              </w:rPr>
              <w:t xml:space="preserve">Indicator </w:t>
            </w:r>
            <w:r w:rsidR="00754E18" w:rsidRPr="00E420C4">
              <w:rPr>
                <w:rFonts w:ascii="Arial" w:hAnsi="Arial" w:cs="Arial"/>
                <w:sz w:val="20"/>
                <w:szCs w:val="20"/>
              </w:rPr>
              <w:t>III.1</w:t>
            </w:r>
            <w:r w:rsidRPr="00E420C4">
              <w:rPr>
                <w:rFonts w:ascii="Arial" w:hAnsi="Arial" w:cs="Arial"/>
                <w:sz w:val="20"/>
                <w:szCs w:val="20"/>
              </w:rPr>
              <w:t>3.2</w:t>
            </w:r>
          </w:p>
          <w:p w14:paraId="4A05C037" w14:textId="38294816" w:rsidR="00B10992" w:rsidRPr="00E420C4" w:rsidRDefault="00B10992" w:rsidP="00040AA9">
            <w:pPr>
              <w:widowControl w:val="0"/>
              <w:suppressAutoHyphens/>
              <w:rPr>
                <w:rFonts w:ascii="Arial" w:hAnsi="Arial" w:cs="Arial"/>
                <w:sz w:val="20"/>
                <w:szCs w:val="20"/>
              </w:rPr>
            </w:pPr>
            <w:r w:rsidRPr="00E420C4">
              <w:rPr>
                <w:rFonts w:ascii="Arial" w:hAnsi="Arial" w:cs="Arial"/>
                <w:sz w:val="20"/>
                <w:szCs w:val="20"/>
              </w:rPr>
              <w:t>(Deactivated – See Table 1)</w:t>
            </w:r>
          </w:p>
          <w:p w14:paraId="6792E990" w14:textId="2EA515A9" w:rsidR="00A55DB7" w:rsidRPr="00E420C4" w:rsidRDefault="00A55DB7" w:rsidP="00040AA9">
            <w:pPr>
              <w:widowControl w:val="0"/>
              <w:suppressAutoHyphens/>
              <w:rPr>
                <w:rFonts w:ascii="Arial" w:hAnsi="Arial" w:cs="Arial"/>
                <w:sz w:val="20"/>
                <w:szCs w:val="20"/>
              </w:rPr>
            </w:pPr>
            <w:r w:rsidRPr="00E420C4">
              <w:rPr>
                <w:rFonts w:ascii="Arial" w:hAnsi="Arial" w:cs="Arial"/>
                <w:sz w:val="20"/>
                <w:szCs w:val="20"/>
              </w:rPr>
              <w:t>Non-self-financing (NSF) P</w:t>
            </w:r>
            <w:r w:rsidR="00800210" w:rsidRPr="00E420C4">
              <w:rPr>
                <w:rFonts w:ascii="Arial" w:hAnsi="Arial" w:cs="Arial"/>
                <w:sz w:val="20"/>
                <w:szCs w:val="20"/>
              </w:rPr>
              <w:t>Bs</w:t>
            </w:r>
            <w:r w:rsidRPr="00E420C4">
              <w:rPr>
                <w:rFonts w:ascii="Arial" w:hAnsi="Arial" w:cs="Arial"/>
                <w:sz w:val="20"/>
                <w:szCs w:val="20"/>
              </w:rPr>
              <w:t xml:space="preserve"> reporting on time  </w:t>
            </w:r>
          </w:p>
          <w:p w14:paraId="0A173493" w14:textId="77777777" w:rsidR="00A55DB7" w:rsidRPr="00E420C4" w:rsidRDefault="00A55DB7" w:rsidP="00040AA9">
            <w:pPr>
              <w:widowControl w:val="0"/>
              <w:suppressAutoHyphens/>
              <w:rPr>
                <w:rFonts w:ascii="Arial" w:hAnsi="Arial" w:cs="Arial"/>
                <w:sz w:val="20"/>
                <w:szCs w:val="20"/>
              </w:rPr>
            </w:pPr>
            <w:r w:rsidRPr="00E420C4">
              <w:rPr>
                <w:rFonts w:ascii="Arial" w:hAnsi="Arial" w:cs="Arial"/>
                <w:sz w:val="20"/>
                <w:szCs w:val="20"/>
              </w:rPr>
              <w:t>(FSPG I, result 10)</w:t>
            </w:r>
          </w:p>
        </w:tc>
        <w:tc>
          <w:tcPr>
            <w:tcW w:w="810" w:type="dxa"/>
            <w:vMerge w:val="restart"/>
            <w:tcBorders>
              <w:top w:val="single" w:sz="4" w:space="0" w:color="auto"/>
              <w:left w:val="single" w:sz="4" w:space="0" w:color="auto"/>
              <w:right w:val="single" w:sz="4" w:space="0" w:color="auto"/>
            </w:tcBorders>
            <w:vAlign w:val="center"/>
          </w:tcPr>
          <w:p w14:paraId="3748A58C"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Number</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03C3E6"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1</w:t>
            </w:r>
          </w:p>
        </w:tc>
        <w:tc>
          <w:tcPr>
            <w:tcW w:w="720" w:type="dxa"/>
            <w:vMerge w:val="restart"/>
            <w:tcBorders>
              <w:top w:val="single" w:sz="4" w:space="0" w:color="auto"/>
              <w:left w:val="single" w:sz="4" w:space="0" w:color="auto"/>
              <w:right w:val="single" w:sz="4" w:space="0" w:color="auto"/>
            </w:tcBorders>
            <w:vAlign w:val="center"/>
          </w:tcPr>
          <w:p w14:paraId="207F38CE"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4BB30031"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2D1B2AF9" w14:textId="77777777" w:rsidR="00A55DB7" w:rsidRPr="00040AA9" w:rsidRDefault="00A55DB7" w:rsidP="00040AA9">
            <w:pPr>
              <w:widowControl w:val="0"/>
              <w:suppressAutoHyphens/>
              <w:jc w:val="center"/>
              <w:rPr>
                <w:rFonts w:ascii="Arial" w:hAnsi="Arial" w:cs="Arial"/>
                <w:sz w:val="20"/>
                <w:szCs w:val="20"/>
                <w:lang w:val="en-GB"/>
              </w:rPr>
            </w:pPr>
            <w:r w:rsidRPr="00040AA9">
              <w:rPr>
                <w:rFonts w:ascii="Arial" w:hAnsi="Arial" w:cs="Arial"/>
                <w:sz w:val="20"/>
                <w:szCs w:val="20"/>
                <w:lang w:val="en-GB"/>
              </w:rPr>
              <w:t>105</w:t>
            </w:r>
          </w:p>
          <w:p w14:paraId="064C5DC4"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lang w:val="en-GB"/>
              </w:rPr>
              <w:t>(2015/16)</w:t>
            </w:r>
          </w:p>
        </w:tc>
        <w:tc>
          <w:tcPr>
            <w:tcW w:w="1203" w:type="dxa"/>
            <w:gridSpan w:val="2"/>
            <w:vMerge w:val="restart"/>
            <w:tcBorders>
              <w:top w:val="single" w:sz="4" w:space="0" w:color="auto"/>
              <w:left w:val="single" w:sz="4" w:space="0" w:color="auto"/>
              <w:right w:val="single" w:sz="4" w:space="0" w:color="auto"/>
            </w:tcBorders>
            <w:vAlign w:val="center"/>
          </w:tcPr>
          <w:p w14:paraId="6B2171C1" w14:textId="37970F97" w:rsidR="00A55DB7" w:rsidRPr="00040AA9" w:rsidRDefault="00B10992" w:rsidP="00040AA9">
            <w:pPr>
              <w:widowControl w:val="0"/>
              <w:suppressAutoHyphens/>
              <w:rPr>
                <w:rFonts w:ascii="Arial" w:hAnsi="Arial" w:cs="Arial"/>
                <w:sz w:val="20"/>
                <w:szCs w:val="20"/>
              </w:rPr>
            </w:pPr>
            <w:r w:rsidRPr="00040AA9">
              <w:rPr>
                <w:rFonts w:ascii="Arial" w:hAnsi="Arial" w:cs="Arial"/>
                <w:i/>
                <w:sz w:val="20"/>
                <w:szCs w:val="20"/>
              </w:rPr>
              <w:t>Value cannot be computed</w:t>
            </w:r>
          </w:p>
        </w:tc>
        <w:tc>
          <w:tcPr>
            <w:tcW w:w="5374" w:type="dxa"/>
            <w:tcBorders>
              <w:top w:val="single" w:sz="4" w:space="0" w:color="auto"/>
              <w:left w:val="single" w:sz="4" w:space="0" w:color="auto"/>
              <w:bottom w:val="single" w:sz="4" w:space="0" w:color="auto"/>
              <w:right w:val="single" w:sz="4" w:space="0" w:color="auto"/>
            </w:tcBorders>
            <w:vAlign w:val="center"/>
          </w:tcPr>
          <w:p w14:paraId="7D15F1BF"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46F32D14" w14:textId="77777777" w:rsidTr="00E420C4">
        <w:trPr>
          <w:trHeight w:val="260"/>
          <w:jc w:val="center"/>
        </w:trPr>
        <w:tc>
          <w:tcPr>
            <w:tcW w:w="2368" w:type="dxa"/>
            <w:vMerge/>
            <w:tcBorders>
              <w:left w:val="single" w:sz="4" w:space="0" w:color="auto"/>
              <w:right w:val="single" w:sz="4" w:space="0" w:color="auto"/>
            </w:tcBorders>
            <w:vAlign w:val="center"/>
          </w:tcPr>
          <w:p w14:paraId="4B99715B"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589E82DA"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0EDA62"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right w:val="single" w:sz="4" w:space="0" w:color="auto"/>
            </w:tcBorders>
            <w:vAlign w:val="center"/>
          </w:tcPr>
          <w:p w14:paraId="58DCBEBC" w14:textId="77777777" w:rsidR="00A55DB7" w:rsidRPr="00040AA9" w:rsidRDefault="00A55DB7" w:rsidP="00040AA9">
            <w:pPr>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278E2A09"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13EF58CA" w14:textId="77777777" w:rsidR="00A55DB7" w:rsidRPr="00040AA9" w:rsidRDefault="00A55DB7" w:rsidP="00040AA9">
            <w:pPr>
              <w:widowControl w:val="0"/>
              <w:suppressAutoHyphens/>
              <w:jc w:val="center"/>
              <w:rPr>
                <w:rFonts w:ascii="Arial" w:hAnsi="Arial" w:cs="Arial"/>
                <w:sz w:val="20"/>
                <w:szCs w:val="20"/>
              </w:rPr>
            </w:pPr>
          </w:p>
        </w:tc>
        <w:tc>
          <w:tcPr>
            <w:tcW w:w="1203" w:type="dxa"/>
            <w:gridSpan w:val="2"/>
            <w:vMerge/>
            <w:tcBorders>
              <w:left w:val="single" w:sz="4" w:space="0" w:color="auto"/>
              <w:right w:val="single" w:sz="4" w:space="0" w:color="auto"/>
            </w:tcBorders>
            <w:vAlign w:val="center"/>
          </w:tcPr>
          <w:p w14:paraId="602DF5BA" w14:textId="77777777" w:rsidR="00A55DB7" w:rsidRPr="00040AA9" w:rsidRDefault="00A55DB7"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vAlign w:val="center"/>
          </w:tcPr>
          <w:p w14:paraId="5E38D130" w14:textId="77777777" w:rsidR="00A55DB7" w:rsidRPr="00040AA9" w:rsidRDefault="00A55DB7" w:rsidP="00040AA9">
            <w:pPr>
              <w:widowControl w:val="0"/>
              <w:suppressAutoHyphens/>
              <w:rPr>
                <w:rFonts w:ascii="Arial" w:hAnsi="Arial" w:cs="Arial"/>
                <w:sz w:val="20"/>
                <w:szCs w:val="20"/>
                <w:lang w:val="en-CA"/>
              </w:rPr>
            </w:pPr>
          </w:p>
        </w:tc>
      </w:tr>
      <w:tr w:rsidR="00A55DB7" w:rsidRPr="00CF5903" w14:paraId="75DEEB8F" w14:textId="77777777" w:rsidTr="00E420C4">
        <w:trPr>
          <w:trHeight w:val="260"/>
          <w:jc w:val="center"/>
        </w:trPr>
        <w:tc>
          <w:tcPr>
            <w:tcW w:w="2368" w:type="dxa"/>
            <w:vMerge/>
            <w:tcBorders>
              <w:left w:val="single" w:sz="4" w:space="0" w:color="auto"/>
              <w:bottom w:val="single" w:sz="4" w:space="0" w:color="auto"/>
              <w:right w:val="single" w:sz="4" w:space="0" w:color="auto"/>
            </w:tcBorders>
            <w:vAlign w:val="center"/>
          </w:tcPr>
          <w:p w14:paraId="7A15254A" w14:textId="77777777" w:rsidR="00A55DB7" w:rsidRPr="00040AA9" w:rsidRDefault="00A55DB7" w:rsidP="00040AA9">
            <w:pPr>
              <w:widowControl w:val="0"/>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18447D99" w14:textId="77777777" w:rsidR="00A55DB7" w:rsidRPr="00040AA9" w:rsidRDefault="00A55DB7" w:rsidP="00040AA9">
            <w:pPr>
              <w:widowControl w:val="0"/>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9317D9" w14:textId="77777777" w:rsidR="00A55DB7" w:rsidRPr="00040AA9" w:rsidRDefault="00A55DB7" w:rsidP="00040AA9">
            <w:pPr>
              <w:widowControl w:val="0"/>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24069B54" w14:textId="77777777" w:rsidR="00A55DB7" w:rsidRPr="00040AA9" w:rsidRDefault="00A55DB7" w:rsidP="00040AA9">
            <w:pPr>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2C81A189" w14:textId="77777777"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041ECB35" w14:textId="7F9F9449" w:rsidR="00A55DB7" w:rsidRPr="00040AA9" w:rsidRDefault="00A55DB7" w:rsidP="00040AA9">
            <w:pPr>
              <w:widowControl w:val="0"/>
              <w:suppressAutoHyphens/>
              <w:jc w:val="center"/>
              <w:rPr>
                <w:rFonts w:ascii="Arial" w:hAnsi="Arial" w:cs="Arial"/>
                <w:sz w:val="20"/>
                <w:szCs w:val="20"/>
              </w:rPr>
            </w:pPr>
            <w:r w:rsidRPr="00040AA9">
              <w:rPr>
                <w:rFonts w:ascii="Arial" w:hAnsi="Arial" w:cs="Arial"/>
                <w:sz w:val="20"/>
                <w:szCs w:val="20"/>
              </w:rPr>
              <w:t>Data not available</w:t>
            </w:r>
          </w:p>
        </w:tc>
        <w:tc>
          <w:tcPr>
            <w:tcW w:w="1203" w:type="dxa"/>
            <w:gridSpan w:val="2"/>
            <w:vMerge/>
            <w:tcBorders>
              <w:left w:val="single" w:sz="4" w:space="0" w:color="auto"/>
              <w:bottom w:val="single" w:sz="4" w:space="0" w:color="auto"/>
              <w:right w:val="single" w:sz="4" w:space="0" w:color="auto"/>
            </w:tcBorders>
            <w:vAlign w:val="center"/>
          </w:tcPr>
          <w:p w14:paraId="2C6659D7" w14:textId="77777777" w:rsidR="00A55DB7" w:rsidRPr="00040AA9" w:rsidRDefault="00A55DB7" w:rsidP="00040AA9">
            <w:pPr>
              <w:widowControl w:val="0"/>
              <w:suppressAutoHyphens/>
              <w:rPr>
                <w:rFonts w:ascii="Arial" w:hAnsi="Arial" w:cs="Arial"/>
                <w:sz w:val="20"/>
                <w:szCs w:val="20"/>
                <w:highlight w:val="yellow"/>
              </w:rPr>
            </w:pPr>
          </w:p>
        </w:tc>
        <w:tc>
          <w:tcPr>
            <w:tcW w:w="5374" w:type="dxa"/>
            <w:tcBorders>
              <w:top w:val="single" w:sz="4" w:space="0" w:color="auto"/>
              <w:left w:val="single" w:sz="4" w:space="0" w:color="auto"/>
              <w:bottom w:val="single" w:sz="4" w:space="0" w:color="auto"/>
              <w:right w:val="single" w:sz="4" w:space="0" w:color="auto"/>
            </w:tcBorders>
            <w:vAlign w:val="center"/>
          </w:tcPr>
          <w:p w14:paraId="6D915FAD" w14:textId="52748379" w:rsidR="00A55DB7" w:rsidRPr="00040AA9" w:rsidRDefault="00A55DB7" w:rsidP="00040AA9">
            <w:pPr>
              <w:widowControl w:val="0"/>
              <w:suppressAutoHyphens/>
              <w:rPr>
                <w:rFonts w:ascii="Arial" w:hAnsi="Arial" w:cs="Arial"/>
                <w:sz w:val="20"/>
                <w:szCs w:val="20"/>
                <w:highlight w:val="yellow"/>
                <w:lang w:val="en-CA"/>
              </w:rPr>
            </w:pPr>
            <w:proofErr w:type="spellStart"/>
            <w:r w:rsidRPr="00040AA9">
              <w:rPr>
                <w:rFonts w:ascii="Arial" w:hAnsi="Arial" w:cs="Arial"/>
                <w:sz w:val="20"/>
                <w:szCs w:val="20"/>
                <w:lang w:val="en-CA"/>
              </w:rPr>
              <w:t>MoF&amp;PS</w:t>
            </w:r>
            <w:proofErr w:type="spellEnd"/>
            <w:r w:rsidRPr="00040AA9">
              <w:rPr>
                <w:rFonts w:ascii="Arial" w:hAnsi="Arial" w:cs="Arial"/>
                <w:sz w:val="20"/>
                <w:szCs w:val="20"/>
                <w:lang w:val="en-CA"/>
              </w:rPr>
              <w:t xml:space="preserve"> does not collect comprehensive data on timeliness of reporting by Non-Self Financing PBs.</w:t>
            </w:r>
          </w:p>
        </w:tc>
      </w:tr>
      <w:tr w:rsidR="00A55DB7" w:rsidRPr="00CF5903" w14:paraId="01E43B16" w14:textId="77777777" w:rsidTr="00040AA9">
        <w:trPr>
          <w:trHeight w:val="30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FCA9C" w14:textId="426E3AF9" w:rsidR="00A55DB7" w:rsidRPr="00040AA9" w:rsidRDefault="00A55DB7" w:rsidP="00040AA9">
            <w:pPr>
              <w:keepNext/>
              <w:keepLines/>
              <w:widowControl w:val="0"/>
              <w:suppressAutoHyphens/>
              <w:rPr>
                <w:rFonts w:ascii="Arial" w:hAnsi="Arial" w:cs="Arial"/>
                <w:sz w:val="20"/>
                <w:szCs w:val="20"/>
                <w:lang w:val="en-CA"/>
              </w:rPr>
            </w:pPr>
            <w:r w:rsidRPr="00040AA9">
              <w:rPr>
                <w:rFonts w:ascii="Arial" w:hAnsi="Arial" w:cs="Arial"/>
                <w:b/>
                <w:sz w:val="20"/>
                <w:szCs w:val="20"/>
                <w:lang w:val="en-CA"/>
              </w:rPr>
              <w:t xml:space="preserve">Outcome </w:t>
            </w:r>
            <w:r w:rsidRPr="00040AA9">
              <w:rPr>
                <w:rFonts w:ascii="Arial" w:hAnsi="Arial" w:cs="Arial"/>
                <w:b/>
                <w:sz w:val="20"/>
                <w:szCs w:val="20"/>
              </w:rPr>
              <w:t xml:space="preserve">(Result) </w:t>
            </w:r>
            <w:r w:rsidR="00A854F2" w:rsidRPr="00040AA9">
              <w:rPr>
                <w:rFonts w:ascii="Arial" w:hAnsi="Arial" w:cs="Arial"/>
                <w:b/>
                <w:sz w:val="20"/>
                <w:szCs w:val="20"/>
                <w:lang w:val="en-CA"/>
              </w:rPr>
              <w:t>III.</w:t>
            </w:r>
            <w:r w:rsidRPr="00040AA9">
              <w:rPr>
                <w:rFonts w:ascii="Arial" w:hAnsi="Arial" w:cs="Arial"/>
                <w:b/>
                <w:sz w:val="20"/>
                <w:szCs w:val="20"/>
                <w:lang w:val="en-CA"/>
              </w:rPr>
              <w:t xml:space="preserve">14 (PBs – part b) </w:t>
            </w:r>
            <w:r w:rsidRPr="00040AA9">
              <w:rPr>
                <w:rFonts w:ascii="Arial" w:hAnsi="Arial" w:cs="Arial"/>
                <w:b/>
                <w:sz w:val="20"/>
                <w:szCs w:val="20"/>
              </w:rPr>
              <w:t>Increase the % of Self-financing PBs with financial statements presented on time</w:t>
            </w:r>
          </w:p>
        </w:tc>
      </w:tr>
      <w:tr w:rsidR="00A55DB7" w:rsidRPr="00CF5903" w14:paraId="33CA62F0" w14:textId="77777777" w:rsidTr="00E420C4">
        <w:trPr>
          <w:trHeight w:val="215"/>
          <w:jc w:val="center"/>
        </w:trPr>
        <w:tc>
          <w:tcPr>
            <w:tcW w:w="2368" w:type="dxa"/>
            <w:vMerge w:val="restart"/>
            <w:tcBorders>
              <w:left w:val="single" w:sz="4" w:space="0" w:color="auto"/>
              <w:right w:val="single" w:sz="4" w:space="0" w:color="auto"/>
            </w:tcBorders>
            <w:vAlign w:val="center"/>
          </w:tcPr>
          <w:p w14:paraId="2BBB785C" w14:textId="2FDCB551" w:rsidR="00A55DB7" w:rsidRPr="00E420C4" w:rsidRDefault="00A55DB7" w:rsidP="00040AA9">
            <w:pPr>
              <w:keepNext/>
              <w:keepLines/>
              <w:widowControl w:val="0"/>
              <w:suppressAutoHyphens/>
              <w:rPr>
                <w:rFonts w:ascii="Arial" w:hAnsi="Arial" w:cs="Arial"/>
                <w:sz w:val="20"/>
                <w:szCs w:val="20"/>
              </w:rPr>
            </w:pPr>
            <w:r w:rsidRPr="00E420C4">
              <w:rPr>
                <w:rFonts w:ascii="Arial" w:hAnsi="Arial" w:cs="Arial"/>
                <w:sz w:val="20"/>
                <w:szCs w:val="20"/>
              </w:rPr>
              <w:t xml:space="preserve">Indicator </w:t>
            </w:r>
            <w:r w:rsidR="00754E18" w:rsidRPr="00E420C4">
              <w:rPr>
                <w:rFonts w:ascii="Arial" w:hAnsi="Arial" w:cs="Arial"/>
                <w:sz w:val="20"/>
                <w:szCs w:val="20"/>
              </w:rPr>
              <w:t>III.</w:t>
            </w:r>
            <w:r w:rsidRPr="00E420C4">
              <w:rPr>
                <w:rFonts w:ascii="Arial" w:hAnsi="Arial" w:cs="Arial"/>
                <w:sz w:val="20"/>
                <w:szCs w:val="20"/>
              </w:rPr>
              <w:t>14.1</w:t>
            </w:r>
          </w:p>
          <w:p w14:paraId="631697ED" w14:textId="2E5E014F" w:rsidR="000C6D07" w:rsidRPr="00E420C4" w:rsidRDefault="000C6D07" w:rsidP="00040AA9">
            <w:pPr>
              <w:keepNext/>
              <w:keepLines/>
              <w:widowControl w:val="0"/>
              <w:suppressAutoHyphens/>
              <w:rPr>
                <w:rFonts w:ascii="Arial" w:hAnsi="Arial" w:cs="Arial"/>
                <w:sz w:val="20"/>
                <w:szCs w:val="20"/>
              </w:rPr>
            </w:pPr>
            <w:r w:rsidRPr="00E420C4">
              <w:rPr>
                <w:rFonts w:ascii="Arial" w:hAnsi="Arial" w:cs="Arial"/>
                <w:sz w:val="20"/>
                <w:szCs w:val="20"/>
              </w:rPr>
              <w:t>(Revised EOP target year)</w:t>
            </w:r>
          </w:p>
          <w:p w14:paraId="52053232" w14:textId="77777777" w:rsidR="00A55DB7" w:rsidRPr="00E420C4" w:rsidRDefault="00A55DB7" w:rsidP="00040AA9">
            <w:pPr>
              <w:keepNext/>
              <w:keepLines/>
              <w:widowControl w:val="0"/>
              <w:suppressAutoHyphens/>
              <w:rPr>
                <w:rFonts w:ascii="Arial" w:hAnsi="Arial" w:cs="Arial"/>
                <w:sz w:val="20"/>
                <w:szCs w:val="20"/>
              </w:rPr>
            </w:pPr>
            <w:r w:rsidRPr="00E420C4">
              <w:rPr>
                <w:rFonts w:ascii="Arial" w:hAnsi="Arial" w:cs="Arial"/>
                <w:sz w:val="20"/>
                <w:szCs w:val="20"/>
              </w:rPr>
              <w:t>Self-financing PBs with statement on time / Total Self-financing PBs</w:t>
            </w:r>
          </w:p>
          <w:p w14:paraId="2C6391AA" w14:textId="77777777" w:rsidR="00A55DB7" w:rsidRPr="00E420C4" w:rsidRDefault="00A55DB7" w:rsidP="00040AA9">
            <w:pPr>
              <w:keepNext/>
              <w:keepLines/>
              <w:widowControl w:val="0"/>
              <w:suppressAutoHyphens/>
              <w:rPr>
                <w:rFonts w:ascii="Arial" w:hAnsi="Arial" w:cs="Arial"/>
                <w:sz w:val="20"/>
                <w:szCs w:val="20"/>
              </w:rPr>
            </w:pPr>
            <w:r w:rsidRPr="00E420C4">
              <w:rPr>
                <w:rFonts w:ascii="Arial" w:hAnsi="Arial" w:cs="Arial"/>
                <w:sz w:val="20"/>
                <w:szCs w:val="20"/>
              </w:rPr>
              <w:t>(FSPG II, result 5 and</w:t>
            </w:r>
          </w:p>
          <w:p w14:paraId="02D7F703" w14:textId="77777777" w:rsidR="00A55DB7" w:rsidRPr="00E420C4" w:rsidRDefault="00A55DB7" w:rsidP="00040AA9">
            <w:pPr>
              <w:keepNext/>
              <w:keepLines/>
              <w:widowControl w:val="0"/>
              <w:suppressAutoHyphens/>
              <w:rPr>
                <w:rFonts w:ascii="Arial" w:hAnsi="Arial" w:cs="Arial"/>
                <w:sz w:val="20"/>
                <w:szCs w:val="20"/>
              </w:rPr>
            </w:pPr>
            <w:r w:rsidRPr="00E420C4">
              <w:rPr>
                <w:rFonts w:ascii="Arial" w:hAnsi="Arial" w:cs="Arial"/>
                <w:sz w:val="20"/>
                <w:szCs w:val="20"/>
              </w:rPr>
              <w:t>FSPG III, result 6)</w:t>
            </w:r>
          </w:p>
        </w:tc>
        <w:tc>
          <w:tcPr>
            <w:tcW w:w="810" w:type="dxa"/>
            <w:vMerge w:val="restart"/>
            <w:tcBorders>
              <w:left w:val="single" w:sz="4" w:space="0" w:color="auto"/>
              <w:bottom w:val="single" w:sz="4" w:space="0" w:color="auto"/>
              <w:right w:val="single" w:sz="4" w:space="0" w:color="auto"/>
            </w:tcBorders>
            <w:vAlign w:val="center"/>
          </w:tcPr>
          <w:p w14:paraId="322BCFCF"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D00800"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44%</w:t>
            </w:r>
          </w:p>
        </w:tc>
        <w:tc>
          <w:tcPr>
            <w:tcW w:w="720" w:type="dxa"/>
            <w:vMerge w:val="restart"/>
            <w:tcBorders>
              <w:left w:val="single" w:sz="4" w:space="0" w:color="auto"/>
              <w:bottom w:val="single" w:sz="4" w:space="0" w:color="auto"/>
              <w:right w:val="single" w:sz="4" w:space="0" w:color="auto"/>
            </w:tcBorders>
            <w:vAlign w:val="center"/>
          </w:tcPr>
          <w:p w14:paraId="28CFC3A4"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2012/13</w:t>
            </w:r>
          </w:p>
        </w:tc>
        <w:tc>
          <w:tcPr>
            <w:tcW w:w="597" w:type="dxa"/>
            <w:tcBorders>
              <w:left w:val="single" w:sz="4" w:space="0" w:color="auto"/>
              <w:bottom w:val="single" w:sz="4" w:space="0" w:color="auto"/>
              <w:right w:val="single" w:sz="4" w:space="0" w:color="auto"/>
            </w:tcBorders>
            <w:vAlign w:val="center"/>
          </w:tcPr>
          <w:p w14:paraId="459123AC"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30ACB82A" w14:textId="2AA79F0A" w:rsidR="00355DBC" w:rsidRPr="00040AA9" w:rsidRDefault="002439D5" w:rsidP="00040AA9">
            <w:pPr>
              <w:keepNext/>
              <w:keepLines/>
              <w:widowControl w:val="0"/>
              <w:suppressAutoHyphens/>
              <w:jc w:val="center"/>
              <w:rPr>
                <w:rFonts w:ascii="Arial" w:hAnsi="Arial" w:cs="Arial"/>
                <w:sz w:val="20"/>
                <w:szCs w:val="20"/>
              </w:rPr>
            </w:pPr>
            <w:r w:rsidRPr="00040AA9">
              <w:rPr>
                <w:rFonts w:ascii="Arial" w:hAnsi="Arial" w:cs="Arial"/>
                <w:sz w:val="20"/>
                <w:szCs w:val="20"/>
              </w:rPr>
              <w:t>65%</w:t>
            </w:r>
            <w:r w:rsidR="007A1766" w:rsidRPr="00040AA9">
              <w:rPr>
                <w:rStyle w:val="FootnoteReference"/>
                <w:rFonts w:ascii="Arial" w:hAnsi="Arial" w:cs="Arial"/>
                <w:sz w:val="20"/>
                <w:szCs w:val="20"/>
              </w:rPr>
              <w:footnoteReference w:id="74"/>
            </w:r>
          </w:p>
          <w:p w14:paraId="190881AB" w14:textId="082148B4" w:rsidR="00A55DB7" w:rsidRPr="00040AA9" w:rsidRDefault="002439D5" w:rsidP="00040AA9">
            <w:pPr>
              <w:keepNext/>
              <w:keepLines/>
              <w:widowControl w:val="0"/>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365CDA4" w14:textId="77777777" w:rsidR="00351B1B" w:rsidRPr="00040AA9" w:rsidRDefault="00351B1B" w:rsidP="00040AA9">
            <w:pPr>
              <w:keepNext/>
              <w:keepLines/>
              <w:widowControl w:val="0"/>
              <w:suppressAutoHyphens/>
              <w:rPr>
                <w:rFonts w:ascii="Arial" w:hAnsi="Arial" w:cs="Arial"/>
                <w:sz w:val="20"/>
                <w:szCs w:val="20"/>
              </w:rPr>
            </w:pPr>
          </w:p>
          <w:p w14:paraId="76634114" w14:textId="08D93548" w:rsidR="00A55DB7" w:rsidRPr="00040AA9" w:rsidRDefault="00351B1B" w:rsidP="00040AA9">
            <w:pPr>
              <w:keepNext/>
              <w:keepLines/>
              <w:widowControl w:val="0"/>
              <w:suppressAutoHyphens/>
              <w:rPr>
                <w:rFonts w:ascii="Arial" w:hAnsi="Arial" w:cs="Arial"/>
                <w:strike/>
                <w:sz w:val="20"/>
                <w:szCs w:val="20"/>
              </w:rPr>
            </w:pPr>
            <w:r w:rsidRPr="00040AA9">
              <w:rPr>
                <w:rFonts w:ascii="Arial" w:hAnsi="Arial" w:cs="Arial"/>
                <w:sz w:val="20"/>
                <w:szCs w:val="20"/>
              </w:rPr>
              <w:t>EI:21pp</w:t>
            </w:r>
          </w:p>
        </w:tc>
        <w:tc>
          <w:tcPr>
            <w:tcW w:w="5374" w:type="dxa"/>
            <w:tcBorders>
              <w:top w:val="single" w:sz="4" w:space="0" w:color="auto"/>
              <w:left w:val="single" w:sz="4" w:space="0" w:color="auto"/>
              <w:bottom w:val="single" w:sz="4" w:space="0" w:color="auto"/>
              <w:right w:val="single" w:sz="4" w:space="0" w:color="auto"/>
            </w:tcBorders>
          </w:tcPr>
          <w:p w14:paraId="58C492CD" w14:textId="77777777" w:rsidR="00A55DB7" w:rsidRPr="00040AA9" w:rsidRDefault="00A55DB7" w:rsidP="00040AA9">
            <w:pPr>
              <w:keepNext/>
              <w:keepLines/>
              <w:widowControl w:val="0"/>
              <w:suppressAutoHyphens/>
              <w:rPr>
                <w:rFonts w:ascii="Arial" w:hAnsi="Arial" w:cs="Arial"/>
                <w:sz w:val="20"/>
                <w:szCs w:val="20"/>
                <w:lang w:val="en-CA"/>
              </w:rPr>
            </w:pPr>
            <w:r w:rsidRPr="00040AA9">
              <w:rPr>
                <w:rFonts w:ascii="Arial" w:hAnsi="Arial" w:cs="Arial"/>
                <w:sz w:val="20"/>
                <w:szCs w:val="20"/>
              </w:rPr>
              <w:t>Public Entities (</w:t>
            </w:r>
            <w:r w:rsidRPr="00472226">
              <w:rPr>
                <w:rFonts w:ascii="Arial" w:hAnsi="Arial" w:cs="Arial"/>
                <w:i/>
                <w:sz w:val="20"/>
                <w:szCs w:val="20"/>
              </w:rPr>
              <w:t>sic</w:t>
            </w:r>
            <w:r w:rsidRPr="00040AA9">
              <w:rPr>
                <w:rFonts w:ascii="Arial" w:hAnsi="Arial" w:cs="Arial"/>
                <w:sz w:val="20"/>
                <w:szCs w:val="20"/>
              </w:rPr>
              <w:t>) Division (PED) annual performance report</w:t>
            </w:r>
          </w:p>
        </w:tc>
      </w:tr>
      <w:tr w:rsidR="00A55DB7" w:rsidRPr="00CF5903" w14:paraId="3C9B8D72" w14:textId="77777777" w:rsidTr="00E420C4">
        <w:trPr>
          <w:trHeight w:val="215"/>
          <w:jc w:val="center"/>
        </w:trPr>
        <w:tc>
          <w:tcPr>
            <w:tcW w:w="2368" w:type="dxa"/>
            <w:vMerge/>
            <w:tcBorders>
              <w:left w:val="single" w:sz="4" w:space="0" w:color="auto"/>
              <w:right w:val="single" w:sz="4" w:space="0" w:color="auto"/>
            </w:tcBorders>
            <w:vAlign w:val="center"/>
          </w:tcPr>
          <w:p w14:paraId="76427391" w14:textId="325C3FD4" w:rsidR="00A55DB7" w:rsidRPr="00040AA9" w:rsidRDefault="00A55DB7" w:rsidP="00040AA9">
            <w:pPr>
              <w:keepNext/>
              <w:keepLines/>
              <w:widowControl w:val="0"/>
              <w:suppressAutoHyphens/>
              <w:rPr>
                <w:rFonts w:ascii="Arial" w:hAnsi="Arial" w:cs="Arial"/>
                <w:sz w:val="20"/>
                <w:szCs w:val="20"/>
              </w:rPr>
            </w:pPr>
          </w:p>
        </w:tc>
        <w:tc>
          <w:tcPr>
            <w:tcW w:w="810" w:type="dxa"/>
            <w:vMerge/>
            <w:tcBorders>
              <w:top w:val="single" w:sz="4" w:space="0" w:color="auto"/>
              <w:left w:val="single" w:sz="4" w:space="0" w:color="auto"/>
              <w:right w:val="single" w:sz="4" w:space="0" w:color="auto"/>
            </w:tcBorders>
            <w:vAlign w:val="center"/>
          </w:tcPr>
          <w:p w14:paraId="6E586E78" w14:textId="77777777" w:rsidR="00A55DB7" w:rsidRPr="00040AA9" w:rsidRDefault="00A55DB7" w:rsidP="00040AA9">
            <w:pPr>
              <w:keepNext/>
              <w:keepLines/>
              <w:widowControl w:val="0"/>
              <w:suppressAutoHyphens/>
              <w:jc w:val="center"/>
              <w:rPr>
                <w:rFonts w:ascii="Arial" w:hAnsi="Arial" w:cs="Arial"/>
                <w:sz w:val="20"/>
                <w:szCs w:val="20"/>
              </w:rPr>
            </w:pPr>
          </w:p>
        </w:tc>
        <w:tc>
          <w:tcPr>
            <w:tcW w:w="900" w:type="dxa"/>
            <w:vMerge/>
            <w:tcBorders>
              <w:top w:val="single" w:sz="4" w:space="0" w:color="auto"/>
              <w:left w:val="single" w:sz="4" w:space="0" w:color="auto"/>
              <w:right w:val="single" w:sz="4" w:space="0" w:color="auto"/>
            </w:tcBorders>
            <w:shd w:val="clear" w:color="auto" w:fill="auto"/>
            <w:vAlign w:val="center"/>
          </w:tcPr>
          <w:p w14:paraId="5192E7E8" w14:textId="77777777" w:rsidR="00A55DB7" w:rsidRPr="00040AA9" w:rsidRDefault="00A55DB7" w:rsidP="00040AA9">
            <w:pPr>
              <w:keepNext/>
              <w:keepLines/>
              <w:widowControl w:val="0"/>
              <w:suppressAutoHyphens/>
              <w:jc w:val="center"/>
              <w:rPr>
                <w:rFonts w:ascii="Arial" w:hAnsi="Arial" w:cs="Arial"/>
                <w:sz w:val="20"/>
                <w:szCs w:val="20"/>
              </w:rPr>
            </w:pPr>
          </w:p>
        </w:tc>
        <w:tc>
          <w:tcPr>
            <w:tcW w:w="720" w:type="dxa"/>
            <w:vMerge/>
            <w:tcBorders>
              <w:top w:val="single" w:sz="4" w:space="0" w:color="auto"/>
              <w:left w:val="single" w:sz="4" w:space="0" w:color="auto"/>
              <w:right w:val="single" w:sz="4" w:space="0" w:color="auto"/>
            </w:tcBorders>
            <w:vAlign w:val="center"/>
          </w:tcPr>
          <w:p w14:paraId="0BD781EE" w14:textId="77777777" w:rsidR="00A55DB7" w:rsidRPr="00040AA9" w:rsidRDefault="00A55DB7" w:rsidP="00040AA9">
            <w:pPr>
              <w:keepNext/>
              <w:keepLines/>
              <w:widowControl w:val="0"/>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65A04859"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510463B6" w14:textId="77777777" w:rsidR="00A55DB7" w:rsidRPr="00040AA9" w:rsidRDefault="00A55DB7" w:rsidP="00040AA9">
            <w:pPr>
              <w:keepNext/>
              <w:keepLines/>
              <w:widowControl w:val="0"/>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0720DBE" w14:textId="77777777" w:rsidR="00A55DB7" w:rsidRPr="00040AA9" w:rsidRDefault="00A55DB7" w:rsidP="00040AA9">
            <w:pPr>
              <w:keepNext/>
              <w:keepLines/>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285F696" w14:textId="77777777" w:rsidR="00A55DB7" w:rsidRPr="00040AA9" w:rsidRDefault="00A55DB7" w:rsidP="00040AA9">
            <w:pPr>
              <w:keepNext/>
              <w:keepLines/>
              <w:widowControl w:val="0"/>
              <w:suppressAutoHyphens/>
              <w:rPr>
                <w:rFonts w:ascii="Arial" w:hAnsi="Arial" w:cs="Arial"/>
                <w:sz w:val="20"/>
                <w:szCs w:val="20"/>
                <w:lang w:val="en-CA"/>
              </w:rPr>
            </w:pPr>
          </w:p>
        </w:tc>
      </w:tr>
      <w:tr w:rsidR="00A55DB7" w:rsidRPr="00CF5903" w14:paraId="5A2EAF91" w14:textId="77777777" w:rsidTr="00E420C4">
        <w:trPr>
          <w:trHeight w:val="215"/>
          <w:jc w:val="center"/>
        </w:trPr>
        <w:tc>
          <w:tcPr>
            <w:tcW w:w="2368" w:type="dxa"/>
            <w:vMerge/>
            <w:tcBorders>
              <w:left w:val="single" w:sz="4" w:space="0" w:color="auto"/>
              <w:bottom w:val="single" w:sz="4" w:space="0" w:color="auto"/>
              <w:right w:val="single" w:sz="4" w:space="0" w:color="auto"/>
            </w:tcBorders>
            <w:vAlign w:val="center"/>
          </w:tcPr>
          <w:p w14:paraId="368E2555" w14:textId="77777777" w:rsidR="00A55DB7" w:rsidRPr="00040AA9" w:rsidRDefault="00A55DB7" w:rsidP="00040AA9">
            <w:pPr>
              <w:keepNext/>
              <w:keepLines/>
              <w:widowControl w:val="0"/>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063AFC55" w14:textId="77777777" w:rsidR="00A55DB7" w:rsidRPr="00040AA9" w:rsidRDefault="00A55DB7" w:rsidP="00040AA9">
            <w:pPr>
              <w:keepNext/>
              <w:keepLines/>
              <w:widowControl w:val="0"/>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shd w:val="clear" w:color="auto" w:fill="auto"/>
            <w:vAlign w:val="center"/>
          </w:tcPr>
          <w:p w14:paraId="1FEF032D" w14:textId="77777777" w:rsidR="00A55DB7" w:rsidRPr="00040AA9" w:rsidRDefault="00A55DB7" w:rsidP="00040AA9">
            <w:pPr>
              <w:keepNext/>
              <w:keepLines/>
              <w:widowControl w:val="0"/>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2F5994F7" w14:textId="77777777" w:rsidR="00A55DB7" w:rsidRPr="00040AA9" w:rsidRDefault="00A55DB7" w:rsidP="00040AA9">
            <w:pPr>
              <w:keepNext/>
              <w:keepLines/>
              <w:widowControl w:val="0"/>
              <w:suppressAutoHyphens/>
              <w:jc w:val="center"/>
              <w:rPr>
                <w:rFonts w:ascii="Arial" w:hAnsi="Arial" w:cs="Arial"/>
                <w:sz w:val="20"/>
                <w:szCs w:val="20"/>
              </w:rPr>
            </w:pPr>
          </w:p>
        </w:tc>
        <w:tc>
          <w:tcPr>
            <w:tcW w:w="597" w:type="dxa"/>
            <w:tcBorders>
              <w:left w:val="single" w:sz="4" w:space="0" w:color="auto"/>
              <w:bottom w:val="single" w:sz="4" w:space="0" w:color="auto"/>
              <w:right w:val="single" w:sz="4" w:space="0" w:color="auto"/>
            </w:tcBorders>
            <w:vAlign w:val="center"/>
          </w:tcPr>
          <w:p w14:paraId="1AB48360"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1A20C3D5"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66%</w:t>
            </w:r>
          </w:p>
          <w:p w14:paraId="76058091" w14:textId="77777777" w:rsidR="00A55DB7" w:rsidRPr="00040AA9" w:rsidRDefault="00A55DB7" w:rsidP="00040AA9">
            <w:pPr>
              <w:keepNext/>
              <w:keepLines/>
              <w:widowControl w:val="0"/>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4C2231BD" w14:textId="77777777" w:rsidR="00A55DB7" w:rsidRPr="00040AA9" w:rsidRDefault="00A55DB7" w:rsidP="00040AA9">
            <w:pPr>
              <w:keepNext/>
              <w:keepLines/>
              <w:widowControl w:val="0"/>
              <w:suppressAutoHyphens/>
              <w:rPr>
                <w:rFonts w:ascii="Arial" w:hAnsi="Arial" w:cs="Arial"/>
                <w:sz w:val="20"/>
                <w:szCs w:val="20"/>
              </w:rPr>
            </w:pPr>
            <w:r w:rsidRPr="00040AA9">
              <w:rPr>
                <w:rFonts w:ascii="Arial" w:hAnsi="Arial" w:cs="Arial"/>
                <w:sz w:val="20"/>
                <w:szCs w:val="20"/>
              </w:rPr>
              <w:t>AI:22pp</w:t>
            </w:r>
          </w:p>
          <w:p w14:paraId="56DAEB43" w14:textId="77777777" w:rsidR="00A55DB7" w:rsidRPr="00040AA9" w:rsidRDefault="00A55DB7" w:rsidP="00040AA9">
            <w:pPr>
              <w:keepNext/>
              <w:keepLines/>
              <w:widowControl w:val="0"/>
              <w:suppressAutoHyphens/>
              <w:rPr>
                <w:rFonts w:ascii="Arial" w:hAnsi="Arial" w:cs="Arial"/>
                <w:sz w:val="20"/>
                <w:szCs w:val="20"/>
              </w:rPr>
            </w:pPr>
          </w:p>
          <w:p w14:paraId="27804DBF" w14:textId="393DD2CC" w:rsidR="00A55DB7" w:rsidRPr="00040AA9" w:rsidRDefault="00A55DB7" w:rsidP="00040AA9">
            <w:pPr>
              <w:keepNext/>
              <w:keepLines/>
              <w:widowControl w:val="0"/>
              <w:suppressAutoHyphens/>
              <w:rPr>
                <w:rFonts w:ascii="Arial" w:hAnsi="Arial" w:cs="Arial"/>
                <w:i/>
                <w:sz w:val="20"/>
                <w:szCs w:val="20"/>
              </w:rPr>
            </w:pPr>
            <w:r w:rsidRPr="00040AA9">
              <w:rPr>
                <w:rFonts w:ascii="Arial" w:hAnsi="Arial" w:cs="Arial"/>
                <w:i/>
                <w:sz w:val="20"/>
                <w:szCs w:val="20"/>
              </w:rPr>
              <w:t>=&gt;</w:t>
            </w:r>
            <w:r w:rsidR="00BA7408" w:rsidRPr="00040AA9">
              <w:rPr>
                <w:rFonts w:ascii="Arial" w:hAnsi="Arial" w:cs="Arial"/>
                <w:i/>
                <w:sz w:val="20"/>
                <w:szCs w:val="20"/>
              </w:rPr>
              <w:t>105</w:t>
            </w:r>
            <w:r w:rsidRPr="00040AA9">
              <w:rPr>
                <w:rFonts w:ascii="Arial" w:hAnsi="Arial" w:cs="Arial"/>
                <w:i/>
                <w:sz w:val="20"/>
                <w:szCs w:val="20"/>
              </w:rPr>
              <w:t>%</w:t>
            </w:r>
          </w:p>
          <w:p w14:paraId="00335B27" w14:textId="435AA823" w:rsidR="00A55DB7" w:rsidRPr="00040AA9" w:rsidRDefault="00A55DB7" w:rsidP="00040AA9">
            <w:pPr>
              <w:keepNext/>
              <w:keepLines/>
              <w:widowControl w:val="0"/>
              <w:suppressAutoHyphens/>
              <w:rPr>
                <w:rFonts w:ascii="Arial" w:hAnsi="Arial" w:cs="Arial"/>
                <w:sz w:val="20"/>
                <w:szCs w:val="20"/>
              </w:rPr>
            </w:pPr>
            <w:r w:rsidRPr="00040AA9">
              <w:rPr>
                <w:rFonts w:ascii="Arial" w:hAnsi="Arial" w:cs="Arial"/>
                <w:i/>
                <w:sz w:val="20"/>
                <w:szCs w:val="20"/>
              </w:rPr>
              <w:t>achieved</w:t>
            </w:r>
            <w:r w:rsidR="00BA7408" w:rsidRPr="00040AA9">
              <w:rPr>
                <w:rStyle w:val="FootnoteReference"/>
                <w:rFonts w:ascii="Arial" w:hAnsi="Arial" w:cs="Arial"/>
                <w:i/>
                <w:sz w:val="20"/>
                <w:szCs w:val="20"/>
              </w:rPr>
              <w:footnoteReference w:id="75"/>
            </w:r>
          </w:p>
        </w:tc>
        <w:tc>
          <w:tcPr>
            <w:tcW w:w="5374" w:type="dxa"/>
            <w:tcBorders>
              <w:top w:val="single" w:sz="4" w:space="0" w:color="auto"/>
              <w:left w:val="single" w:sz="4" w:space="0" w:color="auto"/>
              <w:bottom w:val="single" w:sz="4" w:space="0" w:color="auto"/>
              <w:right w:val="single" w:sz="4" w:space="0" w:color="auto"/>
            </w:tcBorders>
          </w:tcPr>
          <w:p w14:paraId="4D3C9493" w14:textId="77777777" w:rsidR="00A55DB7" w:rsidRPr="00040AA9" w:rsidRDefault="00A55DB7" w:rsidP="00040AA9">
            <w:pPr>
              <w:keepNext/>
              <w:keepLines/>
              <w:widowControl w:val="0"/>
              <w:suppressAutoHyphens/>
              <w:rPr>
                <w:rFonts w:ascii="Arial" w:hAnsi="Arial" w:cs="Arial"/>
                <w:sz w:val="20"/>
                <w:szCs w:val="20"/>
                <w:lang w:val="en-CA"/>
              </w:rPr>
            </w:pPr>
            <w:proofErr w:type="spellStart"/>
            <w:r w:rsidRPr="00040AA9">
              <w:rPr>
                <w:rFonts w:ascii="Arial" w:hAnsi="Arial" w:cs="Arial"/>
                <w:sz w:val="20"/>
                <w:szCs w:val="20"/>
                <w:lang w:val="en-CA"/>
              </w:rPr>
              <w:t>MoF&amp;PS</w:t>
            </w:r>
            <w:proofErr w:type="spellEnd"/>
            <w:r w:rsidRPr="00040AA9">
              <w:rPr>
                <w:rFonts w:ascii="Arial" w:hAnsi="Arial" w:cs="Arial"/>
                <w:sz w:val="20"/>
                <w:szCs w:val="20"/>
                <w:lang w:val="en-CA"/>
              </w:rPr>
              <w:t xml:space="preserve"> / PED “Submission of Annual Reports to Parent Ministries FY2015/16”</w:t>
            </w:r>
            <w:r w:rsidRPr="00040AA9">
              <w:rPr>
                <w:rStyle w:val="FootnoteReference"/>
                <w:rFonts w:ascii="Arial" w:hAnsi="Arial" w:cs="Arial"/>
                <w:sz w:val="20"/>
                <w:szCs w:val="20"/>
                <w:lang w:val="en-CA"/>
              </w:rPr>
              <w:footnoteReference w:id="76"/>
            </w:r>
          </w:p>
        </w:tc>
      </w:tr>
      <w:tr w:rsidR="00A55DB7" w:rsidRPr="00CF5903" w14:paraId="3D745696" w14:textId="77777777" w:rsidTr="00040AA9">
        <w:trPr>
          <w:trHeight w:val="21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123899" w14:textId="0FDDB6FE" w:rsidR="00A55DB7" w:rsidRPr="00040AA9" w:rsidRDefault="00A55DB7" w:rsidP="00040AA9">
            <w:pPr>
              <w:keepNext/>
              <w:keepLines/>
              <w:suppressAutoHyphens/>
              <w:rPr>
                <w:rFonts w:ascii="Arial" w:hAnsi="Arial" w:cs="Arial"/>
                <w:sz w:val="20"/>
                <w:szCs w:val="20"/>
                <w:lang w:val="en-CA"/>
              </w:rPr>
            </w:pPr>
            <w:r w:rsidRPr="00040AA9">
              <w:rPr>
                <w:rFonts w:ascii="Arial" w:hAnsi="Arial" w:cs="Arial"/>
                <w:b/>
                <w:sz w:val="20"/>
                <w:szCs w:val="20"/>
                <w:lang w:val="en-CA"/>
              </w:rPr>
              <w:t xml:space="preserve">Outcome </w:t>
            </w:r>
            <w:r w:rsidRPr="00040AA9">
              <w:rPr>
                <w:rFonts w:ascii="Arial" w:hAnsi="Arial" w:cs="Arial"/>
                <w:b/>
                <w:sz w:val="20"/>
                <w:szCs w:val="20"/>
              </w:rPr>
              <w:t xml:space="preserve">(Result) </w:t>
            </w:r>
            <w:r w:rsidR="00A854F2" w:rsidRPr="00040AA9">
              <w:rPr>
                <w:rFonts w:ascii="Arial" w:hAnsi="Arial" w:cs="Arial"/>
                <w:b/>
                <w:sz w:val="20"/>
                <w:szCs w:val="20"/>
                <w:lang w:val="en-CA"/>
              </w:rPr>
              <w:t>III.</w:t>
            </w:r>
            <w:r w:rsidRPr="00040AA9">
              <w:rPr>
                <w:rFonts w:ascii="Arial" w:hAnsi="Arial" w:cs="Arial"/>
                <w:b/>
                <w:sz w:val="20"/>
                <w:szCs w:val="20"/>
                <w:lang w:val="en-CA"/>
              </w:rPr>
              <w:t xml:space="preserve">15 (PBs – part c) </w:t>
            </w:r>
            <w:r w:rsidRPr="00040AA9">
              <w:rPr>
                <w:rFonts w:ascii="Arial" w:hAnsi="Arial" w:cs="Arial"/>
                <w:b/>
                <w:sz w:val="20"/>
                <w:szCs w:val="20"/>
              </w:rPr>
              <w:t>Increase the % of Non-Self-financing PBs with financial statements presented on time</w:t>
            </w:r>
          </w:p>
        </w:tc>
      </w:tr>
      <w:tr w:rsidR="00A55DB7" w:rsidRPr="00CF5903" w14:paraId="0CA9FB0D" w14:textId="77777777" w:rsidTr="00E420C4">
        <w:trPr>
          <w:trHeight w:val="215"/>
          <w:jc w:val="center"/>
        </w:trPr>
        <w:tc>
          <w:tcPr>
            <w:tcW w:w="2368" w:type="dxa"/>
            <w:vMerge w:val="restart"/>
            <w:tcBorders>
              <w:left w:val="single" w:sz="4" w:space="0" w:color="auto"/>
              <w:right w:val="single" w:sz="4" w:space="0" w:color="auto"/>
            </w:tcBorders>
            <w:vAlign w:val="center"/>
          </w:tcPr>
          <w:p w14:paraId="332A8F7C" w14:textId="6501415F"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 xml:space="preserve">Indicator </w:t>
            </w:r>
            <w:r w:rsidR="00754E18" w:rsidRPr="00E420C4">
              <w:rPr>
                <w:rFonts w:ascii="Arial" w:hAnsi="Arial" w:cs="Arial"/>
                <w:sz w:val="20"/>
                <w:szCs w:val="20"/>
              </w:rPr>
              <w:t>III.</w:t>
            </w:r>
            <w:r w:rsidRPr="00E420C4">
              <w:rPr>
                <w:rFonts w:ascii="Arial" w:hAnsi="Arial" w:cs="Arial"/>
                <w:sz w:val="20"/>
                <w:szCs w:val="20"/>
              </w:rPr>
              <w:t>15.1</w:t>
            </w:r>
          </w:p>
          <w:p w14:paraId="43CBD8FC" w14:textId="7E501A8D" w:rsidR="00DA64E9" w:rsidRPr="00E420C4" w:rsidRDefault="00DA64E9" w:rsidP="00040AA9">
            <w:pPr>
              <w:keepNext/>
              <w:keepLines/>
              <w:suppressAutoHyphens/>
              <w:rPr>
                <w:rFonts w:ascii="Arial" w:hAnsi="Arial" w:cs="Arial"/>
                <w:sz w:val="20"/>
                <w:szCs w:val="20"/>
              </w:rPr>
            </w:pPr>
            <w:r w:rsidRPr="00E420C4">
              <w:rPr>
                <w:rFonts w:ascii="Arial" w:hAnsi="Arial" w:cs="Arial"/>
                <w:sz w:val="20"/>
                <w:szCs w:val="20"/>
              </w:rPr>
              <w:t>(Deactivated – See Table 1)</w:t>
            </w:r>
          </w:p>
          <w:p w14:paraId="02CF5D78"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Non-Self-financing PBs with statement on time / Total Non-self-financing PBs</w:t>
            </w:r>
          </w:p>
          <w:p w14:paraId="68417AC4"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(FSPG II, result 6)</w:t>
            </w:r>
          </w:p>
        </w:tc>
        <w:tc>
          <w:tcPr>
            <w:tcW w:w="810" w:type="dxa"/>
            <w:vMerge w:val="restart"/>
            <w:tcBorders>
              <w:left w:val="single" w:sz="4" w:space="0" w:color="auto"/>
              <w:right w:val="single" w:sz="4" w:space="0" w:color="auto"/>
            </w:tcBorders>
            <w:vAlign w:val="center"/>
          </w:tcPr>
          <w:p w14:paraId="330F978F"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right w:val="single" w:sz="4" w:space="0" w:color="auto"/>
            </w:tcBorders>
            <w:shd w:val="clear" w:color="auto" w:fill="auto"/>
            <w:vAlign w:val="center"/>
          </w:tcPr>
          <w:p w14:paraId="78361812"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14</w:t>
            </w:r>
          </w:p>
        </w:tc>
        <w:tc>
          <w:tcPr>
            <w:tcW w:w="720" w:type="dxa"/>
            <w:vMerge w:val="restart"/>
            <w:tcBorders>
              <w:left w:val="single" w:sz="4" w:space="0" w:color="auto"/>
              <w:right w:val="single" w:sz="4" w:space="0" w:color="auto"/>
            </w:tcBorders>
            <w:vAlign w:val="center"/>
          </w:tcPr>
          <w:p w14:paraId="4E46638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7" w:type="dxa"/>
            <w:tcBorders>
              <w:left w:val="single" w:sz="4" w:space="0" w:color="auto"/>
              <w:bottom w:val="single" w:sz="4" w:space="0" w:color="auto"/>
              <w:right w:val="single" w:sz="4" w:space="0" w:color="auto"/>
            </w:tcBorders>
            <w:vAlign w:val="center"/>
          </w:tcPr>
          <w:p w14:paraId="7D65D92F"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4749CC6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80</w:t>
            </w:r>
          </w:p>
          <w:p w14:paraId="753417E2"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6A853255"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12E8E330" w14:textId="77777777" w:rsidR="00A55DB7" w:rsidRPr="00040AA9" w:rsidRDefault="00A55DB7" w:rsidP="00040AA9">
            <w:pPr>
              <w:keepNext/>
              <w:keepLines/>
              <w:suppressAutoHyphens/>
              <w:rPr>
                <w:rFonts w:ascii="Arial" w:hAnsi="Arial" w:cs="Arial"/>
                <w:sz w:val="20"/>
                <w:szCs w:val="20"/>
                <w:lang w:val="en-CA"/>
              </w:rPr>
            </w:pPr>
            <w:r w:rsidRPr="00040AA9">
              <w:rPr>
                <w:rFonts w:ascii="Arial" w:hAnsi="Arial" w:cs="Arial"/>
                <w:sz w:val="20"/>
                <w:szCs w:val="20"/>
              </w:rPr>
              <w:t>Public Entities (sic) Division (PED) annual performance report</w:t>
            </w:r>
          </w:p>
        </w:tc>
      </w:tr>
      <w:tr w:rsidR="00A55DB7" w:rsidRPr="00CF5903" w14:paraId="30B5DD9E" w14:textId="77777777" w:rsidTr="00E420C4">
        <w:trPr>
          <w:trHeight w:val="215"/>
          <w:jc w:val="center"/>
        </w:trPr>
        <w:tc>
          <w:tcPr>
            <w:tcW w:w="2368" w:type="dxa"/>
            <w:vMerge/>
            <w:tcBorders>
              <w:left w:val="single" w:sz="4" w:space="0" w:color="auto"/>
              <w:right w:val="single" w:sz="4" w:space="0" w:color="auto"/>
            </w:tcBorders>
            <w:vAlign w:val="center"/>
          </w:tcPr>
          <w:p w14:paraId="7010DC77" w14:textId="77777777" w:rsidR="00A55DB7" w:rsidRPr="00040AA9" w:rsidRDefault="00A55DB7" w:rsidP="00040AA9">
            <w:pPr>
              <w:keepNext/>
              <w:keepLines/>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51E6AAA7" w14:textId="77777777" w:rsidR="00A55DB7" w:rsidRPr="00040AA9" w:rsidRDefault="00A55DB7" w:rsidP="00040AA9">
            <w:pPr>
              <w:keepNext/>
              <w:keepLines/>
              <w:suppressAutoHyphens/>
              <w:jc w:val="center"/>
              <w:rPr>
                <w:rFonts w:ascii="Arial" w:hAnsi="Arial" w:cs="Arial"/>
                <w:sz w:val="20"/>
                <w:szCs w:val="20"/>
              </w:rPr>
            </w:pPr>
          </w:p>
        </w:tc>
        <w:tc>
          <w:tcPr>
            <w:tcW w:w="900" w:type="dxa"/>
            <w:vMerge/>
            <w:tcBorders>
              <w:left w:val="single" w:sz="4" w:space="0" w:color="auto"/>
              <w:right w:val="single" w:sz="4" w:space="0" w:color="auto"/>
            </w:tcBorders>
            <w:shd w:val="clear" w:color="auto" w:fill="auto"/>
            <w:vAlign w:val="center"/>
          </w:tcPr>
          <w:p w14:paraId="192DB864" w14:textId="77777777" w:rsidR="00A55DB7" w:rsidRPr="00040AA9" w:rsidRDefault="00A55DB7" w:rsidP="00040AA9">
            <w:pPr>
              <w:keepNext/>
              <w:keepLines/>
              <w:suppressAutoHyphens/>
              <w:jc w:val="center"/>
              <w:rPr>
                <w:rFonts w:ascii="Arial" w:hAnsi="Arial" w:cs="Arial"/>
                <w:sz w:val="20"/>
                <w:szCs w:val="20"/>
              </w:rPr>
            </w:pPr>
          </w:p>
        </w:tc>
        <w:tc>
          <w:tcPr>
            <w:tcW w:w="720" w:type="dxa"/>
            <w:vMerge/>
            <w:tcBorders>
              <w:left w:val="single" w:sz="4" w:space="0" w:color="auto"/>
              <w:right w:val="single" w:sz="4" w:space="0" w:color="auto"/>
            </w:tcBorders>
            <w:vAlign w:val="center"/>
          </w:tcPr>
          <w:p w14:paraId="0A078124" w14:textId="77777777" w:rsidR="00A55DB7" w:rsidRPr="00040AA9" w:rsidRDefault="00A55DB7" w:rsidP="00040AA9">
            <w:pPr>
              <w:keepNext/>
              <w:keepLines/>
              <w:suppressAutoHyphens/>
              <w:jc w:val="center"/>
              <w:rPr>
                <w:rFonts w:ascii="Arial" w:hAnsi="Arial" w:cs="Arial"/>
                <w:sz w:val="20"/>
                <w:szCs w:val="20"/>
              </w:rPr>
            </w:pPr>
          </w:p>
        </w:tc>
        <w:tc>
          <w:tcPr>
            <w:tcW w:w="597" w:type="dxa"/>
            <w:tcBorders>
              <w:left w:val="single" w:sz="4" w:space="0" w:color="auto"/>
              <w:bottom w:val="single" w:sz="4" w:space="0" w:color="auto"/>
              <w:right w:val="single" w:sz="4" w:space="0" w:color="auto"/>
            </w:tcBorders>
            <w:vAlign w:val="center"/>
          </w:tcPr>
          <w:p w14:paraId="5CF1E704"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47387359" w14:textId="77777777" w:rsidR="00A55DB7" w:rsidRPr="00040AA9" w:rsidRDefault="00A55DB7" w:rsidP="00040AA9">
            <w:pPr>
              <w:keepNext/>
              <w:keepLines/>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5BADF093"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3AF3300A" w14:textId="77777777" w:rsidR="00A55DB7" w:rsidRPr="00040AA9" w:rsidRDefault="00A55DB7" w:rsidP="00040AA9">
            <w:pPr>
              <w:keepNext/>
              <w:keepLines/>
              <w:suppressAutoHyphens/>
              <w:rPr>
                <w:rFonts w:ascii="Arial" w:hAnsi="Arial" w:cs="Arial"/>
                <w:sz w:val="20"/>
                <w:szCs w:val="20"/>
                <w:lang w:val="en-CA"/>
              </w:rPr>
            </w:pPr>
          </w:p>
        </w:tc>
      </w:tr>
      <w:tr w:rsidR="00A55DB7" w:rsidRPr="00CF5903" w14:paraId="3E6625F3" w14:textId="77777777" w:rsidTr="00E420C4">
        <w:trPr>
          <w:trHeight w:val="215"/>
          <w:jc w:val="center"/>
        </w:trPr>
        <w:tc>
          <w:tcPr>
            <w:tcW w:w="2368" w:type="dxa"/>
            <w:vMerge/>
            <w:tcBorders>
              <w:left w:val="single" w:sz="4" w:space="0" w:color="auto"/>
              <w:bottom w:val="single" w:sz="4" w:space="0" w:color="auto"/>
              <w:right w:val="single" w:sz="4" w:space="0" w:color="auto"/>
            </w:tcBorders>
            <w:vAlign w:val="center"/>
          </w:tcPr>
          <w:p w14:paraId="4C03C526" w14:textId="77777777" w:rsidR="00A55DB7" w:rsidRPr="00040AA9" w:rsidRDefault="00A55DB7" w:rsidP="00040AA9">
            <w:pPr>
              <w:keepNext/>
              <w:keepLines/>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47AF18F9" w14:textId="77777777" w:rsidR="00A55DB7" w:rsidRPr="00040AA9" w:rsidRDefault="00A55DB7" w:rsidP="00040AA9">
            <w:pPr>
              <w:keepNext/>
              <w:keepLines/>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shd w:val="clear" w:color="auto" w:fill="auto"/>
            <w:vAlign w:val="center"/>
          </w:tcPr>
          <w:p w14:paraId="235DDDF4" w14:textId="77777777" w:rsidR="00A55DB7" w:rsidRPr="00040AA9" w:rsidRDefault="00A55DB7" w:rsidP="00040AA9">
            <w:pPr>
              <w:keepNext/>
              <w:keepLines/>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631896C8" w14:textId="77777777" w:rsidR="00A55DB7" w:rsidRPr="00040AA9" w:rsidRDefault="00A55DB7" w:rsidP="00040AA9">
            <w:pPr>
              <w:keepNext/>
              <w:keepLines/>
              <w:suppressAutoHyphens/>
              <w:jc w:val="center"/>
              <w:rPr>
                <w:rFonts w:ascii="Arial" w:hAnsi="Arial" w:cs="Arial"/>
                <w:sz w:val="20"/>
                <w:szCs w:val="20"/>
              </w:rPr>
            </w:pPr>
          </w:p>
        </w:tc>
        <w:tc>
          <w:tcPr>
            <w:tcW w:w="597" w:type="dxa"/>
            <w:tcBorders>
              <w:left w:val="single" w:sz="4" w:space="0" w:color="auto"/>
              <w:bottom w:val="single" w:sz="4" w:space="0" w:color="auto"/>
              <w:right w:val="single" w:sz="4" w:space="0" w:color="auto"/>
            </w:tcBorders>
            <w:vAlign w:val="center"/>
          </w:tcPr>
          <w:p w14:paraId="415D58E3"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3527DB53" w14:textId="5E080CC2"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Data not available</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41F31CCA" w14:textId="2D0018E3" w:rsidR="00A55DB7" w:rsidRPr="00040AA9" w:rsidRDefault="00DA64E9" w:rsidP="00040AA9">
            <w:pPr>
              <w:keepNext/>
              <w:keepLines/>
              <w:suppressAutoHyphens/>
              <w:rPr>
                <w:rFonts w:ascii="Arial" w:hAnsi="Arial" w:cs="Arial"/>
                <w:sz w:val="20"/>
                <w:szCs w:val="20"/>
              </w:rPr>
            </w:pPr>
            <w:r w:rsidRPr="00040AA9">
              <w:rPr>
                <w:rFonts w:ascii="Arial" w:hAnsi="Arial" w:cs="Arial"/>
                <w:i/>
                <w:sz w:val="20"/>
                <w:szCs w:val="20"/>
              </w:rPr>
              <w:t>Value cannot be computed</w:t>
            </w:r>
          </w:p>
        </w:tc>
        <w:tc>
          <w:tcPr>
            <w:tcW w:w="5374" w:type="dxa"/>
            <w:tcBorders>
              <w:top w:val="single" w:sz="4" w:space="0" w:color="auto"/>
              <w:left w:val="single" w:sz="4" w:space="0" w:color="auto"/>
              <w:bottom w:val="single" w:sz="4" w:space="0" w:color="auto"/>
              <w:right w:val="single" w:sz="4" w:space="0" w:color="auto"/>
            </w:tcBorders>
          </w:tcPr>
          <w:p w14:paraId="26A458B6" w14:textId="2E8356F0" w:rsidR="00A55DB7" w:rsidRPr="00040AA9" w:rsidRDefault="00A55DB7" w:rsidP="00040AA9">
            <w:pPr>
              <w:keepNext/>
              <w:keepLines/>
              <w:suppressAutoHyphens/>
              <w:rPr>
                <w:rFonts w:ascii="Arial" w:hAnsi="Arial" w:cs="Arial"/>
                <w:sz w:val="20"/>
                <w:szCs w:val="20"/>
                <w:lang w:val="en-CA"/>
              </w:rPr>
            </w:pPr>
            <w:r w:rsidRPr="00040AA9">
              <w:rPr>
                <w:rFonts w:ascii="Arial" w:hAnsi="Arial" w:cs="Arial"/>
                <w:sz w:val="20"/>
                <w:szCs w:val="20"/>
              </w:rPr>
              <w:t xml:space="preserve">See note for indicator 13.2 above </w:t>
            </w:r>
          </w:p>
        </w:tc>
      </w:tr>
      <w:tr w:rsidR="00A55DB7" w:rsidRPr="00CF5903" w14:paraId="4C588002" w14:textId="77777777" w:rsidTr="00E420C4">
        <w:trPr>
          <w:trHeight w:val="584"/>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FCAA035" w14:textId="77777777" w:rsidR="00A55DB7" w:rsidRPr="00D60FB9" w:rsidRDefault="00A55DB7" w:rsidP="00040AA9">
            <w:pPr>
              <w:suppressAutoHyphens/>
              <w:rPr>
                <w:rFonts w:ascii="Arial" w:hAnsi="Arial" w:cs="Arial"/>
                <w:b/>
                <w:sz w:val="20"/>
                <w:szCs w:val="20"/>
              </w:rPr>
            </w:pPr>
            <w:r w:rsidRPr="00D60FB9">
              <w:rPr>
                <w:rFonts w:ascii="Arial" w:hAnsi="Arial" w:cs="Arial"/>
                <w:b/>
                <w:sz w:val="20"/>
                <w:szCs w:val="20"/>
              </w:rPr>
              <w:t>OUTCOMES (RESULTS) for COMPONENT IV – Ensuring Sustainability of the National Insurance Scheme</w:t>
            </w:r>
          </w:p>
        </w:tc>
      </w:tr>
      <w:tr w:rsidR="00A55DB7" w:rsidRPr="00CF5903" w14:paraId="0D450F2A" w14:textId="77777777" w:rsidTr="00E420C4">
        <w:trPr>
          <w:trHeight w:val="21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33AC7B" w14:textId="47C1EBB7" w:rsidR="00A55DB7" w:rsidRPr="00040AA9" w:rsidRDefault="00A55DB7" w:rsidP="00040AA9">
            <w:pPr>
              <w:suppressAutoHyphens/>
              <w:rPr>
                <w:rFonts w:ascii="Arial" w:hAnsi="Arial" w:cs="Arial"/>
                <w:sz w:val="20"/>
                <w:szCs w:val="20"/>
              </w:rPr>
            </w:pPr>
            <w:r w:rsidRPr="00040AA9">
              <w:rPr>
                <w:rFonts w:ascii="Arial" w:hAnsi="Arial" w:cs="Arial"/>
                <w:b/>
                <w:sz w:val="20"/>
                <w:szCs w:val="20"/>
              </w:rPr>
              <w:t xml:space="preserve">Outcome </w:t>
            </w:r>
            <w:r w:rsidR="00A854F2" w:rsidRPr="00040AA9">
              <w:rPr>
                <w:rFonts w:ascii="Arial" w:hAnsi="Arial" w:cs="Arial"/>
                <w:b/>
                <w:sz w:val="20"/>
                <w:szCs w:val="20"/>
              </w:rPr>
              <w:t>IV.</w:t>
            </w:r>
            <w:r w:rsidRPr="00040AA9">
              <w:rPr>
                <w:rFonts w:ascii="Arial" w:hAnsi="Arial" w:cs="Arial"/>
                <w:b/>
                <w:sz w:val="20"/>
                <w:szCs w:val="20"/>
              </w:rPr>
              <w:t>16 Decrease the actuarial deficit of the National Insurance Fund (NIF) (% of GDP)</w:t>
            </w:r>
          </w:p>
        </w:tc>
      </w:tr>
      <w:tr w:rsidR="00A55DB7" w:rsidRPr="00CF5903" w14:paraId="472C2A50" w14:textId="77777777" w:rsidTr="00E420C4">
        <w:trPr>
          <w:trHeight w:val="674"/>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4BD3DC85" w14:textId="0CBB6EC9" w:rsidR="00A55DB7" w:rsidRPr="00E420C4" w:rsidRDefault="00A55DB7" w:rsidP="00040AA9">
            <w:pPr>
              <w:suppressAutoHyphens/>
              <w:rPr>
                <w:rFonts w:ascii="Arial" w:hAnsi="Arial" w:cs="Arial"/>
                <w:sz w:val="20"/>
                <w:szCs w:val="20"/>
              </w:rPr>
            </w:pPr>
            <w:r w:rsidRPr="00E420C4">
              <w:rPr>
                <w:rFonts w:ascii="Arial" w:hAnsi="Arial" w:cs="Arial"/>
                <w:sz w:val="20"/>
                <w:szCs w:val="20"/>
              </w:rPr>
              <w:t xml:space="preserve">Indicator </w:t>
            </w:r>
            <w:r w:rsidR="001B2682" w:rsidRPr="00E420C4">
              <w:rPr>
                <w:rFonts w:ascii="Arial" w:hAnsi="Arial" w:cs="Arial"/>
                <w:sz w:val="20"/>
                <w:szCs w:val="20"/>
              </w:rPr>
              <w:t>IV.</w:t>
            </w:r>
            <w:r w:rsidRPr="00E420C4">
              <w:rPr>
                <w:rFonts w:ascii="Arial" w:hAnsi="Arial" w:cs="Arial"/>
                <w:sz w:val="20"/>
                <w:szCs w:val="20"/>
              </w:rPr>
              <w:t>16.1</w:t>
            </w:r>
          </w:p>
          <w:p w14:paraId="55A3E719" w14:textId="77777777" w:rsidR="00383503" w:rsidRPr="00E420C4" w:rsidRDefault="00383503" w:rsidP="00040AA9">
            <w:pPr>
              <w:keepNext/>
              <w:keepLines/>
              <w:suppressAutoHyphens/>
              <w:rPr>
                <w:rFonts w:ascii="Arial" w:hAnsi="Arial" w:cs="Arial"/>
                <w:sz w:val="20"/>
                <w:szCs w:val="20"/>
              </w:rPr>
            </w:pPr>
            <w:r w:rsidRPr="00E420C4">
              <w:rPr>
                <w:rFonts w:ascii="Arial" w:hAnsi="Arial" w:cs="Arial"/>
                <w:sz w:val="20"/>
                <w:szCs w:val="20"/>
              </w:rPr>
              <w:t>(Amended and deactivated – See Table 1)</w:t>
            </w:r>
          </w:p>
          <w:p w14:paraId="6A2197B1" w14:textId="77777777" w:rsidR="00A55DB7" w:rsidRPr="00E420C4" w:rsidRDefault="00A55DB7" w:rsidP="00040AA9">
            <w:pPr>
              <w:suppressAutoHyphens/>
              <w:rPr>
                <w:rFonts w:ascii="Arial" w:hAnsi="Arial" w:cs="Arial"/>
                <w:sz w:val="20"/>
                <w:szCs w:val="20"/>
              </w:rPr>
            </w:pPr>
            <w:r w:rsidRPr="00E420C4">
              <w:rPr>
                <w:rFonts w:ascii="Arial" w:hAnsi="Arial" w:cs="Arial"/>
                <w:sz w:val="20"/>
                <w:szCs w:val="20"/>
              </w:rPr>
              <w:t xml:space="preserve">Actuarial Deficit of the NIF </w:t>
            </w:r>
            <w:r w:rsidRPr="00E420C4">
              <w:rPr>
                <w:rFonts w:ascii="Arial" w:hAnsi="Arial" w:cs="Arial"/>
                <w:b/>
                <w:sz w:val="20"/>
                <w:szCs w:val="20"/>
              </w:rPr>
              <w:t>for current pensioners</w:t>
            </w:r>
          </w:p>
          <w:p w14:paraId="25C55D3C" w14:textId="77777777" w:rsidR="00A55DB7" w:rsidRPr="00E420C4" w:rsidRDefault="00A55DB7" w:rsidP="00040AA9">
            <w:pPr>
              <w:suppressAutoHyphens/>
              <w:rPr>
                <w:rFonts w:ascii="Arial" w:hAnsi="Arial" w:cs="Arial"/>
                <w:sz w:val="20"/>
                <w:szCs w:val="20"/>
              </w:rPr>
            </w:pPr>
            <w:r w:rsidRPr="00E420C4">
              <w:rPr>
                <w:rFonts w:ascii="Arial" w:hAnsi="Arial" w:cs="Arial"/>
                <w:sz w:val="20"/>
                <w:szCs w:val="20"/>
              </w:rPr>
              <w:t>(FSPG I, result 11)</w:t>
            </w:r>
          </w:p>
          <w:p w14:paraId="1F968AE9" w14:textId="77777777" w:rsidR="00A55DB7" w:rsidRPr="00E420C4" w:rsidRDefault="00A55DB7" w:rsidP="00040AA9">
            <w:pPr>
              <w:suppressAutoHyphens/>
              <w:rPr>
                <w:rFonts w:ascii="Arial" w:hAnsi="Arial" w:cs="Arial"/>
                <w:sz w:val="20"/>
                <w:szCs w:val="20"/>
              </w:rPr>
            </w:pPr>
            <w:r w:rsidRPr="00E420C4">
              <w:rPr>
                <w:rFonts w:ascii="Arial" w:hAnsi="Arial" w:cs="Arial"/>
                <w:sz w:val="20"/>
                <w:szCs w:val="20"/>
              </w:rPr>
              <w:t xml:space="preserve"> (FSPG III, result 7)</w:t>
            </w:r>
          </w:p>
          <w:p w14:paraId="6D5BC464" w14:textId="77777777" w:rsidR="00A55DB7" w:rsidRPr="00E420C4" w:rsidRDefault="00A55DB7" w:rsidP="00040AA9">
            <w:pPr>
              <w:suppressAutoHyphens/>
              <w:rPr>
                <w:rFonts w:ascii="Arial" w:hAnsi="Arial" w:cs="Arial"/>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748A0F8F"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6F83DC0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6%</w:t>
            </w:r>
          </w:p>
          <w:p w14:paraId="309DEFB6"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(FSPG I &amp; III)</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601DEE0"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00D01557"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49CF558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4%</w:t>
            </w:r>
          </w:p>
          <w:p w14:paraId="32116C0C"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(FSPG I)</w:t>
            </w:r>
          </w:p>
          <w:p w14:paraId="616AD04A"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(2015/16)</w:t>
            </w:r>
          </w:p>
          <w:p w14:paraId="59C58F1B" w14:textId="77777777" w:rsidR="00A55DB7" w:rsidRPr="00040AA9" w:rsidRDefault="00A55DB7" w:rsidP="00040AA9">
            <w:pPr>
              <w:suppressAutoHyphens/>
              <w:jc w:val="center"/>
              <w:rPr>
                <w:rFonts w:ascii="Arial" w:hAnsi="Arial" w:cs="Arial"/>
                <w:sz w:val="20"/>
                <w:szCs w:val="20"/>
              </w:rPr>
            </w:pPr>
          </w:p>
          <w:p w14:paraId="0B0FF20D" w14:textId="77777777" w:rsidR="00A55DB7" w:rsidRPr="00040AA9" w:rsidRDefault="00A55DB7" w:rsidP="00040AA9">
            <w:pPr>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7DC59E22"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1506E26" w14:textId="77777777" w:rsidR="00A55DB7" w:rsidRPr="00040AA9" w:rsidRDefault="00A55DB7" w:rsidP="00040AA9">
            <w:pPr>
              <w:suppressAutoHyphens/>
              <w:rPr>
                <w:rFonts w:ascii="Arial" w:hAnsi="Arial" w:cs="Arial"/>
                <w:sz w:val="20"/>
                <w:szCs w:val="20"/>
                <w:highlight w:val="yellow"/>
              </w:rPr>
            </w:pPr>
          </w:p>
        </w:tc>
      </w:tr>
      <w:tr w:rsidR="00A55DB7" w:rsidRPr="00CF5903" w14:paraId="027A7B1E"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046007F9"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731E84D1"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4DA29F4"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7088625C"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3B3252D7"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14A0DFD8"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3%</w:t>
            </w:r>
          </w:p>
          <w:p w14:paraId="7AB81DDC"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(FSPG III)</w:t>
            </w:r>
          </w:p>
          <w:p w14:paraId="045E6A33"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351CE1F2"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3014DC54" w14:textId="77777777" w:rsidR="00A55DB7" w:rsidRPr="00040AA9" w:rsidRDefault="00A55DB7" w:rsidP="00040AA9">
            <w:pPr>
              <w:suppressAutoHyphens/>
              <w:rPr>
                <w:rFonts w:ascii="Arial" w:hAnsi="Arial" w:cs="Arial"/>
                <w:sz w:val="20"/>
                <w:szCs w:val="20"/>
                <w:highlight w:val="yellow"/>
              </w:rPr>
            </w:pPr>
          </w:p>
        </w:tc>
      </w:tr>
      <w:tr w:rsidR="00A55DB7" w:rsidRPr="00CF5903" w14:paraId="78EA9D37"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2FD1DDA1"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21303805"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51E1C9B8"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5E0470A2"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6B61DA0E"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23F737CF" w14:textId="43A16364" w:rsidR="00A55DB7" w:rsidRPr="00040AA9" w:rsidRDefault="00EC1228" w:rsidP="00040AA9">
            <w:pPr>
              <w:suppressAutoHyphens/>
              <w:rPr>
                <w:rFonts w:ascii="Arial" w:hAnsi="Arial" w:cs="Arial"/>
                <w:sz w:val="20"/>
                <w:szCs w:val="20"/>
              </w:rPr>
            </w:pPr>
            <w:r w:rsidRPr="00040AA9">
              <w:rPr>
                <w:rFonts w:ascii="Arial" w:hAnsi="Arial" w:cs="Arial"/>
                <w:sz w:val="20"/>
                <w:szCs w:val="20"/>
              </w:rPr>
              <w:t>Data not available</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4449A046" w14:textId="40631B9D" w:rsidR="00A55DB7" w:rsidRPr="00040AA9" w:rsidRDefault="00DA64E9" w:rsidP="00040AA9">
            <w:pPr>
              <w:suppressAutoHyphens/>
              <w:rPr>
                <w:rFonts w:ascii="Arial" w:hAnsi="Arial" w:cs="Arial"/>
                <w:sz w:val="20"/>
                <w:szCs w:val="20"/>
              </w:rPr>
            </w:pPr>
            <w:r w:rsidRPr="00040AA9">
              <w:rPr>
                <w:rFonts w:ascii="Arial" w:hAnsi="Arial" w:cs="Arial"/>
                <w:i/>
                <w:sz w:val="20"/>
                <w:szCs w:val="20"/>
              </w:rPr>
              <w:t>Value cannot be computed</w:t>
            </w:r>
          </w:p>
        </w:tc>
        <w:tc>
          <w:tcPr>
            <w:tcW w:w="5374" w:type="dxa"/>
            <w:tcBorders>
              <w:top w:val="single" w:sz="4" w:space="0" w:color="auto"/>
              <w:left w:val="single" w:sz="4" w:space="0" w:color="auto"/>
              <w:bottom w:val="single" w:sz="4" w:space="0" w:color="auto"/>
              <w:right w:val="single" w:sz="4" w:space="0" w:color="auto"/>
            </w:tcBorders>
          </w:tcPr>
          <w:p w14:paraId="42B52060" w14:textId="25088717" w:rsidR="00A55DB7" w:rsidRPr="00040AA9" w:rsidRDefault="00A55DB7" w:rsidP="00040AA9">
            <w:pPr>
              <w:suppressAutoHyphens/>
              <w:rPr>
                <w:rFonts w:ascii="Arial" w:hAnsi="Arial" w:cs="Arial"/>
                <w:sz w:val="20"/>
                <w:szCs w:val="20"/>
              </w:rPr>
            </w:pPr>
            <w:r w:rsidRPr="00040AA9">
              <w:rPr>
                <w:rFonts w:ascii="Arial" w:hAnsi="Arial" w:cs="Arial"/>
                <w:sz w:val="20"/>
                <w:szCs w:val="20"/>
              </w:rPr>
              <w:t>No data available for FY 2016/17</w:t>
            </w:r>
            <w:bookmarkStart w:id="18" w:name="_Ref493663161"/>
            <w:r w:rsidRPr="00040AA9">
              <w:rPr>
                <w:rStyle w:val="FootnoteReference"/>
                <w:rFonts w:ascii="Arial" w:hAnsi="Arial" w:cs="Arial"/>
                <w:sz w:val="20"/>
                <w:szCs w:val="20"/>
              </w:rPr>
              <w:footnoteReference w:id="77"/>
            </w:r>
            <w:bookmarkEnd w:id="18"/>
          </w:p>
        </w:tc>
      </w:tr>
      <w:tr w:rsidR="00A55DB7" w:rsidRPr="00CF5903" w14:paraId="217BBA1A" w14:textId="77777777" w:rsidTr="00E420C4">
        <w:trPr>
          <w:jc w:val="center"/>
        </w:trPr>
        <w:tc>
          <w:tcPr>
            <w:tcW w:w="2368" w:type="dxa"/>
            <w:vMerge w:val="restart"/>
            <w:tcBorders>
              <w:top w:val="single" w:sz="4" w:space="0" w:color="auto"/>
              <w:left w:val="single" w:sz="4" w:space="0" w:color="auto"/>
              <w:right w:val="single" w:sz="4" w:space="0" w:color="auto"/>
            </w:tcBorders>
            <w:vAlign w:val="center"/>
          </w:tcPr>
          <w:p w14:paraId="5B9E509F" w14:textId="3E84E0C8"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 xml:space="preserve">Indicator </w:t>
            </w:r>
            <w:r w:rsidR="001B2682" w:rsidRPr="00E420C4">
              <w:rPr>
                <w:rFonts w:ascii="Arial" w:hAnsi="Arial" w:cs="Arial"/>
                <w:sz w:val="20"/>
                <w:szCs w:val="20"/>
              </w:rPr>
              <w:t>IV.</w:t>
            </w:r>
            <w:r w:rsidRPr="00E420C4">
              <w:rPr>
                <w:rFonts w:ascii="Arial" w:hAnsi="Arial" w:cs="Arial"/>
                <w:sz w:val="20"/>
                <w:szCs w:val="20"/>
              </w:rPr>
              <w:t>16.2</w:t>
            </w:r>
          </w:p>
          <w:p w14:paraId="6387D786" w14:textId="3B6755EB" w:rsidR="00A55DB7" w:rsidRPr="00E420C4" w:rsidRDefault="00383503" w:rsidP="00040AA9">
            <w:pPr>
              <w:keepNext/>
              <w:keepLines/>
              <w:suppressAutoHyphens/>
              <w:rPr>
                <w:rFonts w:ascii="Arial" w:hAnsi="Arial" w:cs="Arial"/>
                <w:sz w:val="20"/>
                <w:szCs w:val="20"/>
              </w:rPr>
            </w:pPr>
            <w:r w:rsidRPr="00E420C4">
              <w:rPr>
                <w:rFonts w:ascii="Arial" w:hAnsi="Arial" w:cs="Arial"/>
                <w:sz w:val="20"/>
                <w:szCs w:val="20"/>
              </w:rPr>
              <w:t>(Amended and deactivated – See Table 1)</w:t>
            </w:r>
          </w:p>
          <w:p w14:paraId="6D6421DE"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 xml:space="preserve">Actuarial Deficit of the NIF </w:t>
            </w:r>
            <w:r w:rsidRPr="00E420C4">
              <w:rPr>
                <w:rFonts w:ascii="Arial" w:hAnsi="Arial" w:cs="Arial"/>
                <w:b/>
                <w:sz w:val="20"/>
                <w:szCs w:val="20"/>
              </w:rPr>
              <w:t>for active contributors</w:t>
            </w:r>
          </w:p>
          <w:p w14:paraId="35743AF5"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 xml:space="preserve">(FSPG II, result 7) </w:t>
            </w:r>
          </w:p>
          <w:p w14:paraId="4706A5D7" w14:textId="77777777" w:rsidR="00A55DB7" w:rsidRPr="00E420C4" w:rsidRDefault="00A55DB7" w:rsidP="00040AA9">
            <w:pPr>
              <w:keepNext/>
              <w:keepLines/>
              <w:suppressAutoHyphens/>
              <w:rPr>
                <w:rFonts w:ascii="Arial" w:hAnsi="Arial" w:cs="Arial"/>
                <w:sz w:val="20"/>
                <w:szCs w:val="20"/>
              </w:rPr>
            </w:pPr>
          </w:p>
        </w:tc>
        <w:tc>
          <w:tcPr>
            <w:tcW w:w="810" w:type="dxa"/>
            <w:vMerge w:val="restart"/>
            <w:tcBorders>
              <w:top w:val="single" w:sz="4" w:space="0" w:color="auto"/>
              <w:left w:val="single" w:sz="4" w:space="0" w:color="auto"/>
              <w:right w:val="single" w:sz="4" w:space="0" w:color="auto"/>
            </w:tcBorders>
            <w:vAlign w:val="center"/>
          </w:tcPr>
          <w:p w14:paraId="651504F7"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w:t>
            </w:r>
          </w:p>
        </w:tc>
        <w:tc>
          <w:tcPr>
            <w:tcW w:w="900" w:type="dxa"/>
            <w:vMerge w:val="restart"/>
            <w:tcBorders>
              <w:top w:val="single" w:sz="4" w:space="0" w:color="auto"/>
              <w:left w:val="single" w:sz="4" w:space="0" w:color="auto"/>
              <w:right w:val="single" w:sz="4" w:space="0" w:color="auto"/>
            </w:tcBorders>
            <w:vAlign w:val="center"/>
          </w:tcPr>
          <w:p w14:paraId="726C6C17"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29</w:t>
            </w:r>
          </w:p>
          <w:p w14:paraId="447BB1EE"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(FSPG II)</w:t>
            </w:r>
          </w:p>
        </w:tc>
        <w:tc>
          <w:tcPr>
            <w:tcW w:w="720" w:type="dxa"/>
            <w:vMerge w:val="restart"/>
            <w:tcBorders>
              <w:top w:val="single" w:sz="4" w:space="0" w:color="auto"/>
              <w:left w:val="single" w:sz="4" w:space="0" w:color="auto"/>
              <w:right w:val="single" w:sz="4" w:space="0" w:color="auto"/>
            </w:tcBorders>
            <w:vAlign w:val="center"/>
          </w:tcPr>
          <w:p w14:paraId="5865CFCD"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54E1CB3B"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tcPr>
          <w:p w14:paraId="753E7584"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18</w:t>
            </w:r>
          </w:p>
          <w:p w14:paraId="782F360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FSPG II)</w:t>
            </w:r>
          </w:p>
          <w:p w14:paraId="4639562E"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right w:val="single" w:sz="4" w:space="0" w:color="auto"/>
            </w:tcBorders>
            <w:vAlign w:val="center"/>
          </w:tcPr>
          <w:p w14:paraId="20AC0B3D"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0337E58D" w14:textId="77777777" w:rsidR="00A55DB7" w:rsidRPr="00040AA9" w:rsidRDefault="00A55DB7" w:rsidP="00040AA9">
            <w:pPr>
              <w:keepNext/>
              <w:keepLines/>
              <w:suppressAutoHyphens/>
              <w:rPr>
                <w:rFonts w:ascii="Arial" w:hAnsi="Arial" w:cs="Arial"/>
                <w:sz w:val="20"/>
                <w:szCs w:val="20"/>
                <w:highlight w:val="yellow"/>
              </w:rPr>
            </w:pPr>
          </w:p>
        </w:tc>
      </w:tr>
      <w:tr w:rsidR="00A55DB7" w:rsidRPr="00CF5903" w14:paraId="6711A862" w14:textId="77777777" w:rsidTr="00E420C4">
        <w:trPr>
          <w:jc w:val="center"/>
        </w:trPr>
        <w:tc>
          <w:tcPr>
            <w:tcW w:w="2368" w:type="dxa"/>
            <w:vMerge/>
            <w:tcBorders>
              <w:left w:val="single" w:sz="4" w:space="0" w:color="auto"/>
              <w:bottom w:val="single" w:sz="4" w:space="0" w:color="auto"/>
              <w:right w:val="single" w:sz="4" w:space="0" w:color="auto"/>
            </w:tcBorders>
            <w:vAlign w:val="center"/>
          </w:tcPr>
          <w:p w14:paraId="229F3424" w14:textId="77777777" w:rsidR="00A55DB7" w:rsidRPr="00040AA9" w:rsidRDefault="00A55DB7" w:rsidP="00040AA9">
            <w:pPr>
              <w:keepNext/>
              <w:keepLines/>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50A00180" w14:textId="77777777" w:rsidR="00A55DB7" w:rsidRPr="00040AA9" w:rsidRDefault="00A55DB7" w:rsidP="00040AA9">
            <w:pPr>
              <w:keepNext/>
              <w:keepLines/>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25665CB9" w14:textId="77777777" w:rsidR="00A55DB7" w:rsidRPr="00040AA9" w:rsidRDefault="00A55DB7" w:rsidP="00040AA9">
            <w:pPr>
              <w:keepNext/>
              <w:keepLines/>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62FFFB26" w14:textId="77777777" w:rsidR="00A55DB7" w:rsidRPr="00040AA9" w:rsidRDefault="00A55DB7" w:rsidP="00040AA9">
            <w:pPr>
              <w:keepNext/>
              <w:keepLines/>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1152C7C2"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tcPr>
          <w:p w14:paraId="2FC626FC" w14:textId="77777777" w:rsidR="00A55DB7" w:rsidRPr="00040AA9" w:rsidRDefault="00A55DB7" w:rsidP="00040AA9">
            <w:pPr>
              <w:keepNext/>
              <w:keepLines/>
              <w:suppressAutoHyphens/>
              <w:rPr>
                <w:rFonts w:ascii="Arial" w:hAnsi="Arial" w:cs="Arial"/>
                <w:sz w:val="20"/>
                <w:szCs w:val="20"/>
              </w:rPr>
            </w:pPr>
          </w:p>
        </w:tc>
        <w:tc>
          <w:tcPr>
            <w:tcW w:w="1203" w:type="dxa"/>
            <w:gridSpan w:val="2"/>
            <w:tcBorders>
              <w:left w:val="single" w:sz="4" w:space="0" w:color="auto"/>
              <w:bottom w:val="single" w:sz="4" w:space="0" w:color="auto"/>
              <w:right w:val="single" w:sz="4" w:space="0" w:color="auto"/>
            </w:tcBorders>
            <w:vAlign w:val="center"/>
          </w:tcPr>
          <w:p w14:paraId="5FD24C4A"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21C59C4F" w14:textId="77777777" w:rsidR="00A55DB7" w:rsidRPr="00040AA9" w:rsidRDefault="00A55DB7" w:rsidP="00040AA9">
            <w:pPr>
              <w:keepNext/>
              <w:keepLines/>
              <w:suppressAutoHyphens/>
              <w:rPr>
                <w:rFonts w:ascii="Arial" w:hAnsi="Arial" w:cs="Arial"/>
                <w:sz w:val="20"/>
                <w:szCs w:val="20"/>
                <w:highlight w:val="yellow"/>
              </w:rPr>
            </w:pPr>
          </w:p>
        </w:tc>
      </w:tr>
      <w:tr w:rsidR="00A55DB7" w:rsidRPr="00CF5903" w14:paraId="2AD595C3" w14:textId="77777777" w:rsidTr="00E420C4">
        <w:trPr>
          <w:trHeight w:val="458"/>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2B75AD64"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5C899D7C"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266B74D1"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036D3671"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0FCE4F97"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tcPr>
          <w:p w14:paraId="78D012B8" w14:textId="2039FD1B" w:rsidR="00A55DB7" w:rsidRPr="00040AA9" w:rsidRDefault="008F296B" w:rsidP="00040AA9">
            <w:pPr>
              <w:suppressAutoHyphens/>
              <w:rPr>
                <w:rFonts w:ascii="Arial" w:hAnsi="Arial" w:cs="Arial"/>
                <w:sz w:val="20"/>
                <w:szCs w:val="20"/>
              </w:rPr>
            </w:pPr>
            <w:r w:rsidRPr="00040AA9">
              <w:rPr>
                <w:rFonts w:ascii="Arial" w:hAnsi="Arial" w:cs="Arial"/>
                <w:sz w:val="20"/>
                <w:szCs w:val="20"/>
              </w:rPr>
              <w:t>Data not ava</w:t>
            </w:r>
            <w:r w:rsidR="00EC1228" w:rsidRPr="00040AA9">
              <w:rPr>
                <w:rFonts w:ascii="Arial" w:hAnsi="Arial" w:cs="Arial"/>
                <w:sz w:val="20"/>
                <w:szCs w:val="20"/>
              </w:rPr>
              <w:t>ilable</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61CDEF24" w14:textId="76447B2D" w:rsidR="00A55DB7" w:rsidRPr="00040AA9" w:rsidRDefault="00EC1228" w:rsidP="00040AA9">
            <w:pPr>
              <w:suppressAutoHyphens/>
              <w:rPr>
                <w:rFonts w:ascii="Arial" w:hAnsi="Arial" w:cs="Arial"/>
                <w:sz w:val="20"/>
                <w:szCs w:val="20"/>
              </w:rPr>
            </w:pPr>
            <w:r w:rsidRPr="00040AA9">
              <w:rPr>
                <w:rFonts w:ascii="Arial" w:hAnsi="Arial" w:cs="Arial"/>
                <w:i/>
                <w:sz w:val="20"/>
                <w:szCs w:val="20"/>
              </w:rPr>
              <w:t>Value cannot be computed</w:t>
            </w:r>
          </w:p>
        </w:tc>
        <w:tc>
          <w:tcPr>
            <w:tcW w:w="5374" w:type="dxa"/>
            <w:tcBorders>
              <w:top w:val="single" w:sz="4" w:space="0" w:color="auto"/>
              <w:left w:val="single" w:sz="4" w:space="0" w:color="auto"/>
              <w:bottom w:val="single" w:sz="4" w:space="0" w:color="auto"/>
              <w:right w:val="single" w:sz="4" w:space="0" w:color="auto"/>
            </w:tcBorders>
          </w:tcPr>
          <w:p w14:paraId="2435CAE9"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rPr>
              <w:t>No data available for FY 2016/17</w:t>
            </w:r>
          </w:p>
          <w:p w14:paraId="4E4A31F6" w14:textId="216EC095" w:rsidR="00587531" w:rsidRPr="00040AA9" w:rsidRDefault="00587531" w:rsidP="00040AA9">
            <w:pPr>
              <w:suppressAutoHyphens/>
              <w:rPr>
                <w:rFonts w:ascii="Arial" w:hAnsi="Arial" w:cs="Arial"/>
                <w:sz w:val="20"/>
                <w:szCs w:val="20"/>
              </w:rPr>
            </w:pPr>
            <w:r w:rsidRPr="00040AA9">
              <w:rPr>
                <w:rFonts w:ascii="Arial" w:hAnsi="Arial" w:cs="Arial"/>
                <w:sz w:val="20"/>
                <w:szCs w:val="20"/>
              </w:rPr>
              <w:t xml:space="preserve">(See note for indicator </w:t>
            </w:r>
            <w:r w:rsidR="00EC1228" w:rsidRPr="00040AA9">
              <w:rPr>
                <w:rFonts w:ascii="Arial" w:hAnsi="Arial" w:cs="Arial"/>
                <w:sz w:val="20"/>
                <w:szCs w:val="20"/>
              </w:rPr>
              <w:t>IV.</w:t>
            </w:r>
            <w:r w:rsidRPr="00040AA9">
              <w:rPr>
                <w:rFonts w:ascii="Arial" w:hAnsi="Arial" w:cs="Arial"/>
                <w:sz w:val="20"/>
                <w:szCs w:val="20"/>
              </w:rPr>
              <w:t>16.1 above)</w:t>
            </w:r>
          </w:p>
        </w:tc>
      </w:tr>
      <w:tr w:rsidR="00A55DB7" w:rsidRPr="00CF5903" w14:paraId="5877589A" w14:textId="77777777" w:rsidTr="00E420C4">
        <w:trPr>
          <w:jc w:val="center"/>
        </w:trPr>
        <w:tc>
          <w:tcPr>
            <w:tcW w:w="2368" w:type="dxa"/>
            <w:tcBorders>
              <w:top w:val="single" w:sz="4" w:space="0" w:color="auto"/>
              <w:left w:val="single" w:sz="4" w:space="0" w:color="auto"/>
              <w:bottom w:val="single" w:sz="4" w:space="0" w:color="auto"/>
              <w:right w:val="single" w:sz="4" w:space="0" w:color="auto"/>
            </w:tcBorders>
            <w:vAlign w:val="center"/>
          </w:tcPr>
          <w:p w14:paraId="5EDF3480" w14:textId="77777777" w:rsidR="00A55DB7" w:rsidRPr="00040AA9" w:rsidRDefault="00A55DB7" w:rsidP="00040AA9">
            <w:pPr>
              <w:suppressAutoHyphens/>
              <w:rPr>
                <w:rFonts w:ascii="Arial" w:hAnsi="Arial" w:cs="Arial"/>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33EE0A76" w14:textId="77777777" w:rsidR="00A55DB7" w:rsidRPr="00040AA9" w:rsidRDefault="00A55DB7" w:rsidP="00040AA9">
            <w:pPr>
              <w:suppressAutoHyphens/>
              <w:jc w:val="center"/>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E14234A" w14:textId="77777777" w:rsidR="00A55DB7" w:rsidRPr="00040AA9" w:rsidRDefault="00A55DB7" w:rsidP="00040AA9">
            <w:pPr>
              <w:suppressAutoHyphens/>
              <w:jc w:val="center"/>
              <w:rPr>
                <w:rFonts w:ascii="Arial" w:hAnsi="Arial" w:cs="Arial"/>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59AA03A"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4801C2D0" w14:textId="77777777" w:rsidR="00A55DB7" w:rsidRPr="00040AA9" w:rsidRDefault="00A55DB7" w:rsidP="00040AA9">
            <w:pPr>
              <w:suppressAutoHyphens/>
              <w:jc w:val="cente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069B7537"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4EC75AE"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4E6B5E9D" w14:textId="77777777" w:rsidR="00A55DB7" w:rsidRPr="00040AA9" w:rsidRDefault="00A55DB7" w:rsidP="00040AA9">
            <w:pPr>
              <w:suppressAutoHyphens/>
              <w:rPr>
                <w:rFonts w:ascii="Arial" w:hAnsi="Arial" w:cs="Arial"/>
                <w:sz w:val="20"/>
                <w:szCs w:val="20"/>
                <w:highlight w:val="yellow"/>
              </w:rPr>
            </w:pPr>
          </w:p>
        </w:tc>
      </w:tr>
      <w:tr w:rsidR="00A55DB7" w:rsidRPr="00CF5903" w14:paraId="332E8C64" w14:textId="77777777" w:rsidTr="00040AA9">
        <w:trPr>
          <w:trHeight w:val="107"/>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8F0015" w14:textId="03507AD8" w:rsidR="00A55DB7" w:rsidRPr="00040AA9" w:rsidRDefault="00A55DB7" w:rsidP="00040AA9">
            <w:pPr>
              <w:keepNext/>
              <w:keepLines/>
              <w:suppressAutoHyphens/>
              <w:rPr>
                <w:rFonts w:ascii="Arial" w:hAnsi="Arial" w:cs="Arial"/>
                <w:b/>
                <w:sz w:val="20"/>
                <w:szCs w:val="20"/>
              </w:rPr>
            </w:pPr>
            <w:r w:rsidRPr="00040AA9">
              <w:rPr>
                <w:rFonts w:ascii="Arial" w:hAnsi="Arial" w:cs="Arial"/>
                <w:b/>
                <w:sz w:val="20"/>
                <w:szCs w:val="20"/>
              </w:rPr>
              <w:t xml:space="preserve">Outcome </w:t>
            </w:r>
            <w:r w:rsidR="00435749" w:rsidRPr="00CF5903">
              <w:rPr>
                <w:rFonts w:ascii="Arial" w:hAnsi="Arial" w:cs="Arial"/>
                <w:b/>
                <w:sz w:val="20"/>
                <w:szCs w:val="20"/>
              </w:rPr>
              <w:t>IV.17 Decrease</w:t>
            </w:r>
            <w:r w:rsidRPr="00040AA9">
              <w:rPr>
                <w:rFonts w:ascii="Arial" w:hAnsi="Arial" w:cs="Arial"/>
                <w:b/>
                <w:sz w:val="20"/>
                <w:szCs w:val="20"/>
              </w:rPr>
              <w:t xml:space="preserve"> the time for pensions claims processing</w:t>
            </w:r>
          </w:p>
        </w:tc>
      </w:tr>
      <w:tr w:rsidR="00A55DB7" w:rsidRPr="00CF5903" w14:paraId="540C9418" w14:textId="77777777" w:rsidTr="00E420C4">
        <w:trPr>
          <w:trHeight w:val="1178"/>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tcPr>
          <w:p w14:paraId="1BCC9792" w14:textId="0AB040F6"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 xml:space="preserve">Indicator </w:t>
            </w:r>
            <w:r w:rsidR="001B2682" w:rsidRPr="00E420C4">
              <w:rPr>
                <w:rFonts w:ascii="Arial" w:hAnsi="Arial" w:cs="Arial"/>
                <w:sz w:val="20"/>
                <w:szCs w:val="20"/>
              </w:rPr>
              <w:t>IV.</w:t>
            </w:r>
            <w:r w:rsidRPr="00E420C4">
              <w:rPr>
                <w:rFonts w:ascii="Arial" w:hAnsi="Arial" w:cs="Arial"/>
                <w:sz w:val="20"/>
                <w:szCs w:val="20"/>
              </w:rPr>
              <w:t>17.1</w:t>
            </w:r>
          </w:p>
          <w:p w14:paraId="6B150346" w14:textId="1F238AA6" w:rsidR="00383503" w:rsidRPr="00E420C4" w:rsidRDefault="00383503" w:rsidP="00040AA9">
            <w:pPr>
              <w:keepNext/>
              <w:keepLines/>
              <w:suppressAutoHyphens/>
              <w:rPr>
                <w:rFonts w:ascii="Arial" w:hAnsi="Arial" w:cs="Arial"/>
                <w:sz w:val="20"/>
                <w:szCs w:val="20"/>
              </w:rPr>
            </w:pPr>
            <w:r w:rsidRPr="00E420C4">
              <w:rPr>
                <w:rFonts w:ascii="Arial" w:hAnsi="Arial" w:cs="Arial"/>
                <w:sz w:val="20"/>
                <w:szCs w:val="20"/>
              </w:rPr>
              <w:t>(Deactivated – See Table 1)</w:t>
            </w:r>
          </w:p>
          <w:p w14:paraId="12DF7B35"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Average time for pensions claim processing</w:t>
            </w:r>
          </w:p>
          <w:p w14:paraId="22865874"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(FSPG I, result 12)</w:t>
            </w:r>
          </w:p>
          <w:p w14:paraId="16FC1676"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(FSPG II, result 8)</w:t>
            </w:r>
          </w:p>
          <w:p w14:paraId="5FF668CF" w14:textId="77777777" w:rsidR="00A55DB7" w:rsidRPr="00E420C4" w:rsidRDefault="00A55DB7" w:rsidP="00040AA9">
            <w:pPr>
              <w:keepNext/>
              <w:keepLines/>
              <w:suppressAutoHyphens/>
              <w:rPr>
                <w:rFonts w:ascii="Arial" w:hAnsi="Arial" w:cs="Arial"/>
                <w:sz w:val="20"/>
                <w:szCs w:val="20"/>
              </w:rPr>
            </w:pPr>
            <w:r w:rsidRPr="00E420C4">
              <w:rPr>
                <w:rFonts w:ascii="Arial" w:hAnsi="Arial" w:cs="Arial"/>
                <w:sz w:val="20"/>
                <w:szCs w:val="20"/>
              </w:rPr>
              <w:t>(FSPG III, result 8)</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0B1FB308"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months</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5A23E79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12</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2E79443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7D3B6F3C"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6C274EE6"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4</w:t>
            </w:r>
          </w:p>
          <w:p w14:paraId="3B0AC25E"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 xml:space="preserve">(FSPG I) </w:t>
            </w:r>
          </w:p>
          <w:p w14:paraId="26CF70E2"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(2015/16)</w:t>
            </w:r>
          </w:p>
          <w:p w14:paraId="7F2A54AE" w14:textId="77777777" w:rsidR="00A55DB7" w:rsidRPr="00040AA9" w:rsidRDefault="00A55DB7" w:rsidP="00040AA9">
            <w:pPr>
              <w:keepNext/>
              <w:keepLines/>
              <w:suppressAutoHyphens/>
              <w:jc w:val="center"/>
              <w:rPr>
                <w:rFonts w:ascii="Arial" w:hAnsi="Arial" w:cs="Arial"/>
                <w:sz w:val="20"/>
                <w:szCs w:val="20"/>
              </w:rPr>
            </w:pPr>
          </w:p>
          <w:p w14:paraId="15FF9B76"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(FSPG II &amp; III: 2016/17)</w:t>
            </w:r>
          </w:p>
        </w:tc>
        <w:tc>
          <w:tcPr>
            <w:tcW w:w="1171" w:type="dxa"/>
            <w:tcBorders>
              <w:top w:val="single" w:sz="4" w:space="0" w:color="auto"/>
              <w:left w:val="single" w:sz="4" w:space="0" w:color="auto"/>
              <w:bottom w:val="single" w:sz="4" w:space="0" w:color="auto"/>
              <w:right w:val="single" w:sz="4" w:space="0" w:color="auto"/>
            </w:tcBorders>
            <w:vAlign w:val="center"/>
          </w:tcPr>
          <w:p w14:paraId="0E6BEE75" w14:textId="77777777" w:rsidR="00A55DB7" w:rsidRPr="00040AA9" w:rsidRDefault="00A55DB7" w:rsidP="00040AA9">
            <w:pPr>
              <w:keepNext/>
              <w:keepLines/>
              <w:suppressAutoHyphens/>
              <w:rPr>
                <w:rFonts w:ascii="Arial" w:hAnsi="Arial" w:cs="Arial"/>
                <w:b/>
                <w:i/>
                <w:sz w:val="20"/>
                <w:szCs w:val="20"/>
              </w:rPr>
            </w:pPr>
          </w:p>
        </w:tc>
        <w:tc>
          <w:tcPr>
            <w:tcW w:w="5406" w:type="dxa"/>
            <w:gridSpan w:val="2"/>
            <w:tcBorders>
              <w:top w:val="single" w:sz="4" w:space="0" w:color="auto"/>
              <w:left w:val="single" w:sz="4" w:space="0" w:color="auto"/>
              <w:bottom w:val="single" w:sz="4" w:space="0" w:color="auto"/>
              <w:right w:val="single" w:sz="4" w:space="0" w:color="auto"/>
            </w:tcBorders>
          </w:tcPr>
          <w:p w14:paraId="5DA7BCD8" w14:textId="77777777" w:rsidR="00A55DB7" w:rsidRPr="00040AA9" w:rsidRDefault="00A55DB7" w:rsidP="00040AA9">
            <w:pPr>
              <w:suppressAutoHyphens/>
              <w:rPr>
                <w:rFonts w:ascii="Arial" w:hAnsi="Arial" w:cs="Arial"/>
                <w:sz w:val="20"/>
                <w:szCs w:val="20"/>
              </w:rPr>
            </w:pPr>
            <w:r w:rsidRPr="00040AA9">
              <w:rPr>
                <w:rFonts w:ascii="Arial" w:hAnsi="Arial" w:cs="Arial"/>
                <w:sz w:val="20"/>
                <w:szCs w:val="20"/>
                <w:lang w:val="en-CA"/>
              </w:rPr>
              <w:t>National Insurance Scheme (NIS) annual report</w:t>
            </w:r>
          </w:p>
        </w:tc>
      </w:tr>
      <w:tr w:rsidR="00A55DB7" w:rsidRPr="00CF5903" w14:paraId="32258D50"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019A3AE8"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14D29620"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6DD5F3CF"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43F73BA8"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7EB86A07"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03C8921F" w14:textId="77777777" w:rsidR="00A55DB7" w:rsidRPr="00040AA9" w:rsidRDefault="00A55DB7" w:rsidP="00040AA9">
            <w:pPr>
              <w:suppressAutoHyphens/>
              <w:jc w:val="center"/>
              <w:rPr>
                <w:rFonts w:ascii="Arial" w:hAnsi="Arial" w:cs="Arial"/>
                <w:sz w:val="20"/>
                <w:szCs w:val="20"/>
              </w:rPr>
            </w:pPr>
          </w:p>
        </w:tc>
        <w:tc>
          <w:tcPr>
            <w:tcW w:w="1171" w:type="dxa"/>
            <w:tcBorders>
              <w:top w:val="single" w:sz="4" w:space="0" w:color="auto"/>
              <w:left w:val="single" w:sz="4" w:space="0" w:color="auto"/>
              <w:bottom w:val="single" w:sz="4" w:space="0" w:color="auto"/>
              <w:right w:val="single" w:sz="4" w:space="0" w:color="auto"/>
            </w:tcBorders>
            <w:vAlign w:val="center"/>
          </w:tcPr>
          <w:p w14:paraId="409A613D" w14:textId="77777777" w:rsidR="00A55DB7" w:rsidRPr="00040AA9" w:rsidRDefault="00A55DB7" w:rsidP="00040AA9">
            <w:pPr>
              <w:suppressAutoHyphens/>
              <w:rPr>
                <w:rFonts w:ascii="Arial" w:hAnsi="Arial" w:cs="Arial"/>
                <w:sz w:val="20"/>
                <w:szCs w:val="20"/>
              </w:rPr>
            </w:pPr>
          </w:p>
        </w:tc>
        <w:tc>
          <w:tcPr>
            <w:tcW w:w="5406" w:type="dxa"/>
            <w:gridSpan w:val="2"/>
            <w:tcBorders>
              <w:top w:val="single" w:sz="4" w:space="0" w:color="auto"/>
              <w:left w:val="single" w:sz="4" w:space="0" w:color="auto"/>
              <w:bottom w:val="single" w:sz="4" w:space="0" w:color="auto"/>
              <w:right w:val="single" w:sz="4" w:space="0" w:color="auto"/>
            </w:tcBorders>
          </w:tcPr>
          <w:p w14:paraId="7D9140EA" w14:textId="77777777" w:rsidR="00A55DB7" w:rsidRPr="00040AA9" w:rsidRDefault="00A55DB7" w:rsidP="00040AA9">
            <w:pPr>
              <w:suppressAutoHyphens/>
              <w:rPr>
                <w:rFonts w:ascii="Arial" w:hAnsi="Arial" w:cs="Arial"/>
                <w:sz w:val="20"/>
                <w:szCs w:val="20"/>
              </w:rPr>
            </w:pPr>
          </w:p>
        </w:tc>
      </w:tr>
      <w:tr w:rsidR="008F296B" w:rsidRPr="00CF5903" w14:paraId="2F4AF312"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tcPr>
          <w:p w14:paraId="65AB027D" w14:textId="77777777" w:rsidR="008F296B" w:rsidRPr="00040AA9" w:rsidRDefault="008F296B"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tcPr>
          <w:p w14:paraId="6C8B59BD" w14:textId="77777777" w:rsidR="008F296B" w:rsidRPr="00040AA9" w:rsidRDefault="008F296B"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8FE89D1" w14:textId="77777777" w:rsidR="008F296B" w:rsidRPr="00040AA9" w:rsidRDefault="008F296B"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14:paraId="17F9EEF8" w14:textId="77777777" w:rsidR="008F296B" w:rsidRPr="00040AA9" w:rsidRDefault="008F296B"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6A5163FA" w14:textId="77777777" w:rsidR="008F296B" w:rsidRPr="00040AA9" w:rsidRDefault="008F296B" w:rsidP="00040AA9">
            <w:pPr>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tcPr>
          <w:p w14:paraId="4F755D63" w14:textId="3D78FECC" w:rsidR="008F296B" w:rsidRPr="00040AA9" w:rsidRDefault="008F296B" w:rsidP="00040AA9">
            <w:pPr>
              <w:suppressAutoHyphens/>
              <w:jc w:val="center"/>
              <w:rPr>
                <w:rFonts w:ascii="Arial" w:hAnsi="Arial" w:cs="Arial"/>
                <w:sz w:val="20"/>
                <w:szCs w:val="20"/>
              </w:rPr>
            </w:pPr>
            <w:r w:rsidRPr="00040AA9">
              <w:rPr>
                <w:rFonts w:ascii="Arial" w:hAnsi="Arial" w:cs="Arial"/>
                <w:sz w:val="20"/>
                <w:szCs w:val="20"/>
              </w:rPr>
              <w:t>Data not available</w:t>
            </w:r>
          </w:p>
        </w:tc>
        <w:tc>
          <w:tcPr>
            <w:tcW w:w="1171" w:type="dxa"/>
            <w:tcBorders>
              <w:top w:val="single" w:sz="4" w:space="0" w:color="auto"/>
              <w:left w:val="single" w:sz="4" w:space="0" w:color="auto"/>
              <w:bottom w:val="single" w:sz="4" w:space="0" w:color="auto"/>
              <w:right w:val="single" w:sz="4" w:space="0" w:color="auto"/>
            </w:tcBorders>
            <w:vAlign w:val="center"/>
          </w:tcPr>
          <w:p w14:paraId="648C8A8F" w14:textId="65D3B2FF" w:rsidR="008F296B" w:rsidRPr="00040AA9" w:rsidRDefault="008F296B" w:rsidP="00040AA9">
            <w:pPr>
              <w:suppressAutoHyphens/>
              <w:rPr>
                <w:rFonts w:ascii="Arial" w:hAnsi="Arial" w:cs="Arial"/>
                <w:sz w:val="20"/>
                <w:szCs w:val="20"/>
              </w:rPr>
            </w:pPr>
            <w:r w:rsidRPr="00040AA9">
              <w:rPr>
                <w:rFonts w:ascii="Arial" w:hAnsi="Arial" w:cs="Arial"/>
                <w:i/>
                <w:sz w:val="20"/>
                <w:szCs w:val="20"/>
              </w:rPr>
              <w:t>Value cannot be computed</w:t>
            </w:r>
          </w:p>
        </w:tc>
        <w:tc>
          <w:tcPr>
            <w:tcW w:w="5406" w:type="dxa"/>
            <w:gridSpan w:val="2"/>
            <w:tcBorders>
              <w:top w:val="single" w:sz="4" w:space="0" w:color="auto"/>
              <w:left w:val="single" w:sz="4" w:space="0" w:color="auto"/>
              <w:bottom w:val="single" w:sz="4" w:space="0" w:color="auto"/>
              <w:right w:val="single" w:sz="4" w:space="0" w:color="auto"/>
            </w:tcBorders>
          </w:tcPr>
          <w:p w14:paraId="7EAC89DB" w14:textId="1A754B73" w:rsidR="008F296B" w:rsidRPr="00040AA9" w:rsidRDefault="008F296B" w:rsidP="00040AA9">
            <w:pPr>
              <w:suppressAutoHyphens/>
              <w:rPr>
                <w:rFonts w:ascii="Arial" w:hAnsi="Arial" w:cs="Arial"/>
                <w:sz w:val="20"/>
                <w:szCs w:val="20"/>
              </w:rPr>
            </w:pPr>
            <w:r w:rsidRPr="00040AA9">
              <w:rPr>
                <w:rFonts w:ascii="Arial" w:hAnsi="Arial" w:cs="Arial"/>
                <w:sz w:val="20"/>
                <w:szCs w:val="20"/>
              </w:rPr>
              <w:t xml:space="preserve">NIS </w:t>
            </w:r>
            <w:r w:rsidR="0021619E" w:rsidRPr="00040AA9">
              <w:rPr>
                <w:rFonts w:ascii="Arial" w:hAnsi="Arial" w:cs="Arial"/>
                <w:sz w:val="20"/>
                <w:szCs w:val="20"/>
              </w:rPr>
              <w:t xml:space="preserve">officials </w:t>
            </w:r>
            <w:r w:rsidR="00D96563" w:rsidRPr="00040AA9">
              <w:rPr>
                <w:rFonts w:ascii="Arial" w:hAnsi="Arial" w:cs="Arial"/>
                <w:sz w:val="20"/>
                <w:szCs w:val="20"/>
              </w:rPr>
              <w:t xml:space="preserve">interviewed in </w:t>
            </w:r>
            <w:r w:rsidRPr="00040AA9">
              <w:rPr>
                <w:rFonts w:ascii="Arial" w:hAnsi="Arial" w:cs="Arial"/>
                <w:sz w:val="20"/>
                <w:szCs w:val="20"/>
              </w:rPr>
              <w:t>May 26, ’17) claimed they are incapable of providing this figure because they are in transition to a new computer system</w:t>
            </w:r>
            <w:r w:rsidR="00D96563" w:rsidRPr="00040AA9">
              <w:rPr>
                <w:rFonts w:ascii="Arial" w:hAnsi="Arial" w:cs="Arial"/>
                <w:sz w:val="20"/>
                <w:szCs w:val="20"/>
              </w:rPr>
              <w:t>, and that this indicator is t</w:t>
            </w:r>
            <w:r w:rsidRPr="00040AA9">
              <w:rPr>
                <w:rFonts w:ascii="Arial" w:hAnsi="Arial" w:cs="Arial"/>
                <w:sz w:val="20"/>
                <w:szCs w:val="20"/>
              </w:rPr>
              <w:t>oo difficult to compute manually</w:t>
            </w:r>
          </w:p>
        </w:tc>
      </w:tr>
      <w:tr w:rsidR="00A55DB7" w:rsidRPr="00CF5903" w14:paraId="032123B1" w14:textId="77777777" w:rsidTr="00040AA9">
        <w:trPr>
          <w:trHeight w:val="341"/>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83E13C0" w14:textId="77777777" w:rsidR="00A55DB7" w:rsidRPr="00D60FB9" w:rsidRDefault="00A55DB7" w:rsidP="00040AA9">
            <w:pPr>
              <w:keepNext/>
              <w:keepLines/>
              <w:suppressAutoHyphens/>
              <w:jc w:val="center"/>
              <w:rPr>
                <w:rFonts w:ascii="Arial" w:hAnsi="Arial" w:cs="Arial"/>
                <w:b/>
                <w:sz w:val="20"/>
                <w:szCs w:val="20"/>
              </w:rPr>
            </w:pPr>
            <w:r w:rsidRPr="00D60FB9">
              <w:rPr>
                <w:rFonts w:ascii="Arial" w:hAnsi="Arial" w:cs="Arial"/>
                <w:b/>
                <w:sz w:val="20"/>
                <w:szCs w:val="20"/>
              </w:rPr>
              <w:t>O</w:t>
            </w:r>
            <w:r w:rsidRPr="00D60FB9">
              <w:rPr>
                <w:rFonts w:ascii="Arial" w:hAnsi="Arial" w:cs="Arial"/>
                <w:b/>
                <w:sz w:val="20"/>
                <w:szCs w:val="20"/>
                <w:shd w:val="clear" w:color="auto" w:fill="E5DFEC" w:themeFill="accent4" w:themeFillTint="33"/>
              </w:rPr>
              <w:t>UTCOMES (RESULTS) for COMPONENT V – Strengthening the Fiscal Responsibility Framework</w:t>
            </w:r>
          </w:p>
        </w:tc>
      </w:tr>
      <w:tr w:rsidR="00A55DB7" w:rsidRPr="00CF5903" w14:paraId="3A6CA344" w14:textId="77777777" w:rsidTr="00040AA9">
        <w:trPr>
          <w:trHeight w:val="215"/>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62F20D" w14:textId="20DC4795" w:rsidR="00A55DB7" w:rsidRPr="00040AA9" w:rsidRDefault="00A55DB7" w:rsidP="00040AA9">
            <w:pPr>
              <w:keepNext/>
              <w:keepLines/>
              <w:suppressAutoHyphens/>
              <w:rPr>
                <w:rFonts w:ascii="Arial" w:hAnsi="Arial" w:cs="Arial"/>
                <w:sz w:val="20"/>
                <w:szCs w:val="20"/>
              </w:rPr>
            </w:pPr>
            <w:r w:rsidRPr="00040AA9">
              <w:rPr>
                <w:rFonts w:ascii="Arial" w:hAnsi="Arial" w:cs="Arial"/>
                <w:b/>
                <w:sz w:val="20"/>
                <w:szCs w:val="20"/>
              </w:rPr>
              <w:t xml:space="preserve">Outcome </w:t>
            </w:r>
            <w:r w:rsidR="00A854F2" w:rsidRPr="00040AA9">
              <w:rPr>
                <w:rFonts w:ascii="Arial" w:hAnsi="Arial" w:cs="Arial"/>
                <w:b/>
                <w:sz w:val="20"/>
                <w:szCs w:val="20"/>
              </w:rPr>
              <w:t>V.</w:t>
            </w:r>
            <w:r w:rsidRPr="00040AA9">
              <w:rPr>
                <w:rFonts w:ascii="Arial" w:hAnsi="Arial" w:cs="Arial"/>
                <w:b/>
                <w:sz w:val="20"/>
                <w:szCs w:val="20"/>
              </w:rPr>
              <w:t>18 Decrease delay in implementing corrective measures to address deviations from budget</w:t>
            </w:r>
          </w:p>
        </w:tc>
      </w:tr>
      <w:tr w:rsidR="00A55DB7" w:rsidRPr="00CF5903" w14:paraId="412E05DA" w14:textId="77777777" w:rsidTr="00E420C4">
        <w:trPr>
          <w:trHeight w:val="1133"/>
          <w:jc w:val="center"/>
        </w:trPr>
        <w:tc>
          <w:tcPr>
            <w:tcW w:w="2368" w:type="dxa"/>
            <w:vMerge w:val="restart"/>
            <w:tcBorders>
              <w:top w:val="single" w:sz="4" w:space="0" w:color="auto"/>
              <w:left w:val="single" w:sz="4" w:space="0" w:color="auto"/>
              <w:bottom w:val="single" w:sz="4" w:space="0" w:color="auto"/>
              <w:right w:val="single" w:sz="4" w:space="0" w:color="auto"/>
            </w:tcBorders>
            <w:vAlign w:val="center"/>
            <w:hideMark/>
          </w:tcPr>
          <w:p w14:paraId="74C0333A" w14:textId="1A4ACA7D"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 xml:space="preserve">Indicator </w:t>
            </w:r>
            <w:r w:rsidR="001B2682" w:rsidRPr="00040AA9">
              <w:rPr>
                <w:rFonts w:ascii="Arial" w:hAnsi="Arial" w:cs="Arial"/>
                <w:sz w:val="20"/>
                <w:szCs w:val="20"/>
              </w:rPr>
              <w:t>V.</w:t>
            </w:r>
            <w:r w:rsidRPr="00040AA9">
              <w:rPr>
                <w:rFonts w:ascii="Arial" w:hAnsi="Arial" w:cs="Arial"/>
                <w:sz w:val="20"/>
                <w:szCs w:val="20"/>
              </w:rPr>
              <w:t>18.1</w:t>
            </w:r>
          </w:p>
          <w:p w14:paraId="0C7A3BDF"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[Time to take] corrective measures [on budget deviations]</w:t>
            </w:r>
          </w:p>
          <w:p w14:paraId="4857A0F8"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(FSPG I, result 13</w:t>
            </w:r>
          </w:p>
          <w:p w14:paraId="64C72475"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Contract section 2.03.IV.(a))</w:t>
            </w:r>
          </w:p>
          <w:p w14:paraId="46CE7897" w14:textId="77777777" w:rsidR="00A55DB7" w:rsidRPr="00040AA9" w:rsidRDefault="00A55DB7" w:rsidP="00040AA9">
            <w:pPr>
              <w:keepNext/>
              <w:keepLines/>
              <w:suppressAutoHyphens/>
              <w:rPr>
                <w:rFonts w:ascii="Arial" w:hAnsi="Arial" w:cs="Arial"/>
                <w:sz w:val="20"/>
                <w:szCs w:val="20"/>
              </w:rPr>
            </w:pPr>
          </w:p>
          <w:p w14:paraId="79F51BC2"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 xml:space="preserve">See also FISPEG II Loan Proposal ¶1.12 </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4B36D8B0"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Months</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1223B17B"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12</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7E5C717B"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hideMark/>
          </w:tcPr>
          <w:p w14:paraId="3B7A658F"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6196EBC0"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1</w:t>
            </w:r>
          </w:p>
          <w:p w14:paraId="75DF058E" w14:textId="77777777" w:rsidR="00A55DB7" w:rsidRPr="00040AA9" w:rsidRDefault="00A55DB7" w:rsidP="00040AA9">
            <w:pPr>
              <w:keepNext/>
              <w:keepLines/>
              <w:suppressAutoHyphens/>
              <w:jc w:val="center"/>
              <w:rPr>
                <w:rFonts w:ascii="Arial" w:hAnsi="Arial" w:cs="Arial"/>
                <w:sz w:val="20"/>
                <w:szCs w:val="20"/>
              </w:rPr>
            </w:pPr>
            <w:r w:rsidRPr="00040AA9">
              <w:rPr>
                <w:rFonts w:ascii="Arial" w:hAnsi="Arial" w:cs="Arial"/>
                <w:sz w:val="20"/>
                <w:szCs w:val="20"/>
              </w:rPr>
              <w:t>(2015/16)</w:t>
            </w:r>
          </w:p>
          <w:p w14:paraId="07E50C81" w14:textId="77777777" w:rsidR="00A55DB7" w:rsidRPr="00040AA9" w:rsidRDefault="00A55DB7" w:rsidP="00040AA9">
            <w:pPr>
              <w:keepNext/>
              <w:keepLines/>
              <w:suppressAutoHyphens/>
              <w:jc w:val="center"/>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791D6456" w14:textId="77777777" w:rsidR="00A55DB7" w:rsidRPr="00040AA9" w:rsidRDefault="00A55DB7" w:rsidP="00040AA9">
            <w:pPr>
              <w:keepNext/>
              <w:keepLines/>
              <w:suppressAutoHyphens/>
              <w:rPr>
                <w:rFonts w:ascii="Arial" w:hAnsi="Arial" w:cs="Arial"/>
                <w:sz w:val="20"/>
                <w:szCs w:val="20"/>
              </w:rPr>
            </w:pPr>
          </w:p>
          <w:p w14:paraId="779F2F46" w14:textId="77777777" w:rsidR="00A55DB7" w:rsidRPr="00040AA9" w:rsidRDefault="00A55DB7" w:rsidP="00040AA9">
            <w:pPr>
              <w:keepNext/>
              <w:keepLines/>
              <w:suppressAutoHyphens/>
              <w:rPr>
                <w:rFonts w:ascii="Arial" w:hAnsi="Arial" w:cs="Arial"/>
                <w:sz w:val="20"/>
                <w:szCs w:val="20"/>
              </w:rPr>
            </w:pPr>
          </w:p>
          <w:p w14:paraId="30E59055" w14:textId="77777777" w:rsidR="00A55DB7" w:rsidRPr="00040AA9" w:rsidRDefault="00A55DB7" w:rsidP="00040AA9">
            <w:pPr>
              <w:keepNext/>
              <w:keepLines/>
              <w:suppressAutoHyphens/>
              <w:rPr>
                <w:rFonts w:ascii="Arial" w:hAnsi="Arial" w:cs="Arial"/>
                <w:sz w:val="20"/>
                <w:szCs w:val="20"/>
              </w:rPr>
            </w:pPr>
          </w:p>
          <w:p w14:paraId="71DEE91D" w14:textId="77777777" w:rsidR="00A55DB7" w:rsidRPr="00040AA9" w:rsidRDefault="00A55DB7" w:rsidP="00040AA9">
            <w:pPr>
              <w:keepNext/>
              <w:keepLines/>
              <w:suppressAutoHyphens/>
              <w:rPr>
                <w:rFonts w:ascii="Arial" w:hAnsi="Arial" w:cs="Arial"/>
                <w:sz w:val="20"/>
                <w:szCs w:val="20"/>
              </w:rPr>
            </w:pPr>
          </w:p>
          <w:p w14:paraId="0FA1EE61" w14:textId="77777777" w:rsidR="00A55DB7" w:rsidRPr="00040AA9" w:rsidRDefault="00A55DB7" w:rsidP="00040AA9">
            <w:pPr>
              <w:keepNext/>
              <w:keepLines/>
              <w:suppressAutoHyphens/>
              <w:rPr>
                <w:rFonts w:ascii="Arial" w:hAnsi="Arial" w:cs="Arial"/>
                <w:sz w:val="20"/>
                <w:szCs w:val="20"/>
              </w:rPr>
            </w:pPr>
          </w:p>
          <w:p w14:paraId="5242C7FE" w14:textId="77777777" w:rsidR="00A55DB7" w:rsidRPr="00040AA9" w:rsidRDefault="00A55DB7" w:rsidP="00040AA9">
            <w:pPr>
              <w:keepNext/>
              <w:keepLines/>
              <w:suppressAutoHyphens/>
              <w:rPr>
                <w:rFonts w:ascii="Arial" w:hAnsi="Arial" w:cs="Arial"/>
                <w:sz w:val="20"/>
                <w:szCs w:val="20"/>
              </w:rPr>
            </w:pPr>
          </w:p>
          <w:p w14:paraId="66FF436C" w14:textId="77777777" w:rsidR="00A55DB7" w:rsidRPr="00040AA9" w:rsidRDefault="00A55DB7" w:rsidP="00040AA9">
            <w:pPr>
              <w:keepNext/>
              <w:keepLines/>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69CA7281" w14:textId="77777777" w:rsidR="00A55DB7" w:rsidRPr="00040AA9" w:rsidRDefault="00A55DB7" w:rsidP="00040AA9">
            <w:pPr>
              <w:keepNext/>
              <w:keepLines/>
              <w:suppressAutoHyphens/>
              <w:rPr>
                <w:rFonts w:ascii="Arial" w:hAnsi="Arial" w:cs="Arial"/>
                <w:sz w:val="20"/>
                <w:szCs w:val="20"/>
              </w:rPr>
            </w:pPr>
            <w:r w:rsidRPr="00040AA9">
              <w:rPr>
                <w:rFonts w:ascii="Arial" w:hAnsi="Arial" w:cs="Arial"/>
                <w:sz w:val="20"/>
                <w:szCs w:val="20"/>
              </w:rPr>
              <w:t>Escape clause in the Fiscal Rules to be activated only by Parliament in case of major adverse shocks approved by Cabinet</w:t>
            </w:r>
          </w:p>
        </w:tc>
      </w:tr>
      <w:tr w:rsidR="00A55DB7" w:rsidRPr="00CF5903" w14:paraId="006A736F" w14:textId="77777777" w:rsidTr="00E420C4">
        <w:trPr>
          <w:trHeight w:val="251"/>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1DA357FC"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1E732595"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2758019"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30C0170D"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54410AA3"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5E4202E7" w14:textId="77777777" w:rsidR="00A55DB7" w:rsidRPr="00040AA9" w:rsidRDefault="00A55DB7" w:rsidP="00040AA9">
            <w:pPr>
              <w:suppressAutoHyphens/>
              <w:rPr>
                <w:rFonts w:ascii="Arial" w:hAnsi="Arial" w:cs="Arial"/>
                <w:sz w:val="20"/>
                <w:szCs w:val="20"/>
              </w:rPr>
            </w:pP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25764324" w14:textId="77777777" w:rsidR="00A55DB7" w:rsidRPr="00040AA9" w:rsidRDefault="00A55DB7"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44FA9325" w14:textId="77777777" w:rsidR="00A55DB7" w:rsidRPr="00040AA9" w:rsidRDefault="00A55DB7" w:rsidP="00040AA9">
            <w:pPr>
              <w:suppressAutoHyphens/>
              <w:rPr>
                <w:rFonts w:ascii="Arial" w:hAnsi="Arial" w:cs="Arial"/>
                <w:sz w:val="20"/>
                <w:szCs w:val="20"/>
              </w:rPr>
            </w:pPr>
          </w:p>
        </w:tc>
      </w:tr>
      <w:tr w:rsidR="00A55DB7" w:rsidRPr="00CF5903" w14:paraId="38805E42" w14:textId="77777777" w:rsidTr="00E420C4">
        <w:trPr>
          <w:jc w:val="center"/>
        </w:trPr>
        <w:tc>
          <w:tcPr>
            <w:tcW w:w="2368" w:type="dxa"/>
            <w:vMerge/>
            <w:tcBorders>
              <w:top w:val="single" w:sz="4" w:space="0" w:color="auto"/>
              <w:left w:val="single" w:sz="4" w:space="0" w:color="auto"/>
              <w:bottom w:val="single" w:sz="4" w:space="0" w:color="auto"/>
              <w:right w:val="single" w:sz="4" w:space="0" w:color="auto"/>
            </w:tcBorders>
            <w:vAlign w:val="center"/>
            <w:hideMark/>
          </w:tcPr>
          <w:p w14:paraId="0EDB29B1" w14:textId="77777777" w:rsidR="00A55DB7" w:rsidRPr="00040AA9" w:rsidRDefault="00A55DB7" w:rsidP="00040AA9">
            <w:pPr>
              <w:suppressAutoHyphens/>
              <w:rPr>
                <w:rFonts w:ascii="Arial" w:hAnsi="Arial" w:cs="Arial"/>
                <w:sz w:val="20"/>
                <w:szCs w:val="20"/>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08DB1FE8" w14:textId="77777777" w:rsidR="00A55DB7" w:rsidRPr="00040AA9" w:rsidRDefault="00A55DB7" w:rsidP="00040AA9">
            <w:pPr>
              <w:suppressAutoHyphens/>
              <w:jc w:val="center"/>
              <w:rPr>
                <w:rFonts w:ascii="Arial" w:hAnsi="Arial" w:cs="Arial"/>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963B386" w14:textId="77777777" w:rsidR="00A55DB7" w:rsidRPr="00040AA9" w:rsidRDefault="00A55DB7" w:rsidP="00040AA9">
            <w:pPr>
              <w:suppressAutoHyphens/>
              <w:jc w:val="center"/>
              <w:rPr>
                <w:rFonts w:ascii="Arial" w:hAnsi="Arial" w:cs="Arial"/>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60EB12A0" w14:textId="77777777" w:rsidR="00A55DB7" w:rsidRPr="00040AA9" w:rsidRDefault="00A55DB7" w:rsidP="00040AA9">
            <w:pPr>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hideMark/>
          </w:tcPr>
          <w:p w14:paraId="35367EB5" w14:textId="77777777"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A</w:t>
            </w:r>
          </w:p>
        </w:tc>
        <w:tc>
          <w:tcPr>
            <w:tcW w:w="1080" w:type="dxa"/>
            <w:tcBorders>
              <w:top w:val="single" w:sz="4" w:space="0" w:color="auto"/>
              <w:left w:val="single" w:sz="4" w:space="0" w:color="auto"/>
              <w:bottom w:val="single" w:sz="4" w:space="0" w:color="auto"/>
              <w:right w:val="single" w:sz="4" w:space="0" w:color="auto"/>
            </w:tcBorders>
            <w:vAlign w:val="center"/>
          </w:tcPr>
          <w:p w14:paraId="11A5A271" w14:textId="3AC00CD8"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1</w:t>
            </w:r>
            <w:r w:rsidRPr="00040AA9">
              <w:rPr>
                <w:rStyle w:val="FootnoteReference"/>
                <w:rFonts w:ascii="Arial" w:hAnsi="Arial" w:cs="Arial"/>
                <w:sz w:val="20"/>
                <w:szCs w:val="20"/>
              </w:rPr>
              <w:footnoteReference w:id="78"/>
            </w:r>
          </w:p>
          <w:p w14:paraId="06A7C5E4" w14:textId="5C40DC98" w:rsidR="00A55DB7" w:rsidRPr="00040AA9" w:rsidRDefault="00A55DB7" w:rsidP="00040AA9">
            <w:pPr>
              <w:suppressAutoHyphens/>
              <w:jc w:val="center"/>
              <w:rPr>
                <w:rFonts w:ascii="Arial" w:hAnsi="Arial" w:cs="Arial"/>
                <w:sz w:val="20"/>
                <w:szCs w:val="20"/>
              </w:rPr>
            </w:pPr>
            <w:r w:rsidRPr="00040AA9">
              <w:rPr>
                <w:rFonts w:ascii="Arial" w:hAnsi="Arial" w:cs="Arial"/>
                <w:sz w:val="20"/>
                <w:szCs w:val="20"/>
              </w:rPr>
              <w:t>(2015/16)</w:t>
            </w:r>
          </w:p>
        </w:tc>
        <w:tc>
          <w:tcPr>
            <w:tcW w:w="1203" w:type="dxa"/>
            <w:gridSpan w:val="2"/>
            <w:tcBorders>
              <w:top w:val="single" w:sz="4" w:space="0" w:color="auto"/>
              <w:left w:val="single" w:sz="4" w:space="0" w:color="auto"/>
              <w:bottom w:val="single" w:sz="4" w:space="0" w:color="auto"/>
              <w:right w:val="single" w:sz="4" w:space="0" w:color="auto"/>
            </w:tcBorders>
            <w:vAlign w:val="center"/>
            <w:hideMark/>
          </w:tcPr>
          <w:p w14:paraId="6D5F7106" w14:textId="77777777" w:rsidR="00A55DB7" w:rsidRPr="00040AA9" w:rsidRDefault="00A55DB7" w:rsidP="00040AA9">
            <w:pPr>
              <w:suppressAutoHyphens/>
              <w:rPr>
                <w:rFonts w:ascii="Arial" w:hAnsi="Arial" w:cs="Arial"/>
                <w:i/>
                <w:sz w:val="20"/>
                <w:szCs w:val="20"/>
              </w:rPr>
            </w:pPr>
            <w:r w:rsidRPr="00040AA9">
              <w:rPr>
                <w:rFonts w:ascii="Arial" w:hAnsi="Arial" w:cs="Arial"/>
                <w:i/>
                <w:sz w:val="20"/>
                <w:szCs w:val="20"/>
              </w:rPr>
              <w:t>=&gt;100%</w:t>
            </w:r>
          </w:p>
          <w:p w14:paraId="017FF20A" w14:textId="77777777" w:rsidR="00A55DB7" w:rsidRPr="00040AA9" w:rsidRDefault="00A55DB7" w:rsidP="00040AA9">
            <w:pPr>
              <w:suppressAutoHyphens/>
              <w:rPr>
                <w:rFonts w:ascii="Arial" w:hAnsi="Arial" w:cs="Arial"/>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24750AAE" w14:textId="6E26305D" w:rsidR="00A55DB7" w:rsidRPr="00040AA9" w:rsidRDefault="00A55DB7" w:rsidP="00040AA9">
            <w:pPr>
              <w:suppressAutoHyphens/>
              <w:rPr>
                <w:rFonts w:ascii="Arial" w:hAnsi="Arial" w:cs="Arial"/>
                <w:i/>
                <w:sz w:val="20"/>
                <w:szCs w:val="20"/>
              </w:rPr>
            </w:pPr>
            <w:r w:rsidRPr="00040AA9">
              <w:rPr>
                <w:rFonts w:ascii="Arial" w:hAnsi="Arial" w:cs="Arial"/>
                <w:sz w:val="20"/>
                <w:szCs w:val="20"/>
              </w:rPr>
              <w:t>The Financial Administration and Audit (Amendment) Act, 2014 has the relevant language=&gt; see abstract from Fiscal Policy Paper below</w:t>
            </w:r>
            <w:r w:rsidRPr="00040AA9">
              <w:rPr>
                <w:rStyle w:val="FootnoteReference"/>
                <w:rFonts w:ascii="Arial" w:hAnsi="Arial" w:cs="Arial"/>
                <w:i/>
                <w:sz w:val="20"/>
                <w:szCs w:val="20"/>
              </w:rPr>
              <w:footnoteReference w:id="79"/>
            </w:r>
          </w:p>
        </w:tc>
      </w:tr>
      <w:tr w:rsidR="00A55DB7" w:rsidRPr="00CF5903" w14:paraId="63517903" w14:textId="77777777" w:rsidTr="00040AA9">
        <w:trPr>
          <w:trHeight w:val="278"/>
          <w:jc w:val="center"/>
        </w:trPr>
        <w:tc>
          <w:tcPr>
            <w:tcW w:w="1305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ACD774" w14:textId="3DB2D993" w:rsidR="00A55DB7" w:rsidRPr="00040AA9" w:rsidRDefault="00A55DB7" w:rsidP="00040AA9">
            <w:pPr>
              <w:keepNext/>
              <w:keepLines/>
              <w:widowControl w:val="0"/>
              <w:suppressAutoHyphens/>
              <w:rPr>
                <w:rFonts w:ascii="Arial" w:hAnsi="Arial" w:cs="Arial"/>
                <w:sz w:val="20"/>
                <w:szCs w:val="20"/>
              </w:rPr>
            </w:pPr>
            <w:r w:rsidRPr="00040AA9">
              <w:rPr>
                <w:rFonts w:ascii="Arial" w:hAnsi="Arial" w:cs="Arial"/>
                <w:b/>
                <w:sz w:val="20"/>
                <w:szCs w:val="20"/>
              </w:rPr>
              <w:t xml:space="preserve">Outcome </w:t>
            </w:r>
            <w:r w:rsidR="00A854F2" w:rsidRPr="00040AA9">
              <w:rPr>
                <w:rFonts w:ascii="Arial" w:hAnsi="Arial" w:cs="Arial"/>
                <w:b/>
                <w:sz w:val="20"/>
                <w:szCs w:val="20"/>
              </w:rPr>
              <w:t>V.</w:t>
            </w:r>
            <w:r w:rsidRPr="00040AA9">
              <w:rPr>
                <w:rFonts w:ascii="Arial" w:hAnsi="Arial" w:cs="Arial"/>
                <w:b/>
                <w:sz w:val="20"/>
                <w:szCs w:val="20"/>
              </w:rPr>
              <w:t>19 Decrease the primary expenditure</w:t>
            </w:r>
          </w:p>
        </w:tc>
      </w:tr>
      <w:tr w:rsidR="006D7964" w:rsidRPr="00CF5903" w14:paraId="4F114AE3" w14:textId="77777777" w:rsidTr="00E420C4">
        <w:trPr>
          <w:trHeight w:val="1421"/>
          <w:jc w:val="center"/>
        </w:trPr>
        <w:tc>
          <w:tcPr>
            <w:tcW w:w="2368" w:type="dxa"/>
            <w:vMerge w:val="restart"/>
            <w:tcBorders>
              <w:top w:val="single" w:sz="4" w:space="0" w:color="auto"/>
              <w:left w:val="single" w:sz="4" w:space="0" w:color="auto"/>
              <w:right w:val="single" w:sz="4" w:space="0" w:color="auto"/>
            </w:tcBorders>
            <w:vAlign w:val="center"/>
          </w:tcPr>
          <w:p w14:paraId="2B6FB5FD" w14:textId="2336132F" w:rsidR="00094C3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 xml:space="preserve">Indicator </w:t>
            </w:r>
            <w:r w:rsidR="001B2682" w:rsidRPr="00040AA9">
              <w:rPr>
                <w:rFonts w:ascii="Arial" w:hAnsi="Arial" w:cs="Arial"/>
                <w:sz w:val="20"/>
                <w:szCs w:val="20"/>
              </w:rPr>
              <w:t>V.</w:t>
            </w:r>
            <w:r w:rsidRPr="00040AA9">
              <w:rPr>
                <w:rFonts w:ascii="Arial" w:hAnsi="Arial" w:cs="Arial"/>
                <w:sz w:val="20"/>
                <w:szCs w:val="20"/>
              </w:rPr>
              <w:t>19.</w:t>
            </w:r>
            <w:r w:rsidR="00094C34" w:rsidRPr="00040AA9">
              <w:rPr>
                <w:rFonts w:ascii="Arial" w:hAnsi="Arial" w:cs="Arial"/>
                <w:sz w:val="20"/>
                <w:szCs w:val="20"/>
              </w:rPr>
              <w:t>1</w:t>
            </w:r>
          </w:p>
          <w:p w14:paraId="51189371" w14:textId="76EF4CC1" w:rsidR="006D796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Primary expenditure</w:t>
            </w:r>
            <w:r w:rsidR="008D27FC" w:rsidRPr="00040AA9">
              <w:rPr>
                <w:rStyle w:val="FootnoteReference"/>
                <w:rFonts w:ascii="Arial" w:hAnsi="Arial" w:cs="Arial"/>
                <w:i/>
                <w:sz w:val="20"/>
                <w:szCs w:val="20"/>
              </w:rPr>
              <w:footnoteReference w:id="80"/>
            </w:r>
          </w:p>
          <w:p w14:paraId="36DD39EE" w14:textId="77777777" w:rsidR="006D796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(FSPG I, result 8)</w:t>
            </w:r>
          </w:p>
          <w:p w14:paraId="60043E2B" w14:textId="77777777" w:rsidR="006D7964" w:rsidRPr="00040AA9" w:rsidRDefault="006D7964" w:rsidP="00040AA9">
            <w:pPr>
              <w:keepNext/>
              <w:keepLines/>
              <w:widowControl w:val="0"/>
              <w:suppressAutoHyphens/>
              <w:rPr>
                <w:rFonts w:ascii="Arial" w:hAnsi="Arial" w:cs="Arial"/>
                <w:sz w:val="20"/>
                <w:szCs w:val="20"/>
              </w:rPr>
            </w:pPr>
          </w:p>
          <w:p w14:paraId="1DD1E83E" w14:textId="77777777" w:rsidR="006D796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Primary Expenditure / Nominal GDP.</w:t>
            </w:r>
          </w:p>
          <w:p w14:paraId="18C7463A" w14:textId="77777777" w:rsidR="006D796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(FSPG II, result 9)</w:t>
            </w:r>
          </w:p>
          <w:p w14:paraId="6DCBC08B" w14:textId="68CA75E9" w:rsidR="006D796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(FSPG III, result 9)</w:t>
            </w:r>
          </w:p>
          <w:p w14:paraId="3A1A61F5" w14:textId="77777777" w:rsidR="006D7964" w:rsidRPr="00040AA9" w:rsidRDefault="006D7964" w:rsidP="00040AA9">
            <w:pPr>
              <w:keepNext/>
              <w:keepLines/>
              <w:widowControl w:val="0"/>
              <w:suppressAutoHyphens/>
              <w:rPr>
                <w:rFonts w:ascii="Arial" w:hAnsi="Arial" w:cs="Arial"/>
                <w:sz w:val="20"/>
                <w:szCs w:val="20"/>
              </w:rPr>
            </w:pPr>
          </w:p>
          <w:p w14:paraId="3CA68A35" w14:textId="4185503D" w:rsidR="006D7964" w:rsidRPr="00040AA9" w:rsidRDefault="006D7964" w:rsidP="00040AA9">
            <w:pPr>
              <w:keepNext/>
              <w:keepLines/>
              <w:widowControl w:val="0"/>
              <w:suppressAutoHyphens/>
              <w:rPr>
                <w:rFonts w:ascii="Arial" w:hAnsi="Arial" w:cs="Arial"/>
                <w:sz w:val="20"/>
                <w:szCs w:val="20"/>
              </w:rPr>
            </w:pPr>
            <w:r w:rsidRPr="00040AA9">
              <w:rPr>
                <w:rFonts w:ascii="Arial" w:hAnsi="Arial" w:cs="Arial"/>
                <w:sz w:val="20"/>
                <w:szCs w:val="20"/>
              </w:rPr>
              <w:t xml:space="preserve">Note: The name of the indicator used in the FSPG II &amp; </w:t>
            </w:r>
            <w:r w:rsidR="00435749" w:rsidRPr="00CF5903">
              <w:rPr>
                <w:rFonts w:ascii="Arial" w:hAnsi="Arial" w:cs="Arial"/>
                <w:sz w:val="20"/>
                <w:szCs w:val="20"/>
              </w:rPr>
              <w:t>III operations</w:t>
            </w:r>
            <w:r w:rsidRPr="00040AA9">
              <w:rPr>
                <w:rFonts w:ascii="Arial" w:hAnsi="Arial" w:cs="Arial"/>
                <w:sz w:val="20"/>
                <w:szCs w:val="20"/>
              </w:rPr>
              <w:t xml:space="preserve"> is more complete and accurate, therefore it is the name used in Convergence</w:t>
            </w:r>
          </w:p>
        </w:tc>
        <w:tc>
          <w:tcPr>
            <w:tcW w:w="810" w:type="dxa"/>
            <w:vMerge w:val="restart"/>
            <w:tcBorders>
              <w:top w:val="single" w:sz="4" w:space="0" w:color="auto"/>
              <w:left w:val="single" w:sz="4" w:space="0" w:color="auto"/>
              <w:right w:val="single" w:sz="4" w:space="0" w:color="auto"/>
            </w:tcBorders>
            <w:vAlign w:val="center"/>
          </w:tcPr>
          <w:p w14:paraId="5C10FAE1"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 of GDP</w:t>
            </w:r>
          </w:p>
        </w:tc>
        <w:tc>
          <w:tcPr>
            <w:tcW w:w="900" w:type="dxa"/>
            <w:vMerge w:val="restart"/>
            <w:tcBorders>
              <w:top w:val="single" w:sz="4" w:space="0" w:color="auto"/>
              <w:left w:val="single" w:sz="4" w:space="0" w:color="auto"/>
              <w:right w:val="single" w:sz="4" w:space="0" w:color="auto"/>
            </w:tcBorders>
            <w:vAlign w:val="center"/>
          </w:tcPr>
          <w:p w14:paraId="2E7FCC03" w14:textId="77777777" w:rsidR="006D7964" w:rsidRPr="00040AA9" w:rsidRDefault="006D7964" w:rsidP="00040AA9">
            <w:pPr>
              <w:keepNext/>
              <w:keepLines/>
              <w:widowControl w:val="0"/>
              <w:suppressAutoHyphens/>
              <w:jc w:val="center"/>
              <w:rPr>
                <w:rFonts w:ascii="Arial" w:hAnsi="Arial" w:cs="Arial"/>
                <w:sz w:val="20"/>
                <w:szCs w:val="20"/>
              </w:rPr>
            </w:pPr>
          </w:p>
          <w:p w14:paraId="77C25239" w14:textId="415F2341" w:rsidR="006D7964" w:rsidRPr="00040AA9" w:rsidRDefault="006D7964" w:rsidP="00040AA9">
            <w:pPr>
              <w:keepNext/>
              <w:keepLines/>
              <w:widowControl w:val="0"/>
              <w:suppressAutoHyphens/>
              <w:jc w:val="center"/>
              <w:rPr>
                <w:rFonts w:ascii="Arial" w:hAnsi="Arial" w:cs="Arial"/>
                <w:color w:val="000000"/>
                <w:sz w:val="20"/>
                <w:szCs w:val="20"/>
              </w:rPr>
            </w:pPr>
            <w:r w:rsidRPr="00040AA9">
              <w:rPr>
                <w:rFonts w:ascii="Arial" w:hAnsi="Arial" w:cs="Arial"/>
                <w:color w:val="000000"/>
                <w:sz w:val="20"/>
                <w:szCs w:val="20"/>
              </w:rPr>
              <w:t>20.4</w:t>
            </w:r>
            <w:r w:rsidRPr="00040AA9">
              <w:rPr>
                <w:rStyle w:val="FootnoteReference"/>
                <w:rFonts w:ascii="Arial" w:hAnsi="Arial" w:cs="Arial"/>
                <w:color w:val="000000"/>
                <w:sz w:val="20"/>
                <w:szCs w:val="20"/>
              </w:rPr>
              <w:footnoteReference w:id="81"/>
            </w:r>
          </w:p>
          <w:p w14:paraId="74D94B51" w14:textId="07F0F121" w:rsidR="006D7964" w:rsidRPr="00040AA9" w:rsidRDefault="006D7964" w:rsidP="00040AA9">
            <w:pPr>
              <w:keepNext/>
              <w:keepLines/>
              <w:widowControl w:val="0"/>
              <w:suppressAutoHyphens/>
              <w:jc w:val="center"/>
              <w:rPr>
                <w:rFonts w:ascii="Arial" w:hAnsi="Arial" w:cs="Arial"/>
                <w:color w:val="000000"/>
                <w:sz w:val="20"/>
                <w:szCs w:val="20"/>
              </w:rPr>
            </w:pPr>
            <w:r w:rsidRPr="00040AA9">
              <w:rPr>
                <w:rFonts w:ascii="Arial" w:hAnsi="Arial" w:cs="Arial"/>
                <w:color w:val="000000"/>
                <w:sz w:val="20"/>
                <w:szCs w:val="20"/>
              </w:rPr>
              <w:t>(FSPG III)</w:t>
            </w:r>
          </w:p>
          <w:p w14:paraId="4F2B50F2" w14:textId="4EABD8C5" w:rsidR="006D7964" w:rsidRPr="00040AA9" w:rsidRDefault="006D7964" w:rsidP="00040AA9">
            <w:pPr>
              <w:keepNext/>
              <w:keepLines/>
              <w:widowControl w:val="0"/>
              <w:suppressAutoHyphens/>
              <w:jc w:val="center"/>
              <w:rPr>
                <w:rFonts w:ascii="Arial" w:hAnsi="Arial" w:cs="Arial"/>
                <w:sz w:val="20"/>
                <w:szCs w:val="20"/>
              </w:rPr>
            </w:pPr>
          </w:p>
        </w:tc>
        <w:tc>
          <w:tcPr>
            <w:tcW w:w="720" w:type="dxa"/>
            <w:vMerge w:val="restart"/>
            <w:tcBorders>
              <w:top w:val="single" w:sz="4" w:space="0" w:color="auto"/>
              <w:left w:val="single" w:sz="4" w:space="0" w:color="auto"/>
              <w:right w:val="single" w:sz="4" w:space="0" w:color="auto"/>
            </w:tcBorders>
            <w:vAlign w:val="center"/>
          </w:tcPr>
          <w:p w14:paraId="4BCD2AC1"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2012/13</w:t>
            </w:r>
          </w:p>
        </w:tc>
        <w:tc>
          <w:tcPr>
            <w:tcW w:w="597" w:type="dxa"/>
            <w:tcBorders>
              <w:top w:val="single" w:sz="4" w:space="0" w:color="auto"/>
              <w:left w:val="single" w:sz="4" w:space="0" w:color="auto"/>
              <w:bottom w:val="single" w:sz="4" w:space="0" w:color="auto"/>
              <w:right w:val="single" w:sz="4" w:space="0" w:color="auto"/>
            </w:tcBorders>
            <w:vAlign w:val="center"/>
          </w:tcPr>
          <w:p w14:paraId="18EE1BF6"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P</w:t>
            </w:r>
          </w:p>
        </w:tc>
        <w:tc>
          <w:tcPr>
            <w:tcW w:w="1080" w:type="dxa"/>
            <w:tcBorders>
              <w:top w:val="single" w:sz="4" w:space="0" w:color="auto"/>
              <w:left w:val="single" w:sz="4" w:space="0" w:color="auto"/>
              <w:bottom w:val="single" w:sz="4" w:space="0" w:color="auto"/>
              <w:right w:val="single" w:sz="4" w:space="0" w:color="auto"/>
            </w:tcBorders>
            <w:vAlign w:val="center"/>
          </w:tcPr>
          <w:p w14:paraId="01B36AC9"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19.9</w:t>
            </w:r>
          </w:p>
          <w:p w14:paraId="5B146042"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(FSPEG I)</w:t>
            </w:r>
          </w:p>
          <w:p w14:paraId="37BDA982"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(2015/16)</w:t>
            </w:r>
          </w:p>
          <w:p w14:paraId="021CAF6E" w14:textId="77777777" w:rsidR="006D7964" w:rsidRPr="00040AA9" w:rsidRDefault="006D7964" w:rsidP="00040AA9">
            <w:pPr>
              <w:keepNext/>
              <w:keepLines/>
              <w:widowControl w:val="0"/>
              <w:suppressAutoHyphens/>
              <w:jc w:val="center"/>
              <w:rPr>
                <w:rFonts w:ascii="Arial" w:hAnsi="Arial" w:cs="Arial"/>
                <w:sz w:val="20"/>
                <w:szCs w:val="20"/>
              </w:rPr>
            </w:pPr>
          </w:p>
          <w:p w14:paraId="2182C237"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18.6</w:t>
            </w:r>
          </w:p>
          <w:p w14:paraId="306174C0" w14:textId="77777777"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(FSPG II)</w:t>
            </w:r>
          </w:p>
          <w:p w14:paraId="48DE9276" w14:textId="7240544A" w:rsidR="006D7964" w:rsidRPr="00040AA9" w:rsidRDefault="006D7964" w:rsidP="00040AA9">
            <w:pPr>
              <w:keepNext/>
              <w:keepLines/>
              <w:widowControl w:val="0"/>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1DA59C39" w14:textId="77777777" w:rsidR="006D7964" w:rsidRPr="00040AA9" w:rsidRDefault="006D7964" w:rsidP="00040AA9">
            <w:pPr>
              <w:widowControl w:val="0"/>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75670B00" w14:textId="77777777" w:rsidR="006D7964" w:rsidRPr="00040AA9" w:rsidRDefault="006D7964" w:rsidP="00040AA9">
            <w:pPr>
              <w:widowControl w:val="0"/>
              <w:suppressAutoHyphens/>
              <w:rPr>
                <w:rFonts w:ascii="Arial" w:hAnsi="Arial" w:cs="Arial"/>
                <w:sz w:val="20"/>
                <w:szCs w:val="20"/>
              </w:rPr>
            </w:pPr>
            <w:r w:rsidRPr="00040AA9">
              <w:rPr>
                <w:rFonts w:ascii="Arial" w:hAnsi="Arial" w:cs="Arial"/>
                <w:sz w:val="20"/>
                <w:szCs w:val="20"/>
                <w:lang w:val="en-CA"/>
              </w:rPr>
              <w:t>Ministry of Finance annual Financial Report</w:t>
            </w:r>
          </w:p>
        </w:tc>
      </w:tr>
      <w:tr w:rsidR="006D7964" w:rsidRPr="00CF5903" w14:paraId="0A76A7F6" w14:textId="77777777" w:rsidTr="00E420C4">
        <w:trPr>
          <w:jc w:val="center"/>
        </w:trPr>
        <w:tc>
          <w:tcPr>
            <w:tcW w:w="2368" w:type="dxa"/>
            <w:vMerge/>
            <w:tcBorders>
              <w:left w:val="single" w:sz="4" w:space="0" w:color="auto"/>
              <w:right w:val="single" w:sz="4" w:space="0" w:color="auto"/>
            </w:tcBorders>
            <w:vAlign w:val="center"/>
          </w:tcPr>
          <w:p w14:paraId="6572BF54" w14:textId="77777777" w:rsidR="006D7964" w:rsidRPr="00040AA9" w:rsidRDefault="006D7964" w:rsidP="00040AA9">
            <w:pPr>
              <w:keepNext/>
              <w:keepLines/>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7E22E3AF" w14:textId="77777777" w:rsidR="006D7964" w:rsidRPr="00040AA9" w:rsidRDefault="006D7964" w:rsidP="00040AA9">
            <w:pPr>
              <w:keepNext/>
              <w:keepLines/>
              <w:suppressAutoHyphens/>
              <w:jc w:val="center"/>
              <w:rPr>
                <w:rFonts w:ascii="Arial" w:hAnsi="Arial" w:cs="Arial"/>
                <w:sz w:val="20"/>
                <w:szCs w:val="20"/>
              </w:rPr>
            </w:pPr>
          </w:p>
        </w:tc>
        <w:tc>
          <w:tcPr>
            <w:tcW w:w="900" w:type="dxa"/>
            <w:vMerge/>
            <w:tcBorders>
              <w:left w:val="single" w:sz="4" w:space="0" w:color="auto"/>
              <w:right w:val="single" w:sz="4" w:space="0" w:color="auto"/>
            </w:tcBorders>
            <w:vAlign w:val="center"/>
          </w:tcPr>
          <w:p w14:paraId="1B85BF8A" w14:textId="77777777" w:rsidR="006D7964" w:rsidRPr="00040AA9" w:rsidRDefault="006D7964" w:rsidP="00040AA9">
            <w:pPr>
              <w:keepNext/>
              <w:keepLines/>
              <w:suppressAutoHyphens/>
              <w:jc w:val="center"/>
              <w:rPr>
                <w:rFonts w:ascii="Arial" w:hAnsi="Arial" w:cs="Arial"/>
                <w:sz w:val="20"/>
                <w:szCs w:val="20"/>
              </w:rPr>
            </w:pPr>
          </w:p>
        </w:tc>
        <w:tc>
          <w:tcPr>
            <w:tcW w:w="720" w:type="dxa"/>
            <w:vMerge/>
            <w:tcBorders>
              <w:left w:val="single" w:sz="4" w:space="0" w:color="auto"/>
              <w:right w:val="single" w:sz="4" w:space="0" w:color="auto"/>
            </w:tcBorders>
            <w:vAlign w:val="center"/>
          </w:tcPr>
          <w:p w14:paraId="7511DA7C" w14:textId="77777777" w:rsidR="006D7964" w:rsidRPr="00040AA9" w:rsidRDefault="006D7964" w:rsidP="00040AA9">
            <w:pPr>
              <w:keepNext/>
              <w:keepLines/>
              <w:suppressAutoHyphens/>
              <w:jc w:val="center"/>
              <w:rPr>
                <w:rFonts w:ascii="Arial" w:hAnsi="Arial" w:cs="Arial"/>
                <w:sz w:val="20"/>
                <w:szCs w:val="20"/>
              </w:rPr>
            </w:pPr>
          </w:p>
        </w:tc>
        <w:tc>
          <w:tcPr>
            <w:tcW w:w="597" w:type="dxa"/>
            <w:tcBorders>
              <w:top w:val="single" w:sz="4" w:space="0" w:color="auto"/>
              <w:left w:val="single" w:sz="4" w:space="0" w:color="auto"/>
              <w:bottom w:val="single" w:sz="4" w:space="0" w:color="auto"/>
              <w:right w:val="single" w:sz="4" w:space="0" w:color="auto"/>
            </w:tcBorders>
            <w:vAlign w:val="center"/>
          </w:tcPr>
          <w:p w14:paraId="48F7C095" w14:textId="77777777" w:rsidR="006D7964" w:rsidRPr="00040AA9" w:rsidRDefault="006D7964" w:rsidP="00040AA9">
            <w:pPr>
              <w:keepNext/>
              <w:keepLines/>
              <w:suppressAutoHyphens/>
              <w:rPr>
                <w:rFonts w:ascii="Arial" w:hAnsi="Arial" w:cs="Arial"/>
                <w:sz w:val="20"/>
                <w:szCs w:val="20"/>
              </w:rPr>
            </w:pPr>
            <w:r w:rsidRPr="00040AA9">
              <w:rPr>
                <w:rFonts w:ascii="Arial" w:hAnsi="Arial" w:cs="Arial"/>
                <w:sz w:val="20"/>
                <w:szCs w:val="20"/>
              </w:rPr>
              <w:t>P(a)</w:t>
            </w:r>
          </w:p>
        </w:tc>
        <w:tc>
          <w:tcPr>
            <w:tcW w:w="1080" w:type="dxa"/>
            <w:tcBorders>
              <w:top w:val="single" w:sz="4" w:space="0" w:color="auto"/>
              <w:left w:val="single" w:sz="4" w:space="0" w:color="auto"/>
              <w:bottom w:val="single" w:sz="4" w:space="0" w:color="auto"/>
              <w:right w:val="single" w:sz="4" w:space="0" w:color="auto"/>
            </w:tcBorders>
            <w:vAlign w:val="center"/>
          </w:tcPr>
          <w:p w14:paraId="63A3DF94" w14:textId="77777777" w:rsidR="006D7964" w:rsidRPr="00040AA9" w:rsidRDefault="006D7964" w:rsidP="00040AA9">
            <w:pPr>
              <w:keepNext/>
              <w:keepLines/>
              <w:suppressAutoHyphens/>
              <w:jc w:val="center"/>
              <w:rPr>
                <w:rFonts w:ascii="Arial" w:hAnsi="Arial" w:cs="Arial"/>
                <w:sz w:val="20"/>
                <w:szCs w:val="20"/>
              </w:rPr>
            </w:pPr>
            <w:r w:rsidRPr="00040AA9">
              <w:rPr>
                <w:rFonts w:ascii="Arial" w:hAnsi="Arial" w:cs="Arial"/>
                <w:sz w:val="20"/>
                <w:szCs w:val="20"/>
              </w:rPr>
              <w:t>20.5</w:t>
            </w:r>
            <w:r w:rsidRPr="00040AA9">
              <w:rPr>
                <w:rStyle w:val="FootnoteReference"/>
                <w:rFonts w:ascii="Arial" w:hAnsi="Arial" w:cs="Arial"/>
                <w:sz w:val="20"/>
                <w:szCs w:val="20"/>
              </w:rPr>
              <w:footnoteReference w:id="82"/>
            </w:r>
          </w:p>
          <w:p w14:paraId="20C52D99" w14:textId="77777777" w:rsidR="006D7964" w:rsidRPr="00040AA9" w:rsidRDefault="006D7964" w:rsidP="00040AA9">
            <w:pPr>
              <w:keepNext/>
              <w:keepLines/>
              <w:suppressAutoHyphens/>
              <w:jc w:val="center"/>
              <w:rPr>
                <w:rFonts w:ascii="Arial" w:hAnsi="Arial" w:cs="Arial"/>
                <w:sz w:val="20"/>
                <w:szCs w:val="20"/>
              </w:rPr>
            </w:pPr>
            <w:r w:rsidRPr="00040AA9">
              <w:rPr>
                <w:rFonts w:ascii="Arial" w:hAnsi="Arial" w:cs="Arial"/>
                <w:sz w:val="20"/>
                <w:szCs w:val="20"/>
              </w:rPr>
              <w:t>(FSPG III)</w:t>
            </w:r>
          </w:p>
          <w:p w14:paraId="47731196" w14:textId="77777777" w:rsidR="006D7964" w:rsidRPr="00040AA9" w:rsidRDefault="006D7964" w:rsidP="00040AA9">
            <w:pPr>
              <w:keepNext/>
              <w:keepLines/>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tcBorders>
              <w:top w:val="single" w:sz="4" w:space="0" w:color="auto"/>
              <w:left w:val="single" w:sz="4" w:space="0" w:color="auto"/>
              <w:bottom w:val="single" w:sz="4" w:space="0" w:color="auto"/>
              <w:right w:val="single" w:sz="4" w:space="0" w:color="auto"/>
            </w:tcBorders>
            <w:vAlign w:val="center"/>
          </w:tcPr>
          <w:p w14:paraId="24767A84" w14:textId="32640E9A" w:rsidR="006D7964" w:rsidRPr="00040AA9" w:rsidRDefault="00435749" w:rsidP="00040AA9">
            <w:pPr>
              <w:keepNext/>
              <w:keepLines/>
              <w:suppressAutoHyphens/>
              <w:rPr>
                <w:rFonts w:ascii="Arial" w:hAnsi="Arial" w:cs="Arial"/>
                <w:sz w:val="20"/>
                <w:szCs w:val="20"/>
              </w:rPr>
            </w:pPr>
            <w:r w:rsidRPr="00CF5903">
              <w:rPr>
                <w:rFonts w:ascii="Arial" w:hAnsi="Arial" w:cs="Arial"/>
                <w:sz w:val="20"/>
                <w:szCs w:val="20"/>
              </w:rPr>
              <w:t>EI: +</w:t>
            </w:r>
            <w:r w:rsidR="006D7964" w:rsidRPr="00040AA9">
              <w:rPr>
                <w:rFonts w:ascii="Arial" w:hAnsi="Arial" w:cs="Arial"/>
                <w:sz w:val="20"/>
                <w:szCs w:val="20"/>
              </w:rPr>
              <w:t>0.1pp</w:t>
            </w:r>
          </w:p>
        </w:tc>
        <w:tc>
          <w:tcPr>
            <w:tcW w:w="5374" w:type="dxa"/>
            <w:tcBorders>
              <w:top w:val="single" w:sz="4" w:space="0" w:color="auto"/>
              <w:left w:val="single" w:sz="4" w:space="0" w:color="auto"/>
              <w:bottom w:val="single" w:sz="4" w:space="0" w:color="auto"/>
              <w:right w:val="single" w:sz="4" w:space="0" w:color="auto"/>
            </w:tcBorders>
          </w:tcPr>
          <w:p w14:paraId="7046D751" w14:textId="77777777" w:rsidR="006D7964" w:rsidRPr="00040AA9" w:rsidRDefault="006D7964" w:rsidP="00040AA9">
            <w:pPr>
              <w:keepNext/>
              <w:keepLines/>
              <w:suppressAutoHyphens/>
              <w:rPr>
                <w:rFonts w:ascii="Arial" w:hAnsi="Arial" w:cs="Arial"/>
                <w:sz w:val="20"/>
                <w:szCs w:val="20"/>
                <w:lang w:val="en-CA"/>
              </w:rPr>
            </w:pPr>
          </w:p>
        </w:tc>
      </w:tr>
      <w:tr w:rsidR="006D7964" w:rsidRPr="00CF5903" w14:paraId="2EE5B922" w14:textId="77777777" w:rsidTr="00E420C4">
        <w:trPr>
          <w:trHeight w:val="410"/>
          <w:jc w:val="center"/>
        </w:trPr>
        <w:tc>
          <w:tcPr>
            <w:tcW w:w="2368" w:type="dxa"/>
            <w:vMerge/>
            <w:tcBorders>
              <w:left w:val="single" w:sz="4" w:space="0" w:color="auto"/>
              <w:right w:val="single" w:sz="4" w:space="0" w:color="auto"/>
            </w:tcBorders>
            <w:vAlign w:val="center"/>
          </w:tcPr>
          <w:p w14:paraId="05164942" w14:textId="77777777" w:rsidR="006D7964" w:rsidRPr="00040AA9" w:rsidRDefault="006D7964" w:rsidP="00040AA9">
            <w:pPr>
              <w:suppressAutoHyphens/>
              <w:rPr>
                <w:rFonts w:ascii="Arial" w:hAnsi="Arial" w:cs="Arial"/>
                <w:sz w:val="20"/>
                <w:szCs w:val="20"/>
              </w:rPr>
            </w:pPr>
          </w:p>
        </w:tc>
        <w:tc>
          <w:tcPr>
            <w:tcW w:w="810" w:type="dxa"/>
            <w:vMerge/>
            <w:tcBorders>
              <w:left w:val="single" w:sz="4" w:space="0" w:color="auto"/>
              <w:right w:val="single" w:sz="4" w:space="0" w:color="auto"/>
            </w:tcBorders>
            <w:vAlign w:val="center"/>
          </w:tcPr>
          <w:p w14:paraId="430527FE" w14:textId="77777777" w:rsidR="006D7964" w:rsidRPr="00040AA9" w:rsidRDefault="006D7964" w:rsidP="00040AA9">
            <w:pPr>
              <w:suppressAutoHyphens/>
              <w:jc w:val="center"/>
              <w:rPr>
                <w:rFonts w:ascii="Arial" w:hAnsi="Arial" w:cs="Arial"/>
                <w:sz w:val="20"/>
                <w:szCs w:val="20"/>
              </w:rPr>
            </w:pPr>
          </w:p>
        </w:tc>
        <w:tc>
          <w:tcPr>
            <w:tcW w:w="900" w:type="dxa"/>
            <w:vMerge/>
            <w:tcBorders>
              <w:left w:val="single" w:sz="4" w:space="0" w:color="auto"/>
              <w:right w:val="single" w:sz="4" w:space="0" w:color="auto"/>
            </w:tcBorders>
            <w:vAlign w:val="center"/>
          </w:tcPr>
          <w:p w14:paraId="37DC0BE6" w14:textId="77777777" w:rsidR="006D7964" w:rsidRPr="00040AA9" w:rsidRDefault="006D7964" w:rsidP="00040AA9">
            <w:pPr>
              <w:suppressAutoHyphens/>
              <w:jc w:val="center"/>
              <w:rPr>
                <w:rFonts w:ascii="Arial" w:hAnsi="Arial" w:cs="Arial"/>
                <w:sz w:val="20"/>
                <w:szCs w:val="20"/>
              </w:rPr>
            </w:pPr>
          </w:p>
        </w:tc>
        <w:tc>
          <w:tcPr>
            <w:tcW w:w="720" w:type="dxa"/>
            <w:vMerge/>
            <w:tcBorders>
              <w:left w:val="single" w:sz="4" w:space="0" w:color="auto"/>
              <w:right w:val="single" w:sz="4" w:space="0" w:color="auto"/>
            </w:tcBorders>
            <w:vAlign w:val="center"/>
          </w:tcPr>
          <w:p w14:paraId="0FC13B1E" w14:textId="77777777" w:rsidR="006D7964" w:rsidRPr="00040AA9" w:rsidRDefault="006D7964" w:rsidP="00040AA9">
            <w:pPr>
              <w:suppressAutoHyphens/>
              <w:jc w:val="center"/>
              <w:rPr>
                <w:rFonts w:ascii="Arial" w:hAnsi="Arial" w:cs="Arial"/>
                <w:sz w:val="20"/>
                <w:szCs w:val="20"/>
              </w:rPr>
            </w:pPr>
          </w:p>
        </w:tc>
        <w:tc>
          <w:tcPr>
            <w:tcW w:w="597" w:type="dxa"/>
            <w:vMerge w:val="restart"/>
            <w:tcBorders>
              <w:top w:val="single" w:sz="4" w:space="0" w:color="auto"/>
              <w:left w:val="single" w:sz="4" w:space="0" w:color="auto"/>
              <w:right w:val="single" w:sz="4" w:space="0" w:color="auto"/>
            </w:tcBorders>
            <w:vAlign w:val="center"/>
          </w:tcPr>
          <w:p w14:paraId="0305A919" w14:textId="77777777" w:rsidR="006D7964" w:rsidRPr="00040AA9" w:rsidRDefault="006D7964" w:rsidP="00040AA9">
            <w:pPr>
              <w:suppressAutoHyphens/>
              <w:rPr>
                <w:rFonts w:ascii="Arial" w:hAnsi="Arial" w:cs="Arial"/>
                <w:sz w:val="20"/>
                <w:szCs w:val="20"/>
              </w:rPr>
            </w:pPr>
            <w:r w:rsidRPr="00040AA9">
              <w:rPr>
                <w:rFonts w:ascii="Arial" w:hAnsi="Arial" w:cs="Arial"/>
                <w:sz w:val="20"/>
                <w:szCs w:val="20"/>
              </w:rPr>
              <w:t>A</w:t>
            </w:r>
          </w:p>
        </w:tc>
        <w:tc>
          <w:tcPr>
            <w:tcW w:w="1080" w:type="dxa"/>
            <w:vMerge w:val="restart"/>
            <w:tcBorders>
              <w:top w:val="single" w:sz="4" w:space="0" w:color="auto"/>
              <w:left w:val="single" w:sz="4" w:space="0" w:color="auto"/>
              <w:right w:val="single" w:sz="4" w:space="0" w:color="auto"/>
            </w:tcBorders>
            <w:vAlign w:val="center"/>
          </w:tcPr>
          <w:p w14:paraId="0E42FFE9" w14:textId="6CB8D961" w:rsidR="006D7964" w:rsidRPr="00040AA9" w:rsidRDefault="006D7964" w:rsidP="00040AA9">
            <w:pPr>
              <w:suppressAutoHyphens/>
              <w:jc w:val="center"/>
              <w:rPr>
                <w:rFonts w:ascii="Arial" w:hAnsi="Arial" w:cs="Arial"/>
                <w:sz w:val="20"/>
                <w:szCs w:val="20"/>
              </w:rPr>
            </w:pPr>
            <w:r w:rsidRPr="00040AA9">
              <w:rPr>
                <w:rFonts w:ascii="Arial" w:hAnsi="Arial" w:cs="Arial"/>
                <w:sz w:val="20"/>
                <w:szCs w:val="20"/>
              </w:rPr>
              <w:t>20.</w:t>
            </w:r>
            <w:r w:rsidR="00DF6ACC">
              <w:rPr>
                <w:rFonts w:ascii="Arial" w:hAnsi="Arial" w:cs="Arial"/>
                <w:sz w:val="20"/>
                <w:szCs w:val="20"/>
              </w:rPr>
              <w:t>4</w:t>
            </w:r>
            <w:r w:rsidRPr="00040AA9">
              <w:rPr>
                <w:rStyle w:val="FootnoteReference"/>
                <w:rFonts w:ascii="Arial" w:hAnsi="Arial" w:cs="Arial"/>
                <w:sz w:val="20"/>
                <w:szCs w:val="20"/>
              </w:rPr>
              <w:footnoteReference w:id="83"/>
            </w:r>
          </w:p>
          <w:p w14:paraId="2D220C74" w14:textId="3B6048EA" w:rsidR="006D7964" w:rsidRPr="00040AA9" w:rsidRDefault="006D7964" w:rsidP="00040AA9">
            <w:pPr>
              <w:suppressAutoHyphens/>
              <w:jc w:val="center"/>
              <w:rPr>
                <w:rFonts w:ascii="Arial" w:hAnsi="Arial" w:cs="Arial"/>
                <w:sz w:val="20"/>
                <w:szCs w:val="20"/>
              </w:rPr>
            </w:pPr>
            <w:r w:rsidRPr="00040AA9">
              <w:rPr>
                <w:rFonts w:ascii="Arial" w:hAnsi="Arial" w:cs="Arial"/>
                <w:sz w:val="20"/>
                <w:szCs w:val="20"/>
              </w:rPr>
              <w:t>(2016/17)</w:t>
            </w:r>
          </w:p>
        </w:tc>
        <w:tc>
          <w:tcPr>
            <w:tcW w:w="1203" w:type="dxa"/>
            <w:gridSpan w:val="2"/>
            <w:vMerge w:val="restart"/>
            <w:tcBorders>
              <w:top w:val="single" w:sz="4" w:space="0" w:color="auto"/>
              <w:left w:val="single" w:sz="4" w:space="0" w:color="auto"/>
              <w:right w:val="single" w:sz="4" w:space="0" w:color="auto"/>
            </w:tcBorders>
            <w:vAlign w:val="center"/>
          </w:tcPr>
          <w:p w14:paraId="72740AD8" w14:textId="47336224" w:rsidR="006D7964" w:rsidRPr="00040AA9" w:rsidRDefault="00435749" w:rsidP="00040AA9">
            <w:pPr>
              <w:suppressAutoHyphens/>
              <w:rPr>
                <w:rFonts w:ascii="Arial" w:hAnsi="Arial" w:cs="Arial"/>
                <w:sz w:val="20"/>
                <w:szCs w:val="20"/>
              </w:rPr>
            </w:pPr>
            <w:r w:rsidRPr="00CF5903">
              <w:rPr>
                <w:rFonts w:ascii="Arial" w:hAnsi="Arial" w:cs="Arial"/>
                <w:sz w:val="20"/>
                <w:szCs w:val="20"/>
              </w:rPr>
              <w:t xml:space="preserve">AI: </w:t>
            </w:r>
            <w:r w:rsidR="006D7964" w:rsidRPr="00040AA9">
              <w:rPr>
                <w:rFonts w:ascii="Arial" w:hAnsi="Arial" w:cs="Arial"/>
                <w:sz w:val="20"/>
                <w:szCs w:val="20"/>
              </w:rPr>
              <w:t>0pp</w:t>
            </w:r>
          </w:p>
          <w:p w14:paraId="68D1010B" w14:textId="77777777" w:rsidR="006D7964" w:rsidRPr="00040AA9" w:rsidRDefault="006D7964" w:rsidP="00040AA9">
            <w:pPr>
              <w:suppressAutoHyphens/>
              <w:rPr>
                <w:rFonts w:ascii="Arial" w:hAnsi="Arial" w:cs="Arial"/>
                <w:sz w:val="20"/>
                <w:szCs w:val="20"/>
              </w:rPr>
            </w:pPr>
          </w:p>
          <w:p w14:paraId="3521F783" w14:textId="1C740D00" w:rsidR="006D7964" w:rsidRPr="00040AA9" w:rsidRDefault="006D7964" w:rsidP="00040AA9">
            <w:pPr>
              <w:suppressAutoHyphens/>
              <w:rPr>
                <w:rFonts w:ascii="Arial" w:hAnsi="Arial" w:cs="Arial"/>
                <w:i/>
                <w:sz w:val="20"/>
                <w:szCs w:val="20"/>
              </w:rPr>
            </w:pPr>
            <w:r w:rsidRPr="00040AA9">
              <w:rPr>
                <w:rFonts w:ascii="Arial" w:hAnsi="Arial" w:cs="Arial"/>
                <w:i/>
                <w:sz w:val="20"/>
                <w:szCs w:val="20"/>
              </w:rPr>
              <w:t>=&gt;</w:t>
            </w:r>
            <w:r w:rsidR="003C22DC">
              <w:rPr>
                <w:rFonts w:ascii="Arial" w:hAnsi="Arial" w:cs="Arial"/>
                <w:i/>
                <w:sz w:val="20"/>
                <w:szCs w:val="20"/>
              </w:rPr>
              <w:t>10</w:t>
            </w:r>
            <w:r w:rsidR="009A29CE">
              <w:rPr>
                <w:rFonts w:ascii="Arial" w:hAnsi="Arial" w:cs="Arial"/>
                <w:i/>
                <w:sz w:val="20"/>
                <w:szCs w:val="20"/>
              </w:rPr>
              <w:t>0</w:t>
            </w:r>
            <w:r w:rsidRPr="00040AA9">
              <w:rPr>
                <w:rFonts w:ascii="Arial" w:hAnsi="Arial" w:cs="Arial"/>
                <w:i/>
                <w:sz w:val="20"/>
                <w:szCs w:val="20"/>
              </w:rPr>
              <w:t>%</w:t>
            </w:r>
          </w:p>
          <w:p w14:paraId="0E44930A" w14:textId="423E323E" w:rsidR="006D7964" w:rsidRPr="00040AA9" w:rsidRDefault="006D7964" w:rsidP="00040AA9">
            <w:pPr>
              <w:suppressAutoHyphens/>
              <w:rPr>
                <w:rFonts w:ascii="Arial" w:hAnsi="Arial" w:cs="Arial"/>
                <w:sz w:val="20"/>
                <w:szCs w:val="20"/>
              </w:rPr>
            </w:pPr>
            <w:r w:rsidRPr="00040AA9">
              <w:rPr>
                <w:rFonts w:ascii="Arial" w:hAnsi="Arial" w:cs="Arial"/>
                <w:i/>
                <w:sz w:val="20"/>
                <w:szCs w:val="20"/>
              </w:rPr>
              <w:t>achieved</w:t>
            </w:r>
          </w:p>
        </w:tc>
        <w:tc>
          <w:tcPr>
            <w:tcW w:w="5374" w:type="dxa"/>
            <w:tcBorders>
              <w:top w:val="single" w:sz="4" w:space="0" w:color="auto"/>
              <w:left w:val="single" w:sz="4" w:space="0" w:color="auto"/>
              <w:bottom w:val="single" w:sz="4" w:space="0" w:color="auto"/>
              <w:right w:val="single" w:sz="4" w:space="0" w:color="auto"/>
            </w:tcBorders>
          </w:tcPr>
          <w:p w14:paraId="081E4C4E" w14:textId="77777777" w:rsidR="006D7964" w:rsidRPr="00040AA9" w:rsidRDefault="006D7964" w:rsidP="00040AA9">
            <w:pPr>
              <w:suppressAutoHyphens/>
              <w:rPr>
                <w:rFonts w:ascii="Arial" w:hAnsi="Arial" w:cs="Arial"/>
                <w:sz w:val="20"/>
                <w:szCs w:val="20"/>
                <w:lang w:val="en-CA"/>
              </w:rPr>
            </w:pPr>
            <w:proofErr w:type="spellStart"/>
            <w:r w:rsidRPr="00040AA9">
              <w:rPr>
                <w:rFonts w:ascii="Arial" w:hAnsi="Arial" w:cs="Arial"/>
                <w:sz w:val="20"/>
                <w:szCs w:val="20"/>
              </w:rPr>
              <w:t>GoJ</w:t>
            </w:r>
            <w:proofErr w:type="spellEnd"/>
            <w:r w:rsidRPr="00040AA9">
              <w:rPr>
                <w:rFonts w:ascii="Arial" w:hAnsi="Arial" w:cs="Arial"/>
                <w:sz w:val="20"/>
                <w:szCs w:val="20"/>
              </w:rPr>
              <w:t xml:space="preserve"> </w:t>
            </w:r>
            <w:r w:rsidRPr="00040AA9">
              <w:rPr>
                <w:rFonts w:ascii="Arial" w:hAnsi="Arial" w:cs="Arial"/>
                <w:i/>
                <w:sz w:val="20"/>
                <w:szCs w:val="20"/>
              </w:rPr>
              <w:t>Fiscal Policy Paper FY2017/18</w:t>
            </w:r>
            <w:r w:rsidRPr="00040AA9">
              <w:rPr>
                <w:rFonts w:ascii="Arial" w:hAnsi="Arial" w:cs="Arial"/>
                <w:sz w:val="20"/>
                <w:szCs w:val="20"/>
              </w:rPr>
              <w:t xml:space="preserve"> </w:t>
            </w:r>
            <w:r w:rsidRPr="00040AA9">
              <w:rPr>
                <w:rFonts w:ascii="Arial" w:hAnsi="Arial" w:cs="Arial"/>
                <w:sz w:val="20"/>
                <w:szCs w:val="20"/>
                <w:lang w:val="en-CA"/>
              </w:rPr>
              <w:t>Table 3K “Central Government Summary Accounts (%GDP)”</w:t>
            </w:r>
          </w:p>
          <w:p w14:paraId="0B01E32B" w14:textId="382A2D56" w:rsidR="006D7964" w:rsidRPr="00040AA9" w:rsidRDefault="006D7964" w:rsidP="00040AA9">
            <w:pPr>
              <w:suppressAutoHyphens/>
              <w:rPr>
                <w:rFonts w:ascii="Arial" w:hAnsi="Arial" w:cs="Arial"/>
                <w:sz w:val="20"/>
                <w:szCs w:val="20"/>
              </w:rPr>
            </w:pPr>
            <w:r w:rsidRPr="00040AA9">
              <w:rPr>
                <w:rFonts w:ascii="Arial" w:hAnsi="Arial" w:cs="Arial"/>
                <w:sz w:val="20"/>
                <w:szCs w:val="20"/>
                <w:lang w:val="en-CA"/>
              </w:rPr>
              <w:t xml:space="preserve"> p. 59</w:t>
            </w:r>
            <w:r w:rsidRPr="00040AA9">
              <w:rPr>
                <w:rStyle w:val="FootnoteReference"/>
                <w:rFonts w:ascii="Arial" w:hAnsi="Arial" w:cs="Arial"/>
                <w:sz w:val="20"/>
                <w:szCs w:val="20"/>
                <w:lang w:val="en-CA"/>
              </w:rPr>
              <w:footnoteReference w:id="84"/>
            </w:r>
          </w:p>
        </w:tc>
      </w:tr>
      <w:tr w:rsidR="006D7964" w:rsidRPr="00CF5903" w14:paraId="6436068D" w14:textId="77777777" w:rsidTr="00E420C4">
        <w:trPr>
          <w:trHeight w:val="359"/>
          <w:jc w:val="center"/>
        </w:trPr>
        <w:tc>
          <w:tcPr>
            <w:tcW w:w="2368" w:type="dxa"/>
            <w:vMerge/>
            <w:tcBorders>
              <w:left w:val="single" w:sz="4" w:space="0" w:color="auto"/>
              <w:bottom w:val="single" w:sz="4" w:space="0" w:color="auto"/>
              <w:right w:val="single" w:sz="4" w:space="0" w:color="auto"/>
            </w:tcBorders>
            <w:vAlign w:val="center"/>
          </w:tcPr>
          <w:p w14:paraId="0920483E" w14:textId="77777777" w:rsidR="006D7964" w:rsidRPr="00040AA9" w:rsidRDefault="006D7964" w:rsidP="00040AA9">
            <w:pPr>
              <w:suppressAutoHyphens/>
              <w:rPr>
                <w:rFonts w:ascii="Arial" w:hAnsi="Arial" w:cs="Arial"/>
                <w:sz w:val="20"/>
                <w:szCs w:val="20"/>
              </w:rPr>
            </w:pPr>
          </w:p>
        </w:tc>
        <w:tc>
          <w:tcPr>
            <w:tcW w:w="810" w:type="dxa"/>
            <w:vMerge/>
            <w:tcBorders>
              <w:left w:val="single" w:sz="4" w:space="0" w:color="auto"/>
              <w:bottom w:val="single" w:sz="4" w:space="0" w:color="auto"/>
              <w:right w:val="single" w:sz="4" w:space="0" w:color="auto"/>
            </w:tcBorders>
            <w:vAlign w:val="center"/>
          </w:tcPr>
          <w:p w14:paraId="3680185D" w14:textId="77777777" w:rsidR="006D7964" w:rsidRPr="00040AA9" w:rsidRDefault="006D7964" w:rsidP="00040AA9">
            <w:pPr>
              <w:suppressAutoHyphens/>
              <w:jc w:val="center"/>
              <w:rPr>
                <w:rFonts w:ascii="Arial" w:hAnsi="Arial" w:cs="Arial"/>
                <w:sz w:val="20"/>
                <w:szCs w:val="20"/>
              </w:rPr>
            </w:pPr>
          </w:p>
        </w:tc>
        <w:tc>
          <w:tcPr>
            <w:tcW w:w="900" w:type="dxa"/>
            <w:vMerge/>
            <w:tcBorders>
              <w:left w:val="single" w:sz="4" w:space="0" w:color="auto"/>
              <w:bottom w:val="single" w:sz="4" w:space="0" w:color="auto"/>
              <w:right w:val="single" w:sz="4" w:space="0" w:color="auto"/>
            </w:tcBorders>
            <w:vAlign w:val="center"/>
          </w:tcPr>
          <w:p w14:paraId="6B337735" w14:textId="77777777" w:rsidR="006D7964" w:rsidRPr="00040AA9" w:rsidRDefault="006D7964" w:rsidP="00040AA9">
            <w:pPr>
              <w:suppressAutoHyphens/>
              <w:jc w:val="center"/>
              <w:rPr>
                <w:rFonts w:ascii="Arial" w:hAnsi="Arial" w:cs="Arial"/>
                <w:sz w:val="20"/>
                <w:szCs w:val="20"/>
              </w:rPr>
            </w:pPr>
          </w:p>
        </w:tc>
        <w:tc>
          <w:tcPr>
            <w:tcW w:w="720" w:type="dxa"/>
            <w:vMerge/>
            <w:tcBorders>
              <w:left w:val="single" w:sz="4" w:space="0" w:color="auto"/>
              <w:bottom w:val="single" w:sz="4" w:space="0" w:color="auto"/>
              <w:right w:val="single" w:sz="4" w:space="0" w:color="auto"/>
            </w:tcBorders>
            <w:vAlign w:val="center"/>
          </w:tcPr>
          <w:p w14:paraId="30711AC6" w14:textId="77777777" w:rsidR="006D7964" w:rsidRPr="00040AA9" w:rsidRDefault="006D7964" w:rsidP="00040AA9">
            <w:pPr>
              <w:suppressAutoHyphens/>
              <w:jc w:val="center"/>
              <w:rPr>
                <w:rFonts w:ascii="Arial" w:hAnsi="Arial" w:cs="Arial"/>
                <w:sz w:val="20"/>
                <w:szCs w:val="20"/>
              </w:rPr>
            </w:pPr>
          </w:p>
        </w:tc>
        <w:tc>
          <w:tcPr>
            <w:tcW w:w="597" w:type="dxa"/>
            <w:vMerge/>
            <w:tcBorders>
              <w:left w:val="single" w:sz="4" w:space="0" w:color="auto"/>
              <w:bottom w:val="single" w:sz="4" w:space="0" w:color="auto"/>
              <w:right w:val="single" w:sz="4" w:space="0" w:color="auto"/>
            </w:tcBorders>
            <w:vAlign w:val="center"/>
          </w:tcPr>
          <w:p w14:paraId="7E1CF4C5" w14:textId="77777777" w:rsidR="006D7964" w:rsidRPr="00040AA9" w:rsidRDefault="006D7964" w:rsidP="00040AA9">
            <w:pPr>
              <w:suppressAutoHyphens/>
              <w:rPr>
                <w:rFonts w:ascii="Arial" w:hAnsi="Arial" w:cs="Arial"/>
                <w:sz w:val="20"/>
                <w:szCs w:val="20"/>
              </w:rPr>
            </w:pPr>
          </w:p>
        </w:tc>
        <w:tc>
          <w:tcPr>
            <w:tcW w:w="1080" w:type="dxa"/>
            <w:vMerge/>
            <w:tcBorders>
              <w:left w:val="single" w:sz="4" w:space="0" w:color="auto"/>
              <w:bottom w:val="single" w:sz="4" w:space="0" w:color="auto"/>
              <w:right w:val="single" w:sz="4" w:space="0" w:color="auto"/>
            </w:tcBorders>
            <w:vAlign w:val="center"/>
          </w:tcPr>
          <w:p w14:paraId="37E7176A" w14:textId="77777777" w:rsidR="006D7964" w:rsidRPr="00040AA9" w:rsidRDefault="006D7964" w:rsidP="00040AA9">
            <w:pPr>
              <w:suppressAutoHyphens/>
              <w:jc w:val="center"/>
              <w:rPr>
                <w:rFonts w:ascii="Arial" w:hAnsi="Arial" w:cs="Arial"/>
                <w:sz w:val="20"/>
                <w:szCs w:val="20"/>
              </w:rPr>
            </w:pPr>
          </w:p>
        </w:tc>
        <w:tc>
          <w:tcPr>
            <w:tcW w:w="1203" w:type="dxa"/>
            <w:gridSpan w:val="2"/>
            <w:vMerge/>
            <w:tcBorders>
              <w:left w:val="single" w:sz="4" w:space="0" w:color="auto"/>
              <w:bottom w:val="single" w:sz="4" w:space="0" w:color="auto"/>
              <w:right w:val="single" w:sz="4" w:space="0" w:color="auto"/>
            </w:tcBorders>
            <w:vAlign w:val="center"/>
          </w:tcPr>
          <w:p w14:paraId="3779FC13" w14:textId="77777777" w:rsidR="006D7964" w:rsidRPr="00040AA9" w:rsidRDefault="006D7964" w:rsidP="00040AA9">
            <w:pPr>
              <w:suppressAutoHyphens/>
              <w:rPr>
                <w:rFonts w:ascii="Arial" w:hAnsi="Arial" w:cs="Arial"/>
                <w:sz w:val="20"/>
                <w:szCs w:val="20"/>
              </w:rPr>
            </w:pPr>
          </w:p>
        </w:tc>
        <w:tc>
          <w:tcPr>
            <w:tcW w:w="5374" w:type="dxa"/>
            <w:tcBorders>
              <w:top w:val="single" w:sz="4" w:space="0" w:color="auto"/>
              <w:left w:val="single" w:sz="4" w:space="0" w:color="auto"/>
              <w:bottom w:val="single" w:sz="4" w:space="0" w:color="auto"/>
              <w:right w:val="single" w:sz="4" w:space="0" w:color="auto"/>
            </w:tcBorders>
          </w:tcPr>
          <w:p w14:paraId="5DC83214" w14:textId="72D830C3" w:rsidR="006D7964" w:rsidRPr="00040AA9" w:rsidRDefault="00214CE6" w:rsidP="00F4794A">
            <w:pPr>
              <w:suppressAutoHyphens/>
              <w:rPr>
                <w:rFonts w:ascii="Arial" w:hAnsi="Arial" w:cs="Arial"/>
                <w:sz w:val="20"/>
                <w:szCs w:val="20"/>
              </w:rPr>
            </w:pPr>
            <w:r w:rsidRPr="00040AA9">
              <w:rPr>
                <w:rFonts w:ascii="Arial" w:hAnsi="Arial" w:cs="Arial"/>
                <w:sz w:val="20"/>
                <w:szCs w:val="20"/>
              </w:rPr>
              <w:t xml:space="preserve">Note; IMF </w:t>
            </w:r>
            <w:r w:rsidR="00F03C73" w:rsidRPr="00040AA9">
              <w:rPr>
                <w:rFonts w:ascii="Arial" w:hAnsi="Arial" w:cs="Arial"/>
                <w:sz w:val="20"/>
                <w:szCs w:val="20"/>
              </w:rPr>
              <w:t xml:space="preserve">reports a programmed primary expenditure of </w:t>
            </w:r>
            <w:r w:rsidR="002D1C75" w:rsidRPr="00040AA9">
              <w:rPr>
                <w:rFonts w:ascii="Arial" w:hAnsi="Arial" w:cs="Arial"/>
                <w:sz w:val="20"/>
                <w:szCs w:val="20"/>
              </w:rPr>
              <w:t>20.</w:t>
            </w:r>
            <w:r w:rsidR="006C0624">
              <w:rPr>
                <w:rFonts w:ascii="Arial" w:hAnsi="Arial" w:cs="Arial"/>
                <w:sz w:val="20"/>
                <w:szCs w:val="20"/>
              </w:rPr>
              <w:t>9</w:t>
            </w:r>
            <w:r w:rsidR="002D1C75" w:rsidRPr="00040AA9">
              <w:rPr>
                <w:rFonts w:ascii="Arial" w:hAnsi="Arial" w:cs="Arial"/>
                <w:sz w:val="20"/>
                <w:szCs w:val="20"/>
              </w:rPr>
              <w:t xml:space="preserve">% </w:t>
            </w:r>
            <w:r w:rsidR="00174084">
              <w:rPr>
                <w:rFonts w:ascii="Arial" w:hAnsi="Arial" w:cs="Arial"/>
                <w:sz w:val="20"/>
                <w:szCs w:val="20"/>
              </w:rPr>
              <w:t xml:space="preserve">for FY 2016/17 </w:t>
            </w:r>
            <w:r w:rsidR="002D1C75" w:rsidRPr="00040AA9">
              <w:rPr>
                <w:rFonts w:ascii="Arial" w:hAnsi="Arial" w:cs="Arial"/>
                <w:sz w:val="20"/>
                <w:szCs w:val="20"/>
              </w:rPr>
              <w:t>and a projected level of 2</w:t>
            </w:r>
            <w:r w:rsidR="00174084">
              <w:rPr>
                <w:rFonts w:ascii="Arial" w:hAnsi="Arial" w:cs="Arial"/>
                <w:sz w:val="20"/>
                <w:szCs w:val="20"/>
              </w:rPr>
              <w:t>1.7</w:t>
            </w:r>
            <w:r w:rsidR="002D1C75" w:rsidRPr="00040AA9">
              <w:rPr>
                <w:rFonts w:ascii="Arial" w:hAnsi="Arial" w:cs="Arial"/>
                <w:sz w:val="20"/>
                <w:szCs w:val="20"/>
              </w:rPr>
              <w:t>% for FY</w:t>
            </w:r>
            <w:r w:rsidR="00174084">
              <w:rPr>
                <w:rFonts w:ascii="Arial" w:hAnsi="Arial" w:cs="Arial"/>
                <w:sz w:val="20"/>
                <w:szCs w:val="20"/>
              </w:rPr>
              <w:t>2017/18</w:t>
            </w:r>
            <w:r w:rsidR="002D1C75" w:rsidRPr="00040AA9">
              <w:rPr>
                <w:rFonts w:ascii="Arial" w:hAnsi="Arial" w:cs="Arial"/>
                <w:sz w:val="20"/>
                <w:szCs w:val="20"/>
              </w:rPr>
              <w:t xml:space="preserve">. (IMF </w:t>
            </w:r>
            <w:r w:rsidR="002D1C75" w:rsidRPr="00040AA9">
              <w:rPr>
                <w:rFonts w:ascii="Arial" w:hAnsi="Arial" w:cs="Arial"/>
                <w:i/>
                <w:sz w:val="20"/>
                <w:szCs w:val="20"/>
              </w:rPr>
              <w:t xml:space="preserve">Jamaica </w:t>
            </w:r>
            <w:r w:rsidR="00F4794A">
              <w:rPr>
                <w:rFonts w:ascii="Arial" w:hAnsi="Arial" w:cs="Arial"/>
                <w:i/>
                <w:sz w:val="20"/>
                <w:szCs w:val="20"/>
              </w:rPr>
              <w:t>Second</w:t>
            </w:r>
            <w:r w:rsidR="00F4794A" w:rsidRPr="00040AA9">
              <w:rPr>
                <w:rFonts w:ascii="Arial" w:hAnsi="Arial" w:cs="Arial"/>
                <w:i/>
                <w:sz w:val="20"/>
                <w:szCs w:val="20"/>
              </w:rPr>
              <w:t xml:space="preserve"> </w:t>
            </w:r>
            <w:r w:rsidR="002D1C75" w:rsidRPr="00040AA9">
              <w:rPr>
                <w:rFonts w:ascii="Arial" w:hAnsi="Arial" w:cs="Arial"/>
                <w:i/>
                <w:sz w:val="20"/>
                <w:szCs w:val="20"/>
              </w:rPr>
              <w:t xml:space="preserve">Review under the Stand-By Arrangement </w:t>
            </w:r>
            <w:r w:rsidR="002D1C75" w:rsidRPr="00040AA9">
              <w:rPr>
                <w:rFonts w:ascii="Arial" w:hAnsi="Arial" w:cs="Arial"/>
                <w:sz w:val="20"/>
                <w:szCs w:val="20"/>
              </w:rPr>
              <w:t>Table 1, p. 2</w:t>
            </w:r>
            <w:r w:rsidR="00F4794A">
              <w:rPr>
                <w:rFonts w:ascii="Arial" w:hAnsi="Arial" w:cs="Arial"/>
                <w:sz w:val="20"/>
                <w:szCs w:val="20"/>
              </w:rPr>
              <w:t>2</w:t>
            </w:r>
            <w:r w:rsidR="00DB445B" w:rsidRPr="00040AA9">
              <w:rPr>
                <w:rFonts w:ascii="Arial" w:hAnsi="Arial" w:cs="Arial"/>
                <w:sz w:val="20"/>
                <w:szCs w:val="20"/>
              </w:rPr>
              <w:t xml:space="preserve">, </w:t>
            </w:r>
            <w:r w:rsidR="00F4794A">
              <w:rPr>
                <w:rFonts w:ascii="Arial" w:hAnsi="Arial" w:cs="Arial"/>
                <w:sz w:val="20"/>
                <w:szCs w:val="20"/>
              </w:rPr>
              <w:t xml:space="preserve">October </w:t>
            </w:r>
            <w:r w:rsidR="00DB445B" w:rsidRPr="00040AA9">
              <w:rPr>
                <w:rFonts w:ascii="Arial" w:hAnsi="Arial" w:cs="Arial"/>
                <w:sz w:val="20"/>
                <w:szCs w:val="20"/>
              </w:rPr>
              <w:t xml:space="preserve"> 2017)</w:t>
            </w:r>
          </w:p>
        </w:tc>
      </w:tr>
    </w:tbl>
    <w:p w14:paraId="51C70613" w14:textId="62E88810" w:rsidR="00415494" w:rsidRPr="00040AA9" w:rsidRDefault="00415494" w:rsidP="00040AA9">
      <w:pPr>
        <w:suppressAutoHyphens/>
        <w:outlineLvl w:val="0"/>
        <w:rPr>
          <w:rFonts w:ascii="Arial" w:hAnsi="Arial" w:cs="Arial"/>
          <w:b/>
          <w:sz w:val="20"/>
          <w:szCs w:val="20"/>
        </w:rPr>
      </w:pPr>
    </w:p>
    <w:p w14:paraId="41AB47A6" w14:textId="3C066CAD" w:rsidR="009F767C" w:rsidRDefault="009F767C" w:rsidP="00040AA9">
      <w:pPr>
        <w:suppressAutoHyphens/>
        <w:outlineLvl w:val="0"/>
        <w:rPr>
          <w:rFonts w:ascii="Arial" w:hAnsi="Arial" w:cs="Arial"/>
          <w:b/>
          <w:sz w:val="20"/>
          <w:szCs w:val="20"/>
        </w:rPr>
      </w:pPr>
    </w:p>
    <w:p w14:paraId="5D83F4C0" w14:textId="2A5143AA" w:rsidR="00A65F14" w:rsidRDefault="00A65F14" w:rsidP="00040AA9">
      <w:pPr>
        <w:suppressAutoHyphens/>
        <w:outlineLvl w:val="0"/>
        <w:rPr>
          <w:rFonts w:ascii="Arial" w:hAnsi="Arial" w:cs="Arial"/>
          <w:b/>
          <w:sz w:val="20"/>
          <w:szCs w:val="20"/>
        </w:rPr>
      </w:pPr>
    </w:p>
    <w:p w14:paraId="0A9DA967" w14:textId="77777777" w:rsidR="00A65F14" w:rsidRPr="00040AA9" w:rsidRDefault="00A65F14" w:rsidP="00040AA9">
      <w:pPr>
        <w:suppressAutoHyphens/>
        <w:outlineLvl w:val="0"/>
        <w:rPr>
          <w:rFonts w:ascii="Arial" w:hAnsi="Arial" w:cs="Arial"/>
          <w:b/>
          <w:sz w:val="20"/>
          <w:szCs w:val="20"/>
        </w:rPr>
      </w:pPr>
    </w:p>
    <w:p w14:paraId="5958F048" w14:textId="77777777" w:rsidR="00447C1B" w:rsidRPr="00040AA9" w:rsidRDefault="00447C1B" w:rsidP="00040AA9">
      <w:pPr>
        <w:keepNext/>
        <w:keepLines/>
        <w:suppressAutoHyphens/>
        <w:outlineLvl w:val="0"/>
        <w:rPr>
          <w:rFonts w:ascii="Arial" w:hAnsi="Arial" w:cs="Arial"/>
          <w:b/>
          <w:sz w:val="20"/>
          <w:szCs w:val="20"/>
        </w:rPr>
      </w:pPr>
      <w:r w:rsidRPr="00040AA9">
        <w:rPr>
          <w:rFonts w:ascii="Arial" w:hAnsi="Arial" w:cs="Arial"/>
          <w:b/>
          <w:sz w:val="20"/>
          <w:szCs w:val="20"/>
        </w:rPr>
        <w:t>OUTPUTS</w:t>
      </w:r>
    </w:p>
    <w:tbl>
      <w:tblPr>
        <w:tblStyle w:val="TableGrid"/>
        <w:tblW w:w="128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2"/>
        <w:gridCol w:w="1417"/>
        <w:gridCol w:w="1039"/>
        <w:gridCol w:w="1039"/>
        <w:gridCol w:w="594"/>
        <w:gridCol w:w="1106"/>
        <w:gridCol w:w="1106"/>
        <w:gridCol w:w="4056"/>
      </w:tblGrid>
      <w:tr w:rsidR="007B55FA" w:rsidRPr="00CF5903" w14:paraId="5B1A0582" w14:textId="77777777" w:rsidTr="005D1982">
        <w:trPr>
          <w:trHeight w:val="656"/>
          <w:tblHeader/>
          <w:jc w:val="center"/>
        </w:trPr>
        <w:tc>
          <w:tcPr>
            <w:tcW w:w="2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06E767"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Output</w:t>
            </w:r>
            <w:r w:rsidRPr="00040AA9">
              <w:rPr>
                <w:rStyle w:val="FootnoteReference"/>
                <w:rFonts w:ascii="Arial" w:hAnsi="Arial" w:cs="Arial"/>
                <w:sz w:val="20"/>
                <w:szCs w:val="20"/>
              </w:rPr>
              <w:footnoteReference w:id="85"/>
            </w:r>
          </w:p>
        </w:tc>
        <w:tc>
          <w:tcPr>
            <w:tcW w:w="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E82DD0"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Unit of Measure</w:t>
            </w:r>
          </w:p>
        </w:tc>
        <w:tc>
          <w:tcPr>
            <w:tcW w:w="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3264C6"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Baseline value</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50BC1A"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Baseline year</w:t>
            </w:r>
          </w:p>
        </w:tc>
        <w:tc>
          <w:tcPr>
            <w:tcW w:w="15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4CDF75"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Targets &amp;</w:t>
            </w:r>
          </w:p>
          <w:p w14:paraId="71253857"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Actual achievement</w:t>
            </w:r>
          </w:p>
        </w:tc>
        <w:tc>
          <w:tcPr>
            <w:tcW w:w="1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EF624F"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 Achieved</w:t>
            </w:r>
          </w:p>
        </w:tc>
        <w:tc>
          <w:tcPr>
            <w:tcW w:w="5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9B4D15" w14:textId="77777777" w:rsidR="007B55FA" w:rsidRPr="00040AA9" w:rsidRDefault="007B55FA" w:rsidP="00040AA9">
            <w:pPr>
              <w:keepNext/>
              <w:keepLines/>
              <w:suppressAutoHyphens/>
              <w:jc w:val="center"/>
              <w:rPr>
                <w:rFonts w:ascii="Arial" w:hAnsi="Arial" w:cs="Arial"/>
                <w:b/>
                <w:sz w:val="20"/>
                <w:szCs w:val="20"/>
              </w:rPr>
            </w:pPr>
            <w:r w:rsidRPr="00040AA9">
              <w:rPr>
                <w:rFonts w:ascii="Arial" w:hAnsi="Arial" w:cs="Arial"/>
                <w:b/>
                <w:sz w:val="20"/>
                <w:szCs w:val="20"/>
              </w:rPr>
              <w:t>Means of verification</w:t>
            </w:r>
          </w:p>
        </w:tc>
      </w:tr>
      <w:tr w:rsidR="007B55FA" w:rsidRPr="00CF5903" w14:paraId="7E3E3194" w14:textId="77777777" w:rsidTr="005D1982">
        <w:trPr>
          <w:trHeight w:val="305"/>
          <w:jc w:val="center"/>
        </w:trPr>
        <w:tc>
          <w:tcPr>
            <w:tcW w:w="12859" w:type="dxa"/>
            <w:gridSpan w:val="8"/>
            <w:tcBorders>
              <w:top w:val="single" w:sz="4" w:space="0" w:color="auto"/>
              <w:left w:val="dotted" w:sz="4" w:space="0" w:color="auto"/>
              <w:bottom w:val="single" w:sz="4" w:space="0" w:color="auto"/>
              <w:right w:val="dotted" w:sz="4" w:space="0" w:color="auto"/>
            </w:tcBorders>
            <w:shd w:val="clear" w:color="auto" w:fill="E5DFEC" w:themeFill="accent4" w:themeFillTint="33"/>
            <w:vAlign w:val="center"/>
          </w:tcPr>
          <w:p w14:paraId="10522731" w14:textId="4B400E47" w:rsidR="007B55FA" w:rsidRPr="00D60FB9" w:rsidRDefault="007B55FA" w:rsidP="00040AA9">
            <w:pPr>
              <w:keepNext/>
              <w:keepLines/>
              <w:suppressAutoHyphens/>
              <w:rPr>
                <w:rFonts w:ascii="Arial" w:hAnsi="Arial" w:cs="Arial"/>
                <w:sz w:val="20"/>
                <w:szCs w:val="20"/>
              </w:rPr>
            </w:pPr>
            <w:r w:rsidRPr="00D60FB9">
              <w:rPr>
                <w:rFonts w:ascii="Arial" w:hAnsi="Arial" w:cs="Arial"/>
                <w:b/>
                <w:sz w:val="20"/>
                <w:szCs w:val="20"/>
              </w:rPr>
              <w:t xml:space="preserve">OUTPUTS (Products) for COMPONENT II - </w:t>
            </w:r>
            <w:r w:rsidR="00DA1F74" w:rsidRPr="00D60FB9">
              <w:rPr>
                <w:rFonts w:ascii="Arial" w:hAnsi="Arial" w:cs="Arial"/>
                <w:b/>
                <w:sz w:val="20"/>
                <w:szCs w:val="20"/>
              </w:rPr>
              <w:t>Strengthening Tax Policy and Administration</w:t>
            </w:r>
          </w:p>
        </w:tc>
      </w:tr>
      <w:tr w:rsidR="007B55FA" w:rsidRPr="00CF5903" w14:paraId="3BEC7A36" w14:textId="77777777" w:rsidTr="005D1982">
        <w:trPr>
          <w:trHeight w:val="350"/>
          <w:jc w:val="center"/>
        </w:trPr>
        <w:tc>
          <w:tcPr>
            <w:tcW w:w="12859" w:type="dxa"/>
            <w:gridSpan w:val="8"/>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3300F4FA"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b/>
                <w:sz w:val="20"/>
                <w:szCs w:val="20"/>
              </w:rPr>
              <w:t xml:space="preserve">Output II.1. Application of tariff caps and rates </w:t>
            </w:r>
          </w:p>
        </w:tc>
      </w:tr>
      <w:tr w:rsidR="007B55FA" w:rsidRPr="00CF5903" w14:paraId="03A31B6F" w14:textId="77777777" w:rsidTr="005D1982">
        <w:trPr>
          <w:jc w:val="center"/>
        </w:trPr>
        <w:tc>
          <w:tcPr>
            <w:tcW w:w="2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93C1C" w14:textId="77777777" w:rsidR="007B55FA" w:rsidRPr="00040AA9" w:rsidRDefault="007B55FA" w:rsidP="00040AA9">
            <w:pPr>
              <w:keepNext/>
              <w:keepLines/>
              <w:suppressAutoHyphens/>
              <w:ind w:left="151"/>
              <w:rPr>
                <w:rFonts w:ascii="Arial" w:hAnsi="Arial" w:cs="Arial"/>
                <w:sz w:val="20"/>
                <w:szCs w:val="20"/>
              </w:rPr>
            </w:pPr>
            <w:r w:rsidRPr="00040AA9">
              <w:rPr>
                <w:rFonts w:ascii="Arial" w:hAnsi="Arial" w:cs="Arial"/>
                <w:sz w:val="20"/>
                <w:szCs w:val="20"/>
              </w:rPr>
              <w:t xml:space="preserve">Indicator II.1.1 </w:t>
            </w:r>
          </w:p>
          <w:p w14:paraId="3523FDDA" w14:textId="77777777" w:rsidR="007B55FA" w:rsidRPr="00040AA9" w:rsidRDefault="007B55FA" w:rsidP="00040AA9">
            <w:pPr>
              <w:keepNext/>
              <w:keepLines/>
              <w:suppressAutoHyphens/>
              <w:ind w:left="331"/>
              <w:rPr>
                <w:rFonts w:ascii="Arial" w:hAnsi="Arial" w:cs="Arial"/>
                <w:sz w:val="20"/>
                <w:szCs w:val="20"/>
              </w:rPr>
            </w:pPr>
            <w:r w:rsidRPr="00040AA9">
              <w:rPr>
                <w:rFonts w:ascii="Arial" w:hAnsi="Arial" w:cs="Arial"/>
                <w:sz w:val="20"/>
                <w:szCs w:val="20"/>
              </w:rPr>
              <w:t xml:space="preserve">Work plan to reduce tariff dispersion </w:t>
            </w:r>
          </w:p>
          <w:p w14:paraId="40CE5B74" w14:textId="77777777" w:rsidR="007B55FA" w:rsidRPr="00040AA9" w:rsidRDefault="007B55FA" w:rsidP="00040AA9">
            <w:pPr>
              <w:keepNext/>
              <w:keepLines/>
              <w:suppressAutoHyphens/>
              <w:ind w:left="331"/>
              <w:rPr>
                <w:rFonts w:ascii="Arial" w:hAnsi="Arial" w:cs="Arial"/>
                <w:sz w:val="20"/>
                <w:szCs w:val="20"/>
              </w:rPr>
            </w:pPr>
            <w:r w:rsidRPr="00040AA9">
              <w:rPr>
                <w:rFonts w:ascii="Arial" w:hAnsi="Arial" w:cs="Arial"/>
                <w:sz w:val="20"/>
                <w:szCs w:val="20"/>
              </w:rPr>
              <w:t>(FSPG I – product 2.1,</w:t>
            </w:r>
          </w:p>
          <w:p w14:paraId="47974104" w14:textId="77777777" w:rsidR="007B55FA" w:rsidRPr="00040AA9" w:rsidRDefault="007B55FA" w:rsidP="00040AA9">
            <w:pPr>
              <w:keepNext/>
              <w:keepLines/>
              <w:suppressAutoHyphens/>
              <w:ind w:left="331"/>
              <w:rPr>
                <w:rFonts w:ascii="Arial" w:hAnsi="Arial" w:cs="Arial"/>
                <w:sz w:val="20"/>
                <w:szCs w:val="20"/>
              </w:rPr>
            </w:pPr>
            <w:r w:rsidRPr="00040AA9">
              <w:rPr>
                <w:rFonts w:ascii="Arial" w:hAnsi="Arial" w:cs="Arial"/>
                <w:sz w:val="20"/>
                <w:szCs w:val="20"/>
              </w:rPr>
              <w:t xml:space="preserve"> Pol </w:t>
            </w:r>
            <w:proofErr w:type="spellStart"/>
            <w:r w:rsidRPr="00040AA9">
              <w:rPr>
                <w:rFonts w:ascii="Arial" w:hAnsi="Arial" w:cs="Arial"/>
                <w:sz w:val="20"/>
                <w:szCs w:val="20"/>
              </w:rPr>
              <w:t>Mtx</w:t>
            </w:r>
            <w:proofErr w:type="spellEnd"/>
            <w:r w:rsidRPr="00040AA9">
              <w:rPr>
                <w:rFonts w:ascii="Arial" w:hAnsi="Arial" w:cs="Arial"/>
                <w:sz w:val="20"/>
                <w:szCs w:val="20"/>
              </w:rPr>
              <w:t xml:space="preserve"> item II.1.a.A, &amp;</w:t>
            </w:r>
          </w:p>
          <w:p w14:paraId="10A6020F" w14:textId="77777777" w:rsidR="007B55FA" w:rsidRPr="00040AA9" w:rsidRDefault="007B55FA" w:rsidP="00040AA9">
            <w:pPr>
              <w:keepNext/>
              <w:keepLines/>
              <w:suppressAutoHyphens/>
              <w:ind w:left="331"/>
              <w:rPr>
                <w:rFonts w:ascii="Arial" w:hAnsi="Arial" w:cs="Arial"/>
                <w:sz w:val="20"/>
                <w:szCs w:val="20"/>
              </w:rPr>
            </w:pPr>
            <w:r w:rsidRPr="00040AA9">
              <w:rPr>
                <w:rFonts w:ascii="Arial" w:hAnsi="Arial" w:cs="Arial"/>
                <w:sz w:val="20"/>
                <w:szCs w:val="20"/>
              </w:rPr>
              <w:t>Contract section 2.03(a)(</w:t>
            </w:r>
            <w:proofErr w:type="spellStart"/>
            <w:r w:rsidRPr="00040AA9">
              <w:rPr>
                <w:rFonts w:ascii="Arial" w:hAnsi="Arial" w:cs="Arial"/>
                <w:sz w:val="20"/>
                <w:szCs w:val="20"/>
              </w:rPr>
              <w:t>i</w:t>
            </w:r>
            <w:proofErr w:type="spellEnd"/>
            <w:r w:rsidRPr="00040AA9">
              <w:rPr>
                <w:rFonts w:ascii="Arial" w:hAnsi="Arial" w:cs="Arial"/>
                <w:sz w:val="20"/>
                <w:szCs w:val="20"/>
              </w:rPr>
              <w:t>))</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A9B77D"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Work plan</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F11F89"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539E8A"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5F0D1"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P </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D24763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1AD7F23A"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74512B"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2E5ABE02"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MOF – Tax Policy Division – work group report presenting the progress of the implementation of the work plan.</w:t>
            </w:r>
          </w:p>
        </w:tc>
      </w:tr>
      <w:tr w:rsidR="007B55FA" w:rsidRPr="00CF5903" w14:paraId="7E5E0F30" w14:textId="77777777" w:rsidTr="005D1982">
        <w:trPr>
          <w:trHeight w:val="260"/>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6034E9" w14:textId="77777777" w:rsidR="007B55FA" w:rsidRPr="00040AA9" w:rsidRDefault="007B55FA" w:rsidP="00040AA9">
            <w:pPr>
              <w:keepNext/>
              <w:keepLines/>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DAA257" w14:textId="77777777" w:rsidR="007B55FA" w:rsidRPr="00040AA9" w:rsidRDefault="007B55FA" w:rsidP="00040AA9">
            <w:pPr>
              <w:keepNext/>
              <w:keepLines/>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92B953" w14:textId="77777777" w:rsidR="007B55FA" w:rsidRPr="00040AA9" w:rsidRDefault="007B55FA" w:rsidP="00040AA9">
            <w:pPr>
              <w:keepNext/>
              <w:keepLines/>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DC7733" w14:textId="77777777" w:rsidR="007B55FA" w:rsidRPr="00040AA9" w:rsidRDefault="007B55FA" w:rsidP="00040AA9">
            <w:pPr>
              <w:keepNext/>
              <w:keepLines/>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5B564"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69CC3AD" w14:textId="77777777" w:rsidR="007B55FA" w:rsidRPr="00040AA9" w:rsidRDefault="007B55FA" w:rsidP="00040AA9">
            <w:pPr>
              <w:keepNext/>
              <w:keepLines/>
              <w:suppressAutoHyphens/>
              <w:jc w:val="center"/>
              <w:rPr>
                <w:rFonts w:ascii="Arial" w:hAnsi="Arial" w:cs="Arial"/>
                <w:sz w:val="20"/>
                <w:szCs w:val="20"/>
              </w:rPr>
            </w:pP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0B918D" w14:textId="77777777" w:rsidR="007B55FA" w:rsidRPr="00040AA9" w:rsidRDefault="007B55FA" w:rsidP="00040AA9">
            <w:pPr>
              <w:keepNext/>
              <w:keepLines/>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31DB8F90" w14:textId="77777777" w:rsidR="007B55FA" w:rsidRPr="00040AA9" w:rsidRDefault="007B55FA" w:rsidP="00040AA9">
            <w:pPr>
              <w:keepNext/>
              <w:keepLines/>
              <w:suppressAutoHyphens/>
              <w:rPr>
                <w:rFonts w:ascii="Arial" w:hAnsi="Arial" w:cs="Arial"/>
                <w:sz w:val="20"/>
                <w:szCs w:val="20"/>
              </w:rPr>
            </w:pPr>
          </w:p>
        </w:tc>
      </w:tr>
      <w:tr w:rsidR="007B55FA" w:rsidRPr="00CF5903" w14:paraId="7B75E0D0" w14:textId="77777777" w:rsidTr="005D1982">
        <w:trPr>
          <w:trHeight w:val="260"/>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79919B" w14:textId="77777777" w:rsidR="007B55FA" w:rsidRPr="00040AA9" w:rsidRDefault="007B55FA" w:rsidP="00040AA9">
            <w:pPr>
              <w:keepNext/>
              <w:keepLines/>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D3DA2C" w14:textId="77777777" w:rsidR="007B55FA" w:rsidRPr="00040AA9" w:rsidRDefault="007B55FA" w:rsidP="00040AA9">
            <w:pPr>
              <w:keepNext/>
              <w:keepLines/>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65B55C" w14:textId="77777777" w:rsidR="007B55FA" w:rsidRPr="00040AA9" w:rsidRDefault="007B55FA" w:rsidP="00040AA9">
            <w:pPr>
              <w:keepNext/>
              <w:keepLines/>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EB4910" w14:textId="77777777" w:rsidR="007B55FA" w:rsidRPr="00040AA9" w:rsidRDefault="007B55FA" w:rsidP="00040AA9">
            <w:pPr>
              <w:keepNext/>
              <w:keepLines/>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EBEF5"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7D0962B"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481DCF4E"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(Dec. 2013)</w:t>
            </w: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A6BB74" w14:textId="77777777" w:rsidR="007B55FA" w:rsidRPr="00040AA9" w:rsidRDefault="007B55FA" w:rsidP="00040AA9">
            <w:pPr>
              <w:keepNext/>
              <w:keepLines/>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29721BFF" w14:textId="6AFE990A"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Proclamation </w:t>
            </w:r>
            <w:r w:rsidR="005D1982" w:rsidRPr="00040AA9">
              <w:rPr>
                <w:rFonts w:ascii="Arial" w:hAnsi="Arial" w:cs="Arial"/>
                <w:sz w:val="20"/>
                <w:szCs w:val="20"/>
              </w:rPr>
              <w:t>of The Customs Tariff (Revision</w:t>
            </w:r>
            <w:r w:rsidRPr="00040AA9">
              <w:rPr>
                <w:rFonts w:ascii="Arial" w:hAnsi="Arial" w:cs="Arial"/>
                <w:sz w:val="20"/>
                <w:szCs w:val="20"/>
              </w:rPr>
              <w:t>) (Amendment) (No. 2) Resolution 2013 in Jamaica Gazette on 13-12-17 manifests the results of this working group.</w:t>
            </w:r>
            <w:r w:rsidRPr="00040AA9">
              <w:rPr>
                <w:rStyle w:val="FootnoteReference"/>
                <w:rFonts w:ascii="Arial" w:hAnsi="Arial" w:cs="Arial"/>
                <w:sz w:val="20"/>
                <w:szCs w:val="20"/>
              </w:rPr>
              <w:footnoteReference w:id="86"/>
            </w:r>
            <w:r w:rsidRPr="00040AA9">
              <w:rPr>
                <w:rFonts w:ascii="Arial" w:hAnsi="Arial" w:cs="Arial"/>
                <w:sz w:val="20"/>
                <w:szCs w:val="20"/>
              </w:rPr>
              <w:t xml:space="preserve">  </w:t>
            </w:r>
          </w:p>
        </w:tc>
      </w:tr>
      <w:tr w:rsidR="007B55FA" w:rsidRPr="00CF5903" w14:paraId="2FCBAFA1" w14:textId="77777777" w:rsidTr="005D1982">
        <w:trPr>
          <w:jc w:val="center"/>
        </w:trPr>
        <w:tc>
          <w:tcPr>
            <w:tcW w:w="2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3E81F2" w14:textId="77777777" w:rsidR="007B55FA" w:rsidRPr="00040AA9" w:rsidRDefault="007B55FA" w:rsidP="00040AA9">
            <w:pPr>
              <w:suppressAutoHyphens/>
              <w:ind w:left="151"/>
              <w:rPr>
                <w:rFonts w:ascii="Arial" w:hAnsi="Arial" w:cs="Arial"/>
                <w:sz w:val="20"/>
                <w:szCs w:val="20"/>
              </w:rPr>
            </w:pPr>
            <w:r w:rsidRPr="00040AA9">
              <w:rPr>
                <w:rFonts w:ascii="Arial" w:hAnsi="Arial" w:cs="Arial"/>
                <w:sz w:val="20"/>
                <w:szCs w:val="20"/>
              </w:rPr>
              <w:t>Indicator II.1.2</w:t>
            </w:r>
          </w:p>
          <w:p w14:paraId="1D0C20D2" w14:textId="77777777" w:rsidR="007B55FA" w:rsidRPr="00040AA9" w:rsidRDefault="007B55FA" w:rsidP="00040AA9">
            <w:pPr>
              <w:suppressAutoHyphens/>
              <w:ind w:left="331"/>
              <w:rPr>
                <w:rFonts w:ascii="Arial" w:hAnsi="Arial" w:cs="Arial"/>
                <w:sz w:val="20"/>
                <w:szCs w:val="20"/>
              </w:rPr>
            </w:pPr>
            <w:r w:rsidRPr="00040AA9">
              <w:rPr>
                <w:rFonts w:ascii="Arial" w:hAnsi="Arial" w:cs="Arial"/>
                <w:sz w:val="20"/>
                <w:szCs w:val="20"/>
              </w:rPr>
              <w:t xml:space="preserve">Development of an indicator measuring the standard deviation of the Customs statutory tax rates </w:t>
            </w:r>
          </w:p>
          <w:p w14:paraId="7553CE29" w14:textId="77777777" w:rsidR="007B55FA" w:rsidRPr="00040AA9" w:rsidRDefault="007B55FA" w:rsidP="00040AA9">
            <w:pPr>
              <w:suppressAutoHyphens/>
              <w:ind w:left="331"/>
              <w:rPr>
                <w:rFonts w:ascii="Arial" w:hAnsi="Arial" w:cs="Arial"/>
                <w:sz w:val="20"/>
                <w:szCs w:val="20"/>
              </w:rPr>
            </w:pPr>
            <w:r w:rsidRPr="00040AA9">
              <w:rPr>
                <w:rFonts w:ascii="Arial" w:hAnsi="Arial" w:cs="Arial"/>
                <w:sz w:val="20"/>
                <w:szCs w:val="20"/>
              </w:rPr>
              <w:t>(FSPG II – product 2.1,</w:t>
            </w:r>
          </w:p>
          <w:p w14:paraId="2B18EBBD" w14:textId="77777777" w:rsidR="007B55FA" w:rsidRPr="00040AA9" w:rsidRDefault="007B55FA" w:rsidP="00040AA9">
            <w:pPr>
              <w:suppressAutoHyphens/>
              <w:ind w:left="331"/>
              <w:rPr>
                <w:rFonts w:ascii="Arial" w:hAnsi="Arial" w:cs="Arial"/>
                <w:sz w:val="20"/>
                <w:szCs w:val="20"/>
              </w:rPr>
            </w:pPr>
            <w:r w:rsidRPr="00040AA9">
              <w:rPr>
                <w:rFonts w:ascii="Arial" w:hAnsi="Arial" w:cs="Arial"/>
                <w:sz w:val="20"/>
                <w:szCs w:val="20"/>
              </w:rPr>
              <w:t>contract: section 2.03.I.(a)(</w:t>
            </w:r>
            <w:proofErr w:type="spellStart"/>
            <w:r w:rsidRPr="00040AA9">
              <w:rPr>
                <w:rFonts w:ascii="Arial" w:hAnsi="Arial" w:cs="Arial"/>
                <w:sz w:val="20"/>
                <w:szCs w:val="20"/>
              </w:rPr>
              <w:t>i</w:t>
            </w:r>
            <w:proofErr w:type="spellEnd"/>
            <w:r w:rsidRPr="00040AA9">
              <w:rPr>
                <w:rFonts w:ascii="Arial" w:hAnsi="Arial" w:cs="Arial"/>
                <w:sz w:val="20"/>
                <w:szCs w:val="20"/>
              </w:rPr>
              <w:t>))</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87A6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Certificate </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1D1CA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E1457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2469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FCBB5D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150C243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7334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13D6A24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no deviation has happened on the Customs statutory tax rates</w:t>
            </w:r>
          </w:p>
        </w:tc>
      </w:tr>
      <w:tr w:rsidR="007B55FA" w:rsidRPr="00CF5903" w14:paraId="7633D86B" w14:textId="77777777" w:rsidTr="005D1982">
        <w:trPr>
          <w:trHeight w:val="107"/>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1D8888" w14:textId="77777777" w:rsidR="007B55FA" w:rsidRPr="00040AA9" w:rsidRDefault="007B55FA" w:rsidP="00040AA9">
            <w:pPr>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0BA976" w14:textId="77777777" w:rsidR="007B55FA" w:rsidRPr="00040AA9" w:rsidRDefault="007B55FA" w:rsidP="00040AA9">
            <w:pPr>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710ED4" w14:textId="77777777" w:rsidR="007B55FA" w:rsidRPr="00040AA9" w:rsidRDefault="007B55FA" w:rsidP="00040AA9">
            <w:pPr>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529158" w14:textId="77777777" w:rsidR="007B55FA" w:rsidRPr="00040AA9" w:rsidRDefault="007B55FA" w:rsidP="00040AA9">
            <w:pPr>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E848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84F2BA7" w14:textId="77777777" w:rsidR="007B55FA" w:rsidRPr="00040AA9" w:rsidRDefault="007B55FA" w:rsidP="00040AA9">
            <w:pPr>
              <w:suppressAutoHyphens/>
              <w:rPr>
                <w:rFonts w:ascii="Arial" w:hAnsi="Arial" w:cs="Arial"/>
                <w:sz w:val="20"/>
                <w:szCs w:val="20"/>
              </w:rPr>
            </w:pP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4A5BC4" w14:textId="77777777" w:rsidR="007B55FA" w:rsidRPr="00040AA9" w:rsidRDefault="007B55FA" w:rsidP="00040AA9">
            <w:pPr>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1FAF4D97" w14:textId="77777777" w:rsidR="007B55FA" w:rsidRPr="00040AA9" w:rsidRDefault="007B55FA" w:rsidP="00040AA9">
            <w:pPr>
              <w:suppressAutoHyphens/>
              <w:rPr>
                <w:rFonts w:ascii="Arial" w:hAnsi="Arial" w:cs="Arial"/>
                <w:sz w:val="20"/>
                <w:szCs w:val="20"/>
              </w:rPr>
            </w:pPr>
          </w:p>
        </w:tc>
      </w:tr>
      <w:tr w:rsidR="007B55FA" w:rsidRPr="00CF5903" w14:paraId="06837420" w14:textId="77777777" w:rsidTr="005D1982">
        <w:trPr>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026AD2" w14:textId="77777777" w:rsidR="007B55FA" w:rsidRPr="00040AA9" w:rsidRDefault="007B55FA" w:rsidP="00040AA9">
            <w:pPr>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C8CE21" w14:textId="77777777" w:rsidR="007B55FA" w:rsidRPr="00040AA9" w:rsidRDefault="007B55FA" w:rsidP="00040AA9">
            <w:pPr>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98D202" w14:textId="77777777" w:rsidR="007B55FA" w:rsidRPr="00040AA9" w:rsidRDefault="007B55FA" w:rsidP="00040AA9">
            <w:pPr>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BD60AE" w14:textId="77777777" w:rsidR="007B55FA" w:rsidRPr="00040AA9" w:rsidRDefault="007B55FA" w:rsidP="00040AA9">
            <w:pPr>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2D7C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158C4AE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2224B7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B531DA" w14:textId="77777777" w:rsidR="007B55FA" w:rsidRPr="00040AA9" w:rsidRDefault="007B55FA" w:rsidP="00040AA9">
            <w:pPr>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1A463F15" w14:textId="3EB34210"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FS to Bank dated May 27, 2015 (part II.1.b.A.2) providing evidence of compliance with section 2.03.I.(a)(</w:t>
            </w:r>
            <w:proofErr w:type="spellStart"/>
            <w:r w:rsidRPr="00040AA9">
              <w:rPr>
                <w:rFonts w:ascii="Arial" w:hAnsi="Arial" w:cs="Arial"/>
                <w:sz w:val="20"/>
                <w:szCs w:val="20"/>
              </w:rPr>
              <w:t>i</w:t>
            </w:r>
            <w:proofErr w:type="spellEnd"/>
            <w:r w:rsidRPr="00040AA9">
              <w:rPr>
                <w:rFonts w:ascii="Arial" w:hAnsi="Arial" w:cs="Arial"/>
                <w:sz w:val="20"/>
                <w:szCs w:val="20"/>
              </w:rPr>
              <w:t>) of the FISPEG II loan contract by way of certifying that the 5% rate established in FISPEG I is still in in effect and enforced.</w:t>
            </w:r>
            <w:r w:rsidRPr="00040AA9">
              <w:rPr>
                <w:rStyle w:val="FootnoteReference"/>
                <w:rFonts w:ascii="Arial" w:hAnsi="Arial" w:cs="Arial"/>
                <w:sz w:val="20"/>
                <w:szCs w:val="20"/>
              </w:rPr>
              <w:footnoteReference w:id="87"/>
            </w:r>
          </w:p>
        </w:tc>
      </w:tr>
      <w:tr w:rsidR="007B55FA" w:rsidRPr="00CF5903" w14:paraId="77BCD6B4" w14:textId="77777777" w:rsidTr="005D1982">
        <w:trPr>
          <w:jc w:val="center"/>
        </w:trPr>
        <w:tc>
          <w:tcPr>
            <w:tcW w:w="25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AA977"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II.1.3</w:t>
            </w:r>
          </w:p>
          <w:p w14:paraId="40144320"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Tariff caps on imports applied. </w:t>
            </w:r>
          </w:p>
          <w:p w14:paraId="645FF711"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w:t>
            </w:r>
          </w:p>
          <w:p w14:paraId="50963C37"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w:t>
            </w:r>
            <w:proofErr w:type="spellStart"/>
            <w:r w:rsidRPr="00040AA9">
              <w:rPr>
                <w:rFonts w:ascii="Arial" w:hAnsi="Arial" w:cs="Arial"/>
                <w:sz w:val="20"/>
                <w:szCs w:val="20"/>
              </w:rPr>
              <w:t>i</w:t>
            </w:r>
            <w:proofErr w:type="spellEnd"/>
            <w:r w:rsidRPr="00040AA9">
              <w:rPr>
                <w:rFonts w:ascii="Arial" w:hAnsi="Arial" w:cs="Arial"/>
                <w:sz w:val="20"/>
                <w:szCs w:val="20"/>
              </w:rPr>
              <w:t>)(A))</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90D92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Tariff Caps</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E8935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68BA4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F41E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565054B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2CFF9B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AB51D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4A6EC08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Financial Secretary (FS) informing that the tariff cap keeps being applied.</w:t>
            </w:r>
          </w:p>
        </w:tc>
      </w:tr>
      <w:tr w:rsidR="007B55FA" w:rsidRPr="00CF5903" w14:paraId="02F5B37B" w14:textId="77777777" w:rsidTr="005D1982">
        <w:trPr>
          <w:trHeight w:val="125"/>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85B319" w14:textId="77777777" w:rsidR="007B55FA" w:rsidRPr="00040AA9" w:rsidRDefault="007B55FA" w:rsidP="00040AA9">
            <w:pPr>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349BB9" w14:textId="77777777" w:rsidR="007B55FA" w:rsidRPr="00040AA9" w:rsidRDefault="007B55FA" w:rsidP="00040AA9">
            <w:pPr>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46F9A6" w14:textId="77777777" w:rsidR="007B55FA" w:rsidRPr="00040AA9" w:rsidRDefault="007B55FA" w:rsidP="00040AA9">
            <w:pPr>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E42F72" w14:textId="77777777" w:rsidR="007B55FA" w:rsidRPr="00040AA9" w:rsidRDefault="007B55FA" w:rsidP="00040AA9">
            <w:pPr>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CEF9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5280897D" w14:textId="77777777" w:rsidR="007B55FA" w:rsidRPr="00040AA9" w:rsidRDefault="007B55FA" w:rsidP="00040AA9">
            <w:pPr>
              <w:suppressAutoHyphens/>
              <w:jc w:val="center"/>
              <w:rPr>
                <w:rFonts w:ascii="Arial" w:hAnsi="Arial" w:cs="Arial"/>
                <w:sz w:val="20"/>
                <w:szCs w:val="20"/>
              </w:rPr>
            </w:pP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275023" w14:textId="77777777" w:rsidR="007B55FA" w:rsidRPr="00040AA9" w:rsidRDefault="007B55FA" w:rsidP="00040AA9">
            <w:pPr>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073A0C62" w14:textId="77777777" w:rsidR="007B55FA" w:rsidRPr="00040AA9" w:rsidRDefault="007B55FA" w:rsidP="00040AA9">
            <w:pPr>
              <w:suppressAutoHyphens/>
              <w:rPr>
                <w:rFonts w:ascii="Arial" w:hAnsi="Arial" w:cs="Arial"/>
                <w:sz w:val="20"/>
                <w:szCs w:val="20"/>
              </w:rPr>
            </w:pPr>
          </w:p>
        </w:tc>
      </w:tr>
      <w:tr w:rsidR="007B55FA" w:rsidRPr="00CF5903" w14:paraId="593D2D19" w14:textId="77777777" w:rsidTr="005D1982">
        <w:trPr>
          <w:trHeight w:val="215"/>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32A23" w14:textId="77777777" w:rsidR="007B55FA" w:rsidRPr="00040AA9" w:rsidRDefault="007B55FA" w:rsidP="00040AA9">
            <w:pPr>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A439E3" w14:textId="77777777" w:rsidR="007B55FA" w:rsidRPr="00040AA9" w:rsidRDefault="007B55FA" w:rsidP="00040AA9">
            <w:pPr>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4D9AA6" w14:textId="77777777" w:rsidR="007B55FA" w:rsidRPr="00040AA9" w:rsidRDefault="007B55FA" w:rsidP="00040AA9">
            <w:pPr>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329C56" w14:textId="77777777" w:rsidR="007B55FA" w:rsidRPr="00040AA9" w:rsidRDefault="007B55FA" w:rsidP="00040AA9">
            <w:pPr>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4546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346C00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C40658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84390C" w14:textId="77777777" w:rsidR="007B55FA" w:rsidRPr="00040AA9" w:rsidRDefault="007B55FA" w:rsidP="00040AA9">
            <w:pPr>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348D7101" w14:textId="622B30B7"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II.1.c.A.1) providing evidence of compliance with section 2.03.I.(a)(</w:t>
            </w:r>
            <w:proofErr w:type="spellStart"/>
            <w:r w:rsidRPr="00040AA9">
              <w:rPr>
                <w:rFonts w:ascii="Arial" w:hAnsi="Arial" w:cs="Arial"/>
                <w:sz w:val="20"/>
                <w:szCs w:val="20"/>
              </w:rPr>
              <w:t>i</w:t>
            </w:r>
            <w:proofErr w:type="spellEnd"/>
            <w:r w:rsidRPr="00040AA9">
              <w:rPr>
                <w:rFonts w:ascii="Arial" w:hAnsi="Arial" w:cs="Arial"/>
                <w:sz w:val="20"/>
                <w:szCs w:val="20"/>
              </w:rPr>
              <w:t>)(A) of the FISPEG III loan contract by way of certifying that “the tariff caps on imports are being maintained as specified in the first operation.”</w:t>
            </w:r>
            <w:bookmarkStart w:id="19" w:name="_Ref493588430"/>
            <w:r w:rsidRPr="00040AA9">
              <w:rPr>
                <w:rStyle w:val="FootnoteReference"/>
                <w:rFonts w:ascii="Arial" w:hAnsi="Arial" w:cs="Arial"/>
                <w:sz w:val="20"/>
                <w:szCs w:val="20"/>
              </w:rPr>
              <w:footnoteReference w:id="88"/>
            </w:r>
            <w:bookmarkEnd w:id="19"/>
          </w:p>
        </w:tc>
      </w:tr>
      <w:tr w:rsidR="007B55FA" w:rsidRPr="00CF5903" w14:paraId="160C6C7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jc w:val="center"/>
        </w:trPr>
        <w:tc>
          <w:tcPr>
            <w:tcW w:w="2556" w:type="dxa"/>
            <w:vMerge w:val="restart"/>
            <w:shd w:val="clear" w:color="auto" w:fill="auto"/>
            <w:hideMark/>
          </w:tcPr>
          <w:p w14:paraId="1AF8069B"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II.1.4</w:t>
            </w:r>
          </w:p>
          <w:p w14:paraId="382218B7"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Tariff rate on selected intermediate and final goods applied. </w:t>
            </w:r>
          </w:p>
          <w:p w14:paraId="0F1AE4F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2.2</w:t>
            </w:r>
          </w:p>
          <w:p w14:paraId="15CFCD2D"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w:t>
            </w:r>
            <w:proofErr w:type="spellStart"/>
            <w:r w:rsidRPr="00040AA9">
              <w:rPr>
                <w:rFonts w:ascii="Arial" w:hAnsi="Arial" w:cs="Arial"/>
                <w:sz w:val="20"/>
                <w:szCs w:val="20"/>
              </w:rPr>
              <w:t>i</w:t>
            </w:r>
            <w:proofErr w:type="spellEnd"/>
            <w:r w:rsidRPr="00040AA9">
              <w:rPr>
                <w:rFonts w:ascii="Arial" w:hAnsi="Arial" w:cs="Arial"/>
                <w:sz w:val="20"/>
                <w:szCs w:val="20"/>
              </w:rPr>
              <w:t>)(B))</w:t>
            </w:r>
          </w:p>
        </w:tc>
        <w:tc>
          <w:tcPr>
            <w:tcW w:w="860" w:type="dxa"/>
            <w:vMerge w:val="restart"/>
            <w:shd w:val="clear" w:color="auto" w:fill="auto"/>
            <w:vAlign w:val="center"/>
          </w:tcPr>
          <w:p w14:paraId="5FFEF636" w14:textId="77777777" w:rsidR="007B55FA" w:rsidRPr="00040AA9" w:rsidRDefault="007B55FA" w:rsidP="00040AA9">
            <w:pPr>
              <w:suppressAutoHyphens/>
              <w:rPr>
                <w:rFonts w:ascii="Arial" w:hAnsi="Arial" w:cs="Arial"/>
                <w:sz w:val="20"/>
                <w:szCs w:val="20"/>
              </w:rPr>
            </w:pPr>
          </w:p>
          <w:p w14:paraId="53385EA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Tariff rate</w:t>
            </w:r>
          </w:p>
        </w:tc>
        <w:tc>
          <w:tcPr>
            <w:tcW w:w="774" w:type="dxa"/>
            <w:vMerge w:val="restart"/>
            <w:shd w:val="clear" w:color="auto" w:fill="auto"/>
          </w:tcPr>
          <w:p w14:paraId="349492EC" w14:textId="77777777" w:rsidR="007B55FA" w:rsidRPr="00040AA9" w:rsidRDefault="007B55FA" w:rsidP="00040AA9">
            <w:pPr>
              <w:suppressAutoHyphens/>
              <w:jc w:val="center"/>
              <w:rPr>
                <w:rFonts w:ascii="Arial" w:hAnsi="Arial" w:cs="Arial"/>
                <w:sz w:val="20"/>
                <w:szCs w:val="20"/>
              </w:rPr>
            </w:pPr>
          </w:p>
          <w:p w14:paraId="42D5488B" w14:textId="77777777" w:rsidR="007B55FA" w:rsidRPr="00040AA9" w:rsidRDefault="007B55FA" w:rsidP="00040AA9">
            <w:pPr>
              <w:suppressAutoHyphens/>
              <w:jc w:val="center"/>
              <w:rPr>
                <w:rFonts w:ascii="Arial" w:hAnsi="Arial" w:cs="Arial"/>
                <w:sz w:val="20"/>
                <w:szCs w:val="20"/>
              </w:rPr>
            </w:pPr>
          </w:p>
          <w:p w14:paraId="0B4CCA0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BF00820" w14:textId="77777777" w:rsidR="007B55FA" w:rsidRPr="00040AA9" w:rsidRDefault="007B55FA" w:rsidP="00040AA9">
            <w:pPr>
              <w:suppressAutoHyphens/>
              <w:jc w:val="center"/>
              <w:rPr>
                <w:rFonts w:ascii="Arial" w:hAnsi="Arial" w:cs="Arial"/>
                <w:sz w:val="20"/>
                <w:szCs w:val="20"/>
              </w:rPr>
            </w:pPr>
          </w:p>
          <w:p w14:paraId="62747E54" w14:textId="77777777" w:rsidR="007B55FA" w:rsidRPr="00040AA9" w:rsidRDefault="007B55FA" w:rsidP="00040AA9">
            <w:pPr>
              <w:suppressAutoHyphens/>
              <w:jc w:val="center"/>
              <w:rPr>
                <w:rFonts w:ascii="Arial" w:hAnsi="Arial" w:cs="Arial"/>
                <w:sz w:val="20"/>
                <w:szCs w:val="20"/>
              </w:rPr>
            </w:pPr>
          </w:p>
          <w:p w14:paraId="2A1F3A07" w14:textId="77777777" w:rsidR="007B55FA" w:rsidRPr="00040AA9" w:rsidRDefault="007B55FA" w:rsidP="00040AA9">
            <w:pPr>
              <w:suppressAutoHyphens/>
              <w:jc w:val="center"/>
              <w:rPr>
                <w:rFonts w:ascii="Arial" w:hAnsi="Arial" w:cs="Arial"/>
                <w:sz w:val="20"/>
                <w:szCs w:val="20"/>
              </w:rPr>
            </w:pPr>
          </w:p>
          <w:p w14:paraId="0B01EC6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63D6ADF7" w14:textId="77777777" w:rsidR="007B55FA" w:rsidRPr="00040AA9" w:rsidRDefault="007B55FA" w:rsidP="00040AA9">
            <w:pPr>
              <w:suppressAutoHyphens/>
              <w:rPr>
                <w:rFonts w:ascii="Arial" w:hAnsi="Arial" w:cs="Arial"/>
                <w:sz w:val="20"/>
                <w:szCs w:val="20"/>
              </w:rPr>
            </w:pPr>
          </w:p>
          <w:p w14:paraId="3DDCBD5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tcPr>
          <w:p w14:paraId="5857851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098E9A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w:t>
            </w:r>
          </w:p>
        </w:tc>
        <w:tc>
          <w:tcPr>
            <w:tcW w:w="1106" w:type="dxa"/>
            <w:vMerge w:val="restart"/>
            <w:shd w:val="clear" w:color="auto" w:fill="auto"/>
          </w:tcPr>
          <w:p w14:paraId="75490EB3" w14:textId="77777777" w:rsidR="007B55FA" w:rsidRPr="00040AA9" w:rsidRDefault="007B55FA" w:rsidP="00040AA9">
            <w:pPr>
              <w:suppressAutoHyphens/>
              <w:rPr>
                <w:rFonts w:ascii="Arial" w:hAnsi="Arial" w:cs="Arial"/>
                <w:sz w:val="20"/>
                <w:szCs w:val="20"/>
              </w:rPr>
            </w:pPr>
          </w:p>
          <w:p w14:paraId="0EC5D11B" w14:textId="77777777" w:rsidR="007B55FA" w:rsidRPr="00040AA9" w:rsidRDefault="007B55FA" w:rsidP="00040AA9">
            <w:pPr>
              <w:suppressAutoHyphens/>
              <w:rPr>
                <w:rFonts w:ascii="Arial" w:hAnsi="Arial" w:cs="Arial"/>
                <w:sz w:val="20"/>
                <w:szCs w:val="20"/>
              </w:rPr>
            </w:pPr>
          </w:p>
          <w:p w14:paraId="55F3B7D3" w14:textId="77777777" w:rsidR="007B55FA" w:rsidRPr="00040AA9" w:rsidRDefault="007B55FA" w:rsidP="00040AA9">
            <w:pPr>
              <w:suppressAutoHyphens/>
              <w:rPr>
                <w:rFonts w:ascii="Arial" w:hAnsi="Arial" w:cs="Arial"/>
                <w:sz w:val="20"/>
                <w:szCs w:val="20"/>
              </w:rPr>
            </w:pPr>
          </w:p>
          <w:p w14:paraId="01DFEA48" w14:textId="77777777" w:rsidR="007B55FA" w:rsidRPr="00040AA9" w:rsidRDefault="007B55FA" w:rsidP="00040AA9">
            <w:pPr>
              <w:suppressAutoHyphens/>
              <w:rPr>
                <w:rFonts w:ascii="Arial" w:hAnsi="Arial" w:cs="Arial"/>
                <w:sz w:val="20"/>
                <w:szCs w:val="20"/>
              </w:rPr>
            </w:pPr>
          </w:p>
          <w:p w14:paraId="062B6A5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4A9BE04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tariff rate keeps being applied.</w:t>
            </w:r>
          </w:p>
        </w:tc>
      </w:tr>
      <w:tr w:rsidR="007B55FA" w:rsidRPr="00CF5903" w14:paraId="0DE47D0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75A9DE67"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hideMark/>
          </w:tcPr>
          <w:p w14:paraId="10C61912"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1ABC8090"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C9CD08E"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36F9B2E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2451F1AF"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76B19A44"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16781ECA" w14:textId="77777777" w:rsidR="007B55FA" w:rsidRPr="00040AA9" w:rsidRDefault="007B55FA" w:rsidP="00040AA9">
            <w:pPr>
              <w:suppressAutoHyphens/>
              <w:rPr>
                <w:rFonts w:ascii="Arial" w:hAnsi="Arial" w:cs="Arial"/>
                <w:sz w:val="20"/>
                <w:szCs w:val="20"/>
              </w:rPr>
            </w:pPr>
          </w:p>
        </w:tc>
      </w:tr>
      <w:tr w:rsidR="007B55FA" w:rsidRPr="00CF5903" w14:paraId="19CE52C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jc w:val="center"/>
        </w:trPr>
        <w:tc>
          <w:tcPr>
            <w:tcW w:w="2556" w:type="dxa"/>
            <w:vMerge/>
            <w:tcBorders>
              <w:bottom w:val="single" w:sz="4" w:space="0" w:color="auto"/>
            </w:tcBorders>
            <w:shd w:val="clear" w:color="auto" w:fill="auto"/>
            <w:hideMark/>
          </w:tcPr>
          <w:p w14:paraId="119DEEFB"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72E5E0CE"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77EE45EE"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0AFDA87C"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40355B9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5A086336" w14:textId="77777777" w:rsidR="007B55FA" w:rsidRPr="00040AA9" w:rsidRDefault="007B55FA" w:rsidP="00040AA9">
            <w:pPr>
              <w:suppressAutoHyphens/>
              <w:jc w:val="center"/>
              <w:rPr>
                <w:rFonts w:ascii="Arial" w:hAnsi="Arial" w:cs="Arial"/>
                <w:sz w:val="20"/>
                <w:szCs w:val="20"/>
              </w:rPr>
            </w:pPr>
          </w:p>
          <w:p w14:paraId="0ED2EBE8" w14:textId="77777777" w:rsidR="007B55FA" w:rsidRPr="00040AA9" w:rsidRDefault="007B55FA" w:rsidP="00040AA9">
            <w:pPr>
              <w:suppressAutoHyphens/>
              <w:jc w:val="center"/>
              <w:rPr>
                <w:rFonts w:ascii="Arial" w:hAnsi="Arial" w:cs="Arial"/>
                <w:sz w:val="20"/>
                <w:szCs w:val="20"/>
              </w:rPr>
            </w:pPr>
          </w:p>
          <w:p w14:paraId="4CB0DC3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7FD78B5" w14:textId="59999545"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250FEF" w:rsidRPr="00040AA9">
              <w:rPr>
                <w:rFonts w:ascii="Arial" w:hAnsi="Arial" w:cs="Arial"/>
                <w:sz w:val="20"/>
                <w:szCs w:val="20"/>
              </w:rPr>
              <w:t>2013</w:t>
            </w:r>
            <w:r w:rsidRPr="00040AA9">
              <w:rPr>
                <w:rFonts w:ascii="Arial" w:hAnsi="Arial" w:cs="Arial"/>
                <w:sz w:val="20"/>
                <w:szCs w:val="20"/>
              </w:rPr>
              <w:t>)</w:t>
            </w:r>
          </w:p>
        </w:tc>
        <w:tc>
          <w:tcPr>
            <w:tcW w:w="1106" w:type="dxa"/>
            <w:vMerge/>
            <w:tcBorders>
              <w:bottom w:val="single" w:sz="4" w:space="0" w:color="auto"/>
            </w:tcBorders>
            <w:shd w:val="clear" w:color="auto" w:fill="auto"/>
            <w:hideMark/>
          </w:tcPr>
          <w:p w14:paraId="120C9737"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0811DC32" w14:textId="7B72ED98"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II.1.c.A.2) providing evidence of compliance with section 2.03.I.(a)(</w:t>
            </w:r>
            <w:proofErr w:type="spellStart"/>
            <w:r w:rsidRPr="00040AA9">
              <w:rPr>
                <w:rFonts w:ascii="Arial" w:hAnsi="Arial" w:cs="Arial"/>
                <w:sz w:val="20"/>
                <w:szCs w:val="20"/>
              </w:rPr>
              <w:t>i</w:t>
            </w:r>
            <w:proofErr w:type="spellEnd"/>
            <w:r w:rsidRPr="00040AA9">
              <w:rPr>
                <w:rFonts w:ascii="Arial" w:hAnsi="Arial" w:cs="Arial"/>
                <w:sz w:val="20"/>
                <w:szCs w:val="20"/>
              </w:rPr>
              <w:t>)(B) of the FISPEG III loan contract by way of certifying that “the 5% tariff rate on selected intermediate and final goods as specified in the first operation is being maintained.”</w:t>
            </w:r>
            <w:r w:rsidRPr="00040AA9">
              <w:rPr>
                <w:rStyle w:val="FootnoteReference"/>
                <w:rFonts w:ascii="Arial" w:hAnsi="Arial" w:cs="Arial"/>
                <w:sz w:val="20"/>
                <w:szCs w:val="20"/>
              </w:rPr>
              <w:footnoteReference w:id="89"/>
            </w:r>
            <w:r w:rsidRPr="00040AA9">
              <w:rPr>
                <w:rFonts w:ascii="Arial" w:hAnsi="Arial" w:cs="Arial"/>
                <w:sz w:val="20"/>
                <w:szCs w:val="20"/>
              </w:rPr>
              <w:t xml:space="preserve"> </w:t>
            </w:r>
          </w:p>
        </w:tc>
      </w:tr>
      <w:tr w:rsidR="007B55FA" w:rsidRPr="00CF5903" w14:paraId="78650BA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jc w:val="center"/>
        </w:trPr>
        <w:tc>
          <w:tcPr>
            <w:tcW w:w="12859" w:type="dxa"/>
            <w:gridSpan w:val="8"/>
            <w:shd w:val="clear" w:color="auto" w:fill="F2F2F2" w:themeFill="background1" w:themeFillShade="F2"/>
          </w:tcPr>
          <w:p w14:paraId="1B4A6C78" w14:textId="365FA4E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II.2. GC</w:t>
            </w:r>
            <w:r w:rsidR="005D1982" w:rsidRPr="00040AA9">
              <w:rPr>
                <w:rFonts w:ascii="Arial" w:hAnsi="Arial" w:cs="Arial"/>
                <w:b/>
                <w:sz w:val="20"/>
                <w:szCs w:val="20"/>
              </w:rPr>
              <w:t>T, Corp &amp; Self-</w:t>
            </w:r>
            <w:r w:rsidRPr="00040AA9">
              <w:rPr>
                <w:rFonts w:ascii="Arial" w:hAnsi="Arial" w:cs="Arial"/>
                <w:b/>
                <w:sz w:val="20"/>
                <w:szCs w:val="20"/>
              </w:rPr>
              <w:t>Employed Tax, CIT and PIT</w:t>
            </w:r>
          </w:p>
        </w:tc>
      </w:tr>
      <w:tr w:rsidR="007B55FA" w:rsidRPr="00CF5903" w14:paraId="6FF85BA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1"/>
          <w:jc w:val="center"/>
        </w:trPr>
        <w:tc>
          <w:tcPr>
            <w:tcW w:w="2556" w:type="dxa"/>
            <w:vMerge w:val="restart"/>
            <w:shd w:val="clear" w:color="auto" w:fill="auto"/>
          </w:tcPr>
          <w:p w14:paraId="577DB01B"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II.2.1</w:t>
            </w:r>
          </w:p>
          <w:p w14:paraId="0BD9E7E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Work Plan for the CGT, corporate and self-employed tax, CIT and PIT implemented </w:t>
            </w:r>
          </w:p>
          <w:p w14:paraId="41A3736C"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 – product 2.2,</w:t>
            </w:r>
          </w:p>
          <w:p w14:paraId="368FC788"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Pol. </w:t>
            </w:r>
            <w:proofErr w:type="spellStart"/>
            <w:r w:rsidRPr="00040AA9">
              <w:rPr>
                <w:rFonts w:ascii="Arial" w:hAnsi="Arial" w:cs="Arial"/>
                <w:sz w:val="20"/>
                <w:szCs w:val="20"/>
              </w:rPr>
              <w:t>Mtx</w:t>
            </w:r>
            <w:proofErr w:type="spellEnd"/>
            <w:r w:rsidRPr="00040AA9">
              <w:rPr>
                <w:rFonts w:ascii="Arial" w:hAnsi="Arial" w:cs="Arial"/>
                <w:sz w:val="20"/>
                <w:szCs w:val="20"/>
              </w:rPr>
              <w:t xml:space="preserve">. items II.1.a.B&amp;D, </w:t>
            </w:r>
          </w:p>
          <w:p w14:paraId="44E68951"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2.03(a)(iv))</w:t>
            </w:r>
          </w:p>
        </w:tc>
        <w:tc>
          <w:tcPr>
            <w:tcW w:w="860" w:type="dxa"/>
            <w:vMerge w:val="restart"/>
            <w:shd w:val="clear" w:color="auto" w:fill="auto"/>
          </w:tcPr>
          <w:p w14:paraId="5B2ECB41" w14:textId="77777777" w:rsidR="007B55FA" w:rsidRPr="00040AA9" w:rsidRDefault="007B55FA" w:rsidP="00040AA9">
            <w:pPr>
              <w:suppressAutoHyphens/>
              <w:jc w:val="center"/>
              <w:rPr>
                <w:rFonts w:ascii="Arial" w:hAnsi="Arial" w:cs="Arial"/>
                <w:sz w:val="20"/>
                <w:szCs w:val="20"/>
              </w:rPr>
            </w:pPr>
          </w:p>
          <w:p w14:paraId="2D386CDB" w14:textId="77777777" w:rsidR="007B55FA" w:rsidRPr="00040AA9" w:rsidRDefault="007B55FA" w:rsidP="00040AA9">
            <w:pPr>
              <w:suppressAutoHyphens/>
              <w:jc w:val="center"/>
              <w:rPr>
                <w:rFonts w:ascii="Arial" w:hAnsi="Arial" w:cs="Arial"/>
                <w:sz w:val="20"/>
                <w:szCs w:val="20"/>
              </w:rPr>
            </w:pPr>
          </w:p>
          <w:p w14:paraId="68B4EB2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Work plan</w:t>
            </w:r>
          </w:p>
        </w:tc>
        <w:tc>
          <w:tcPr>
            <w:tcW w:w="774" w:type="dxa"/>
            <w:vMerge w:val="restart"/>
            <w:shd w:val="clear" w:color="auto" w:fill="auto"/>
          </w:tcPr>
          <w:p w14:paraId="7FADBF42" w14:textId="77777777" w:rsidR="007B55FA" w:rsidRPr="00040AA9" w:rsidRDefault="007B55FA" w:rsidP="00040AA9">
            <w:pPr>
              <w:suppressAutoHyphens/>
              <w:jc w:val="center"/>
              <w:rPr>
                <w:rFonts w:ascii="Arial" w:hAnsi="Arial" w:cs="Arial"/>
                <w:sz w:val="20"/>
                <w:szCs w:val="20"/>
              </w:rPr>
            </w:pPr>
          </w:p>
          <w:p w14:paraId="478F387E" w14:textId="77777777" w:rsidR="007B55FA" w:rsidRPr="00040AA9" w:rsidRDefault="007B55FA" w:rsidP="00040AA9">
            <w:pPr>
              <w:suppressAutoHyphens/>
              <w:jc w:val="center"/>
              <w:rPr>
                <w:rFonts w:ascii="Arial" w:hAnsi="Arial" w:cs="Arial"/>
                <w:sz w:val="20"/>
                <w:szCs w:val="20"/>
              </w:rPr>
            </w:pPr>
          </w:p>
          <w:p w14:paraId="5C771AC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604C334A" w14:textId="77777777" w:rsidR="007B55FA" w:rsidRPr="00040AA9" w:rsidRDefault="007B55FA" w:rsidP="00040AA9">
            <w:pPr>
              <w:suppressAutoHyphens/>
              <w:jc w:val="center"/>
              <w:rPr>
                <w:rFonts w:ascii="Arial" w:hAnsi="Arial" w:cs="Arial"/>
                <w:sz w:val="20"/>
                <w:szCs w:val="20"/>
              </w:rPr>
            </w:pPr>
          </w:p>
          <w:p w14:paraId="665891A5" w14:textId="77777777" w:rsidR="007B55FA" w:rsidRPr="00040AA9" w:rsidRDefault="007B55FA" w:rsidP="00040AA9">
            <w:pPr>
              <w:suppressAutoHyphens/>
              <w:jc w:val="center"/>
              <w:rPr>
                <w:rFonts w:ascii="Arial" w:hAnsi="Arial" w:cs="Arial"/>
                <w:sz w:val="20"/>
                <w:szCs w:val="20"/>
              </w:rPr>
            </w:pPr>
          </w:p>
          <w:p w14:paraId="6ED8592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2012/13</w:t>
            </w:r>
          </w:p>
        </w:tc>
        <w:tc>
          <w:tcPr>
            <w:tcW w:w="594" w:type="dxa"/>
            <w:shd w:val="clear" w:color="auto" w:fill="auto"/>
          </w:tcPr>
          <w:p w14:paraId="7CE0404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tcPr>
          <w:p w14:paraId="420F8072" w14:textId="77777777" w:rsidR="007B55FA" w:rsidRPr="00040AA9" w:rsidRDefault="007B55FA" w:rsidP="00040AA9">
            <w:pPr>
              <w:suppressAutoHyphens/>
              <w:jc w:val="center"/>
              <w:rPr>
                <w:rFonts w:ascii="Arial" w:hAnsi="Arial" w:cs="Arial"/>
                <w:sz w:val="20"/>
                <w:szCs w:val="20"/>
              </w:rPr>
            </w:pPr>
          </w:p>
          <w:p w14:paraId="67BF715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66C5EA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767878D8" w14:textId="77777777" w:rsidR="007B55FA" w:rsidRPr="00040AA9" w:rsidRDefault="007B55FA" w:rsidP="00040AA9">
            <w:pPr>
              <w:suppressAutoHyphens/>
              <w:jc w:val="center"/>
              <w:rPr>
                <w:rFonts w:ascii="Arial" w:hAnsi="Arial" w:cs="Arial"/>
                <w:sz w:val="20"/>
                <w:szCs w:val="20"/>
              </w:rPr>
            </w:pPr>
          </w:p>
          <w:p w14:paraId="06C0F58D" w14:textId="77777777" w:rsidR="007B55FA" w:rsidRPr="00040AA9" w:rsidRDefault="007B55FA" w:rsidP="00040AA9">
            <w:pPr>
              <w:suppressAutoHyphens/>
              <w:jc w:val="center"/>
              <w:rPr>
                <w:rFonts w:ascii="Arial" w:hAnsi="Arial" w:cs="Arial"/>
                <w:sz w:val="20"/>
                <w:szCs w:val="20"/>
              </w:rPr>
            </w:pPr>
          </w:p>
          <w:p w14:paraId="3398D819" w14:textId="77777777" w:rsidR="007B55FA" w:rsidRPr="00040AA9" w:rsidRDefault="007B55FA" w:rsidP="00040AA9">
            <w:pPr>
              <w:suppressAutoHyphens/>
              <w:jc w:val="center"/>
              <w:rPr>
                <w:rFonts w:ascii="Arial" w:hAnsi="Arial" w:cs="Arial"/>
                <w:sz w:val="20"/>
                <w:szCs w:val="20"/>
              </w:rPr>
            </w:pPr>
          </w:p>
          <w:p w14:paraId="09A70190" w14:textId="77777777" w:rsidR="007B55FA" w:rsidRPr="00040AA9" w:rsidRDefault="007B55FA" w:rsidP="00040AA9">
            <w:pPr>
              <w:suppressAutoHyphens/>
              <w:jc w:val="center"/>
              <w:rPr>
                <w:rFonts w:ascii="Arial" w:hAnsi="Arial" w:cs="Arial"/>
                <w:sz w:val="20"/>
                <w:szCs w:val="20"/>
              </w:rPr>
            </w:pPr>
          </w:p>
          <w:p w14:paraId="66F3B9EA" w14:textId="77777777" w:rsidR="007B55FA" w:rsidRPr="00040AA9" w:rsidRDefault="007B55FA" w:rsidP="00040AA9">
            <w:pPr>
              <w:suppressAutoHyphens/>
              <w:jc w:val="center"/>
              <w:rPr>
                <w:rFonts w:ascii="Arial" w:hAnsi="Arial" w:cs="Arial"/>
                <w:sz w:val="20"/>
                <w:szCs w:val="20"/>
              </w:rPr>
            </w:pPr>
          </w:p>
          <w:p w14:paraId="2F30469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6A10B6A4"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MOF – Tax Policy Division – work group report presenting the progress of the implementation of the work plan.</w:t>
            </w:r>
          </w:p>
        </w:tc>
      </w:tr>
      <w:tr w:rsidR="007B55FA" w:rsidRPr="00CF5903" w14:paraId="6F0C5B1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jc w:val="center"/>
        </w:trPr>
        <w:tc>
          <w:tcPr>
            <w:tcW w:w="2556" w:type="dxa"/>
            <w:vMerge/>
            <w:shd w:val="clear" w:color="auto" w:fill="auto"/>
          </w:tcPr>
          <w:p w14:paraId="25E18FA1"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594FEB87" w14:textId="77777777" w:rsidR="007B55FA" w:rsidRPr="00040AA9" w:rsidRDefault="007B55FA" w:rsidP="00040AA9">
            <w:pPr>
              <w:suppressAutoHyphens/>
              <w:rPr>
                <w:rFonts w:ascii="Arial" w:hAnsi="Arial" w:cs="Arial"/>
                <w:sz w:val="20"/>
                <w:szCs w:val="20"/>
              </w:rPr>
            </w:pPr>
          </w:p>
        </w:tc>
        <w:tc>
          <w:tcPr>
            <w:tcW w:w="774" w:type="dxa"/>
            <w:vMerge/>
            <w:shd w:val="clear" w:color="auto" w:fill="auto"/>
          </w:tcPr>
          <w:p w14:paraId="6A0B844A" w14:textId="77777777" w:rsidR="007B55FA" w:rsidRPr="00040AA9" w:rsidRDefault="007B55FA" w:rsidP="00040AA9">
            <w:pPr>
              <w:suppressAutoHyphens/>
              <w:rPr>
                <w:rFonts w:ascii="Arial" w:hAnsi="Arial" w:cs="Arial"/>
                <w:sz w:val="20"/>
                <w:szCs w:val="20"/>
              </w:rPr>
            </w:pPr>
          </w:p>
        </w:tc>
        <w:tc>
          <w:tcPr>
            <w:tcW w:w="939" w:type="dxa"/>
            <w:vMerge/>
            <w:shd w:val="clear" w:color="auto" w:fill="auto"/>
          </w:tcPr>
          <w:p w14:paraId="56DEFA73" w14:textId="77777777" w:rsidR="007B55FA" w:rsidRPr="00040AA9" w:rsidRDefault="007B55FA" w:rsidP="00040AA9">
            <w:pPr>
              <w:suppressAutoHyphens/>
              <w:rPr>
                <w:rFonts w:ascii="Arial" w:hAnsi="Arial" w:cs="Arial"/>
                <w:sz w:val="20"/>
                <w:szCs w:val="20"/>
              </w:rPr>
            </w:pPr>
          </w:p>
        </w:tc>
        <w:tc>
          <w:tcPr>
            <w:tcW w:w="594" w:type="dxa"/>
            <w:shd w:val="clear" w:color="auto" w:fill="auto"/>
          </w:tcPr>
          <w:p w14:paraId="433AF96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487DAB6B" w14:textId="77777777" w:rsidR="007B55FA" w:rsidRPr="00040AA9" w:rsidRDefault="007B55FA" w:rsidP="00040AA9">
            <w:pPr>
              <w:suppressAutoHyphens/>
              <w:rPr>
                <w:rFonts w:ascii="Arial" w:hAnsi="Arial" w:cs="Arial"/>
                <w:sz w:val="20"/>
                <w:szCs w:val="20"/>
              </w:rPr>
            </w:pPr>
          </w:p>
        </w:tc>
        <w:tc>
          <w:tcPr>
            <w:tcW w:w="1106" w:type="dxa"/>
            <w:vMerge/>
            <w:shd w:val="clear" w:color="auto" w:fill="auto"/>
          </w:tcPr>
          <w:p w14:paraId="18261605" w14:textId="77777777" w:rsidR="007B55FA" w:rsidRPr="00040AA9" w:rsidRDefault="007B55FA" w:rsidP="00040AA9">
            <w:pPr>
              <w:suppressAutoHyphens/>
              <w:jc w:val="center"/>
              <w:rPr>
                <w:rFonts w:ascii="Arial" w:hAnsi="Arial" w:cs="Arial"/>
                <w:sz w:val="20"/>
                <w:szCs w:val="20"/>
              </w:rPr>
            </w:pPr>
          </w:p>
        </w:tc>
        <w:tc>
          <w:tcPr>
            <w:tcW w:w="5027" w:type="dxa"/>
            <w:shd w:val="clear" w:color="auto" w:fill="auto"/>
          </w:tcPr>
          <w:p w14:paraId="082771BF" w14:textId="77777777" w:rsidR="007B55FA" w:rsidRPr="00040AA9" w:rsidRDefault="007B55FA" w:rsidP="00040AA9">
            <w:pPr>
              <w:suppressAutoHyphens/>
              <w:rPr>
                <w:rFonts w:ascii="Arial" w:hAnsi="Arial" w:cs="Arial"/>
                <w:sz w:val="20"/>
                <w:szCs w:val="20"/>
              </w:rPr>
            </w:pPr>
          </w:p>
        </w:tc>
      </w:tr>
      <w:tr w:rsidR="007B55FA" w:rsidRPr="00CF5903" w14:paraId="240ECAC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5"/>
          <w:jc w:val="center"/>
        </w:trPr>
        <w:tc>
          <w:tcPr>
            <w:tcW w:w="2556" w:type="dxa"/>
            <w:vMerge/>
            <w:tcBorders>
              <w:bottom w:val="single" w:sz="4" w:space="0" w:color="auto"/>
            </w:tcBorders>
            <w:shd w:val="clear" w:color="auto" w:fill="auto"/>
          </w:tcPr>
          <w:p w14:paraId="480FEB5B"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tcPr>
          <w:p w14:paraId="25C4E617"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tcPr>
          <w:p w14:paraId="0DBBC6A4"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tcPr>
          <w:p w14:paraId="77C04396"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tcPr>
          <w:p w14:paraId="25EDD2AC" w14:textId="77777777" w:rsidR="007B55FA" w:rsidRPr="00040AA9" w:rsidRDefault="007B55FA" w:rsidP="00040AA9">
            <w:pPr>
              <w:suppressAutoHyphens/>
              <w:rPr>
                <w:rFonts w:ascii="Arial" w:hAnsi="Arial" w:cs="Arial"/>
                <w:sz w:val="20"/>
                <w:szCs w:val="20"/>
              </w:rPr>
            </w:pPr>
          </w:p>
          <w:p w14:paraId="2FB7C9A8" w14:textId="77777777" w:rsidR="007B55FA" w:rsidRPr="00040AA9" w:rsidRDefault="007B55FA" w:rsidP="00040AA9">
            <w:pPr>
              <w:suppressAutoHyphens/>
              <w:rPr>
                <w:rFonts w:ascii="Arial" w:hAnsi="Arial" w:cs="Arial"/>
                <w:sz w:val="20"/>
                <w:szCs w:val="20"/>
              </w:rPr>
            </w:pPr>
          </w:p>
          <w:p w14:paraId="38BFFC3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383B76B7" w14:textId="77777777" w:rsidR="007B55FA" w:rsidRPr="00040AA9" w:rsidRDefault="007B55FA" w:rsidP="00040AA9">
            <w:pPr>
              <w:suppressAutoHyphens/>
              <w:jc w:val="center"/>
              <w:rPr>
                <w:rFonts w:ascii="Arial" w:hAnsi="Arial" w:cs="Arial"/>
                <w:sz w:val="20"/>
                <w:szCs w:val="20"/>
              </w:rPr>
            </w:pPr>
          </w:p>
          <w:p w14:paraId="5C460ED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6B3349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(Jan 2014)</w:t>
            </w:r>
          </w:p>
        </w:tc>
        <w:tc>
          <w:tcPr>
            <w:tcW w:w="1106" w:type="dxa"/>
            <w:vMerge/>
            <w:tcBorders>
              <w:bottom w:val="single" w:sz="4" w:space="0" w:color="auto"/>
            </w:tcBorders>
            <w:shd w:val="clear" w:color="auto" w:fill="auto"/>
          </w:tcPr>
          <w:p w14:paraId="23F4E4A3" w14:textId="77777777" w:rsidR="007B55FA" w:rsidRPr="00040AA9" w:rsidRDefault="007B55FA" w:rsidP="00040AA9">
            <w:pPr>
              <w:suppressAutoHyphens/>
              <w:jc w:val="center"/>
              <w:rPr>
                <w:rFonts w:ascii="Arial" w:hAnsi="Arial" w:cs="Arial"/>
                <w:sz w:val="20"/>
                <w:szCs w:val="20"/>
              </w:rPr>
            </w:pPr>
          </w:p>
        </w:tc>
        <w:tc>
          <w:tcPr>
            <w:tcW w:w="5027" w:type="dxa"/>
            <w:tcBorders>
              <w:bottom w:val="single" w:sz="4" w:space="0" w:color="auto"/>
            </w:tcBorders>
            <w:shd w:val="clear" w:color="auto" w:fill="auto"/>
          </w:tcPr>
          <w:p w14:paraId="04F41703" w14:textId="5ED1E7D8" w:rsidR="007B55FA" w:rsidRPr="00040AA9" w:rsidRDefault="007B55FA" w:rsidP="00040AA9">
            <w:pPr>
              <w:suppressAutoHyphens/>
              <w:rPr>
                <w:rFonts w:ascii="Arial" w:hAnsi="Arial" w:cs="Arial"/>
                <w:sz w:val="20"/>
                <w:szCs w:val="20"/>
              </w:rPr>
            </w:pPr>
            <w:r w:rsidRPr="00040AA9">
              <w:rPr>
                <w:rFonts w:ascii="Arial" w:hAnsi="Arial" w:cs="Arial"/>
                <w:sz w:val="20"/>
                <w:szCs w:val="20"/>
              </w:rPr>
              <w:t>Proclamation of the “Fiscal Incentives (Miscellaneous Provisions) Act Jan. 1, 2014</w:t>
            </w:r>
            <w:r w:rsidRPr="00040AA9">
              <w:rPr>
                <w:rStyle w:val="FootnoteReference"/>
                <w:rFonts w:ascii="Arial" w:hAnsi="Arial" w:cs="Arial"/>
                <w:sz w:val="20"/>
                <w:szCs w:val="20"/>
              </w:rPr>
              <w:footnoteReference w:id="90"/>
            </w:r>
          </w:p>
        </w:tc>
      </w:tr>
      <w:tr w:rsidR="007B55FA" w:rsidRPr="00CF5903" w14:paraId="09D1C2D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4"/>
          <w:jc w:val="center"/>
        </w:trPr>
        <w:tc>
          <w:tcPr>
            <w:tcW w:w="2556" w:type="dxa"/>
            <w:vMerge w:val="restart"/>
            <w:shd w:val="clear" w:color="auto" w:fill="auto"/>
          </w:tcPr>
          <w:p w14:paraId="6685C7EC"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II.2.2</w:t>
            </w:r>
          </w:p>
          <w:p w14:paraId="35539934"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CIT rate for unregulated companies applied</w:t>
            </w:r>
          </w:p>
          <w:p w14:paraId="63292C04"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2.8,</w:t>
            </w:r>
          </w:p>
          <w:p w14:paraId="3D8A8446" w14:textId="77777777" w:rsidR="007B55FA" w:rsidRPr="00040AA9" w:rsidRDefault="007B55FA" w:rsidP="00040AA9">
            <w:pPr>
              <w:suppressAutoHyphens/>
              <w:ind w:left="339"/>
              <w:rPr>
                <w:rFonts w:ascii="Arial" w:hAnsi="Arial" w:cs="Arial"/>
                <w:i/>
                <w:sz w:val="20"/>
                <w:szCs w:val="20"/>
                <w:highlight w:val="yellow"/>
              </w:rPr>
            </w:pPr>
            <w:r w:rsidRPr="00040AA9">
              <w:rPr>
                <w:rFonts w:ascii="Arial" w:hAnsi="Arial" w:cs="Arial"/>
                <w:sz w:val="20"/>
                <w:szCs w:val="20"/>
              </w:rPr>
              <w:t>contract section 2.03.I.(a)(iv)(A))</w:t>
            </w:r>
          </w:p>
        </w:tc>
        <w:tc>
          <w:tcPr>
            <w:tcW w:w="860" w:type="dxa"/>
            <w:vMerge w:val="restart"/>
            <w:shd w:val="clear" w:color="auto" w:fill="auto"/>
          </w:tcPr>
          <w:p w14:paraId="06013DB6" w14:textId="77777777" w:rsidR="007B55FA" w:rsidRPr="00040AA9" w:rsidRDefault="007B55FA" w:rsidP="00040AA9">
            <w:pPr>
              <w:suppressAutoHyphens/>
              <w:jc w:val="center"/>
              <w:rPr>
                <w:rFonts w:ascii="Arial" w:hAnsi="Arial" w:cs="Arial"/>
                <w:sz w:val="20"/>
                <w:szCs w:val="20"/>
              </w:rPr>
            </w:pPr>
          </w:p>
          <w:p w14:paraId="78A91F25" w14:textId="77777777" w:rsidR="007B55FA" w:rsidRPr="00040AA9" w:rsidRDefault="007B55FA" w:rsidP="00040AA9">
            <w:pPr>
              <w:suppressAutoHyphens/>
              <w:jc w:val="center"/>
              <w:rPr>
                <w:rFonts w:ascii="Arial" w:hAnsi="Arial" w:cs="Arial"/>
                <w:sz w:val="20"/>
                <w:szCs w:val="20"/>
              </w:rPr>
            </w:pPr>
          </w:p>
          <w:p w14:paraId="0B1CB8D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Rate</w:t>
            </w:r>
          </w:p>
        </w:tc>
        <w:tc>
          <w:tcPr>
            <w:tcW w:w="774" w:type="dxa"/>
            <w:vMerge w:val="restart"/>
            <w:shd w:val="clear" w:color="auto" w:fill="auto"/>
          </w:tcPr>
          <w:p w14:paraId="67EBE73F" w14:textId="77777777" w:rsidR="007B55FA" w:rsidRPr="00040AA9" w:rsidRDefault="007B55FA" w:rsidP="00040AA9">
            <w:pPr>
              <w:suppressAutoHyphens/>
              <w:jc w:val="center"/>
              <w:rPr>
                <w:rFonts w:ascii="Arial" w:hAnsi="Arial" w:cs="Arial"/>
                <w:sz w:val="20"/>
                <w:szCs w:val="20"/>
              </w:rPr>
            </w:pPr>
          </w:p>
          <w:p w14:paraId="60133F3D" w14:textId="77777777" w:rsidR="007B55FA" w:rsidRPr="00040AA9" w:rsidRDefault="007B55FA" w:rsidP="00040AA9">
            <w:pPr>
              <w:suppressAutoHyphens/>
              <w:jc w:val="center"/>
              <w:rPr>
                <w:rFonts w:ascii="Arial" w:hAnsi="Arial" w:cs="Arial"/>
                <w:sz w:val="20"/>
                <w:szCs w:val="20"/>
              </w:rPr>
            </w:pPr>
          </w:p>
          <w:p w14:paraId="5D6E01D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p w14:paraId="60489607" w14:textId="77777777" w:rsidR="007B55FA" w:rsidRPr="00040AA9" w:rsidRDefault="007B55FA" w:rsidP="00040AA9">
            <w:pPr>
              <w:suppressAutoHyphens/>
              <w:jc w:val="center"/>
              <w:rPr>
                <w:rFonts w:ascii="Arial" w:hAnsi="Arial" w:cs="Arial"/>
                <w:sz w:val="20"/>
                <w:szCs w:val="20"/>
              </w:rPr>
            </w:pPr>
          </w:p>
        </w:tc>
        <w:tc>
          <w:tcPr>
            <w:tcW w:w="939" w:type="dxa"/>
            <w:vMerge w:val="restart"/>
            <w:shd w:val="clear" w:color="auto" w:fill="auto"/>
          </w:tcPr>
          <w:p w14:paraId="5BB061FC" w14:textId="77777777" w:rsidR="007B55FA" w:rsidRPr="00040AA9" w:rsidRDefault="007B55FA" w:rsidP="00040AA9">
            <w:pPr>
              <w:suppressAutoHyphens/>
              <w:rPr>
                <w:rFonts w:ascii="Arial" w:hAnsi="Arial" w:cs="Arial"/>
                <w:sz w:val="20"/>
                <w:szCs w:val="20"/>
              </w:rPr>
            </w:pPr>
          </w:p>
          <w:p w14:paraId="18ABD96A" w14:textId="77777777" w:rsidR="007B55FA" w:rsidRPr="00040AA9" w:rsidRDefault="007B55FA" w:rsidP="00040AA9">
            <w:pPr>
              <w:suppressAutoHyphens/>
              <w:rPr>
                <w:rFonts w:ascii="Arial" w:hAnsi="Arial" w:cs="Arial"/>
                <w:sz w:val="20"/>
                <w:szCs w:val="20"/>
              </w:rPr>
            </w:pPr>
          </w:p>
          <w:p w14:paraId="13C07B5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2012/13</w:t>
            </w:r>
          </w:p>
        </w:tc>
        <w:tc>
          <w:tcPr>
            <w:tcW w:w="594" w:type="dxa"/>
            <w:tcBorders>
              <w:bottom w:val="single" w:sz="4" w:space="0" w:color="auto"/>
            </w:tcBorders>
            <w:shd w:val="clear" w:color="auto" w:fill="auto"/>
          </w:tcPr>
          <w:p w14:paraId="5A47BB06" w14:textId="77777777" w:rsidR="007B55FA" w:rsidRPr="00040AA9" w:rsidRDefault="007B55FA" w:rsidP="00040AA9">
            <w:pPr>
              <w:suppressAutoHyphens/>
              <w:jc w:val="center"/>
              <w:rPr>
                <w:rFonts w:ascii="Arial" w:hAnsi="Arial" w:cs="Arial"/>
                <w:sz w:val="20"/>
                <w:szCs w:val="20"/>
              </w:rPr>
            </w:pPr>
          </w:p>
          <w:p w14:paraId="0CDEC4E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tcBorders>
              <w:bottom w:val="single" w:sz="4" w:space="0" w:color="auto"/>
            </w:tcBorders>
            <w:shd w:val="clear" w:color="auto" w:fill="auto"/>
          </w:tcPr>
          <w:p w14:paraId="59347EB9" w14:textId="77777777" w:rsidR="007B55FA" w:rsidRPr="00040AA9" w:rsidRDefault="007B55FA" w:rsidP="00040AA9">
            <w:pPr>
              <w:suppressAutoHyphens/>
              <w:jc w:val="center"/>
              <w:rPr>
                <w:rFonts w:ascii="Arial" w:hAnsi="Arial" w:cs="Arial"/>
                <w:sz w:val="20"/>
                <w:szCs w:val="20"/>
              </w:rPr>
            </w:pPr>
          </w:p>
          <w:p w14:paraId="4DEE70D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F6D09E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2521DC87" w14:textId="77777777" w:rsidR="007B55FA" w:rsidRPr="00040AA9" w:rsidRDefault="007B55FA" w:rsidP="00040AA9">
            <w:pPr>
              <w:suppressAutoHyphens/>
              <w:rPr>
                <w:rFonts w:ascii="Arial" w:hAnsi="Arial" w:cs="Arial"/>
                <w:sz w:val="20"/>
                <w:szCs w:val="20"/>
              </w:rPr>
            </w:pPr>
          </w:p>
          <w:p w14:paraId="1F15F951" w14:textId="77777777" w:rsidR="007B55FA" w:rsidRPr="00040AA9" w:rsidRDefault="007B55FA" w:rsidP="00040AA9">
            <w:pPr>
              <w:suppressAutoHyphens/>
              <w:rPr>
                <w:rFonts w:ascii="Arial" w:hAnsi="Arial" w:cs="Arial"/>
                <w:sz w:val="20"/>
                <w:szCs w:val="20"/>
              </w:rPr>
            </w:pPr>
          </w:p>
          <w:p w14:paraId="290A5CD6" w14:textId="77777777" w:rsidR="007B55FA" w:rsidRPr="00040AA9" w:rsidRDefault="007B55FA" w:rsidP="00040AA9">
            <w:pPr>
              <w:suppressAutoHyphens/>
              <w:rPr>
                <w:rFonts w:ascii="Arial" w:hAnsi="Arial" w:cs="Arial"/>
                <w:sz w:val="20"/>
                <w:szCs w:val="20"/>
              </w:rPr>
            </w:pPr>
          </w:p>
          <w:p w14:paraId="0D98515E" w14:textId="77777777" w:rsidR="007B55FA" w:rsidRPr="00040AA9" w:rsidRDefault="007B55FA" w:rsidP="00040AA9">
            <w:pPr>
              <w:suppressAutoHyphens/>
              <w:rPr>
                <w:rFonts w:ascii="Arial" w:hAnsi="Arial" w:cs="Arial"/>
                <w:sz w:val="20"/>
                <w:szCs w:val="20"/>
              </w:rPr>
            </w:pPr>
          </w:p>
          <w:p w14:paraId="27762B89" w14:textId="77777777" w:rsidR="007B55FA" w:rsidRPr="00040AA9" w:rsidRDefault="007B55FA" w:rsidP="00040AA9">
            <w:pPr>
              <w:suppressAutoHyphens/>
              <w:rPr>
                <w:rFonts w:ascii="Arial" w:hAnsi="Arial" w:cs="Arial"/>
                <w:sz w:val="20"/>
                <w:szCs w:val="20"/>
              </w:rPr>
            </w:pPr>
          </w:p>
          <w:p w14:paraId="7B70FCEF" w14:textId="77777777" w:rsidR="007B55FA" w:rsidRPr="00040AA9" w:rsidRDefault="007B55FA" w:rsidP="00040AA9">
            <w:pPr>
              <w:suppressAutoHyphens/>
              <w:rPr>
                <w:rFonts w:ascii="Arial" w:hAnsi="Arial" w:cs="Arial"/>
                <w:sz w:val="20"/>
                <w:szCs w:val="20"/>
              </w:rPr>
            </w:pPr>
          </w:p>
          <w:p w14:paraId="38A458A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tcBorders>
              <w:bottom w:val="single" w:sz="4" w:space="0" w:color="auto"/>
            </w:tcBorders>
            <w:shd w:val="clear" w:color="auto" w:fill="auto"/>
          </w:tcPr>
          <w:p w14:paraId="13EAEEC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CIT rate keeps being applied.</w:t>
            </w:r>
          </w:p>
        </w:tc>
      </w:tr>
      <w:tr w:rsidR="007B55FA" w:rsidRPr="00CF5903" w14:paraId="48726DA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jc w:val="center"/>
        </w:trPr>
        <w:tc>
          <w:tcPr>
            <w:tcW w:w="2556" w:type="dxa"/>
            <w:vMerge/>
            <w:shd w:val="clear" w:color="auto" w:fill="auto"/>
          </w:tcPr>
          <w:p w14:paraId="4F2D9737" w14:textId="77777777" w:rsidR="007B55FA" w:rsidRPr="00040AA9" w:rsidRDefault="007B55FA" w:rsidP="00040AA9">
            <w:pPr>
              <w:suppressAutoHyphens/>
              <w:rPr>
                <w:rFonts w:ascii="Arial" w:hAnsi="Arial" w:cs="Arial"/>
                <w:i/>
                <w:sz w:val="20"/>
                <w:szCs w:val="20"/>
                <w:highlight w:val="yellow"/>
              </w:rPr>
            </w:pPr>
          </w:p>
        </w:tc>
        <w:tc>
          <w:tcPr>
            <w:tcW w:w="860" w:type="dxa"/>
            <w:vMerge/>
            <w:shd w:val="clear" w:color="auto" w:fill="auto"/>
          </w:tcPr>
          <w:p w14:paraId="230EE748"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tcPr>
          <w:p w14:paraId="0DCB87E1"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54288A98"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tcPr>
          <w:p w14:paraId="3259CA7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tcBorders>
              <w:bottom w:val="single" w:sz="4" w:space="0" w:color="auto"/>
            </w:tcBorders>
            <w:shd w:val="clear" w:color="auto" w:fill="auto"/>
          </w:tcPr>
          <w:p w14:paraId="39B97B52" w14:textId="77777777" w:rsidR="007B55FA" w:rsidRPr="00040AA9" w:rsidRDefault="007B55FA" w:rsidP="00040AA9">
            <w:pPr>
              <w:suppressAutoHyphens/>
              <w:rPr>
                <w:rFonts w:ascii="Arial" w:hAnsi="Arial" w:cs="Arial"/>
                <w:sz w:val="20"/>
                <w:szCs w:val="20"/>
              </w:rPr>
            </w:pPr>
          </w:p>
        </w:tc>
        <w:tc>
          <w:tcPr>
            <w:tcW w:w="1106" w:type="dxa"/>
            <w:vMerge/>
            <w:shd w:val="clear" w:color="auto" w:fill="auto"/>
          </w:tcPr>
          <w:p w14:paraId="1BBCB9D4"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3231C6F8" w14:textId="77777777" w:rsidR="007B55FA" w:rsidRPr="00040AA9" w:rsidRDefault="007B55FA" w:rsidP="00040AA9">
            <w:pPr>
              <w:suppressAutoHyphens/>
              <w:rPr>
                <w:rFonts w:ascii="Arial" w:hAnsi="Arial" w:cs="Arial"/>
                <w:sz w:val="20"/>
                <w:szCs w:val="20"/>
              </w:rPr>
            </w:pPr>
          </w:p>
        </w:tc>
      </w:tr>
      <w:tr w:rsidR="007B55FA" w:rsidRPr="00CF5903" w14:paraId="28BCE9D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jc w:val="center"/>
        </w:trPr>
        <w:tc>
          <w:tcPr>
            <w:tcW w:w="2556" w:type="dxa"/>
            <w:vMerge/>
            <w:shd w:val="clear" w:color="auto" w:fill="auto"/>
          </w:tcPr>
          <w:p w14:paraId="68E49400" w14:textId="77777777" w:rsidR="007B55FA" w:rsidRPr="00040AA9" w:rsidRDefault="007B55FA" w:rsidP="00040AA9">
            <w:pPr>
              <w:suppressAutoHyphens/>
              <w:rPr>
                <w:rFonts w:ascii="Arial" w:hAnsi="Arial" w:cs="Arial"/>
                <w:i/>
                <w:sz w:val="20"/>
                <w:szCs w:val="20"/>
                <w:highlight w:val="yellow"/>
              </w:rPr>
            </w:pPr>
          </w:p>
        </w:tc>
        <w:tc>
          <w:tcPr>
            <w:tcW w:w="860" w:type="dxa"/>
            <w:vMerge/>
            <w:shd w:val="clear" w:color="auto" w:fill="auto"/>
          </w:tcPr>
          <w:p w14:paraId="240EAE07"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tcPr>
          <w:p w14:paraId="6236F6D7"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71A88E10"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tcPr>
          <w:p w14:paraId="6A5EF498" w14:textId="77777777" w:rsidR="007B55FA" w:rsidRPr="00040AA9" w:rsidRDefault="007B55FA" w:rsidP="00040AA9">
            <w:pPr>
              <w:suppressAutoHyphens/>
              <w:jc w:val="center"/>
              <w:rPr>
                <w:rFonts w:ascii="Arial" w:hAnsi="Arial" w:cs="Arial"/>
                <w:sz w:val="20"/>
                <w:szCs w:val="20"/>
              </w:rPr>
            </w:pPr>
          </w:p>
          <w:p w14:paraId="57DA63ED" w14:textId="77777777" w:rsidR="007B55FA" w:rsidRPr="00040AA9" w:rsidRDefault="007B55FA" w:rsidP="00040AA9">
            <w:pPr>
              <w:suppressAutoHyphens/>
              <w:jc w:val="center"/>
              <w:rPr>
                <w:rFonts w:ascii="Arial" w:hAnsi="Arial" w:cs="Arial"/>
                <w:sz w:val="20"/>
                <w:szCs w:val="20"/>
              </w:rPr>
            </w:pPr>
          </w:p>
          <w:p w14:paraId="70386CD6" w14:textId="77777777" w:rsidR="007B55FA" w:rsidRPr="00040AA9" w:rsidRDefault="007B55FA" w:rsidP="00040AA9">
            <w:pPr>
              <w:suppressAutoHyphens/>
              <w:jc w:val="center"/>
              <w:rPr>
                <w:rFonts w:ascii="Arial" w:hAnsi="Arial" w:cs="Arial"/>
                <w:sz w:val="20"/>
                <w:szCs w:val="20"/>
              </w:rPr>
            </w:pPr>
          </w:p>
          <w:p w14:paraId="3FB4439B" w14:textId="77777777" w:rsidR="007B55FA" w:rsidRPr="00040AA9" w:rsidRDefault="007B55FA" w:rsidP="00040AA9">
            <w:pPr>
              <w:suppressAutoHyphens/>
              <w:jc w:val="center"/>
              <w:rPr>
                <w:rFonts w:ascii="Arial" w:hAnsi="Arial" w:cs="Arial"/>
                <w:sz w:val="20"/>
                <w:szCs w:val="20"/>
              </w:rPr>
            </w:pPr>
          </w:p>
          <w:p w14:paraId="01926083" w14:textId="77777777" w:rsidR="007B55FA" w:rsidRPr="00040AA9" w:rsidRDefault="007B55FA" w:rsidP="00040AA9">
            <w:pPr>
              <w:suppressAutoHyphens/>
              <w:jc w:val="center"/>
              <w:rPr>
                <w:rFonts w:ascii="Arial" w:hAnsi="Arial" w:cs="Arial"/>
                <w:sz w:val="20"/>
                <w:szCs w:val="20"/>
              </w:rPr>
            </w:pPr>
          </w:p>
          <w:p w14:paraId="678D34D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2F30FF3D" w14:textId="77777777" w:rsidR="007B55FA" w:rsidRPr="00040AA9" w:rsidRDefault="007B55FA" w:rsidP="00040AA9">
            <w:pPr>
              <w:suppressAutoHyphens/>
              <w:rPr>
                <w:rFonts w:ascii="Arial" w:hAnsi="Arial" w:cs="Arial"/>
                <w:sz w:val="20"/>
                <w:szCs w:val="20"/>
              </w:rPr>
            </w:pPr>
          </w:p>
          <w:p w14:paraId="05BC9204" w14:textId="77777777" w:rsidR="007B55FA" w:rsidRPr="00040AA9" w:rsidRDefault="007B55FA" w:rsidP="00040AA9">
            <w:pPr>
              <w:suppressAutoHyphens/>
              <w:rPr>
                <w:rFonts w:ascii="Arial" w:hAnsi="Arial" w:cs="Arial"/>
                <w:sz w:val="20"/>
                <w:szCs w:val="20"/>
              </w:rPr>
            </w:pPr>
          </w:p>
          <w:p w14:paraId="2E3A688A" w14:textId="77777777" w:rsidR="007B55FA" w:rsidRPr="00040AA9" w:rsidRDefault="007B55FA" w:rsidP="00040AA9">
            <w:pPr>
              <w:suppressAutoHyphens/>
              <w:rPr>
                <w:rFonts w:ascii="Arial" w:hAnsi="Arial" w:cs="Arial"/>
                <w:sz w:val="20"/>
                <w:szCs w:val="20"/>
              </w:rPr>
            </w:pPr>
          </w:p>
          <w:p w14:paraId="11C93BBF" w14:textId="77777777" w:rsidR="007B55FA" w:rsidRPr="00040AA9" w:rsidRDefault="007B55FA" w:rsidP="00040AA9">
            <w:pPr>
              <w:suppressAutoHyphens/>
              <w:jc w:val="center"/>
              <w:rPr>
                <w:rFonts w:ascii="Arial" w:hAnsi="Arial" w:cs="Arial"/>
                <w:sz w:val="20"/>
                <w:szCs w:val="20"/>
              </w:rPr>
            </w:pPr>
          </w:p>
          <w:p w14:paraId="7005B80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6727DE7" w14:textId="2CE9AF1E"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0B25F6" w:rsidRPr="00040AA9">
              <w:rPr>
                <w:rFonts w:ascii="Arial" w:hAnsi="Arial" w:cs="Arial"/>
                <w:sz w:val="20"/>
                <w:szCs w:val="20"/>
              </w:rPr>
              <w:t>2013</w:t>
            </w:r>
            <w:r w:rsidRPr="00040AA9">
              <w:rPr>
                <w:rFonts w:ascii="Arial" w:hAnsi="Arial" w:cs="Arial"/>
                <w:sz w:val="20"/>
                <w:szCs w:val="20"/>
              </w:rPr>
              <w:t>)</w:t>
            </w:r>
          </w:p>
        </w:tc>
        <w:tc>
          <w:tcPr>
            <w:tcW w:w="1106" w:type="dxa"/>
            <w:vMerge/>
            <w:tcBorders>
              <w:bottom w:val="single" w:sz="4" w:space="0" w:color="auto"/>
            </w:tcBorders>
            <w:shd w:val="clear" w:color="auto" w:fill="auto"/>
          </w:tcPr>
          <w:p w14:paraId="1154BCCB"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7ADB8239" w14:textId="61A6B98C"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II.1.c.D.1) providing evidence of compliance with section 2.03.I.(a)(iv)(A) of the FISPEG III loan contract by way of certifying “The following measures continue to be maintained and enforced: 1</w:t>
            </w:r>
            <w:r w:rsidR="00A31571" w:rsidRPr="00040AA9">
              <w:rPr>
                <w:rFonts w:ascii="Arial" w:hAnsi="Arial" w:cs="Arial"/>
                <w:sz w:val="20"/>
                <w:szCs w:val="20"/>
              </w:rPr>
              <w:t xml:space="preserve"> -</w:t>
            </w:r>
            <w:r w:rsidRPr="00040AA9">
              <w:rPr>
                <w:rFonts w:ascii="Arial" w:hAnsi="Arial" w:cs="Arial"/>
                <w:sz w:val="20"/>
                <w:szCs w:val="20"/>
              </w:rPr>
              <w:t xml:space="preserve"> The Corporate Income Tax (CIT) Rate of 25% for unregulated companies.”</w:t>
            </w:r>
            <w:r w:rsidR="009578E7" w:rsidRPr="00040AA9">
              <w:rPr>
                <w:rStyle w:val="FootnoteReference"/>
                <w:rFonts w:ascii="Arial" w:hAnsi="Arial" w:cs="Arial"/>
                <w:sz w:val="20"/>
                <w:szCs w:val="20"/>
              </w:rPr>
              <w:footnoteReference w:id="91"/>
            </w:r>
          </w:p>
        </w:tc>
      </w:tr>
      <w:tr w:rsidR="007B55FA" w:rsidRPr="00CF5903" w14:paraId="337F17C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72637767"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b/>
                <w:sz w:val="20"/>
                <w:szCs w:val="20"/>
              </w:rPr>
              <w:t>Output II.3. Legal framework for Charities Act, FIA, etc. introduced</w:t>
            </w:r>
          </w:p>
        </w:tc>
      </w:tr>
      <w:tr w:rsidR="007B55FA" w:rsidRPr="00CF5903" w14:paraId="07FFDB1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DBEF233"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II.3.1</w:t>
            </w:r>
          </w:p>
          <w:p w14:paraId="115E5304"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Legal framework and regulations drafted and approved, including the Charities Act, the Fiscal Incentives Act (FIA), amendments to the Income Tax Act, and amendments to the Customs Duty Act. </w:t>
            </w:r>
          </w:p>
          <w:p w14:paraId="6AA374AD"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 – product 2.3,</w:t>
            </w:r>
          </w:p>
          <w:p w14:paraId="1BC001D8"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Pol </w:t>
            </w:r>
            <w:proofErr w:type="spellStart"/>
            <w:r w:rsidRPr="00040AA9">
              <w:rPr>
                <w:rFonts w:ascii="Arial" w:hAnsi="Arial" w:cs="Arial"/>
                <w:sz w:val="20"/>
                <w:szCs w:val="20"/>
              </w:rPr>
              <w:t>Mtx</w:t>
            </w:r>
            <w:proofErr w:type="spellEnd"/>
            <w:r w:rsidRPr="00040AA9">
              <w:rPr>
                <w:rFonts w:ascii="Arial" w:hAnsi="Arial" w:cs="Arial"/>
                <w:sz w:val="20"/>
                <w:szCs w:val="20"/>
              </w:rPr>
              <w:t xml:space="preserve"> item II.1.a, &amp;</w:t>
            </w:r>
          </w:p>
          <w:p w14:paraId="30136BA6"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2.03(a)(iii))</w:t>
            </w:r>
          </w:p>
        </w:tc>
        <w:tc>
          <w:tcPr>
            <w:tcW w:w="860" w:type="dxa"/>
            <w:vMerge w:val="restart"/>
            <w:shd w:val="clear" w:color="auto" w:fill="auto"/>
          </w:tcPr>
          <w:p w14:paraId="74159146" w14:textId="77777777" w:rsidR="007B55FA" w:rsidRPr="00040AA9" w:rsidRDefault="007B55FA" w:rsidP="00040AA9">
            <w:pPr>
              <w:suppressAutoHyphens/>
              <w:jc w:val="center"/>
              <w:rPr>
                <w:rFonts w:ascii="Arial" w:hAnsi="Arial" w:cs="Arial"/>
                <w:sz w:val="20"/>
                <w:szCs w:val="20"/>
              </w:rPr>
            </w:pPr>
          </w:p>
          <w:p w14:paraId="7A731FB0" w14:textId="77777777" w:rsidR="007B55FA" w:rsidRPr="00040AA9" w:rsidRDefault="007B55FA" w:rsidP="00040AA9">
            <w:pPr>
              <w:suppressAutoHyphens/>
              <w:jc w:val="center"/>
              <w:rPr>
                <w:rFonts w:ascii="Arial" w:hAnsi="Arial" w:cs="Arial"/>
                <w:sz w:val="20"/>
                <w:szCs w:val="20"/>
              </w:rPr>
            </w:pPr>
          </w:p>
          <w:p w14:paraId="2D93AD7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Legal frame work</w:t>
            </w:r>
          </w:p>
        </w:tc>
        <w:tc>
          <w:tcPr>
            <w:tcW w:w="774" w:type="dxa"/>
            <w:vMerge w:val="restart"/>
            <w:shd w:val="clear" w:color="auto" w:fill="auto"/>
          </w:tcPr>
          <w:p w14:paraId="15731BFB" w14:textId="77777777" w:rsidR="007B55FA" w:rsidRPr="00040AA9" w:rsidRDefault="007B55FA" w:rsidP="00040AA9">
            <w:pPr>
              <w:keepNext/>
              <w:keepLines/>
              <w:suppressAutoHyphens/>
              <w:jc w:val="center"/>
              <w:rPr>
                <w:rFonts w:ascii="Arial" w:hAnsi="Arial" w:cs="Arial"/>
                <w:sz w:val="20"/>
                <w:szCs w:val="20"/>
              </w:rPr>
            </w:pPr>
          </w:p>
          <w:p w14:paraId="7C052CEB" w14:textId="77777777" w:rsidR="007B55FA" w:rsidRPr="00040AA9" w:rsidRDefault="007B55FA" w:rsidP="00040AA9">
            <w:pPr>
              <w:keepNext/>
              <w:keepLines/>
              <w:suppressAutoHyphens/>
              <w:jc w:val="center"/>
              <w:rPr>
                <w:rFonts w:ascii="Arial" w:hAnsi="Arial" w:cs="Arial"/>
                <w:sz w:val="20"/>
                <w:szCs w:val="20"/>
              </w:rPr>
            </w:pPr>
          </w:p>
          <w:p w14:paraId="6D99312C" w14:textId="77777777" w:rsidR="007B55FA" w:rsidRPr="00040AA9" w:rsidRDefault="007B55FA" w:rsidP="00040AA9">
            <w:pPr>
              <w:keepNext/>
              <w:keepLines/>
              <w:suppressAutoHyphens/>
              <w:jc w:val="center"/>
              <w:rPr>
                <w:rFonts w:ascii="Arial" w:hAnsi="Arial" w:cs="Arial"/>
                <w:sz w:val="20"/>
                <w:szCs w:val="20"/>
              </w:rPr>
            </w:pPr>
          </w:p>
          <w:p w14:paraId="2900644A"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0F1435BD" w14:textId="77777777" w:rsidR="007B55FA" w:rsidRPr="00040AA9" w:rsidRDefault="007B55FA" w:rsidP="00040AA9">
            <w:pPr>
              <w:keepNext/>
              <w:keepLines/>
              <w:suppressAutoHyphens/>
              <w:jc w:val="center"/>
              <w:rPr>
                <w:rFonts w:ascii="Arial" w:hAnsi="Arial" w:cs="Arial"/>
                <w:sz w:val="20"/>
                <w:szCs w:val="20"/>
              </w:rPr>
            </w:pPr>
          </w:p>
          <w:p w14:paraId="155E58BF" w14:textId="77777777" w:rsidR="007B55FA" w:rsidRPr="00040AA9" w:rsidRDefault="007B55FA" w:rsidP="00040AA9">
            <w:pPr>
              <w:keepNext/>
              <w:keepLines/>
              <w:suppressAutoHyphens/>
              <w:jc w:val="center"/>
              <w:rPr>
                <w:rFonts w:ascii="Arial" w:hAnsi="Arial" w:cs="Arial"/>
                <w:sz w:val="20"/>
                <w:szCs w:val="20"/>
              </w:rPr>
            </w:pPr>
          </w:p>
          <w:p w14:paraId="5F7F5CFE" w14:textId="77777777" w:rsidR="007B55FA" w:rsidRPr="00040AA9" w:rsidRDefault="007B55FA" w:rsidP="00040AA9">
            <w:pPr>
              <w:keepNext/>
              <w:keepLines/>
              <w:suppressAutoHyphens/>
              <w:jc w:val="center"/>
              <w:rPr>
                <w:rFonts w:ascii="Arial" w:hAnsi="Arial" w:cs="Arial"/>
                <w:sz w:val="20"/>
                <w:szCs w:val="20"/>
              </w:rPr>
            </w:pPr>
          </w:p>
          <w:p w14:paraId="341F72A9" w14:textId="77777777" w:rsidR="007B55FA" w:rsidRPr="00040AA9" w:rsidRDefault="007B55FA" w:rsidP="00040AA9">
            <w:pPr>
              <w:keepNext/>
              <w:keepLines/>
              <w:suppressAutoHyphens/>
              <w:jc w:val="center"/>
              <w:rPr>
                <w:rFonts w:ascii="Arial" w:hAnsi="Arial" w:cs="Arial"/>
                <w:sz w:val="20"/>
                <w:szCs w:val="20"/>
              </w:rPr>
            </w:pPr>
          </w:p>
          <w:p w14:paraId="357E96E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54712AFC"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148AEF6C" w14:textId="77777777" w:rsidR="007B55FA" w:rsidRPr="00040AA9" w:rsidRDefault="007B55FA" w:rsidP="00040AA9">
            <w:pPr>
              <w:keepNext/>
              <w:keepLines/>
              <w:suppressAutoHyphens/>
              <w:jc w:val="center"/>
              <w:rPr>
                <w:rFonts w:ascii="Arial" w:hAnsi="Arial" w:cs="Arial"/>
                <w:sz w:val="20"/>
                <w:szCs w:val="20"/>
              </w:rPr>
            </w:pPr>
          </w:p>
          <w:p w14:paraId="310FCEF6"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46838D35"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3FCCFBED" w14:textId="77777777" w:rsidR="007B55FA" w:rsidRPr="00040AA9" w:rsidRDefault="007B55FA" w:rsidP="00040AA9">
            <w:pPr>
              <w:keepNext/>
              <w:keepLines/>
              <w:suppressAutoHyphens/>
              <w:rPr>
                <w:rFonts w:ascii="Arial" w:hAnsi="Arial" w:cs="Arial"/>
                <w:sz w:val="20"/>
                <w:szCs w:val="20"/>
              </w:rPr>
            </w:pPr>
          </w:p>
          <w:p w14:paraId="35E98C7D" w14:textId="77777777" w:rsidR="007B55FA" w:rsidRPr="00040AA9" w:rsidRDefault="007B55FA" w:rsidP="00040AA9">
            <w:pPr>
              <w:keepNext/>
              <w:keepLines/>
              <w:suppressAutoHyphens/>
              <w:rPr>
                <w:rFonts w:ascii="Arial" w:hAnsi="Arial" w:cs="Arial"/>
                <w:sz w:val="20"/>
                <w:szCs w:val="20"/>
              </w:rPr>
            </w:pPr>
          </w:p>
          <w:p w14:paraId="5BBF65A2" w14:textId="77777777" w:rsidR="007B55FA" w:rsidRPr="00040AA9" w:rsidRDefault="007B55FA" w:rsidP="00040AA9">
            <w:pPr>
              <w:keepNext/>
              <w:keepLines/>
              <w:suppressAutoHyphens/>
              <w:rPr>
                <w:rFonts w:ascii="Arial" w:hAnsi="Arial" w:cs="Arial"/>
                <w:sz w:val="20"/>
                <w:szCs w:val="20"/>
              </w:rPr>
            </w:pPr>
          </w:p>
          <w:p w14:paraId="58AAE9F7" w14:textId="77777777" w:rsidR="007B55FA" w:rsidRPr="00040AA9" w:rsidRDefault="007B55FA" w:rsidP="00040AA9">
            <w:pPr>
              <w:keepNext/>
              <w:keepLines/>
              <w:suppressAutoHyphens/>
              <w:rPr>
                <w:rFonts w:ascii="Arial" w:hAnsi="Arial" w:cs="Arial"/>
                <w:sz w:val="20"/>
                <w:szCs w:val="20"/>
              </w:rPr>
            </w:pPr>
          </w:p>
          <w:p w14:paraId="2FDE9B13" w14:textId="77777777" w:rsidR="007B55FA" w:rsidRPr="00040AA9" w:rsidRDefault="007B55FA" w:rsidP="00040AA9">
            <w:pPr>
              <w:keepNext/>
              <w:keepLines/>
              <w:suppressAutoHyphens/>
              <w:rPr>
                <w:rFonts w:ascii="Arial" w:hAnsi="Arial" w:cs="Arial"/>
                <w:sz w:val="20"/>
                <w:szCs w:val="20"/>
              </w:rPr>
            </w:pPr>
          </w:p>
          <w:p w14:paraId="09EFE26D" w14:textId="77777777" w:rsidR="007B55FA" w:rsidRPr="00040AA9" w:rsidRDefault="007B55FA" w:rsidP="00040AA9">
            <w:pPr>
              <w:keepNext/>
              <w:keepLines/>
              <w:suppressAutoHyphens/>
              <w:rPr>
                <w:rFonts w:ascii="Arial" w:hAnsi="Arial" w:cs="Arial"/>
                <w:sz w:val="20"/>
                <w:szCs w:val="20"/>
              </w:rPr>
            </w:pPr>
          </w:p>
          <w:p w14:paraId="52CE1DC1" w14:textId="77777777" w:rsidR="007B55FA" w:rsidRPr="00040AA9" w:rsidRDefault="007B55FA" w:rsidP="00040AA9">
            <w:pPr>
              <w:keepNext/>
              <w:keepLines/>
              <w:suppressAutoHyphens/>
              <w:rPr>
                <w:rFonts w:ascii="Arial" w:hAnsi="Arial" w:cs="Arial"/>
                <w:sz w:val="20"/>
                <w:szCs w:val="20"/>
              </w:rPr>
            </w:pPr>
          </w:p>
          <w:p w14:paraId="48584AC2"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E38BF8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Draft of the legal framework and regulations prepared by the Tax Policy Division of the MOF</w:t>
            </w:r>
          </w:p>
        </w:tc>
      </w:tr>
      <w:tr w:rsidR="007B55FA" w:rsidRPr="00CF5903" w14:paraId="278066A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7D84B31B"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66D80406"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81F45B5"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32C1D6F8"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160B3F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05E6178E"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72254DC"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B1E778E" w14:textId="77777777" w:rsidR="007B55FA" w:rsidRPr="00040AA9" w:rsidRDefault="007B55FA" w:rsidP="00040AA9">
            <w:pPr>
              <w:suppressAutoHyphens/>
              <w:rPr>
                <w:rFonts w:ascii="Arial" w:hAnsi="Arial" w:cs="Arial"/>
                <w:sz w:val="20"/>
                <w:szCs w:val="20"/>
              </w:rPr>
            </w:pPr>
          </w:p>
        </w:tc>
      </w:tr>
      <w:tr w:rsidR="007B55FA" w:rsidRPr="00CF5903" w14:paraId="4714FF9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4"/>
          <w:jc w:val="center"/>
        </w:trPr>
        <w:tc>
          <w:tcPr>
            <w:tcW w:w="2556" w:type="dxa"/>
            <w:vMerge/>
            <w:shd w:val="clear" w:color="auto" w:fill="auto"/>
            <w:hideMark/>
          </w:tcPr>
          <w:p w14:paraId="03EF8BDC"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17D53351"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91E6D56"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F555DF3"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190207B9" w14:textId="77777777" w:rsidR="007B55FA" w:rsidRPr="00040AA9" w:rsidRDefault="007B55FA" w:rsidP="00040AA9">
            <w:pPr>
              <w:suppressAutoHyphens/>
              <w:rPr>
                <w:rFonts w:ascii="Arial" w:hAnsi="Arial" w:cs="Arial"/>
                <w:sz w:val="20"/>
                <w:szCs w:val="20"/>
              </w:rPr>
            </w:pPr>
          </w:p>
          <w:p w14:paraId="7DEF12E1" w14:textId="77777777" w:rsidR="007B55FA" w:rsidRPr="00040AA9" w:rsidRDefault="007B55FA" w:rsidP="00040AA9">
            <w:pPr>
              <w:suppressAutoHyphens/>
              <w:rPr>
                <w:rFonts w:ascii="Arial" w:hAnsi="Arial" w:cs="Arial"/>
                <w:sz w:val="20"/>
                <w:szCs w:val="20"/>
              </w:rPr>
            </w:pPr>
          </w:p>
          <w:p w14:paraId="57B4374D" w14:textId="77777777" w:rsidR="007B55FA" w:rsidRPr="00040AA9" w:rsidRDefault="007B55FA" w:rsidP="00040AA9">
            <w:pPr>
              <w:suppressAutoHyphens/>
              <w:rPr>
                <w:rFonts w:ascii="Arial" w:hAnsi="Arial" w:cs="Arial"/>
                <w:sz w:val="20"/>
                <w:szCs w:val="20"/>
              </w:rPr>
            </w:pPr>
          </w:p>
          <w:p w14:paraId="37BA5EA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03CE637F" w14:textId="77777777" w:rsidR="007B55FA" w:rsidRPr="00040AA9" w:rsidRDefault="007B55FA" w:rsidP="00040AA9">
            <w:pPr>
              <w:suppressAutoHyphens/>
              <w:jc w:val="center"/>
              <w:rPr>
                <w:rFonts w:ascii="Arial" w:hAnsi="Arial" w:cs="Arial"/>
                <w:sz w:val="20"/>
                <w:szCs w:val="20"/>
              </w:rPr>
            </w:pPr>
          </w:p>
          <w:p w14:paraId="1FCBBA6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5BAF54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(Jan 2014)</w:t>
            </w:r>
          </w:p>
        </w:tc>
        <w:tc>
          <w:tcPr>
            <w:tcW w:w="1106" w:type="dxa"/>
            <w:vMerge/>
            <w:shd w:val="clear" w:color="auto" w:fill="auto"/>
            <w:hideMark/>
          </w:tcPr>
          <w:p w14:paraId="505FB7C6"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319F5C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Proclamation of the “Charities Act, 2013” on Dec. 24, 2013</w:t>
            </w:r>
          </w:p>
          <w:p w14:paraId="15F5CA4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 Proclamation of the “Fiscal Incentives (Miscellaneous Provisions) Act 2013” </w:t>
            </w:r>
            <w:proofErr w:type="spellStart"/>
            <w:r w:rsidRPr="00040AA9">
              <w:rPr>
                <w:rFonts w:ascii="Arial" w:hAnsi="Arial" w:cs="Arial"/>
                <w:sz w:val="20"/>
                <w:szCs w:val="20"/>
              </w:rPr>
              <w:t>a.k.a</w:t>
            </w:r>
            <w:proofErr w:type="spellEnd"/>
            <w:r w:rsidRPr="00040AA9">
              <w:rPr>
                <w:rFonts w:ascii="Arial" w:hAnsi="Arial" w:cs="Arial"/>
                <w:sz w:val="20"/>
                <w:szCs w:val="20"/>
              </w:rPr>
              <w:t xml:space="preserve"> “An Act to Amend the Income Tax Act” Jan. 1, 2014</w:t>
            </w:r>
          </w:p>
          <w:p w14:paraId="115CCAA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Proclamation of The Customs Tariff (Revision ) (Amendment) (No. 2) Resolution 2013 in Jamaica Gazette on Dec. 17, 2013</w:t>
            </w:r>
          </w:p>
        </w:tc>
      </w:tr>
      <w:tr w:rsidR="007B55FA" w:rsidRPr="00CF5903" w14:paraId="6838C40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0B9DE893"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II.3.2</w:t>
            </w:r>
          </w:p>
          <w:p w14:paraId="43F00307"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Provisions of the Charities Act, the FIA and the consequential amendments to the revenue law introduced </w:t>
            </w:r>
          </w:p>
          <w:p w14:paraId="69B10326"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2.6,</w:t>
            </w:r>
          </w:p>
          <w:p w14:paraId="46D2C051"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2.03.I.(a)(iii)(A))</w:t>
            </w:r>
          </w:p>
        </w:tc>
        <w:tc>
          <w:tcPr>
            <w:tcW w:w="860" w:type="dxa"/>
            <w:vMerge w:val="restart"/>
            <w:shd w:val="clear" w:color="auto" w:fill="auto"/>
          </w:tcPr>
          <w:p w14:paraId="1E28B267" w14:textId="77777777" w:rsidR="007B55FA" w:rsidRPr="00040AA9" w:rsidRDefault="007B55FA" w:rsidP="00040AA9">
            <w:pPr>
              <w:suppressAutoHyphens/>
              <w:jc w:val="center"/>
              <w:rPr>
                <w:rFonts w:ascii="Arial" w:hAnsi="Arial" w:cs="Arial"/>
                <w:sz w:val="20"/>
                <w:szCs w:val="20"/>
              </w:rPr>
            </w:pPr>
          </w:p>
          <w:p w14:paraId="1A50DE21" w14:textId="77777777" w:rsidR="007B55FA" w:rsidRPr="00040AA9" w:rsidRDefault="007B55FA" w:rsidP="00040AA9">
            <w:pPr>
              <w:suppressAutoHyphens/>
              <w:jc w:val="center"/>
              <w:rPr>
                <w:rFonts w:ascii="Arial" w:hAnsi="Arial" w:cs="Arial"/>
                <w:sz w:val="20"/>
                <w:szCs w:val="20"/>
              </w:rPr>
            </w:pPr>
          </w:p>
          <w:p w14:paraId="2B66611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Provision</w:t>
            </w:r>
          </w:p>
        </w:tc>
        <w:tc>
          <w:tcPr>
            <w:tcW w:w="774" w:type="dxa"/>
            <w:vMerge w:val="restart"/>
            <w:shd w:val="clear" w:color="auto" w:fill="auto"/>
          </w:tcPr>
          <w:p w14:paraId="11A8A088" w14:textId="77777777" w:rsidR="007B55FA" w:rsidRPr="00040AA9" w:rsidRDefault="007B55FA" w:rsidP="00040AA9">
            <w:pPr>
              <w:suppressAutoHyphens/>
              <w:jc w:val="center"/>
              <w:rPr>
                <w:rFonts w:ascii="Arial" w:hAnsi="Arial" w:cs="Arial"/>
                <w:sz w:val="20"/>
                <w:szCs w:val="20"/>
              </w:rPr>
            </w:pPr>
          </w:p>
          <w:p w14:paraId="0D2332B6" w14:textId="77777777" w:rsidR="007B55FA" w:rsidRPr="00040AA9" w:rsidRDefault="007B55FA" w:rsidP="00040AA9">
            <w:pPr>
              <w:suppressAutoHyphens/>
              <w:jc w:val="center"/>
              <w:rPr>
                <w:rFonts w:ascii="Arial" w:hAnsi="Arial" w:cs="Arial"/>
                <w:sz w:val="20"/>
                <w:szCs w:val="20"/>
              </w:rPr>
            </w:pPr>
          </w:p>
          <w:p w14:paraId="1A5D378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0527ED7E" w14:textId="77777777" w:rsidR="007B55FA" w:rsidRPr="00040AA9" w:rsidRDefault="007B55FA" w:rsidP="00040AA9">
            <w:pPr>
              <w:suppressAutoHyphens/>
              <w:jc w:val="center"/>
              <w:rPr>
                <w:rFonts w:ascii="Arial" w:hAnsi="Arial" w:cs="Arial"/>
                <w:sz w:val="20"/>
                <w:szCs w:val="20"/>
              </w:rPr>
            </w:pPr>
          </w:p>
          <w:p w14:paraId="67CEBE22" w14:textId="77777777" w:rsidR="007B55FA" w:rsidRPr="00040AA9" w:rsidRDefault="007B55FA" w:rsidP="00040AA9">
            <w:pPr>
              <w:suppressAutoHyphens/>
              <w:jc w:val="center"/>
              <w:rPr>
                <w:rFonts w:ascii="Arial" w:hAnsi="Arial" w:cs="Arial"/>
                <w:sz w:val="20"/>
                <w:szCs w:val="20"/>
              </w:rPr>
            </w:pPr>
          </w:p>
          <w:p w14:paraId="01610382" w14:textId="77777777" w:rsidR="007B55FA" w:rsidRPr="00040AA9" w:rsidRDefault="007B55FA" w:rsidP="00040AA9">
            <w:pPr>
              <w:suppressAutoHyphens/>
              <w:jc w:val="center"/>
              <w:rPr>
                <w:rFonts w:ascii="Arial" w:hAnsi="Arial" w:cs="Arial"/>
                <w:sz w:val="20"/>
                <w:szCs w:val="20"/>
              </w:rPr>
            </w:pPr>
          </w:p>
          <w:p w14:paraId="01D04DF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F4B0DD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6D5EB6A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592D39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shd w:val="clear" w:color="auto" w:fill="auto"/>
          </w:tcPr>
          <w:p w14:paraId="4CCB3346" w14:textId="77777777" w:rsidR="007B55FA" w:rsidRPr="00040AA9" w:rsidRDefault="007B55FA" w:rsidP="00040AA9">
            <w:pPr>
              <w:suppressAutoHyphens/>
              <w:rPr>
                <w:rFonts w:ascii="Arial" w:hAnsi="Arial" w:cs="Arial"/>
                <w:sz w:val="20"/>
                <w:szCs w:val="20"/>
              </w:rPr>
            </w:pPr>
          </w:p>
          <w:p w14:paraId="2A7AD6DA" w14:textId="77777777" w:rsidR="007B55FA" w:rsidRPr="00040AA9" w:rsidRDefault="007B55FA" w:rsidP="00040AA9">
            <w:pPr>
              <w:suppressAutoHyphens/>
              <w:rPr>
                <w:rFonts w:ascii="Arial" w:hAnsi="Arial" w:cs="Arial"/>
                <w:sz w:val="20"/>
                <w:szCs w:val="20"/>
              </w:rPr>
            </w:pPr>
          </w:p>
          <w:p w14:paraId="45913B8B" w14:textId="77777777" w:rsidR="007B55FA" w:rsidRPr="00040AA9" w:rsidRDefault="007B55FA" w:rsidP="00040AA9">
            <w:pPr>
              <w:suppressAutoHyphens/>
              <w:rPr>
                <w:rFonts w:ascii="Arial" w:hAnsi="Arial" w:cs="Arial"/>
                <w:sz w:val="20"/>
                <w:szCs w:val="20"/>
              </w:rPr>
            </w:pPr>
          </w:p>
          <w:p w14:paraId="6FA60EDF" w14:textId="77777777" w:rsidR="007B55FA" w:rsidRPr="00040AA9" w:rsidRDefault="007B55FA" w:rsidP="00040AA9">
            <w:pPr>
              <w:suppressAutoHyphens/>
              <w:rPr>
                <w:rFonts w:ascii="Arial" w:hAnsi="Arial" w:cs="Arial"/>
                <w:sz w:val="20"/>
                <w:szCs w:val="20"/>
              </w:rPr>
            </w:pPr>
          </w:p>
          <w:p w14:paraId="509576E0" w14:textId="77777777" w:rsidR="007B55FA" w:rsidRPr="00040AA9" w:rsidRDefault="007B55FA" w:rsidP="00040AA9">
            <w:pPr>
              <w:suppressAutoHyphens/>
              <w:rPr>
                <w:rFonts w:ascii="Arial" w:hAnsi="Arial" w:cs="Arial"/>
                <w:sz w:val="20"/>
                <w:szCs w:val="20"/>
              </w:rPr>
            </w:pPr>
          </w:p>
          <w:p w14:paraId="10FE3E94" w14:textId="77777777" w:rsidR="007B55FA" w:rsidRPr="00040AA9" w:rsidRDefault="007B55FA" w:rsidP="00040AA9">
            <w:pPr>
              <w:suppressAutoHyphens/>
              <w:rPr>
                <w:rFonts w:ascii="Arial" w:hAnsi="Arial" w:cs="Arial"/>
                <w:sz w:val="20"/>
                <w:szCs w:val="20"/>
              </w:rPr>
            </w:pPr>
          </w:p>
          <w:p w14:paraId="04B36705" w14:textId="77777777" w:rsidR="007B55FA" w:rsidRPr="00040AA9" w:rsidRDefault="007B55FA" w:rsidP="00040AA9">
            <w:pPr>
              <w:suppressAutoHyphens/>
              <w:rPr>
                <w:rFonts w:ascii="Arial" w:hAnsi="Arial" w:cs="Arial"/>
                <w:sz w:val="20"/>
                <w:szCs w:val="20"/>
              </w:rPr>
            </w:pPr>
          </w:p>
          <w:p w14:paraId="7183E79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6C5824E1" w14:textId="645C6CD1"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Letter from TAJ Commissioner General, informing that the provisions of the Charities Act </w:t>
            </w:r>
            <w:r w:rsidR="00E420C4" w:rsidRPr="00040AA9">
              <w:rPr>
                <w:rFonts w:ascii="Arial" w:hAnsi="Arial" w:cs="Arial"/>
                <w:sz w:val="20"/>
                <w:szCs w:val="20"/>
              </w:rPr>
              <w:t>keep</w:t>
            </w:r>
            <w:r w:rsidRPr="00040AA9">
              <w:rPr>
                <w:rFonts w:ascii="Arial" w:hAnsi="Arial" w:cs="Arial"/>
                <w:sz w:val="20"/>
                <w:szCs w:val="20"/>
              </w:rPr>
              <w:t xml:space="preserve"> being applied</w:t>
            </w:r>
          </w:p>
        </w:tc>
      </w:tr>
      <w:tr w:rsidR="007B55FA" w:rsidRPr="00CF5903" w14:paraId="0CFF1AD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64C4FC5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4114721"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5E2BFAA"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6DFAE34"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E2AEBB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4FA28C66"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29F0FDB2"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1D416AEF" w14:textId="77777777" w:rsidR="007B55FA" w:rsidRPr="00040AA9" w:rsidRDefault="007B55FA" w:rsidP="00040AA9">
            <w:pPr>
              <w:suppressAutoHyphens/>
              <w:rPr>
                <w:rFonts w:ascii="Arial" w:hAnsi="Arial" w:cs="Arial"/>
                <w:sz w:val="20"/>
                <w:szCs w:val="20"/>
              </w:rPr>
            </w:pPr>
          </w:p>
        </w:tc>
      </w:tr>
      <w:tr w:rsidR="007B55FA" w:rsidRPr="00CF5903" w14:paraId="18B5E84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tcBorders>
              <w:bottom w:val="single" w:sz="4" w:space="0" w:color="auto"/>
            </w:tcBorders>
            <w:shd w:val="clear" w:color="auto" w:fill="auto"/>
            <w:hideMark/>
          </w:tcPr>
          <w:p w14:paraId="31B514C1"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0AE9EC82"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4B22FA23"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17E2F26D"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787AEDA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1EFCFAE3" w14:textId="77777777" w:rsidR="007B55FA" w:rsidRPr="00040AA9" w:rsidRDefault="007B55FA" w:rsidP="00040AA9">
            <w:pPr>
              <w:suppressAutoHyphens/>
              <w:jc w:val="center"/>
              <w:rPr>
                <w:rFonts w:ascii="Arial" w:hAnsi="Arial" w:cs="Arial"/>
                <w:sz w:val="20"/>
                <w:szCs w:val="20"/>
              </w:rPr>
            </w:pPr>
          </w:p>
          <w:p w14:paraId="6A31A5D0" w14:textId="77777777" w:rsidR="007B55FA" w:rsidRPr="00040AA9" w:rsidRDefault="007B55FA" w:rsidP="00040AA9">
            <w:pPr>
              <w:suppressAutoHyphens/>
              <w:jc w:val="center"/>
              <w:rPr>
                <w:rFonts w:ascii="Arial" w:hAnsi="Arial" w:cs="Arial"/>
                <w:sz w:val="20"/>
                <w:szCs w:val="20"/>
              </w:rPr>
            </w:pPr>
          </w:p>
          <w:p w14:paraId="0DB3041E" w14:textId="77777777" w:rsidR="007B55FA" w:rsidRPr="00040AA9" w:rsidRDefault="007B55FA" w:rsidP="00040AA9">
            <w:pPr>
              <w:suppressAutoHyphens/>
              <w:jc w:val="center"/>
              <w:rPr>
                <w:rFonts w:ascii="Arial" w:hAnsi="Arial" w:cs="Arial"/>
                <w:sz w:val="20"/>
                <w:szCs w:val="20"/>
              </w:rPr>
            </w:pPr>
          </w:p>
          <w:p w14:paraId="27B1A76D" w14:textId="77777777" w:rsidR="007B55FA" w:rsidRPr="00040AA9" w:rsidRDefault="007B55FA" w:rsidP="00040AA9">
            <w:pPr>
              <w:suppressAutoHyphens/>
              <w:jc w:val="center"/>
              <w:rPr>
                <w:rFonts w:ascii="Arial" w:hAnsi="Arial" w:cs="Arial"/>
                <w:sz w:val="20"/>
                <w:szCs w:val="20"/>
              </w:rPr>
            </w:pPr>
          </w:p>
          <w:p w14:paraId="6570C0B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19ED8B8" w14:textId="45AA4FAD"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BE4CFD" w:rsidRPr="00040AA9">
              <w:rPr>
                <w:rFonts w:ascii="Arial" w:hAnsi="Arial" w:cs="Arial"/>
                <w:sz w:val="20"/>
                <w:szCs w:val="20"/>
              </w:rPr>
              <w:t>2013</w:t>
            </w:r>
            <w:r w:rsidRPr="00040AA9">
              <w:rPr>
                <w:rFonts w:ascii="Arial" w:hAnsi="Arial" w:cs="Arial"/>
                <w:sz w:val="20"/>
                <w:szCs w:val="20"/>
              </w:rPr>
              <w:t>)</w:t>
            </w:r>
          </w:p>
        </w:tc>
        <w:tc>
          <w:tcPr>
            <w:tcW w:w="1106" w:type="dxa"/>
            <w:vMerge/>
            <w:tcBorders>
              <w:bottom w:val="single" w:sz="4" w:space="0" w:color="auto"/>
            </w:tcBorders>
            <w:shd w:val="clear" w:color="auto" w:fill="auto"/>
            <w:hideMark/>
          </w:tcPr>
          <w:p w14:paraId="35ECDE51"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7DD92491" w14:textId="6367069D"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Official letter from Financial Secretary (FS) to the Bank dated Nov. 8, 2016 (part II.1.c.C.1) providing evidence of compliance with section 2.03.I.(a)(iii)(A) of the FISPEG III loan contract by way of certifying “The Tax Administration Jamaica (TAJ) continues to enforce provisions of the </w:t>
            </w:r>
            <w:r w:rsidRPr="00040AA9">
              <w:rPr>
                <w:rFonts w:ascii="Arial" w:hAnsi="Arial" w:cs="Arial"/>
                <w:i/>
                <w:sz w:val="20"/>
                <w:szCs w:val="20"/>
              </w:rPr>
              <w:t xml:space="preserve">Charities Act, </w:t>
            </w:r>
            <w:r w:rsidRPr="00040AA9">
              <w:rPr>
                <w:rFonts w:ascii="Arial" w:hAnsi="Arial" w:cs="Arial"/>
                <w:sz w:val="20"/>
                <w:szCs w:val="20"/>
              </w:rPr>
              <w:t xml:space="preserve">the </w:t>
            </w:r>
            <w:r w:rsidRPr="00040AA9">
              <w:rPr>
                <w:rFonts w:ascii="Arial" w:hAnsi="Arial" w:cs="Arial"/>
                <w:i/>
                <w:sz w:val="20"/>
                <w:szCs w:val="20"/>
              </w:rPr>
              <w:t>Fiscal Incentives Act,</w:t>
            </w:r>
            <w:r w:rsidRPr="00040AA9">
              <w:rPr>
                <w:rFonts w:ascii="Arial" w:hAnsi="Arial" w:cs="Arial"/>
                <w:sz w:val="20"/>
                <w:szCs w:val="20"/>
              </w:rPr>
              <w:t xml:space="preserve"> and the consequential amendments to these revenue laws.”</w:t>
            </w:r>
            <w:r w:rsidRPr="00040AA9">
              <w:rPr>
                <w:rStyle w:val="FootnoteReference"/>
                <w:rFonts w:ascii="Arial" w:hAnsi="Arial" w:cs="Arial"/>
                <w:sz w:val="20"/>
                <w:szCs w:val="20"/>
              </w:rPr>
              <w:footnoteReference w:id="92"/>
            </w:r>
            <w:r w:rsidRPr="00040AA9">
              <w:rPr>
                <w:rFonts w:ascii="Arial" w:hAnsi="Arial" w:cs="Arial"/>
                <w:sz w:val="20"/>
                <w:szCs w:val="20"/>
              </w:rPr>
              <w:t xml:space="preserve"> </w:t>
            </w:r>
          </w:p>
        </w:tc>
      </w:tr>
      <w:tr w:rsidR="007B55FA" w:rsidRPr="00CF5903" w14:paraId="5688D68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159CD7D8"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II.4. Minimum Business Tax</w:t>
            </w:r>
          </w:p>
        </w:tc>
      </w:tr>
      <w:tr w:rsidR="007B55FA" w:rsidRPr="00CF5903" w14:paraId="6D20C35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5A99C909"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II.4.1</w:t>
            </w:r>
          </w:p>
          <w:p w14:paraId="58C2449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The amendment document for the permanent establishment of the Minimum Business Tax (MBT) presented to Parliament </w:t>
            </w:r>
          </w:p>
          <w:p w14:paraId="2FCF663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 - product 2.4.</w:t>
            </w:r>
          </w:p>
          <w:p w14:paraId="42925A99" w14:textId="0B4FCEE7" w:rsidR="007B55FA" w:rsidRPr="00040AA9" w:rsidRDefault="00B72AF3" w:rsidP="00040AA9">
            <w:pPr>
              <w:suppressAutoHyphens/>
              <w:ind w:left="339"/>
              <w:rPr>
                <w:rFonts w:ascii="Arial" w:hAnsi="Arial" w:cs="Arial"/>
                <w:sz w:val="20"/>
                <w:szCs w:val="20"/>
              </w:rPr>
            </w:pPr>
            <w:r w:rsidRPr="00040AA9">
              <w:rPr>
                <w:rFonts w:ascii="Arial" w:hAnsi="Arial" w:cs="Arial"/>
                <w:sz w:val="20"/>
                <w:szCs w:val="20"/>
              </w:rPr>
              <w:t>contract section 2.03.I.(a)</w:t>
            </w:r>
            <w:r w:rsidR="007B55FA" w:rsidRPr="00040AA9">
              <w:rPr>
                <w:rFonts w:ascii="Arial" w:hAnsi="Arial" w:cs="Arial"/>
                <w:sz w:val="20"/>
                <w:szCs w:val="20"/>
              </w:rPr>
              <w:t>(ii))</w:t>
            </w:r>
          </w:p>
        </w:tc>
        <w:tc>
          <w:tcPr>
            <w:tcW w:w="860" w:type="dxa"/>
            <w:vMerge w:val="restart"/>
            <w:shd w:val="clear" w:color="auto" w:fill="auto"/>
          </w:tcPr>
          <w:p w14:paraId="03AA8603" w14:textId="77777777" w:rsidR="007B55FA" w:rsidRPr="00040AA9" w:rsidRDefault="007B55FA" w:rsidP="00040AA9">
            <w:pPr>
              <w:suppressAutoHyphens/>
              <w:jc w:val="center"/>
              <w:rPr>
                <w:rFonts w:ascii="Arial" w:hAnsi="Arial" w:cs="Arial"/>
                <w:sz w:val="20"/>
                <w:szCs w:val="20"/>
              </w:rPr>
            </w:pPr>
          </w:p>
          <w:p w14:paraId="3FE3E02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Document</w:t>
            </w:r>
          </w:p>
        </w:tc>
        <w:tc>
          <w:tcPr>
            <w:tcW w:w="774" w:type="dxa"/>
            <w:vMerge w:val="restart"/>
            <w:shd w:val="clear" w:color="auto" w:fill="auto"/>
          </w:tcPr>
          <w:p w14:paraId="241C1C4E" w14:textId="77777777" w:rsidR="007B55FA" w:rsidRPr="00040AA9" w:rsidRDefault="007B55FA" w:rsidP="00040AA9">
            <w:pPr>
              <w:suppressAutoHyphens/>
              <w:jc w:val="center"/>
              <w:rPr>
                <w:rFonts w:ascii="Arial" w:hAnsi="Arial" w:cs="Arial"/>
                <w:sz w:val="20"/>
                <w:szCs w:val="20"/>
              </w:rPr>
            </w:pPr>
          </w:p>
          <w:p w14:paraId="65769CC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26939DD" w14:textId="77777777" w:rsidR="007B55FA" w:rsidRPr="00040AA9" w:rsidRDefault="007B55FA" w:rsidP="00040AA9">
            <w:pPr>
              <w:suppressAutoHyphens/>
              <w:jc w:val="center"/>
              <w:rPr>
                <w:rFonts w:ascii="Arial" w:hAnsi="Arial" w:cs="Arial"/>
                <w:sz w:val="20"/>
                <w:szCs w:val="20"/>
              </w:rPr>
            </w:pPr>
          </w:p>
          <w:p w14:paraId="69DD964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74DABDBD" w14:textId="77777777" w:rsidR="007B55FA" w:rsidRPr="00040AA9" w:rsidRDefault="007B55FA" w:rsidP="00040AA9">
            <w:pPr>
              <w:suppressAutoHyphens/>
              <w:jc w:val="center"/>
              <w:rPr>
                <w:rFonts w:ascii="Arial" w:hAnsi="Arial" w:cs="Arial"/>
                <w:sz w:val="20"/>
                <w:szCs w:val="20"/>
              </w:rPr>
            </w:pPr>
          </w:p>
          <w:p w14:paraId="06ADF25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A370F61" w14:textId="77777777" w:rsidR="007B55FA" w:rsidRPr="00040AA9" w:rsidRDefault="007B55FA" w:rsidP="00040AA9">
            <w:pPr>
              <w:suppressAutoHyphens/>
              <w:jc w:val="center"/>
              <w:rPr>
                <w:rFonts w:ascii="Arial" w:hAnsi="Arial" w:cs="Arial"/>
                <w:sz w:val="20"/>
                <w:szCs w:val="20"/>
              </w:rPr>
            </w:pPr>
          </w:p>
          <w:p w14:paraId="0D55EE48" w14:textId="77777777" w:rsidR="007B55FA" w:rsidRPr="00040AA9" w:rsidRDefault="007B55FA" w:rsidP="00040AA9">
            <w:pPr>
              <w:suppressAutoHyphens/>
              <w:jc w:val="center"/>
              <w:rPr>
                <w:rFonts w:ascii="Arial" w:hAnsi="Arial" w:cs="Arial"/>
                <w:sz w:val="20"/>
                <w:szCs w:val="20"/>
              </w:rPr>
            </w:pPr>
          </w:p>
          <w:p w14:paraId="34A3052B" w14:textId="77777777" w:rsidR="007B55FA" w:rsidRPr="00040AA9" w:rsidRDefault="007B55FA" w:rsidP="00040AA9">
            <w:pPr>
              <w:suppressAutoHyphens/>
              <w:jc w:val="center"/>
              <w:rPr>
                <w:rFonts w:ascii="Arial" w:hAnsi="Arial" w:cs="Arial"/>
                <w:sz w:val="20"/>
                <w:szCs w:val="20"/>
              </w:rPr>
            </w:pPr>
          </w:p>
          <w:p w14:paraId="6D0A014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3DF3B7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15F9DD4A" w14:textId="77777777" w:rsidR="007B55FA" w:rsidRPr="00040AA9" w:rsidRDefault="007B55FA" w:rsidP="00040AA9">
            <w:pPr>
              <w:suppressAutoHyphens/>
              <w:rPr>
                <w:rFonts w:ascii="Arial" w:hAnsi="Arial" w:cs="Arial"/>
                <w:sz w:val="20"/>
                <w:szCs w:val="20"/>
              </w:rPr>
            </w:pPr>
          </w:p>
          <w:p w14:paraId="2DAB202C" w14:textId="77777777" w:rsidR="007B55FA" w:rsidRPr="00040AA9" w:rsidRDefault="007B55FA" w:rsidP="00040AA9">
            <w:pPr>
              <w:suppressAutoHyphens/>
              <w:rPr>
                <w:rFonts w:ascii="Arial" w:hAnsi="Arial" w:cs="Arial"/>
                <w:sz w:val="20"/>
                <w:szCs w:val="20"/>
              </w:rPr>
            </w:pPr>
          </w:p>
          <w:p w14:paraId="18FE0BFB" w14:textId="77777777" w:rsidR="007B55FA" w:rsidRPr="00040AA9" w:rsidRDefault="007B55FA" w:rsidP="00040AA9">
            <w:pPr>
              <w:suppressAutoHyphens/>
              <w:rPr>
                <w:rFonts w:ascii="Arial" w:hAnsi="Arial" w:cs="Arial"/>
                <w:sz w:val="20"/>
                <w:szCs w:val="20"/>
              </w:rPr>
            </w:pPr>
          </w:p>
          <w:p w14:paraId="651E6769" w14:textId="77777777" w:rsidR="007B55FA" w:rsidRPr="00040AA9" w:rsidRDefault="007B55FA" w:rsidP="00040AA9">
            <w:pPr>
              <w:suppressAutoHyphens/>
              <w:rPr>
                <w:rFonts w:ascii="Arial" w:hAnsi="Arial" w:cs="Arial"/>
                <w:sz w:val="20"/>
                <w:szCs w:val="20"/>
              </w:rPr>
            </w:pPr>
          </w:p>
          <w:p w14:paraId="5A720F12" w14:textId="77777777" w:rsidR="007B55FA" w:rsidRPr="00040AA9" w:rsidRDefault="007B55FA" w:rsidP="00040AA9">
            <w:pPr>
              <w:suppressAutoHyphens/>
              <w:rPr>
                <w:rFonts w:ascii="Arial" w:hAnsi="Arial" w:cs="Arial"/>
                <w:sz w:val="20"/>
                <w:szCs w:val="20"/>
              </w:rPr>
            </w:pPr>
          </w:p>
          <w:p w14:paraId="64B8FCE7" w14:textId="77777777" w:rsidR="007B55FA" w:rsidRPr="00040AA9" w:rsidRDefault="007B55FA" w:rsidP="00040AA9">
            <w:pPr>
              <w:suppressAutoHyphens/>
              <w:rPr>
                <w:rFonts w:ascii="Arial" w:hAnsi="Arial" w:cs="Arial"/>
                <w:sz w:val="20"/>
                <w:szCs w:val="20"/>
              </w:rPr>
            </w:pPr>
          </w:p>
          <w:p w14:paraId="27CB222E" w14:textId="77777777" w:rsidR="007B55FA" w:rsidRPr="00040AA9" w:rsidRDefault="007B55FA" w:rsidP="00040AA9">
            <w:pPr>
              <w:suppressAutoHyphens/>
              <w:rPr>
                <w:rFonts w:ascii="Arial" w:hAnsi="Arial" w:cs="Arial"/>
                <w:sz w:val="20"/>
                <w:szCs w:val="20"/>
              </w:rPr>
            </w:pPr>
          </w:p>
          <w:p w14:paraId="36EB06A5" w14:textId="77777777" w:rsidR="007B55FA" w:rsidRPr="00040AA9" w:rsidRDefault="007B55FA" w:rsidP="00040AA9">
            <w:pPr>
              <w:suppressAutoHyphens/>
              <w:rPr>
                <w:rFonts w:ascii="Arial" w:hAnsi="Arial" w:cs="Arial"/>
                <w:sz w:val="20"/>
                <w:szCs w:val="20"/>
              </w:rPr>
            </w:pPr>
          </w:p>
          <w:p w14:paraId="716AA9C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240110B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stating that Parliament has approved the tabling of the MBT (attach tax amendment document). The letter must include information regarding the registration number and the date of the decision by Parliament.</w:t>
            </w:r>
          </w:p>
        </w:tc>
      </w:tr>
      <w:tr w:rsidR="007B55FA" w:rsidRPr="00CF5903" w14:paraId="283FB84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1CF398AF"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8353995"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3CEED1F6"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30F99320"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18DF46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6DE64C6A"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370E6A7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F17C0C8" w14:textId="77777777" w:rsidR="007B55FA" w:rsidRPr="00040AA9" w:rsidRDefault="007B55FA" w:rsidP="00040AA9">
            <w:pPr>
              <w:suppressAutoHyphens/>
              <w:rPr>
                <w:rFonts w:ascii="Arial" w:hAnsi="Arial" w:cs="Arial"/>
                <w:sz w:val="20"/>
                <w:szCs w:val="20"/>
              </w:rPr>
            </w:pPr>
          </w:p>
        </w:tc>
      </w:tr>
      <w:tr w:rsidR="007B55FA" w:rsidRPr="00CF5903" w14:paraId="055E40D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2F8E25DC"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B4F3220"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842E139"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8C71B41"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96D5464"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724B80FA" w14:textId="77777777" w:rsidR="007B55FA" w:rsidRPr="00040AA9" w:rsidRDefault="007B55FA" w:rsidP="00040AA9">
            <w:pPr>
              <w:suppressAutoHyphens/>
              <w:jc w:val="center"/>
              <w:rPr>
                <w:rFonts w:ascii="Arial" w:hAnsi="Arial" w:cs="Arial"/>
                <w:sz w:val="20"/>
                <w:szCs w:val="20"/>
              </w:rPr>
            </w:pPr>
          </w:p>
          <w:p w14:paraId="559FF260" w14:textId="77777777" w:rsidR="007B55FA" w:rsidRPr="00040AA9" w:rsidRDefault="007B55FA" w:rsidP="00040AA9">
            <w:pPr>
              <w:suppressAutoHyphens/>
              <w:jc w:val="center"/>
              <w:rPr>
                <w:rFonts w:ascii="Arial" w:hAnsi="Arial" w:cs="Arial"/>
                <w:sz w:val="20"/>
                <w:szCs w:val="20"/>
              </w:rPr>
            </w:pPr>
          </w:p>
          <w:p w14:paraId="74223AF1" w14:textId="77777777" w:rsidR="007B55FA" w:rsidRPr="00040AA9" w:rsidRDefault="007B55FA" w:rsidP="00040AA9">
            <w:pPr>
              <w:suppressAutoHyphens/>
              <w:jc w:val="center"/>
              <w:rPr>
                <w:rFonts w:ascii="Arial" w:hAnsi="Arial" w:cs="Arial"/>
                <w:sz w:val="20"/>
                <w:szCs w:val="20"/>
              </w:rPr>
            </w:pPr>
          </w:p>
          <w:p w14:paraId="603C293C" w14:textId="77777777" w:rsidR="007B55FA" w:rsidRPr="00040AA9" w:rsidRDefault="007B55FA" w:rsidP="00040AA9">
            <w:pPr>
              <w:suppressAutoHyphens/>
              <w:jc w:val="center"/>
              <w:rPr>
                <w:rFonts w:ascii="Arial" w:hAnsi="Arial" w:cs="Arial"/>
                <w:sz w:val="20"/>
                <w:szCs w:val="20"/>
              </w:rPr>
            </w:pPr>
          </w:p>
          <w:p w14:paraId="7F06BC0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0688BEC" w14:textId="7F62D37A"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3F6B34" w:rsidRPr="00040AA9">
              <w:rPr>
                <w:rFonts w:ascii="Arial" w:hAnsi="Arial" w:cs="Arial"/>
                <w:sz w:val="20"/>
                <w:szCs w:val="20"/>
              </w:rPr>
              <w:t>April</w:t>
            </w:r>
            <w:r w:rsidRPr="00040AA9">
              <w:rPr>
                <w:rFonts w:ascii="Arial" w:hAnsi="Arial" w:cs="Arial"/>
                <w:sz w:val="20"/>
                <w:szCs w:val="20"/>
              </w:rPr>
              <w:t xml:space="preserve"> 2015)</w:t>
            </w:r>
          </w:p>
        </w:tc>
        <w:tc>
          <w:tcPr>
            <w:tcW w:w="1106" w:type="dxa"/>
            <w:vMerge/>
            <w:shd w:val="clear" w:color="auto" w:fill="auto"/>
            <w:hideMark/>
          </w:tcPr>
          <w:p w14:paraId="05CCB0E2"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01FFD9A" w14:textId="78D9E373"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FS to Bank dated May 27, 2015 (part II.1.b. B.1) providing evidence of compliance with section 2.03.I.(a)(ii) of the FISPEG II loan cont</w:t>
            </w:r>
            <w:r w:rsidR="0093587D" w:rsidRPr="00040AA9">
              <w:rPr>
                <w:rFonts w:ascii="Arial" w:hAnsi="Arial" w:cs="Arial"/>
                <w:sz w:val="20"/>
                <w:szCs w:val="20"/>
              </w:rPr>
              <w:t>ract by way of transmitting the</w:t>
            </w:r>
            <w:r w:rsidRPr="00040AA9">
              <w:rPr>
                <w:rFonts w:ascii="Arial" w:hAnsi="Arial" w:cs="Arial"/>
                <w:sz w:val="20"/>
                <w:szCs w:val="20"/>
              </w:rPr>
              <w:t xml:space="preserve"> “Minimum Business Tax Act, 2015” passed by House of Representatives 22</w:t>
            </w:r>
            <w:r w:rsidRPr="00040AA9">
              <w:rPr>
                <w:rFonts w:ascii="Arial" w:hAnsi="Arial" w:cs="Arial"/>
                <w:sz w:val="20"/>
                <w:szCs w:val="20"/>
                <w:vertAlign w:val="superscript"/>
              </w:rPr>
              <w:t>nd</w:t>
            </w:r>
            <w:r w:rsidRPr="00040AA9">
              <w:rPr>
                <w:rFonts w:ascii="Arial" w:hAnsi="Arial" w:cs="Arial"/>
                <w:sz w:val="20"/>
                <w:szCs w:val="20"/>
              </w:rPr>
              <w:t xml:space="preserve"> day of April 2015</w:t>
            </w:r>
            <w:r w:rsidRPr="00040AA9">
              <w:rPr>
                <w:rStyle w:val="FootnoteReference"/>
                <w:rFonts w:ascii="Arial" w:hAnsi="Arial" w:cs="Arial"/>
                <w:sz w:val="20"/>
                <w:szCs w:val="20"/>
              </w:rPr>
              <w:footnoteReference w:id="93"/>
            </w:r>
          </w:p>
        </w:tc>
      </w:tr>
      <w:tr w:rsidR="007B55FA" w:rsidRPr="00CF5903" w14:paraId="1444E2D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0BEB2E63"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II.4.2</w:t>
            </w:r>
          </w:p>
          <w:p w14:paraId="585F461C"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Minimum Business Tax (MBT) established </w:t>
            </w:r>
          </w:p>
          <w:p w14:paraId="5A117836"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2.3,</w:t>
            </w:r>
          </w:p>
          <w:p w14:paraId="6B3D99DD"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2.03.I.(a)(ii)(A))</w:t>
            </w:r>
          </w:p>
        </w:tc>
        <w:tc>
          <w:tcPr>
            <w:tcW w:w="860" w:type="dxa"/>
            <w:vMerge w:val="restart"/>
            <w:shd w:val="clear" w:color="auto" w:fill="auto"/>
          </w:tcPr>
          <w:p w14:paraId="3544A2DB" w14:textId="77777777" w:rsidR="007B55FA" w:rsidRPr="00040AA9" w:rsidRDefault="007B55FA" w:rsidP="00040AA9">
            <w:pPr>
              <w:suppressAutoHyphens/>
              <w:jc w:val="center"/>
              <w:rPr>
                <w:rFonts w:ascii="Arial" w:hAnsi="Arial" w:cs="Arial"/>
                <w:sz w:val="20"/>
                <w:szCs w:val="20"/>
              </w:rPr>
            </w:pPr>
          </w:p>
          <w:p w14:paraId="252870DF" w14:textId="77777777" w:rsidR="007B55FA" w:rsidRPr="00040AA9" w:rsidRDefault="007B55FA" w:rsidP="00040AA9">
            <w:pPr>
              <w:suppressAutoHyphens/>
              <w:jc w:val="center"/>
              <w:rPr>
                <w:rFonts w:ascii="Arial" w:hAnsi="Arial" w:cs="Arial"/>
                <w:sz w:val="20"/>
                <w:szCs w:val="20"/>
              </w:rPr>
            </w:pPr>
          </w:p>
          <w:p w14:paraId="1B7ECF2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Tax</w:t>
            </w:r>
          </w:p>
        </w:tc>
        <w:tc>
          <w:tcPr>
            <w:tcW w:w="774" w:type="dxa"/>
            <w:vMerge w:val="restart"/>
            <w:shd w:val="clear" w:color="auto" w:fill="auto"/>
          </w:tcPr>
          <w:p w14:paraId="6ADE41EA" w14:textId="77777777" w:rsidR="007B55FA" w:rsidRPr="00040AA9" w:rsidRDefault="007B55FA" w:rsidP="00040AA9">
            <w:pPr>
              <w:suppressAutoHyphens/>
              <w:jc w:val="center"/>
              <w:rPr>
                <w:rFonts w:ascii="Arial" w:hAnsi="Arial" w:cs="Arial"/>
                <w:sz w:val="20"/>
                <w:szCs w:val="20"/>
              </w:rPr>
            </w:pPr>
          </w:p>
          <w:p w14:paraId="6B93AF08" w14:textId="77777777" w:rsidR="007B55FA" w:rsidRPr="00040AA9" w:rsidRDefault="007B55FA" w:rsidP="00040AA9">
            <w:pPr>
              <w:suppressAutoHyphens/>
              <w:jc w:val="center"/>
              <w:rPr>
                <w:rFonts w:ascii="Arial" w:hAnsi="Arial" w:cs="Arial"/>
                <w:sz w:val="20"/>
                <w:szCs w:val="20"/>
              </w:rPr>
            </w:pPr>
          </w:p>
          <w:p w14:paraId="1BAEBE0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9BC7FE3" w14:textId="77777777" w:rsidR="007B55FA" w:rsidRPr="00040AA9" w:rsidRDefault="007B55FA" w:rsidP="00040AA9">
            <w:pPr>
              <w:suppressAutoHyphens/>
              <w:jc w:val="center"/>
              <w:rPr>
                <w:rFonts w:ascii="Arial" w:hAnsi="Arial" w:cs="Arial"/>
                <w:sz w:val="20"/>
                <w:szCs w:val="20"/>
              </w:rPr>
            </w:pPr>
          </w:p>
          <w:p w14:paraId="6F82F889" w14:textId="77777777" w:rsidR="007B55FA" w:rsidRPr="00040AA9" w:rsidRDefault="007B55FA" w:rsidP="00040AA9">
            <w:pPr>
              <w:suppressAutoHyphens/>
              <w:jc w:val="center"/>
              <w:rPr>
                <w:rFonts w:ascii="Arial" w:hAnsi="Arial" w:cs="Arial"/>
                <w:sz w:val="20"/>
                <w:szCs w:val="20"/>
              </w:rPr>
            </w:pPr>
          </w:p>
          <w:p w14:paraId="0E858E2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34AAC3FC" w14:textId="77777777" w:rsidR="007B55FA" w:rsidRPr="00040AA9" w:rsidRDefault="007B55FA" w:rsidP="00040AA9">
            <w:pPr>
              <w:suppressAutoHyphens/>
              <w:rPr>
                <w:rFonts w:ascii="Arial" w:hAnsi="Arial" w:cs="Arial"/>
                <w:sz w:val="20"/>
                <w:szCs w:val="20"/>
              </w:rPr>
            </w:pPr>
          </w:p>
          <w:p w14:paraId="162D6A4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6752BD18" w14:textId="77777777" w:rsidR="007B55FA" w:rsidRPr="00040AA9" w:rsidRDefault="007B55FA" w:rsidP="00040AA9">
            <w:pPr>
              <w:suppressAutoHyphens/>
              <w:jc w:val="center"/>
              <w:rPr>
                <w:rFonts w:ascii="Arial" w:hAnsi="Arial" w:cs="Arial"/>
                <w:sz w:val="20"/>
                <w:szCs w:val="20"/>
              </w:rPr>
            </w:pPr>
          </w:p>
          <w:p w14:paraId="6C2D2E5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1C588E2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0C5295C9" w14:textId="77777777" w:rsidR="007B55FA" w:rsidRPr="00040AA9" w:rsidRDefault="007B55FA" w:rsidP="00040AA9">
            <w:pPr>
              <w:suppressAutoHyphens/>
              <w:rPr>
                <w:rFonts w:ascii="Arial" w:hAnsi="Arial" w:cs="Arial"/>
                <w:sz w:val="20"/>
                <w:szCs w:val="20"/>
              </w:rPr>
            </w:pPr>
          </w:p>
          <w:p w14:paraId="57490028" w14:textId="77777777" w:rsidR="007B55FA" w:rsidRPr="00040AA9" w:rsidRDefault="007B55FA" w:rsidP="00040AA9">
            <w:pPr>
              <w:suppressAutoHyphens/>
              <w:rPr>
                <w:rFonts w:ascii="Arial" w:hAnsi="Arial" w:cs="Arial"/>
                <w:sz w:val="20"/>
                <w:szCs w:val="20"/>
              </w:rPr>
            </w:pPr>
          </w:p>
          <w:p w14:paraId="2697EAF4" w14:textId="77777777" w:rsidR="007B55FA" w:rsidRPr="00040AA9" w:rsidRDefault="007B55FA" w:rsidP="00040AA9">
            <w:pPr>
              <w:suppressAutoHyphens/>
              <w:rPr>
                <w:rFonts w:ascii="Arial" w:hAnsi="Arial" w:cs="Arial"/>
                <w:sz w:val="20"/>
                <w:szCs w:val="20"/>
              </w:rPr>
            </w:pPr>
          </w:p>
          <w:p w14:paraId="2D1D661D" w14:textId="77777777" w:rsidR="007B55FA" w:rsidRPr="00040AA9" w:rsidRDefault="007B55FA" w:rsidP="00040AA9">
            <w:pPr>
              <w:suppressAutoHyphens/>
              <w:rPr>
                <w:rFonts w:ascii="Arial" w:hAnsi="Arial" w:cs="Arial"/>
                <w:sz w:val="20"/>
                <w:szCs w:val="20"/>
              </w:rPr>
            </w:pPr>
          </w:p>
          <w:p w14:paraId="5BE32759" w14:textId="77777777" w:rsidR="007B55FA" w:rsidRPr="00040AA9" w:rsidRDefault="007B55FA" w:rsidP="00040AA9">
            <w:pPr>
              <w:suppressAutoHyphens/>
              <w:rPr>
                <w:rFonts w:ascii="Arial" w:hAnsi="Arial" w:cs="Arial"/>
                <w:sz w:val="20"/>
                <w:szCs w:val="20"/>
              </w:rPr>
            </w:pPr>
          </w:p>
          <w:p w14:paraId="34695FBE" w14:textId="77777777" w:rsidR="007B55FA" w:rsidRPr="00040AA9" w:rsidRDefault="007B55FA" w:rsidP="00040AA9">
            <w:pPr>
              <w:suppressAutoHyphens/>
              <w:rPr>
                <w:rFonts w:ascii="Arial" w:hAnsi="Arial" w:cs="Arial"/>
                <w:sz w:val="20"/>
                <w:szCs w:val="20"/>
              </w:rPr>
            </w:pPr>
          </w:p>
          <w:p w14:paraId="498AD0C4" w14:textId="77777777" w:rsidR="007B55FA" w:rsidRPr="00040AA9" w:rsidRDefault="007B55FA" w:rsidP="00040AA9">
            <w:pPr>
              <w:suppressAutoHyphens/>
              <w:rPr>
                <w:rFonts w:ascii="Arial" w:hAnsi="Arial" w:cs="Arial"/>
                <w:sz w:val="20"/>
                <w:szCs w:val="20"/>
              </w:rPr>
            </w:pPr>
          </w:p>
          <w:p w14:paraId="6D77D9C0" w14:textId="77777777" w:rsidR="007B55FA" w:rsidRPr="00040AA9" w:rsidRDefault="007B55FA" w:rsidP="00040AA9">
            <w:pPr>
              <w:suppressAutoHyphens/>
              <w:rPr>
                <w:rFonts w:ascii="Arial" w:hAnsi="Arial" w:cs="Arial"/>
                <w:sz w:val="20"/>
                <w:szCs w:val="20"/>
              </w:rPr>
            </w:pPr>
          </w:p>
          <w:p w14:paraId="29E97FD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DD9C33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MBT keeps being applied.</w:t>
            </w:r>
          </w:p>
        </w:tc>
      </w:tr>
      <w:tr w:rsidR="007B55FA" w:rsidRPr="00CF5903" w14:paraId="790C3C7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31BFC087"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449D422"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3F5BF511"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45D5696A"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2739D1F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tcBorders>
              <w:bottom w:val="single" w:sz="4" w:space="0" w:color="auto"/>
            </w:tcBorders>
            <w:shd w:val="clear" w:color="auto" w:fill="auto"/>
          </w:tcPr>
          <w:p w14:paraId="70399F83"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6DA9652A"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169AF0C6" w14:textId="77777777" w:rsidR="007B55FA" w:rsidRPr="00040AA9" w:rsidRDefault="007B55FA" w:rsidP="00040AA9">
            <w:pPr>
              <w:suppressAutoHyphens/>
              <w:rPr>
                <w:rFonts w:ascii="Arial" w:hAnsi="Arial" w:cs="Arial"/>
                <w:sz w:val="20"/>
                <w:szCs w:val="20"/>
              </w:rPr>
            </w:pPr>
          </w:p>
        </w:tc>
      </w:tr>
      <w:tr w:rsidR="007B55FA" w:rsidRPr="00CF5903" w14:paraId="37BD0FE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tcBorders>
              <w:bottom w:val="single" w:sz="4" w:space="0" w:color="auto"/>
            </w:tcBorders>
            <w:shd w:val="clear" w:color="auto" w:fill="auto"/>
            <w:hideMark/>
          </w:tcPr>
          <w:p w14:paraId="6577E429"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4378F7C0"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12C54816"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356B2479"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6A62FD70" w14:textId="77777777" w:rsidR="007B55FA" w:rsidRPr="00040AA9" w:rsidRDefault="007B55FA" w:rsidP="00040AA9">
            <w:pPr>
              <w:suppressAutoHyphens/>
              <w:rPr>
                <w:rFonts w:ascii="Arial" w:hAnsi="Arial" w:cs="Arial"/>
                <w:sz w:val="20"/>
                <w:szCs w:val="20"/>
              </w:rPr>
            </w:pPr>
          </w:p>
          <w:p w14:paraId="72A19677" w14:textId="77777777" w:rsidR="007B55FA" w:rsidRPr="00040AA9" w:rsidRDefault="007B55FA" w:rsidP="00040AA9">
            <w:pPr>
              <w:suppressAutoHyphens/>
              <w:rPr>
                <w:rFonts w:ascii="Arial" w:hAnsi="Arial" w:cs="Arial"/>
                <w:sz w:val="20"/>
                <w:szCs w:val="20"/>
              </w:rPr>
            </w:pPr>
          </w:p>
          <w:p w14:paraId="3C1638D5" w14:textId="77777777" w:rsidR="007B55FA" w:rsidRPr="00040AA9" w:rsidRDefault="007B55FA" w:rsidP="00040AA9">
            <w:pPr>
              <w:suppressAutoHyphens/>
              <w:rPr>
                <w:rFonts w:ascii="Arial" w:hAnsi="Arial" w:cs="Arial"/>
                <w:sz w:val="20"/>
                <w:szCs w:val="20"/>
              </w:rPr>
            </w:pPr>
          </w:p>
          <w:p w14:paraId="3B8F28E8" w14:textId="77777777" w:rsidR="007B55FA" w:rsidRPr="00040AA9" w:rsidRDefault="007B55FA" w:rsidP="00040AA9">
            <w:pPr>
              <w:suppressAutoHyphens/>
              <w:rPr>
                <w:rFonts w:ascii="Arial" w:hAnsi="Arial" w:cs="Arial"/>
                <w:sz w:val="20"/>
                <w:szCs w:val="20"/>
              </w:rPr>
            </w:pPr>
          </w:p>
          <w:p w14:paraId="7E212AD6" w14:textId="77777777" w:rsidR="007B55FA" w:rsidRPr="00040AA9" w:rsidRDefault="007B55FA" w:rsidP="00040AA9">
            <w:pPr>
              <w:suppressAutoHyphens/>
              <w:rPr>
                <w:rFonts w:ascii="Arial" w:hAnsi="Arial" w:cs="Arial"/>
                <w:sz w:val="20"/>
                <w:szCs w:val="20"/>
              </w:rPr>
            </w:pPr>
          </w:p>
          <w:p w14:paraId="59755CC9" w14:textId="77777777" w:rsidR="007B55FA" w:rsidRPr="00040AA9" w:rsidRDefault="007B55FA" w:rsidP="00040AA9">
            <w:pPr>
              <w:suppressAutoHyphens/>
              <w:rPr>
                <w:rFonts w:ascii="Arial" w:hAnsi="Arial" w:cs="Arial"/>
                <w:sz w:val="20"/>
                <w:szCs w:val="20"/>
              </w:rPr>
            </w:pPr>
          </w:p>
          <w:p w14:paraId="06756D67" w14:textId="77777777" w:rsidR="007B55FA" w:rsidRPr="00040AA9" w:rsidRDefault="007B55FA" w:rsidP="00040AA9">
            <w:pPr>
              <w:suppressAutoHyphens/>
              <w:rPr>
                <w:rFonts w:ascii="Arial" w:hAnsi="Arial" w:cs="Arial"/>
                <w:sz w:val="20"/>
                <w:szCs w:val="20"/>
              </w:rPr>
            </w:pPr>
          </w:p>
          <w:p w14:paraId="61F2CED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3AF65125" w14:textId="77777777" w:rsidR="007B55FA" w:rsidRPr="00040AA9" w:rsidRDefault="007B55FA" w:rsidP="00040AA9">
            <w:pPr>
              <w:suppressAutoHyphens/>
              <w:rPr>
                <w:rFonts w:ascii="Arial" w:hAnsi="Arial" w:cs="Arial"/>
                <w:sz w:val="20"/>
                <w:szCs w:val="20"/>
              </w:rPr>
            </w:pPr>
          </w:p>
          <w:p w14:paraId="1693CB04" w14:textId="77777777" w:rsidR="007B55FA" w:rsidRPr="00040AA9" w:rsidRDefault="007B55FA" w:rsidP="00040AA9">
            <w:pPr>
              <w:suppressAutoHyphens/>
              <w:rPr>
                <w:rFonts w:ascii="Arial" w:hAnsi="Arial" w:cs="Arial"/>
                <w:sz w:val="20"/>
                <w:szCs w:val="20"/>
              </w:rPr>
            </w:pPr>
          </w:p>
          <w:p w14:paraId="18D327B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7A8424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(Apr. 2015</w:t>
            </w:r>
          </w:p>
          <w:p w14:paraId="0D57F226" w14:textId="77777777" w:rsidR="003F6B34"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on  </w:t>
            </w:r>
          </w:p>
          <w:p w14:paraId="0D041FC6" w14:textId="01F154FB"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which is when MBT was approved – see above)</w:t>
            </w:r>
          </w:p>
        </w:tc>
        <w:tc>
          <w:tcPr>
            <w:tcW w:w="1106" w:type="dxa"/>
            <w:vMerge/>
            <w:tcBorders>
              <w:bottom w:val="single" w:sz="4" w:space="0" w:color="auto"/>
            </w:tcBorders>
            <w:shd w:val="clear" w:color="auto" w:fill="auto"/>
            <w:hideMark/>
          </w:tcPr>
          <w:p w14:paraId="7243B163"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29F92797" w14:textId="75518D32"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II.1.c.B.1) providing evidence of compliance with section 2.03.I.(a)(ii)(A) of the FISPEG III loan contract by way of certifying “The Borrowe</w:t>
            </w:r>
            <w:r w:rsidR="005D1982" w:rsidRPr="00040AA9">
              <w:rPr>
                <w:rFonts w:ascii="Arial" w:hAnsi="Arial" w:cs="Arial"/>
                <w:sz w:val="20"/>
                <w:szCs w:val="20"/>
              </w:rPr>
              <w:t xml:space="preserve">r maintains the implementation </w:t>
            </w:r>
            <w:r w:rsidRPr="00040AA9">
              <w:rPr>
                <w:rFonts w:ascii="Arial" w:hAnsi="Arial" w:cs="Arial"/>
                <w:sz w:val="20"/>
                <w:szCs w:val="20"/>
              </w:rPr>
              <w:t>of the co</w:t>
            </w:r>
            <w:r w:rsidR="00E420C4">
              <w:rPr>
                <w:rFonts w:ascii="Arial" w:hAnsi="Arial" w:cs="Arial"/>
                <w:sz w:val="20"/>
                <w:szCs w:val="20"/>
              </w:rPr>
              <w:t>mprehensive tax reform program</w:t>
            </w:r>
            <w:r w:rsidRPr="00040AA9">
              <w:rPr>
                <w:rFonts w:ascii="Arial" w:hAnsi="Arial" w:cs="Arial"/>
                <w:sz w:val="20"/>
                <w:szCs w:val="20"/>
              </w:rPr>
              <w:t xml:space="preserve"> that includes measures to </w:t>
            </w:r>
            <w:r w:rsidR="005D1982" w:rsidRPr="00040AA9">
              <w:rPr>
                <w:rFonts w:ascii="Arial" w:hAnsi="Arial" w:cs="Arial"/>
                <w:sz w:val="20"/>
                <w:szCs w:val="20"/>
              </w:rPr>
              <w:t>… (ii) Increase tax revenues by</w:t>
            </w:r>
            <w:r w:rsidRPr="00040AA9">
              <w:rPr>
                <w:rFonts w:ascii="Arial" w:hAnsi="Arial" w:cs="Arial"/>
                <w:sz w:val="20"/>
                <w:szCs w:val="20"/>
              </w:rPr>
              <w:t>: (A) implementing the Minimum Business Tax (MBT);…”</w:t>
            </w:r>
            <w:r w:rsidRPr="00040AA9">
              <w:rPr>
                <w:rStyle w:val="FootnoteReference"/>
                <w:rFonts w:ascii="Arial" w:hAnsi="Arial" w:cs="Arial"/>
                <w:sz w:val="20"/>
                <w:szCs w:val="20"/>
              </w:rPr>
              <w:footnoteReference w:id="94"/>
            </w:r>
          </w:p>
        </w:tc>
      </w:tr>
      <w:tr w:rsidR="007B55FA" w:rsidRPr="00CF5903" w14:paraId="3DE2320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6B18D32F"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II.5. Petroleum Tax Rationalization</w:t>
            </w:r>
          </w:p>
        </w:tc>
      </w:tr>
      <w:tr w:rsidR="007B55FA" w:rsidRPr="00CF5903" w14:paraId="049430B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9A6365F"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II.5.1</w:t>
            </w:r>
          </w:p>
          <w:p w14:paraId="6880AFB4"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Committee for the rationalization of Taxes on petroleum products created </w:t>
            </w:r>
          </w:p>
          <w:p w14:paraId="2BE17A63"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 – product 2.5)</w:t>
            </w:r>
          </w:p>
          <w:p w14:paraId="0420F452"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(no loan contract provision)</w:t>
            </w:r>
          </w:p>
          <w:p w14:paraId="7F49A4C8" w14:textId="77777777" w:rsidR="007B55FA" w:rsidRPr="00040AA9" w:rsidRDefault="007B55FA" w:rsidP="00040AA9">
            <w:pPr>
              <w:suppressAutoHyphens/>
              <w:ind w:left="339"/>
              <w:rPr>
                <w:rFonts w:ascii="Arial" w:hAnsi="Arial" w:cs="Arial"/>
                <w:sz w:val="20"/>
                <w:szCs w:val="20"/>
              </w:rPr>
            </w:pPr>
          </w:p>
          <w:p w14:paraId="4743994C" w14:textId="6C9BAA83"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Note: FISPEG II loan contract section 2.03(a)(iv)(E) calls for a “review and assess the recommendations of the Bank-sponsored study of</w:t>
            </w:r>
            <w:r w:rsidR="009007DC" w:rsidRPr="00040AA9">
              <w:rPr>
                <w:rFonts w:ascii="Arial" w:hAnsi="Arial" w:cs="Arial"/>
                <w:sz w:val="20"/>
                <w:szCs w:val="20"/>
              </w:rPr>
              <w:t>… [</w:t>
            </w:r>
            <w:r w:rsidRPr="00040AA9">
              <w:rPr>
                <w:rFonts w:ascii="Arial" w:hAnsi="Arial" w:cs="Arial"/>
                <w:sz w:val="20"/>
                <w:szCs w:val="20"/>
              </w:rPr>
              <w:t>petroleum taxes]</w:t>
            </w:r>
          </w:p>
        </w:tc>
        <w:tc>
          <w:tcPr>
            <w:tcW w:w="860" w:type="dxa"/>
            <w:vMerge w:val="restart"/>
            <w:shd w:val="clear" w:color="auto" w:fill="auto"/>
          </w:tcPr>
          <w:p w14:paraId="075CD034" w14:textId="77777777" w:rsidR="007B55FA" w:rsidRPr="00040AA9" w:rsidRDefault="007B55FA" w:rsidP="00040AA9">
            <w:pPr>
              <w:suppressAutoHyphens/>
              <w:jc w:val="center"/>
              <w:rPr>
                <w:rFonts w:ascii="Arial" w:hAnsi="Arial" w:cs="Arial"/>
                <w:sz w:val="20"/>
                <w:szCs w:val="20"/>
              </w:rPr>
            </w:pPr>
          </w:p>
          <w:p w14:paraId="0EAC1B55" w14:textId="77777777" w:rsidR="007B55FA" w:rsidRPr="00040AA9" w:rsidRDefault="007B55FA" w:rsidP="00040AA9">
            <w:pPr>
              <w:suppressAutoHyphens/>
              <w:jc w:val="center"/>
              <w:rPr>
                <w:rFonts w:ascii="Arial" w:hAnsi="Arial" w:cs="Arial"/>
                <w:sz w:val="20"/>
                <w:szCs w:val="20"/>
              </w:rPr>
            </w:pPr>
          </w:p>
          <w:p w14:paraId="7BA1477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Committee</w:t>
            </w:r>
          </w:p>
        </w:tc>
        <w:tc>
          <w:tcPr>
            <w:tcW w:w="774" w:type="dxa"/>
            <w:vMerge w:val="restart"/>
            <w:shd w:val="clear" w:color="auto" w:fill="auto"/>
          </w:tcPr>
          <w:p w14:paraId="753EC9C3" w14:textId="77777777" w:rsidR="007B55FA" w:rsidRPr="00040AA9" w:rsidRDefault="007B55FA" w:rsidP="00040AA9">
            <w:pPr>
              <w:suppressAutoHyphens/>
              <w:jc w:val="center"/>
              <w:rPr>
                <w:rFonts w:ascii="Arial" w:hAnsi="Arial" w:cs="Arial"/>
                <w:sz w:val="20"/>
                <w:szCs w:val="20"/>
              </w:rPr>
            </w:pPr>
          </w:p>
          <w:p w14:paraId="04CF26AB" w14:textId="77777777" w:rsidR="007B55FA" w:rsidRPr="00040AA9" w:rsidRDefault="007B55FA" w:rsidP="00040AA9">
            <w:pPr>
              <w:suppressAutoHyphens/>
              <w:jc w:val="center"/>
              <w:rPr>
                <w:rFonts w:ascii="Arial" w:hAnsi="Arial" w:cs="Arial"/>
                <w:sz w:val="20"/>
                <w:szCs w:val="20"/>
              </w:rPr>
            </w:pPr>
          </w:p>
          <w:p w14:paraId="1A0B261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38C1347F" w14:textId="77777777" w:rsidR="007B55FA" w:rsidRPr="00040AA9" w:rsidRDefault="007B55FA" w:rsidP="00040AA9">
            <w:pPr>
              <w:suppressAutoHyphens/>
              <w:jc w:val="center"/>
              <w:rPr>
                <w:rFonts w:ascii="Arial" w:hAnsi="Arial" w:cs="Arial"/>
                <w:sz w:val="20"/>
                <w:szCs w:val="20"/>
              </w:rPr>
            </w:pPr>
          </w:p>
          <w:p w14:paraId="6707B471" w14:textId="77777777" w:rsidR="007B55FA" w:rsidRPr="00040AA9" w:rsidRDefault="007B55FA" w:rsidP="00040AA9">
            <w:pPr>
              <w:suppressAutoHyphens/>
              <w:jc w:val="center"/>
              <w:rPr>
                <w:rFonts w:ascii="Arial" w:hAnsi="Arial" w:cs="Arial"/>
                <w:sz w:val="20"/>
                <w:szCs w:val="20"/>
              </w:rPr>
            </w:pPr>
          </w:p>
          <w:p w14:paraId="2DA237C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4341C5B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tcPr>
          <w:p w14:paraId="4D4C1A0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B8FA97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5164AD58" w14:textId="77777777" w:rsidR="007B55FA" w:rsidRPr="00040AA9" w:rsidRDefault="007B55FA" w:rsidP="00040AA9">
            <w:pPr>
              <w:suppressAutoHyphens/>
              <w:rPr>
                <w:rFonts w:ascii="Arial" w:hAnsi="Arial" w:cs="Arial"/>
                <w:sz w:val="20"/>
                <w:szCs w:val="20"/>
              </w:rPr>
            </w:pPr>
          </w:p>
          <w:p w14:paraId="1E5AD985" w14:textId="77777777" w:rsidR="007B55FA" w:rsidRPr="00040AA9" w:rsidRDefault="007B55FA" w:rsidP="00040AA9">
            <w:pPr>
              <w:suppressAutoHyphens/>
              <w:rPr>
                <w:rFonts w:ascii="Arial" w:hAnsi="Arial" w:cs="Arial"/>
                <w:sz w:val="20"/>
                <w:szCs w:val="20"/>
              </w:rPr>
            </w:pPr>
          </w:p>
          <w:p w14:paraId="1E5780E9" w14:textId="77777777" w:rsidR="007B55FA" w:rsidRPr="00040AA9" w:rsidRDefault="007B55FA" w:rsidP="00040AA9">
            <w:pPr>
              <w:suppressAutoHyphens/>
              <w:rPr>
                <w:rFonts w:ascii="Arial" w:hAnsi="Arial" w:cs="Arial"/>
                <w:sz w:val="20"/>
                <w:szCs w:val="20"/>
              </w:rPr>
            </w:pPr>
          </w:p>
          <w:p w14:paraId="1DF929F6" w14:textId="77777777" w:rsidR="007B55FA" w:rsidRPr="00040AA9" w:rsidRDefault="007B55FA" w:rsidP="00040AA9">
            <w:pPr>
              <w:suppressAutoHyphens/>
              <w:rPr>
                <w:rFonts w:ascii="Arial" w:hAnsi="Arial" w:cs="Arial"/>
                <w:sz w:val="20"/>
                <w:szCs w:val="20"/>
              </w:rPr>
            </w:pPr>
          </w:p>
          <w:p w14:paraId="7ACB887F" w14:textId="77777777" w:rsidR="007B55FA" w:rsidRPr="00040AA9" w:rsidRDefault="007B55FA" w:rsidP="00040AA9">
            <w:pPr>
              <w:suppressAutoHyphens/>
              <w:rPr>
                <w:rFonts w:ascii="Arial" w:hAnsi="Arial" w:cs="Arial"/>
                <w:sz w:val="20"/>
                <w:szCs w:val="20"/>
              </w:rPr>
            </w:pPr>
          </w:p>
          <w:p w14:paraId="6D4070F0" w14:textId="62CA9880"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5C398A5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Committee meeting minutes plan prepared by the Tax Policy Division of the MOF</w:t>
            </w:r>
          </w:p>
        </w:tc>
      </w:tr>
      <w:tr w:rsidR="007B55FA" w:rsidRPr="00CF5903" w14:paraId="638BF6F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441C7BC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13C51860"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B44CC42"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95CA7FC"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22A56E9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3F90CDAE"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312F6DD8"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395C4F3" w14:textId="77777777" w:rsidR="007B55FA" w:rsidRPr="00040AA9" w:rsidRDefault="007B55FA" w:rsidP="00040AA9">
            <w:pPr>
              <w:suppressAutoHyphens/>
              <w:rPr>
                <w:rFonts w:ascii="Arial" w:hAnsi="Arial" w:cs="Arial"/>
                <w:sz w:val="20"/>
                <w:szCs w:val="20"/>
              </w:rPr>
            </w:pPr>
          </w:p>
        </w:tc>
      </w:tr>
      <w:tr w:rsidR="007B55FA" w:rsidRPr="00CF5903" w14:paraId="4638BF3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jc w:val="center"/>
        </w:trPr>
        <w:tc>
          <w:tcPr>
            <w:tcW w:w="2556" w:type="dxa"/>
            <w:vMerge/>
            <w:shd w:val="clear" w:color="auto" w:fill="auto"/>
            <w:hideMark/>
          </w:tcPr>
          <w:p w14:paraId="0B8D58B1"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890294F"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D8D9F9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D2FCF7A"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E37459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3974F278" w14:textId="77777777" w:rsidR="007B55FA" w:rsidRPr="00040AA9" w:rsidRDefault="007B55FA" w:rsidP="00040AA9">
            <w:pPr>
              <w:suppressAutoHyphens/>
              <w:rPr>
                <w:rFonts w:ascii="Arial" w:hAnsi="Arial" w:cs="Arial"/>
                <w:sz w:val="20"/>
                <w:szCs w:val="20"/>
              </w:rPr>
            </w:pPr>
          </w:p>
          <w:p w14:paraId="5686A5CE" w14:textId="77777777" w:rsidR="007B55FA" w:rsidRPr="00040AA9" w:rsidRDefault="007B55FA" w:rsidP="00040AA9">
            <w:pPr>
              <w:suppressAutoHyphens/>
              <w:jc w:val="center"/>
              <w:rPr>
                <w:rFonts w:ascii="Arial" w:hAnsi="Arial" w:cs="Arial"/>
                <w:sz w:val="20"/>
                <w:szCs w:val="20"/>
              </w:rPr>
            </w:pPr>
          </w:p>
          <w:p w14:paraId="0693C33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DB5576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(Mar. 2015)</w:t>
            </w:r>
          </w:p>
          <w:p w14:paraId="60E78B6C" w14:textId="176FE1FB"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2DDC8946"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08B1082" w14:textId="7C7D1AA6"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Extensive MOF comments </w:t>
            </w:r>
            <w:r w:rsidR="00BD2F47" w:rsidRPr="00040AA9">
              <w:rPr>
                <w:rFonts w:ascii="Arial" w:hAnsi="Arial" w:cs="Arial"/>
                <w:sz w:val="20"/>
                <w:szCs w:val="20"/>
              </w:rPr>
              <w:t xml:space="preserve">prepared in March 2015 </w:t>
            </w:r>
            <w:r w:rsidRPr="00040AA9">
              <w:rPr>
                <w:rFonts w:ascii="Arial" w:hAnsi="Arial" w:cs="Arial"/>
                <w:sz w:val="20"/>
                <w:szCs w:val="20"/>
              </w:rPr>
              <w:t xml:space="preserve">on IDB consultant study of Taxes on Petroleum Products (see Indicator II.5.2 below) implicitly manifest existence of competent </w:t>
            </w:r>
            <w:proofErr w:type="spellStart"/>
            <w:r w:rsidRPr="00040AA9">
              <w:rPr>
                <w:rFonts w:ascii="Arial" w:hAnsi="Arial" w:cs="Arial"/>
                <w:sz w:val="20"/>
                <w:szCs w:val="20"/>
              </w:rPr>
              <w:t>GoJ</w:t>
            </w:r>
            <w:proofErr w:type="spellEnd"/>
            <w:r w:rsidRPr="00040AA9">
              <w:rPr>
                <w:rFonts w:ascii="Arial" w:hAnsi="Arial" w:cs="Arial"/>
                <w:sz w:val="20"/>
                <w:szCs w:val="20"/>
              </w:rPr>
              <w:t xml:space="preserve"> in-house capacity to address this issue, although no committee meeting minutes were produced as such. </w:t>
            </w:r>
          </w:p>
        </w:tc>
      </w:tr>
      <w:tr w:rsidR="007B55FA" w:rsidRPr="00CF5903" w14:paraId="6069569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7"/>
          <w:jc w:val="center"/>
        </w:trPr>
        <w:tc>
          <w:tcPr>
            <w:tcW w:w="2556" w:type="dxa"/>
            <w:vMerge w:val="restart"/>
            <w:shd w:val="clear" w:color="auto" w:fill="auto"/>
            <w:hideMark/>
          </w:tcPr>
          <w:p w14:paraId="0A0C8CA8"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II.5.2</w:t>
            </w:r>
          </w:p>
          <w:p w14:paraId="1E7CBD2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Recommendations of the Bank-sponsored study of the rationalization of taxes on petroleum and derivatives considered. </w:t>
            </w:r>
          </w:p>
          <w:p w14:paraId="327277BC"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2.12</w:t>
            </w:r>
          </w:p>
          <w:p w14:paraId="6C6841F5"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2.03.I.(a)(v))</w:t>
            </w:r>
          </w:p>
        </w:tc>
        <w:tc>
          <w:tcPr>
            <w:tcW w:w="860" w:type="dxa"/>
            <w:vMerge w:val="restart"/>
            <w:shd w:val="clear" w:color="auto" w:fill="auto"/>
          </w:tcPr>
          <w:p w14:paraId="76B74BF6" w14:textId="77777777" w:rsidR="007B55FA" w:rsidRPr="00040AA9" w:rsidRDefault="007B55FA" w:rsidP="00040AA9">
            <w:pPr>
              <w:suppressAutoHyphens/>
              <w:jc w:val="center"/>
              <w:rPr>
                <w:rFonts w:ascii="Arial" w:hAnsi="Arial" w:cs="Arial"/>
                <w:sz w:val="20"/>
                <w:szCs w:val="20"/>
              </w:rPr>
            </w:pPr>
          </w:p>
          <w:p w14:paraId="70EA1539" w14:textId="77777777" w:rsidR="007B55FA" w:rsidRPr="00040AA9" w:rsidRDefault="007B55FA" w:rsidP="00040AA9">
            <w:pPr>
              <w:suppressAutoHyphens/>
              <w:jc w:val="center"/>
              <w:rPr>
                <w:rFonts w:ascii="Arial" w:hAnsi="Arial" w:cs="Arial"/>
                <w:sz w:val="20"/>
                <w:szCs w:val="20"/>
              </w:rPr>
            </w:pPr>
          </w:p>
          <w:p w14:paraId="5F3D2B75" w14:textId="77777777" w:rsidR="007B55FA" w:rsidRPr="00040AA9" w:rsidRDefault="007B55FA" w:rsidP="00040AA9">
            <w:pPr>
              <w:suppressAutoHyphens/>
              <w:jc w:val="center"/>
              <w:rPr>
                <w:rFonts w:ascii="Arial" w:hAnsi="Arial" w:cs="Arial"/>
                <w:sz w:val="20"/>
                <w:szCs w:val="20"/>
              </w:rPr>
            </w:pPr>
          </w:p>
          <w:p w14:paraId="48B91C2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Study</w:t>
            </w:r>
          </w:p>
        </w:tc>
        <w:tc>
          <w:tcPr>
            <w:tcW w:w="774" w:type="dxa"/>
            <w:vMerge w:val="restart"/>
            <w:shd w:val="clear" w:color="auto" w:fill="auto"/>
          </w:tcPr>
          <w:p w14:paraId="007A7059" w14:textId="77777777" w:rsidR="007B55FA" w:rsidRPr="00040AA9" w:rsidRDefault="007B55FA" w:rsidP="00040AA9">
            <w:pPr>
              <w:suppressAutoHyphens/>
              <w:jc w:val="center"/>
              <w:rPr>
                <w:rFonts w:ascii="Arial" w:hAnsi="Arial" w:cs="Arial"/>
                <w:sz w:val="20"/>
                <w:szCs w:val="20"/>
              </w:rPr>
            </w:pPr>
          </w:p>
          <w:p w14:paraId="7434A7D2" w14:textId="77777777" w:rsidR="007B55FA" w:rsidRPr="00040AA9" w:rsidRDefault="007B55FA" w:rsidP="00040AA9">
            <w:pPr>
              <w:suppressAutoHyphens/>
              <w:jc w:val="center"/>
              <w:rPr>
                <w:rFonts w:ascii="Arial" w:hAnsi="Arial" w:cs="Arial"/>
                <w:sz w:val="20"/>
                <w:szCs w:val="20"/>
              </w:rPr>
            </w:pPr>
          </w:p>
          <w:p w14:paraId="23172AEA" w14:textId="77777777" w:rsidR="007B55FA" w:rsidRPr="00040AA9" w:rsidRDefault="007B55FA" w:rsidP="00040AA9">
            <w:pPr>
              <w:suppressAutoHyphens/>
              <w:jc w:val="center"/>
              <w:rPr>
                <w:rFonts w:ascii="Arial" w:hAnsi="Arial" w:cs="Arial"/>
                <w:sz w:val="20"/>
                <w:szCs w:val="20"/>
              </w:rPr>
            </w:pPr>
          </w:p>
          <w:p w14:paraId="4AD6092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02B1011" w14:textId="77777777" w:rsidR="007B55FA" w:rsidRPr="00040AA9" w:rsidRDefault="007B55FA" w:rsidP="00040AA9">
            <w:pPr>
              <w:suppressAutoHyphens/>
              <w:jc w:val="center"/>
              <w:rPr>
                <w:rFonts w:ascii="Arial" w:hAnsi="Arial" w:cs="Arial"/>
                <w:sz w:val="20"/>
                <w:szCs w:val="20"/>
              </w:rPr>
            </w:pPr>
          </w:p>
          <w:p w14:paraId="5F14144C" w14:textId="77777777" w:rsidR="007B55FA" w:rsidRPr="00040AA9" w:rsidRDefault="007B55FA" w:rsidP="00040AA9">
            <w:pPr>
              <w:suppressAutoHyphens/>
              <w:jc w:val="center"/>
              <w:rPr>
                <w:rFonts w:ascii="Arial" w:hAnsi="Arial" w:cs="Arial"/>
                <w:sz w:val="20"/>
                <w:szCs w:val="20"/>
              </w:rPr>
            </w:pPr>
          </w:p>
          <w:p w14:paraId="205B8353" w14:textId="77777777" w:rsidR="007B55FA" w:rsidRPr="00040AA9" w:rsidRDefault="007B55FA" w:rsidP="00040AA9">
            <w:pPr>
              <w:suppressAutoHyphens/>
              <w:jc w:val="center"/>
              <w:rPr>
                <w:rFonts w:ascii="Arial" w:hAnsi="Arial" w:cs="Arial"/>
                <w:sz w:val="20"/>
                <w:szCs w:val="20"/>
              </w:rPr>
            </w:pPr>
          </w:p>
          <w:p w14:paraId="71C9C73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644395C2" w14:textId="77777777" w:rsidR="0093587D" w:rsidRPr="00040AA9" w:rsidRDefault="0093587D" w:rsidP="00040AA9">
            <w:pPr>
              <w:suppressAutoHyphens/>
              <w:jc w:val="center"/>
              <w:rPr>
                <w:rFonts w:ascii="Arial" w:hAnsi="Arial" w:cs="Arial"/>
                <w:sz w:val="20"/>
                <w:szCs w:val="20"/>
              </w:rPr>
            </w:pPr>
          </w:p>
          <w:p w14:paraId="0FD52033" w14:textId="77777777" w:rsidR="0093587D" w:rsidRPr="00040AA9" w:rsidRDefault="0093587D" w:rsidP="00040AA9">
            <w:pPr>
              <w:suppressAutoHyphens/>
              <w:jc w:val="center"/>
              <w:rPr>
                <w:rFonts w:ascii="Arial" w:hAnsi="Arial" w:cs="Arial"/>
                <w:sz w:val="20"/>
                <w:szCs w:val="20"/>
              </w:rPr>
            </w:pPr>
          </w:p>
          <w:p w14:paraId="64EC6E6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D55701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1B90A8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 – on)</w:t>
            </w:r>
          </w:p>
        </w:tc>
        <w:tc>
          <w:tcPr>
            <w:tcW w:w="1106" w:type="dxa"/>
            <w:vMerge w:val="restart"/>
            <w:shd w:val="clear" w:color="auto" w:fill="auto"/>
          </w:tcPr>
          <w:p w14:paraId="22D69CEA" w14:textId="77777777" w:rsidR="007B55FA" w:rsidRPr="00040AA9" w:rsidRDefault="007B55FA" w:rsidP="00040AA9">
            <w:pPr>
              <w:suppressAutoHyphens/>
              <w:rPr>
                <w:rFonts w:ascii="Arial" w:hAnsi="Arial" w:cs="Arial"/>
                <w:sz w:val="20"/>
                <w:szCs w:val="20"/>
              </w:rPr>
            </w:pPr>
          </w:p>
          <w:p w14:paraId="1E4E80BF" w14:textId="77777777" w:rsidR="007B55FA" w:rsidRPr="00040AA9" w:rsidRDefault="007B55FA" w:rsidP="00040AA9">
            <w:pPr>
              <w:suppressAutoHyphens/>
              <w:rPr>
                <w:rFonts w:ascii="Arial" w:hAnsi="Arial" w:cs="Arial"/>
                <w:sz w:val="20"/>
                <w:szCs w:val="20"/>
              </w:rPr>
            </w:pPr>
          </w:p>
          <w:p w14:paraId="44ADDAA8" w14:textId="77777777" w:rsidR="007B55FA" w:rsidRPr="00040AA9" w:rsidRDefault="007B55FA" w:rsidP="00040AA9">
            <w:pPr>
              <w:suppressAutoHyphens/>
              <w:rPr>
                <w:rFonts w:ascii="Arial" w:hAnsi="Arial" w:cs="Arial"/>
                <w:sz w:val="20"/>
                <w:szCs w:val="20"/>
              </w:rPr>
            </w:pPr>
          </w:p>
          <w:p w14:paraId="5CAA2C81" w14:textId="77777777" w:rsidR="007B55FA" w:rsidRPr="00040AA9" w:rsidRDefault="007B55FA" w:rsidP="00040AA9">
            <w:pPr>
              <w:suppressAutoHyphens/>
              <w:rPr>
                <w:rFonts w:ascii="Arial" w:hAnsi="Arial" w:cs="Arial"/>
                <w:sz w:val="20"/>
                <w:szCs w:val="20"/>
              </w:rPr>
            </w:pPr>
          </w:p>
          <w:p w14:paraId="077A4A07" w14:textId="77777777" w:rsidR="007B55FA" w:rsidRPr="00040AA9" w:rsidRDefault="007B55FA" w:rsidP="00040AA9">
            <w:pPr>
              <w:suppressAutoHyphens/>
              <w:jc w:val="center"/>
              <w:rPr>
                <w:rFonts w:ascii="Arial" w:hAnsi="Arial" w:cs="Arial"/>
                <w:sz w:val="20"/>
                <w:szCs w:val="20"/>
              </w:rPr>
            </w:pPr>
          </w:p>
          <w:p w14:paraId="7976970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p w14:paraId="558BDE80" w14:textId="3A3D1142" w:rsidR="007B55FA" w:rsidRPr="00040AA9" w:rsidRDefault="007B55FA" w:rsidP="00040AA9">
            <w:pPr>
              <w:suppressAutoHyphens/>
              <w:jc w:val="center"/>
              <w:rPr>
                <w:rFonts w:ascii="Arial" w:hAnsi="Arial" w:cs="Arial"/>
                <w:sz w:val="20"/>
                <w:szCs w:val="20"/>
              </w:rPr>
            </w:pPr>
          </w:p>
        </w:tc>
        <w:tc>
          <w:tcPr>
            <w:tcW w:w="5027" w:type="dxa"/>
            <w:shd w:val="clear" w:color="auto" w:fill="auto"/>
          </w:tcPr>
          <w:p w14:paraId="71E3A5F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Bank-sponsored recommendations study were reviewed</w:t>
            </w:r>
          </w:p>
        </w:tc>
      </w:tr>
      <w:tr w:rsidR="007B55FA" w:rsidRPr="00CF5903" w14:paraId="444A084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442B445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AE93F2E"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71299A6E"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4165C2E"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8DB320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1C1BA7F7"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C076BA5"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3B98CA1" w14:textId="77777777" w:rsidR="007B55FA" w:rsidRPr="00040AA9" w:rsidRDefault="007B55FA" w:rsidP="00040AA9">
            <w:pPr>
              <w:suppressAutoHyphens/>
              <w:rPr>
                <w:rFonts w:ascii="Arial" w:hAnsi="Arial" w:cs="Arial"/>
                <w:sz w:val="20"/>
                <w:szCs w:val="20"/>
              </w:rPr>
            </w:pPr>
          </w:p>
        </w:tc>
      </w:tr>
      <w:tr w:rsidR="007B55FA" w:rsidRPr="00CF5903" w14:paraId="62F0C19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jc w:val="center"/>
        </w:trPr>
        <w:tc>
          <w:tcPr>
            <w:tcW w:w="2556" w:type="dxa"/>
            <w:vMerge/>
            <w:shd w:val="clear" w:color="auto" w:fill="auto"/>
            <w:hideMark/>
          </w:tcPr>
          <w:p w14:paraId="672BAF54"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11F2242D"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11629317"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DB18A70"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E410D81" w14:textId="77777777" w:rsidR="0093587D" w:rsidRPr="00040AA9" w:rsidRDefault="0093587D" w:rsidP="00040AA9">
            <w:pPr>
              <w:suppressAutoHyphens/>
              <w:jc w:val="center"/>
              <w:rPr>
                <w:rFonts w:ascii="Arial" w:hAnsi="Arial" w:cs="Arial"/>
                <w:sz w:val="20"/>
                <w:szCs w:val="20"/>
              </w:rPr>
            </w:pPr>
          </w:p>
          <w:p w14:paraId="20B00AEC" w14:textId="77777777" w:rsidR="0093587D" w:rsidRPr="00040AA9" w:rsidRDefault="0093587D" w:rsidP="00040AA9">
            <w:pPr>
              <w:suppressAutoHyphens/>
              <w:jc w:val="center"/>
              <w:rPr>
                <w:rFonts w:ascii="Arial" w:hAnsi="Arial" w:cs="Arial"/>
                <w:sz w:val="20"/>
                <w:szCs w:val="20"/>
              </w:rPr>
            </w:pPr>
          </w:p>
          <w:p w14:paraId="6F189D3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1E53249D" w14:textId="77777777" w:rsidR="007B55FA" w:rsidRPr="00040AA9" w:rsidRDefault="007B55FA" w:rsidP="00040AA9">
            <w:pPr>
              <w:suppressAutoHyphens/>
              <w:rPr>
                <w:rFonts w:ascii="Arial" w:hAnsi="Arial" w:cs="Arial"/>
                <w:sz w:val="20"/>
                <w:szCs w:val="20"/>
              </w:rPr>
            </w:pPr>
          </w:p>
          <w:p w14:paraId="76B05D5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6F9EFA7" w14:textId="7472BFC1"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1F4189" w:rsidRPr="00040AA9">
              <w:rPr>
                <w:rFonts w:ascii="Arial" w:hAnsi="Arial" w:cs="Arial"/>
                <w:sz w:val="20"/>
                <w:szCs w:val="20"/>
              </w:rPr>
              <w:t>Mar. 2015</w:t>
            </w:r>
            <w:r w:rsidRPr="00040AA9">
              <w:rPr>
                <w:rFonts w:ascii="Arial" w:hAnsi="Arial" w:cs="Arial"/>
                <w:sz w:val="20"/>
                <w:szCs w:val="20"/>
              </w:rPr>
              <w:t>)</w:t>
            </w:r>
          </w:p>
          <w:p w14:paraId="1D6BCF15"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BF4244E"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021AFB5" w14:textId="54FD0211" w:rsidR="007B55FA" w:rsidRPr="00040AA9" w:rsidRDefault="007B55FA" w:rsidP="00040AA9">
            <w:pPr>
              <w:suppressAutoHyphens/>
              <w:rPr>
                <w:rFonts w:ascii="Arial" w:hAnsi="Arial" w:cs="Arial"/>
                <w:i/>
                <w:sz w:val="20"/>
                <w:szCs w:val="20"/>
              </w:rPr>
            </w:pPr>
            <w:r w:rsidRPr="00040AA9">
              <w:rPr>
                <w:rFonts w:ascii="Arial" w:hAnsi="Arial" w:cs="Arial"/>
                <w:sz w:val="20"/>
                <w:szCs w:val="20"/>
              </w:rPr>
              <w:t>Official letter from FS to Bank dated May 27, 2015 (part II.1.b.E) providing evidence of compliance with section2.03.I.(a)(iv)(E) of the FISPEG II loan contract by way of citing attached copy of MOF comments of March 20, 2015 on IDB study</w:t>
            </w:r>
            <w:r w:rsidRPr="00040AA9">
              <w:rPr>
                <w:rStyle w:val="FootnoteReference"/>
                <w:rFonts w:ascii="Arial" w:hAnsi="Arial" w:cs="Arial"/>
                <w:sz w:val="20"/>
                <w:szCs w:val="20"/>
              </w:rPr>
              <w:footnoteReference w:id="95"/>
            </w:r>
          </w:p>
        </w:tc>
      </w:tr>
      <w:tr w:rsidR="007B55FA" w:rsidRPr="00CF5903" w14:paraId="79B398C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4940C9ED" w14:textId="77777777"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Output II.6. TAJ &amp; JCA Strengthened</w:t>
            </w:r>
          </w:p>
        </w:tc>
      </w:tr>
      <w:tr w:rsidR="007B55FA" w:rsidRPr="00CF5903" w14:paraId="04D0071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79F8AEC8" w14:textId="77777777" w:rsidR="007B55FA" w:rsidRPr="00040AA9" w:rsidRDefault="007B55FA" w:rsidP="00040AA9">
            <w:pPr>
              <w:keepNext/>
              <w:keepLines/>
              <w:suppressAutoHyphens/>
              <w:ind w:left="159"/>
              <w:rPr>
                <w:rFonts w:ascii="Arial" w:hAnsi="Arial" w:cs="Arial"/>
                <w:sz w:val="20"/>
                <w:szCs w:val="20"/>
              </w:rPr>
            </w:pPr>
            <w:r w:rsidRPr="00040AA9">
              <w:rPr>
                <w:rFonts w:ascii="Arial" w:hAnsi="Arial" w:cs="Arial"/>
                <w:sz w:val="20"/>
                <w:szCs w:val="20"/>
              </w:rPr>
              <w:t xml:space="preserve">Indicator II.6.1   </w:t>
            </w:r>
          </w:p>
          <w:p w14:paraId="54561A2D" w14:textId="654E24E0" w:rsidR="007B55FA" w:rsidRPr="00040AA9" w:rsidRDefault="007B55FA" w:rsidP="00040AA9">
            <w:pPr>
              <w:keepNext/>
              <w:keepLines/>
              <w:suppressAutoHyphens/>
              <w:ind w:left="339"/>
              <w:rPr>
                <w:rFonts w:ascii="Arial" w:hAnsi="Arial" w:cs="Arial"/>
                <w:sz w:val="20"/>
                <w:szCs w:val="20"/>
              </w:rPr>
            </w:pPr>
            <w:r w:rsidRPr="00040AA9">
              <w:rPr>
                <w:rFonts w:ascii="Arial" w:hAnsi="Arial" w:cs="Arial"/>
                <w:sz w:val="20"/>
                <w:szCs w:val="20"/>
              </w:rPr>
              <w:t>Strategy / work plan for the strengthening of the TAJ and JCA implemented</w:t>
            </w:r>
            <w:r w:rsidR="00DD4BF2" w:rsidRPr="00040AA9">
              <w:rPr>
                <w:rFonts w:ascii="Arial" w:hAnsi="Arial" w:cs="Arial"/>
                <w:sz w:val="20"/>
                <w:szCs w:val="20"/>
              </w:rPr>
              <w:t>.</w:t>
            </w:r>
            <w:r w:rsidRPr="00040AA9">
              <w:rPr>
                <w:rFonts w:ascii="Arial" w:hAnsi="Arial" w:cs="Arial"/>
                <w:sz w:val="20"/>
                <w:szCs w:val="20"/>
              </w:rPr>
              <w:t xml:space="preserve"> </w:t>
            </w:r>
          </w:p>
          <w:p w14:paraId="0637235E" w14:textId="77777777" w:rsidR="007B55FA" w:rsidRPr="00040AA9" w:rsidRDefault="007B55FA" w:rsidP="00040AA9">
            <w:pPr>
              <w:keepNext/>
              <w:keepLines/>
              <w:suppressAutoHyphens/>
              <w:ind w:left="339"/>
              <w:rPr>
                <w:rFonts w:ascii="Arial" w:hAnsi="Arial" w:cs="Arial"/>
                <w:sz w:val="20"/>
                <w:szCs w:val="20"/>
              </w:rPr>
            </w:pPr>
            <w:r w:rsidRPr="00040AA9">
              <w:rPr>
                <w:rFonts w:ascii="Arial" w:hAnsi="Arial" w:cs="Arial"/>
                <w:sz w:val="20"/>
                <w:szCs w:val="20"/>
              </w:rPr>
              <w:t>(FSPG I – product 2.6,</w:t>
            </w:r>
          </w:p>
          <w:p w14:paraId="0C5479A9" w14:textId="77777777" w:rsidR="007B55FA" w:rsidRPr="00040AA9" w:rsidRDefault="007B55FA" w:rsidP="00040AA9">
            <w:pPr>
              <w:keepNext/>
              <w:keepLines/>
              <w:suppressAutoHyphens/>
              <w:ind w:left="339"/>
              <w:rPr>
                <w:rFonts w:ascii="Arial" w:hAnsi="Arial" w:cs="Arial"/>
                <w:sz w:val="20"/>
                <w:szCs w:val="20"/>
              </w:rPr>
            </w:pPr>
            <w:r w:rsidRPr="00040AA9">
              <w:rPr>
                <w:rFonts w:ascii="Arial" w:hAnsi="Arial" w:cs="Arial"/>
                <w:sz w:val="20"/>
                <w:szCs w:val="20"/>
              </w:rPr>
              <w:t>contract section 2.03(b)(</w:t>
            </w:r>
            <w:proofErr w:type="spellStart"/>
            <w:r w:rsidRPr="00040AA9">
              <w:rPr>
                <w:rFonts w:ascii="Arial" w:hAnsi="Arial" w:cs="Arial"/>
                <w:sz w:val="20"/>
                <w:szCs w:val="20"/>
              </w:rPr>
              <w:t>i</w:t>
            </w:r>
            <w:proofErr w:type="spellEnd"/>
            <w:r w:rsidRPr="00040AA9">
              <w:rPr>
                <w:rFonts w:ascii="Arial" w:hAnsi="Arial" w:cs="Arial"/>
                <w:sz w:val="20"/>
                <w:szCs w:val="20"/>
              </w:rPr>
              <w:t>))</w:t>
            </w:r>
          </w:p>
        </w:tc>
        <w:tc>
          <w:tcPr>
            <w:tcW w:w="860" w:type="dxa"/>
            <w:vMerge w:val="restart"/>
            <w:shd w:val="clear" w:color="auto" w:fill="auto"/>
          </w:tcPr>
          <w:p w14:paraId="1FCBF7D4"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Strategy / work plan</w:t>
            </w:r>
          </w:p>
        </w:tc>
        <w:tc>
          <w:tcPr>
            <w:tcW w:w="774" w:type="dxa"/>
            <w:vMerge w:val="restart"/>
            <w:shd w:val="clear" w:color="auto" w:fill="auto"/>
          </w:tcPr>
          <w:p w14:paraId="6EEF32AA" w14:textId="77777777" w:rsidR="007B55FA" w:rsidRPr="00040AA9" w:rsidRDefault="007B55FA" w:rsidP="00040AA9">
            <w:pPr>
              <w:keepNext/>
              <w:keepLines/>
              <w:suppressAutoHyphens/>
              <w:jc w:val="center"/>
              <w:rPr>
                <w:rFonts w:ascii="Arial" w:hAnsi="Arial" w:cs="Arial"/>
                <w:sz w:val="20"/>
                <w:szCs w:val="20"/>
              </w:rPr>
            </w:pPr>
          </w:p>
          <w:p w14:paraId="69779BDE" w14:textId="77777777" w:rsidR="007B55FA" w:rsidRPr="00040AA9" w:rsidRDefault="007B55FA" w:rsidP="00040AA9">
            <w:pPr>
              <w:keepNext/>
              <w:keepLines/>
              <w:suppressAutoHyphens/>
              <w:jc w:val="center"/>
              <w:rPr>
                <w:rFonts w:ascii="Arial" w:hAnsi="Arial" w:cs="Arial"/>
                <w:sz w:val="20"/>
                <w:szCs w:val="20"/>
              </w:rPr>
            </w:pPr>
          </w:p>
          <w:p w14:paraId="2CA37415" w14:textId="77777777" w:rsidR="007B55FA" w:rsidRPr="00040AA9" w:rsidRDefault="007B55FA" w:rsidP="00040AA9">
            <w:pPr>
              <w:keepNext/>
              <w:keepLines/>
              <w:suppressAutoHyphens/>
              <w:jc w:val="center"/>
              <w:rPr>
                <w:rFonts w:ascii="Arial" w:hAnsi="Arial" w:cs="Arial"/>
                <w:sz w:val="20"/>
                <w:szCs w:val="20"/>
              </w:rPr>
            </w:pPr>
          </w:p>
          <w:p w14:paraId="15A91AB4"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3723366" w14:textId="77777777" w:rsidR="007B55FA" w:rsidRPr="00040AA9" w:rsidRDefault="007B55FA" w:rsidP="00040AA9">
            <w:pPr>
              <w:keepNext/>
              <w:keepLines/>
              <w:suppressAutoHyphens/>
              <w:jc w:val="center"/>
              <w:rPr>
                <w:rFonts w:ascii="Arial" w:hAnsi="Arial" w:cs="Arial"/>
                <w:sz w:val="20"/>
                <w:szCs w:val="20"/>
              </w:rPr>
            </w:pPr>
          </w:p>
          <w:p w14:paraId="1F2A98E3" w14:textId="77777777" w:rsidR="007B55FA" w:rsidRPr="00040AA9" w:rsidRDefault="007B55FA" w:rsidP="00040AA9">
            <w:pPr>
              <w:keepNext/>
              <w:keepLines/>
              <w:suppressAutoHyphens/>
              <w:jc w:val="center"/>
              <w:rPr>
                <w:rFonts w:ascii="Arial" w:hAnsi="Arial" w:cs="Arial"/>
                <w:sz w:val="20"/>
                <w:szCs w:val="20"/>
              </w:rPr>
            </w:pPr>
          </w:p>
          <w:p w14:paraId="40380538" w14:textId="77777777" w:rsidR="007B55FA" w:rsidRPr="00040AA9" w:rsidRDefault="007B55FA" w:rsidP="00040AA9">
            <w:pPr>
              <w:keepNext/>
              <w:keepLines/>
              <w:suppressAutoHyphens/>
              <w:jc w:val="center"/>
              <w:rPr>
                <w:rFonts w:ascii="Arial" w:hAnsi="Arial" w:cs="Arial"/>
                <w:sz w:val="20"/>
                <w:szCs w:val="20"/>
              </w:rPr>
            </w:pPr>
          </w:p>
          <w:p w14:paraId="402D1D7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1DD1570C" w14:textId="77777777" w:rsidR="007B55FA" w:rsidRPr="00040AA9" w:rsidRDefault="007B55FA" w:rsidP="00040AA9">
            <w:pPr>
              <w:suppressAutoHyphens/>
              <w:rPr>
                <w:rFonts w:ascii="Arial" w:hAnsi="Arial" w:cs="Arial"/>
                <w:sz w:val="20"/>
                <w:szCs w:val="20"/>
              </w:rPr>
            </w:pPr>
          </w:p>
          <w:p w14:paraId="03052CE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7898163E" w14:textId="77777777" w:rsidR="007B55FA" w:rsidRPr="00040AA9" w:rsidRDefault="007B55FA" w:rsidP="00040AA9">
            <w:pPr>
              <w:suppressAutoHyphens/>
              <w:jc w:val="center"/>
              <w:rPr>
                <w:rFonts w:ascii="Arial" w:hAnsi="Arial" w:cs="Arial"/>
                <w:sz w:val="20"/>
                <w:szCs w:val="20"/>
              </w:rPr>
            </w:pPr>
          </w:p>
          <w:p w14:paraId="7D9A4C8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37789B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3BEB6994" w14:textId="77777777" w:rsidR="007B55FA" w:rsidRPr="00040AA9" w:rsidRDefault="007B55FA" w:rsidP="00040AA9">
            <w:pPr>
              <w:suppressAutoHyphens/>
              <w:rPr>
                <w:rFonts w:ascii="Arial" w:hAnsi="Arial" w:cs="Arial"/>
                <w:sz w:val="20"/>
                <w:szCs w:val="20"/>
              </w:rPr>
            </w:pPr>
          </w:p>
          <w:p w14:paraId="7268E0D6" w14:textId="7F63CEF3" w:rsidR="007B55FA" w:rsidRPr="00040AA9" w:rsidRDefault="00B243AB" w:rsidP="00040AA9">
            <w:pPr>
              <w:tabs>
                <w:tab w:val="left" w:pos="467"/>
              </w:tabs>
              <w:suppressAutoHyphens/>
              <w:rPr>
                <w:rFonts w:ascii="Arial" w:hAnsi="Arial" w:cs="Arial"/>
                <w:sz w:val="20"/>
                <w:szCs w:val="20"/>
              </w:rPr>
            </w:pPr>
            <w:r w:rsidRPr="00040AA9">
              <w:rPr>
                <w:rFonts w:ascii="Arial" w:hAnsi="Arial" w:cs="Arial"/>
                <w:sz w:val="20"/>
                <w:szCs w:val="20"/>
              </w:rPr>
              <w:tab/>
            </w:r>
          </w:p>
          <w:p w14:paraId="3C867039" w14:textId="77777777" w:rsidR="007B55FA" w:rsidRPr="00040AA9" w:rsidRDefault="007B55FA" w:rsidP="00040AA9">
            <w:pPr>
              <w:suppressAutoHyphens/>
              <w:rPr>
                <w:rFonts w:ascii="Arial" w:hAnsi="Arial" w:cs="Arial"/>
                <w:sz w:val="20"/>
                <w:szCs w:val="20"/>
              </w:rPr>
            </w:pPr>
          </w:p>
          <w:p w14:paraId="0C8C059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2BE2A6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TAJ and JCA reports about the progresses reached with the implementation of the modernization of their processes</w:t>
            </w:r>
          </w:p>
        </w:tc>
      </w:tr>
      <w:tr w:rsidR="000A11C0" w:rsidRPr="00CF5903" w14:paraId="58ABBD3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3F9B24D8" w14:textId="77777777" w:rsidR="000A11C0" w:rsidRPr="00040AA9" w:rsidRDefault="000A11C0" w:rsidP="00040AA9">
            <w:pPr>
              <w:keepNext/>
              <w:keepLines/>
              <w:suppressAutoHyphens/>
              <w:ind w:left="159"/>
              <w:rPr>
                <w:rFonts w:ascii="Arial" w:hAnsi="Arial" w:cs="Arial"/>
                <w:sz w:val="20"/>
                <w:szCs w:val="20"/>
              </w:rPr>
            </w:pPr>
          </w:p>
        </w:tc>
        <w:tc>
          <w:tcPr>
            <w:tcW w:w="860" w:type="dxa"/>
            <w:vMerge/>
            <w:shd w:val="clear" w:color="auto" w:fill="auto"/>
          </w:tcPr>
          <w:p w14:paraId="3DE14052" w14:textId="77777777" w:rsidR="000A11C0" w:rsidRPr="00040AA9" w:rsidRDefault="000A11C0" w:rsidP="00040AA9">
            <w:pPr>
              <w:keepNext/>
              <w:keepLines/>
              <w:suppressAutoHyphens/>
              <w:jc w:val="center"/>
              <w:rPr>
                <w:rFonts w:ascii="Arial" w:hAnsi="Arial" w:cs="Arial"/>
                <w:sz w:val="20"/>
                <w:szCs w:val="20"/>
              </w:rPr>
            </w:pPr>
          </w:p>
        </w:tc>
        <w:tc>
          <w:tcPr>
            <w:tcW w:w="774" w:type="dxa"/>
            <w:vMerge/>
            <w:shd w:val="clear" w:color="auto" w:fill="auto"/>
          </w:tcPr>
          <w:p w14:paraId="056D5911" w14:textId="77777777" w:rsidR="000A11C0" w:rsidRPr="00040AA9" w:rsidRDefault="000A11C0" w:rsidP="00040AA9">
            <w:pPr>
              <w:keepNext/>
              <w:keepLines/>
              <w:suppressAutoHyphens/>
              <w:jc w:val="center"/>
              <w:rPr>
                <w:rFonts w:ascii="Arial" w:hAnsi="Arial" w:cs="Arial"/>
                <w:sz w:val="20"/>
                <w:szCs w:val="20"/>
              </w:rPr>
            </w:pPr>
          </w:p>
        </w:tc>
        <w:tc>
          <w:tcPr>
            <w:tcW w:w="939" w:type="dxa"/>
            <w:vMerge/>
            <w:shd w:val="clear" w:color="auto" w:fill="auto"/>
          </w:tcPr>
          <w:p w14:paraId="4EFE9B65" w14:textId="77777777" w:rsidR="000A11C0" w:rsidRPr="00040AA9" w:rsidRDefault="000A11C0" w:rsidP="00040AA9">
            <w:pPr>
              <w:keepNext/>
              <w:keepLines/>
              <w:suppressAutoHyphens/>
              <w:jc w:val="center"/>
              <w:rPr>
                <w:rFonts w:ascii="Arial" w:hAnsi="Arial" w:cs="Arial"/>
                <w:sz w:val="20"/>
                <w:szCs w:val="20"/>
              </w:rPr>
            </w:pPr>
          </w:p>
        </w:tc>
        <w:tc>
          <w:tcPr>
            <w:tcW w:w="594" w:type="dxa"/>
            <w:shd w:val="clear" w:color="auto" w:fill="auto"/>
          </w:tcPr>
          <w:p w14:paraId="189C50B4" w14:textId="278F3276" w:rsidR="000A11C0" w:rsidRPr="00040AA9" w:rsidRDefault="00C226B2"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3FD0C928" w14:textId="77777777" w:rsidR="000A11C0" w:rsidRPr="00040AA9" w:rsidRDefault="000A11C0" w:rsidP="00040AA9">
            <w:pPr>
              <w:suppressAutoHyphens/>
              <w:jc w:val="center"/>
              <w:rPr>
                <w:rFonts w:ascii="Arial" w:hAnsi="Arial" w:cs="Arial"/>
                <w:sz w:val="20"/>
                <w:szCs w:val="20"/>
              </w:rPr>
            </w:pPr>
          </w:p>
        </w:tc>
        <w:tc>
          <w:tcPr>
            <w:tcW w:w="1106" w:type="dxa"/>
            <w:vMerge/>
            <w:shd w:val="clear" w:color="auto" w:fill="auto"/>
          </w:tcPr>
          <w:p w14:paraId="47C1CD1C" w14:textId="77777777" w:rsidR="000A11C0" w:rsidRPr="00040AA9" w:rsidRDefault="000A11C0" w:rsidP="00040AA9">
            <w:pPr>
              <w:suppressAutoHyphens/>
              <w:rPr>
                <w:rFonts w:ascii="Arial" w:hAnsi="Arial" w:cs="Arial"/>
                <w:sz w:val="20"/>
                <w:szCs w:val="20"/>
              </w:rPr>
            </w:pPr>
          </w:p>
        </w:tc>
        <w:tc>
          <w:tcPr>
            <w:tcW w:w="5027" w:type="dxa"/>
            <w:shd w:val="clear" w:color="auto" w:fill="auto"/>
          </w:tcPr>
          <w:p w14:paraId="70E6933F" w14:textId="77777777" w:rsidR="000A11C0" w:rsidRPr="00040AA9" w:rsidRDefault="000A11C0" w:rsidP="00040AA9">
            <w:pPr>
              <w:suppressAutoHyphens/>
              <w:rPr>
                <w:rFonts w:ascii="Arial" w:hAnsi="Arial" w:cs="Arial"/>
                <w:sz w:val="20"/>
                <w:szCs w:val="20"/>
              </w:rPr>
            </w:pPr>
          </w:p>
        </w:tc>
      </w:tr>
      <w:tr w:rsidR="007B55FA" w:rsidRPr="00CF5903" w14:paraId="7C04A21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jc w:val="center"/>
        </w:trPr>
        <w:tc>
          <w:tcPr>
            <w:tcW w:w="2556" w:type="dxa"/>
            <w:vMerge/>
            <w:shd w:val="clear" w:color="auto" w:fill="auto"/>
            <w:hideMark/>
          </w:tcPr>
          <w:p w14:paraId="3BABEF3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E04FB3A"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3026CFA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5BF88BCF"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843203B" w14:textId="77777777" w:rsidR="00531EB3" w:rsidRPr="00040AA9" w:rsidRDefault="00531EB3" w:rsidP="00040AA9">
            <w:pPr>
              <w:suppressAutoHyphens/>
              <w:rPr>
                <w:rFonts w:ascii="Arial" w:hAnsi="Arial" w:cs="Arial"/>
                <w:sz w:val="20"/>
                <w:szCs w:val="20"/>
              </w:rPr>
            </w:pPr>
          </w:p>
          <w:p w14:paraId="42387B4F" w14:textId="77777777" w:rsidR="00531EB3" w:rsidRPr="00040AA9" w:rsidRDefault="00531EB3" w:rsidP="00040AA9">
            <w:pPr>
              <w:suppressAutoHyphens/>
              <w:rPr>
                <w:rFonts w:ascii="Arial" w:hAnsi="Arial" w:cs="Arial"/>
                <w:sz w:val="20"/>
                <w:szCs w:val="20"/>
              </w:rPr>
            </w:pPr>
          </w:p>
          <w:p w14:paraId="69187E1B" w14:textId="15AB710E" w:rsidR="007B55FA" w:rsidRPr="00040AA9" w:rsidRDefault="00C226B2"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4EFFF89F" w14:textId="77777777" w:rsidR="007B55FA" w:rsidRPr="00040AA9" w:rsidRDefault="007B55FA" w:rsidP="00040AA9">
            <w:pPr>
              <w:suppressAutoHyphens/>
              <w:rPr>
                <w:rFonts w:ascii="Arial" w:hAnsi="Arial" w:cs="Arial"/>
                <w:sz w:val="20"/>
                <w:szCs w:val="20"/>
              </w:rPr>
            </w:pPr>
          </w:p>
          <w:p w14:paraId="4CF1D14A" w14:textId="77777777" w:rsidR="006E2083" w:rsidRPr="00040AA9" w:rsidRDefault="006E2083" w:rsidP="00040AA9">
            <w:pPr>
              <w:suppressAutoHyphens/>
              <w:jc w:val="center"/>
              <w:rPr>
                <w:rFonts w:ascii="Arial" w:hAnsi="Arial" w:cs="Arial"/>
                <w:sz w:val="20"/>
                <w:szCs w:val="20"/>
              </w:rPr>
            </w:pPr>
            <w:r w:rsidRPr="00040AA9">
              <w:rPr>
                <w:rFonts w:ascii="Arial" w:hAnsi="Arial" w:cs="Arial"/>
                <w:sz w:val="20"/>
                <w:szCs w:val="20"/>
              </w:rPr>
              <w:t>1</w:t>
            </w:r>
          </w:p>
          <w:p w14:paraId="6BAABFF3" w14:textId="1DA29B31" w:rsidR="006E2083" w:rsidRPr="00040AA9" w:rsidRDefault="006E2083" w:rsidP="00040AA9">
            <w:pPr>
              <w:suppressAutoHyphens/>
              <w:jc w:val="center"/>
              <w:rPr>
                <w:rFonts w:ascii="Arial" w:hAnsi="Arial" w:cs="Arial"/>
                <w:sz w:val="20"/>
                <w:szCs w:val="20"/>
              </w:rPr>
            </w:pPr>
            <w:r w:rsidRPr="00040AA9">
              <w:rPr>
                <w:rFonts w:ascii="Arial" w:hAnsi="Arial" w:cs="Arial"/>
                <w:sz w:val="20"/>
                <w:szCs w:val="20"/>
              </w:rPr>
              <w:t>(2014)</w:t>
            </w:r>
          </w:p>
        </w:tc>
        <w:tc>
          <w:tcPr>
            <w:tcW w:w="1106" w:type="dxa"/>
            <w:vMerge/>
            <w:shd w:val="clear" w:color="auto" w:fill="auto"/>
            <w:hideMark/>
          </w:tcPr>
          <w:p w14:paraId="1092CDEF"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AF2F8A7" w14:textId="06E51E2E" w:rsidR="007B55FA" w:rsidRPr="00040AA9" w:rsidRDefault="00241FAE" w:rsidP="00040AA9">
            <w:pPr>
              <w:suppressAutoHyphens/>
              <w:rPr>
                <w:rFonts w:ascii="Arial" w:hAnsi="Arial" w:cs="Arial"/>
                <w:sz w:val="20"/>
                <w:szCs w:val="20"/>
              </w:rPr>
            </w:pPr>
            <w:r w:rsidRPr="00040AA9">
              <w:rPr>
                <w:rFonts w:ascii="Arial" w:hAnsi="Arial" w:cs="Arial"/>
                <w:sz w:val="20"/>
                <w:szCs w:val="20"/>
              </w:rPr>
              <w:t>-</w:t>
            </w:r>
            <w:r w:rsidR="00CC7E3B" w:rsidRPr="00040AA9">
              <w:rPr>
                <w:rFonts w:ascii="Arial" w:hAnsi="Arial" w:cs="Arial"/>
                <w:sz w:val="20"/>
                <w:szCs w:val="20"/>
              </w:rPr>
              <w:t>Official</w:t>
            </w:r>
            <w:r w:rsidRPr="00040AA9">
              <w:rPr>
                <w:rFonts w:ascii="Arial" w:hAnsi="Arial" w:cs="Arial"/>
                <w:sz w:val="20"/>
                <w:szCs w:val="20"/>
              </w:rPr>
              <w:t xml:space="preserve"> letter from </w:t>
            </w:r>
            <w:r w:rsidR="00CC7E3B" w:rsidRPr="00040AA9">
              <w:rPr>
                <w:rFonts w:ascii="Arial" w:hAnsi="Arial" w:cs="Arial"/>
                <w:sz w:val="20"/>
                <w:szCs w:val="20"/>
              </w:rPr>
              <w:t>Cabinet Secretary to Bank dated Jan. 6, 201</w:t>
            </w:r>
            <w:r w:rsidR="00B7307A" w:rsidRPr="00040AA9">
              <w:rPr>
                <w:rFonts w:ascii="Arial" w:hAnsi="Arial" w:cs="Arial"/>
                <w:sz w:val="20"/>
                <w:szCs w:val="20"/>
              </w:rPr>
              <w:t xml:space="preserve">4 providing evidence </w:t>
            </w:r>
            <w:r w:rsidR="006E2083" w:rsidRPr="00040AA9">
              <w:rPr>
                <w:rFonts w:ascii="Arial" w:hAnsi="Arial" w:cs="Arial"/>
                <w:sz w:val="20"/>
                <w:szCs w:val="20"/>
              </w:rPr>
              <w:t>of compliance with secti</w:t>
            </w:r>
            <w:r w:rsidR="00DE2626" w:rsidRPr="00040AA9">
              <w:rPr>
                <w:rFonts w:ascii="Arial" w:hAnsi="Arial" w:cs="Arial"/>
                <w:sz w:val="20"/>
                <w:szCs w:val="20"/>
              </w:rPr>
              <w:t>o</w:t>
            </w:r>
            <w:r w:rsidR="006E2083" w:rsidRPr="00040AA9">
              <w:rPr>
                <w:rFonts w:ascii="Arial" w:hAnsi="Arial" w:cs="Arial"/>
                <w:sz w:val="20"/>
                <w:szCs w:val="20"/>
              </w:rPr>
              <w:t>n 2.03(b)(</w:t>
            </w:r>
            <w:proofErr w:type="spellStart"/>
            <w:r w:rsidR="006E2083" w:rsidRPr="00040AA9">
              <w:rPr>
                <w:rFonts w:ascii="Arial" w:hAnsi="Arial" w:cs="Arial"/>
                <w:sz w:val="20"/>
                <w:szCs w:val="20"/>
              </w:rPr>
              <w:t>i</w:t>
            </w:r>
            <w:proofErr w:type="spellEnd"/>
            <w:r w:rsidR="006E2083" w:rsidRPr="00040AA9">
              <w:rPr>
                <w:rFonts w:ascii="Arial" w:hAnsi="Arial" w:cs="Arial"/>
                <w:sz w:val="20"/>
                <w:szCs w:val="20"/>
              </w:rPr>
              <w:t>) of the FISPEG I loan contract.</w:t>
            </w:r>
            <w:r w:rsidR="00DE2626" w:rsidRPr="00040AA9">
              <w:rPr>
                <w:rStyle w:val="FootnoteReference"/>
                <w:rFonts w:ascii="Arial" w:hAnsi="Arial" w:cs="Arial"/>
                <w:sz w:val="20"/>
                <w:szCs w:val="20"/>
              </w:rPr>
              <w:footnoteReference w:id="96"/>
            </w:r>
            <w:r w:rsidR="006E2083" w:rsidRPr="00040AA9">
              <w:rPr>
                <w:rFonts w:ascii="Arial" w:hAnsi="Arial" w:cs="Arial"/>
                <w:sz w:val="20"/>
                <w:szCs w:val="20"/>
              </w:rPr>
              <w:t xml:space="preserve"> </w:t>
            </w:r>
          </w:p>
        </w:tc>
      </w:tr>
      <w:tr w:rsidR="007B55FA" w:rsidRPr="00CF5903" w14:paraId="705676E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00EC8CD6" w14:textId="73F6E271"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Output II.7. TAJ and JCA IT systems</w:t>
            </w:r>
          </w:p>
        </w:tc>
      </w:tr>
      <w:tr w:rsidR="007B55FA" w:rsidRPr="00CF5903" w14:paraId="4E9E17E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jc w:val="center"/>
        </w:trPr>
        <w:tc>
          <w:tcPr>
            <w:tcW w:w="2556" w:type="dxa"/>
            <w:vMerge w:val="restart"/>
            <w:shd w:val="clear" w:color="auto" w:fill="auto"/>
            <w:hideMark/>
          </w:tcPr>
          <w:p w14:paraId="401C1CA0"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II.7.1</w:t>
            </w:r>
          </w:p>
          <w:p w14:paraId="1182F7E0"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TAJ and JCA IT systems implemented (FSPG I – product 2.7,</w:t>
            </w:r>
          </w:p>
          <w:p w14:paraId="686C065E"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2.03(b(ii))</w:t>
            </w:r>
          </w:p>
        </w:tc>
        <w:tc>
          <w:tcPr>
            <w:tcW w:w="860" w:type="dxa"/>
            <w:vMerge w:val="restart"/>
            <w:shd w:val="clear" w:color="auto" w:fill="auto"/>
          </w:tcPr>
          <w:p w14:paraId="133D349E" w14:textId="77777777" w:rsidR="007B55FA" w:rsidRPr="00040AA9" w:rsidRDefault="007B55FA" w:rsidP="00040AA9">
            <w:pPr>
              <w:suppressAutoHyphens/>
              <w:jc w:val="center"/>
              <w:rPr>
                <w:rFonts w:ascii="Arial" w:hAnsi="Arial" w:cs="Arial"/>
                <w:sz w:val="20"/>
                <w:szCs w:val="20"/>
              </w:rPr>
            </w:pPr>
          </w:p>
          <w:p w14:paraId="2E185D8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Systems</w:t>
            </w:r>
          </w:p>
        </w:tc>
        <w:tc>
          <w:tcPr>
            <w:tcW w:w="774" w:type="dxa"/>
            <w:vMerge w:val="restart"/>
            <w:shd w:val="clear" w:color="auto" w:fill="auto"/>
          </w:tcPr>
          <w:p w14:paraId="77C8CC7F" w14:textId="77777777" w:rsidR="007B55FA" w:rsidRPr="00040AA9" w:rsidRDefault="007B55FA" w:rsidP="00040AA9">
            <w:pPr>
              <w:suppressAutoHyphens/>
              <w:jc w:val="center"/>
              <w:rPr>
                <w:rFonts w:ascii="Arial" w:hAnsi="Arial" w:cs="Arial"/>
                <w:sz w:val="20"/>
                <w:szCs w:val="20"/>
              </w:rPr>
            </w:pPr>
          </w:p>
          <w:p w14:paraId="6D5A16C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3428A6D6" w14:textId="77777777" w:rsidR="007B55FA" w:rsidRPr="00040AA9" w:rsidRDefault="007B55FA" w:rsidP="00040AA9">
            <w:pPr>
              <w:suppressAutoHyphens/>
              <w:jc w:val="center"/>
              <w:rPr>
                <w:rFonts w:ascii="Arial" w:hAnsi="Arial" w:cs="Arial"/>
                <w:sz w:val="20"/>
                <w:szCs w:val="20"/>
              </w:rPr>
            </w:pPr>
          </w:p>
          <w:p w14:paraId="169531C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vAlign w:val="center"/>
            <w:hideMark/>
          </w:tcPr>
          <w:p w14:paraId="74A3E83F"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vAlign w:val="center"/>
          </w:tcPr>
          <w:p w14:paraId="4F11BF3C"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w:t>
            </w:r>
          </w:p>
          <w:p w14:paraId="76E22E7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vAlign w:val="center"/>
          </w:tcPr>
          <w:p w14:paraId="572BDC4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p w14:paraId="48AFA18F" w14:textId="77777777" w:rsidR="007B55FA" w:rsidRPr="00040AA9" w:rsidRDefault="007B55FA" w:rsidP="00040AA9">
            <w:pPr>
              <w:keepNext/>
              <w:keepLines/>
              <w:suppressAutoHyphens/>
              <w:rPr>
                <w:rFonts w:ascii="Arial" w:hAnsi="Arial" w:cs="Arial"/>
                <w:sz w:val="20"/>
                <w:szCs w:val="20"/>
              </w:rPr>
            </w:pPr>
          </w:p>
        </w:tc>
        <w:tc>
          <w:tcPr>
            <w:tcW w:w="5027" w:type="dxa"/>
            <w:shd w:val="clear" w:color="auto" w:fill="auto"/>
          </w:tcPr>
          <w:p w14:paraId="14D5C325"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TAJ and JCA reports about the progresses reached with the implementation of their Tax systems</w:t>
            </w:r>
          </w:p>
        </w:tc>
      </w:tr>
      <w:tr w:rsidR="007B55FA" w:rsidRPr="00CF5903" w14:paraId="6456449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2206FF16"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174BB80"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7649BC11"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5C0DC94" w14:textId="77777777" w:rsidR="007B55FA" w:rsidRPr="00040AA9" w:rsidRDefault="007B55FA" w:rsidP="00040AA9">
            <w:pPr>
              <w:suppressAutoHyphens/>
              <w:rPr>
                <w:rFonts w:ascii="Arial" w:hAnsi="Arial" w:cs="Arial"/>
                <w:sz w:val="20"/>
                <w:szCs w:val="20"/>
              </w:rPr>
            </w:pPr>
          </w:p>
        </w:tc>
        <w:tc>
          <w:tcPr>
            <w:tcW w:w="594" w:type="dxa"/>
            <w:shd w:val="clear" w:color="auto" w:fill="auto"/>
            <w:vAlign w:val="center"/>
            <w:hideMark/>
          </w:tcPr>
          <w:p w14:paraId="52DAD748"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vAlign w:val="center"/>
          </w:tcPr>
          <w:p w14:paraId="3081C3DE" w14:textId="77777777" w:rsidR="007B55FA" w:rsidRPr="00040AA9" w:rsidRDefault="007B55FA" w:rsidP="00040AA9">
            <w:pPr>
              <w:keepNext/>
              <w:keepLines/>
              <w:suppressAutoHyphens/>
              <w:jc w:val="center"/>
              <w:rPr>
                <w:rFonts w:ascii="Arial" w:hAnsi="Arial" w:cs="Arial"/>
                <w:sz w:val="20"/>
                <w:szCs w:val="20"/>
              </w:rPr>
            </w:pPr>
          </w:p>
        </w:tc>
        <w:tc>
          <w:tcPr>
            <w:tcW w:w="1106" w:type="dxa"/>
            <w:vMerge/>
            <w:shd w:val="clear" w:color="auto" w:fill="auto"/>
            <w:vAlign w:val="center"/>
            <w:hideMark/>
          </w:tcPr>
          <w:p w14:paraId="7D43E5E6" w14:textId="77777777" w:rsidR="007B55FA" w:rsidRPr="00040AA9" w:rsidRDefault="007B55FA" w:rsidP="00040AA9">
            <w:pPr>
              <w:keepNext/>
              <w:keepLines/>
              <w:suppressAutoHyphens/>
              <w:rPr>
                <w:rFonts w:ascii="Arial" w:hAnsi="Arial" w:cs="Arial"/>
                <w:sz w:val="20"/>
                <w:szCs w:val="20"/>
              </w:rPr>
            </w:pPr>
          </w:p>
        </w:tc>
        <w:tc>
          <w:tcPr>
            <w:tcW w:w="5027" w:type="dxa"/>
            <w:shd w:val="clear" w:color="auto" w:fill="auto"/>
          </w:tcPr>
          <w:p w14:paraId="30D7A8FC" w14:textId="77777777" w:rsidR="007B55FA" w:rsidRPr="00040AA9" w:rsidRDefault="007B55FA" w:rsidP="00040AA9">
            <w:pPr>
              <w:keepNext/>
              <w:keepLines/>
              <w:suppressAutoHyphens/>
              <w:rPr>
                <w:rFonts w:ascii="Arial" w:hAnsi="Arial" w:cs="Arial"/>
                <w:sz w:val="20"/>
                <w:szCs w:val="20"/>
              </w:rPr>
            </w:pPr>
          </w:p>
        </w:tc>
      </w:tr>
      <w:tr w:rsidR="007B55FA" w:rsidRPr="00CF5903" w14:paraId="023F044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jc w:val="center"/>
        </w:trPr>
        <w:tc>
          <w:tcPr>
            <w:tcW w:w="2556" w:type="dxa"/>
            <w:vMerge/>
            <w:shd w:val="clear" w:color="auto" w:fill="auto"/>
            <w:hideMark/>
          </w:tcPr>
          <w:p w14:paraId="5C92DBC7"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9064999"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1422010"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0D4E977" w14:textId="77777777" w:rsidR="007B55FA" w:rsidRPr="00040AA9" w:rsidRDefault="007B55FA" w:rsidP="00040AA9">
            <w:pPr>
              <w:suppressAutoHyphens/>
              <w:rPr>
                <w:rFonts w:ascii="Arial" w:hAnsi="Arial" w:cs="Arial"/>
                <w:sz w:val="20"/>
                <w:szCs w:val="20"/>
              </w:rPr>
            </w:pPr>
          </w:p>
        </w:tc>
        <w:tc>
          <w:tcPr>
            <w:tcW w:w="594" w:type="dxa"/>
            <w:shd w:val="clear" w:color="auto" w:fill="auto"/>
            <w:vAlign w:val="center"/>
            <w:hideMark/>
          </w:tcPr>
          <w:p w14:paraId="330D6A66"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vAlign w:val="center"/>
          </w:tcPr>
          <w:p w14:paraId="20D0338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w:t>
            </w:r>
          </w:p>
          <w:p w14:paraId="6E56BB2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(Jan. 2014)</w:t>
            </w:r>
          </w:p>
        </w:tc>
        <w:tc>
          <w:tcPr>
            <w:tcW w:w="1106" w:type="dxa"/>
            <w:vMerge/>
            <w:shd w:val="clear" w:color="auto" w:fill="auto"/>
            <w:vAlign w:val="center"/>
            <w:hideMark/>
          </w:tcPr>
          <w:p w14:paraId="1056CEF1" w14:textId="77777777" w:rsidR="007B55FA" w:rsidRPr="00040AA9" w:rsidRDefault="007B55FA" w:rsidP="00040AA9">
            <w:pPr>
              <w:keepNext/>
              <w:keepLines/>
              <w:suppressAutoHyphens/>
              <w:rPr>
                <w:rFonts w:ascii="Arial" w:hAnsi="Arial" w:cs="Arial"/>
                <w:sz w:val="20"/>
                <w:szCs w:val="20"/>
              </w:rPr>
            </w:pPr>
          </w:p>
        </w:tc>
        <w:tc>
          <w:tcPr>
            <w:tcW w:w="5027" w:type="dxa"/>
            <w:shd w:val="clear" w:color="auto" w:fill="auto"/>
          </w:tcPr>
          <w:p w14:paraId="6D4DAC1F" w14:textId="430EFCEA"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Official letter from Cabinet Secretary to Bank dated Jan. 6, 2014 providing evidence of compliance with section 2.03(b)(ii)(A)</w:t>
            </w:r>
            <w:r w:rsidR="00DD4BF2" w:rsidRPr="00040AA9">
              <w:rPr>
                <w:rFonts w:ascii="Arial" w:hAnsi="Arial" w:cs="Arial"/>
                <w:sz w:val="20"/>
                <w:szCs w:val="20"/>
              </w:rPr>
              <w:t xml:space="preserve"> and (B)</w:t>
            </w:r>
            <w:r w:rsidRPr="00040AA9">
              <w:rPr>
                <w:rFonts w:ascii="Arial" w:hAnsi="Arial" w:cs="Arial"/>
                <w:sz w:val="20"/>
                <w:szCs w:val="20"/>
              </w:rPr>
              <w:t xml:space="preserve"> of the FISPEG I loan contract.</w:t>
            </w:r>
            <w:bookmarkStart w:id="20" w:name="_Ref493589731"/>
            <w:r w:rsidRPr="00040AA9">
              <w:rPr>
                <w:rStyle w:val="FootnoteReference"/>
                <w:rFonts w:ascii="Arial" w:hAnsi="Arial" w:cs="Arial"/>
                <w:sz w:val="20"/>
                <w:szCs w:val="20"/>
              </w:rPr>
              <w:footnoteReference w:id="97"/>
            </w:r>
            <w:bookmarkEnd w:id="20"/>
            <w:r w:rsidRPr="00040AA9">
              <w:rPr>
                <w:rFonts w:ascii="Arial" w:hAnsi="Arial" w:cs="Arial"/>
                <w:sz w:val="20"/>
                <w:szCs w:val="20"/>
              </w:rPr>
              <w:t xml:space="preserve">  </w:t>
            </w:r>
          </w:p>
          <w:p w14:paraId="57D1006B" w14:textId="52DC379B" w:rsidR="007B55FA" w:rsidRPr="00040AA9" w:rsidRDefault="00991E00" w:rsidP="00040AA9">
            <w:pPr>
              <w:keepNext/>
              <w:keepLines/>
              <w:suppressAutoHyphens/>
              <w:rPr>
                <w:rFonts w:ascii="Arial" w:hAnsi="Arial" w:cs="Arial"/>
                <w:sz w:val="20"/>
                <w:szCs w:val="20"/>
              </w:rPr>
            </w:pPr>
            <w:r w:rsidRPr="00040AA9">
              <w:rPr>
                <w:rFonts w:ascii="Arial" w:hAnsi="Arial" w:cs="Arial"/>
                <w:sz w:val="20"/>
                <w:szCs w:val="20"/>
              </w:rPr>
              <w:t xml:space="preserve"> </w:t>
            </w:r>
          </w:p>
        </w:tc>
      </w:tr>
      <w:tr w:rsidR="007B55FA" w:rsidRPr="00CF5903" w14:paraId="1135370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jc w:val="center"/>
        </w:trPr>
        <w:tc>
          <w:tcPr>
            <w:tcW w:w="2556" w:type="dxa"/>
            <w:vMerge w:val="restart"/>
            <w:shd w:val="clear" w:color="auto" w:fill="auto"/>
            <w:hideMark/>
          </w:tcPr>
          <w:p w14:paraId="46938549"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II.7.2</w:t>
            </w:r>
          </w:p>
          <w:p w14:paraId="246D2088"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JCA Accounting Package system (ACCPAC) implemented</w:t>
            </w:r>
          </w:p>
          <w:p w14:paraId="0985D82D"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 – product 2.8)</w:t>
            </w:r>
          </w:p>
          <w:p w14:paraId="20E48B81" w14:textId="77777777" w:rsidR="005E6D3A" w:rsidRPr="00040AA9" w:rsidRDefault="005E6D3A" w:rsidP="00040AA9">
            <w:pPr>
              <w:suppressAutoHyphens/>
              <w:ind w:left="339"/>
              <w:rPr>
                <w:rFonts w:ascii="Arial" w:hAnsi="Arial" w:cs="Arial"/>
                <w:sz w:val="20"/>
                <w:szCs w:val="20"/>
              </w:rPr>
            </w:pPr>
          </w:p>
          <w:p w14:paraId="21702801" w14:textId="7FA2E8B5" w:rsidR="007B55FA" w:rsidRPr="00040AA9" w:rsidRDefault="009971A1" w:rsidP="00040AA9">
            <w:pPr>
              <w:suppressAutoHyphens/>
              <w:ind w:left="339"/>
              <w:rPr>
                <w:rFonts w:ascii="Arial" w:hAnsi="Arial" w:cs="Arial"/>
                <w:sz w:val="20"/>
                <w:szCs w:val="20"/>
              </w:rPr>
            </w:pPr>
            <w:r w:rsidRPr="00040AA9">
              <w:rPr>
                <w:rFonts w:ascii="Arial" w:hAnsi="Arial" w:cs="Arial"/>
                <w:sz w:val="20"/>
                <w:szCs w:val="20"/>
              </w:rPr>
              <w:t>(N</w:t>
            </w:r>
            <w:r w:rsidR="007B55FA" w:rsidRPr="00040AA9">
              <w:rPr>
                <w:rFonts w:ascii="Arial" w:hAnsi="Arial" w:cs="Arial"/>
                <w:sz w:val="20"/>
                <w:szCs w:val="20"/>
              </w:rPr>
              <w:t xml:space="preserve">ot </w:t>
            </w:r>
            <w:r w:rsidR="00A25A0A" w:rsidRPr="00CF5903">
              <w:rPr>
                <w:rFonts w:ascii="Arial" w:hAnsi="Arial" w:cs="Arial"/>
                <w:sz w:val="20"/>
                <w:szCs w:val="20"/>
              </w:rPr>
              <w:t>a</w:t>
            </w:r>
            <w:r w:rsidR="007B55FA" w:rsidRPr="00040AA9">
              <w:rPr>
                <w:rFonts w:ascii="Arial" w:hAnsi="Arial" w:cs="Arial"/>
                <w:sz w:val="20"/>
                <w:szCs w:val="20"/>
              </w:rPr>
              <w:t xml:space="preserve"> contractual requirement for FISPEG I</w:t>
            </w:r>
            <w:r w:rsidR="005E6D3A" w:rsidRPr="00040AA9">
              <w:rPr>
                <w:rFonts w:ascii="Arial" w:hAnsi="Arial" w:cs="Arial"/>
                <w:sz w:val="20"/>
                <w:szCs w:val="20"/>
              </w:rPr>
              <w:t xml:space="preserve"> but i</w:t>
            </w:r>
            <w:r w:rsidRPr="00040AA9">
              <w:rPr>
                <w:rFonts w:ascii="Arial" w:hAnsi="Arial" w:cs="Arial"/>
                <w:sz w:val="20"/>
                <w:szCs w:val="20"/>
              </w:rPr>
              <w:t>t i</w:t>
            </w:r>
            <w:r w:rsidR="005E6D3A" w:rsidRPr="00040AA9">
              <w:rPr>
                <w:rFonts w:ascii="Arial" w:hAnsi="Arial" w:cs="Arial"/>
                <w:sz w:val="20"/>
                <w:szCs w:val="20"/>
              </w:rPr>
              <w:t>s stipulated i</w:t>
            </w:r>
            <w:r w:rsidRPr="00040AA9">
              <w:rPr>
                <w:rFonts w:ascii="Arial" w:hAnsi="Arial" w:cs="Arial"/>
                <w:sz w:val="20"/>
                <w:szCs w:val="20"/>
              </w:rPr>
              <w:t xml:space="preserve">n </w:t>
            </w:r>
            <w:r w:rsidR="007B55FA" w:rsidRPr="00040AA9">
              <w:rPr>
                <w:rFonts w:ascii="Arial" w:hAnsi="Arial" w:cs="Arial"/>
                <w:sz w:val="20"/>
                <w:szCs w:val="20"/>
              </w:rPr>
              <w:t>FISPEG II loan contract: Section 2.03.I.(b)(iii)</w:t>
            </w:r>
          </w:p>
          <w:p w14:paraId="66BB7B2A"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and</w:t>
            </w:r>
          </w:p>
          <w:p w14:paraId="4170DB11" w14:textId="1A00017E" w:rsidR="007B55FA" w:rsidRPr="00040AA9" w:rsidRDefault="007B55FA" w:rsidP="00040AA9">
            <w:pPr>
              <w:pStyle w:val="ListParagraph"/>
              <w:suppressAutoHyphens/>
              <w:ind w:left="360"/>
              <w:rPr>
                <w:rFonts w:cs="Arial"/>
                <w:sz w:val="20"/>
                <w:szCs w:val="20"/>
              </w:rPr>
            </w:pPr>
            <w:r w:rsidRPr="00040AA9">
              <w:rPr>
                <w:rFonts w:cs="Arial"/>
                <w:sz w:val="20"/>
                <w:szCs w:val="20"/>
              </w:rPr>
              <w:t>- FISPEG III loan contract section 2.03.I.(b)(iii)</w:t>
            </w:r>
            <w:r w:rsidR="009971A1" w:rsidRPr="00040AA9">
              <w:rPr>
                <w:rFonts w:cs="Arial"/>
                <w:sz w:val="20"/>
                <w:szCs w:val="20"/>
              </w:rPr>
              <w:t>)</w:t>
            </w:r>
          </w:p>
        </w:tc>
        <w:tc>
          <w:tcPr>
            <w:tcW w:w="860" w:type="dxa"/>
            <w:vMerge w:val="restart"/>
            <w:shd w:val="clear" w:color="auto" w:fill="auto"/>
          </w:tcPr>
          <w:p w14:paraId="2190E8BB" w14:textId="77777777" w:rsidR="007B55FA" w:rsidRPr="00040AA9" w:rsidRDefault="007B55FA" w:rsidP="00040AA9">
            <w:pPr>
              <w:suppressAutoHyphens/>
              <w:jc w:val="center"/>
              <w:rPr>
                <w:rFonts w:ascii="Arial" w:hAnsi="Arial" w:cs="Arial"/>
                <w:sz w:val="20"/>
                <w:szCs w:val="20"/>
              </w:rPr>
            </w:pPr>
          </w:p>
          <w:p w14:paraId="4F3D015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w:t>
            </w:r>
          </w:p>
        </w:tc>
        <w:tc>
          <w:tcPr>
            <w:tcW w:w="774" w:type="dxa"/>
            <w:vMerge w:val="restart"/>
            <w:shd w:val="clear" w:color="auto" w:fill="auto"/>
          </w:tcPr>
          <w:p w14:paraId="72690AF1" w14:textId="77777777" w:rsidR="007B55FA" w:rsidRPr="00040AA9" w:rsidRDefault="007B55FA" w:rsidP="00040AA9">
            <w:pPr>
              <w:suppressAutoHyphens/>
              <w:jc w:val="center"/>
              <w:rPr>
                <w:rFonts w:ascii="Arial" w:hAnsi="Arial" w:cs="Arial"/>
                <w:sz w:val="20"/>
                <w:szCs w:val="20"/>
              </w:rPr>
            </w:pPr>
          </w:p>
          <w:p w14:paraId="42D5C36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DB6FA73" w14:textId="77777777" w:rsidR="007B55FA" w:rsidRPr="00040AA9" w:rsidRDefault="007B55FA" w:rsidP="00040AA9">
            <w:pPr>
              <w:suppressAutoHyphens/>
              <w:jc w:val="center"/>
              <w:rPr>
                <w:rFonts w:ascii="Arial" w:hAnsi="Arial" w:cs="Arial"/>
                <w:sz w:val="20"/>
                <w:szCs w:val="20"/>
              </w:rPr>
            </w:pPr>
          </w:p>
          <w:p w14:paraId="0FB2DD0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vAlign w:val="center"/>
            <w:hideMark/>
          </w:tcPr>
          <w:p w14:paraId="5BD71C4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vAlign w:val="center"/>
          </w:tcPr>
          <w:p w14:paraId="6665BB5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7D1051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vAlign w:val="center"/>
          </w:tcPr>
          <w:p w14:paraId="58BD59A9" w14:textId="77777777" w:rsidR="007B55FA" w:rsidRPr="00040AA9" w:rsidRDefault="007B55FA" w:rsidP="00040AA9">
            <w:pPr>
              <w:suppressAutoHyphens/>
              <w:rPr>
                <w:rFonts w:ascii="Arial" w:hAnsi="Arial" w:cs="Arial"/>
                <w:sz w:val="20"/>
                <w:szCs w:val="20"/>
              </w:rPr>
            </w:pPr>
          </w:p>
          <w:p w14:paraId="73259078" w14:textId="77777777" w:rsidR="007B55FA" w:rsidRPr="00040AA9" w:rsidRDefault="007B55FA" w:rsidP="00040AA9">
            <w:pPr>
              <w:suppressAutoHyphens/>
              <w:rPr>
                <w:rFonts w:ascii="Arial" w:hAnsi="Arial" w:cs="Arial"/>
                <w:sz w:val="20"/>
                <w:szCs w:val="20"/>
              </w:rPr>
            </w:pPr>
          </w:p>
          <w:p w14:paraId="032430E7" w14:textId="77777777" w:rsidR="007B55FA" w:rsidRPr="00040AA9" w:rsidRDefault="007B55FA" w:rsidP="00040AA9">
            <w:pPr>
              <w:suppressAutoHyphens/>
              <w:rPr>
                <w:rFonts w:ascii="Arial" w:hAnsi="Arial" w:cs="Arial"/>
                <w:sz w:val="20"/>
                <w:szCs w:val="20"/>
              </w:rPr>
            </w:pPr>
          </w:p>
          <w:p w14:paraId="1E74B136" w14:textId="77777777" w:rsidR="007B55FA" w:rsidRPr="00040AA9" w:rsidRDefault="007B55FA" w:rsidP="00040AA9">
            <w:pPr>
              <w:suppressAutoHyphens/>
              <w:rPr>
                <w:rFonts w:ascii="Arial" w:hAnsi="Arial" w:cs="Arial"/>
                <w:sz w:val="20"/>
                <w:szCs w:val="20"/>
              </w:rPr>
            </w:pPr>
          </w:p>
          <w:p w14:paraId="7DBF2D4C" w14:textId="77777777" w:rsidR="007B55FA" w:rsidRPr="00040AA9" w:rsidRDefault="007B55FA" w:rsidP="00040AA9">
            <w:pPr>
              <w:suppressAutoHyphens/>
              <w:jc w:val="center"/>
              <w:rPr>
                <w:rFonts w:ascii="Arial" w:hAnsi="Arial" w:cs="Arial"/>
                <w:sz w:val="20"/>
                <w:szCs w:val="20"/>
              </w:rPr>
            </w:pPr>
          </w:p>
          <w:p w14:paraId="2A39B4CC" w14:textId="77777777" w:rsidR="007B55FA" w:rsidRPr="00040AA9" w:rsidRDefault="007B55FA" w:rsidP="00040AA9">
            <w:pPr>
              <w:suppressAutoHyphens/>
              <w:jc w:val="center"/>
              <w:rPr>
                <w:rFonts w:ascii="Arial" w:hAnsi="Arial" w:cs="Arial"/>
                <w:sz w:val="20"/>
                <w:szCs w:val="20"/>
              </w:rPr>
            </w:pPr>
          </w:p>
          <w:p w14:paraId="02D9B71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55119E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JCA report about the progresses reached with the implementation accounting system.</w:t>
            </w:r>
          </w:p>
        </w:tc>
      </w:tr>
      <w:tr w:rsidR="007B55FA" w:rsidRPr="00CF5903" w14:paraId="3A7FE73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418D02E0"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9B42477"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EE7C1F1"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C083D26"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31ECBB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7F7A47C7"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112099E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ABCE918" w14:textId="77777777" w:rsidR="007B55FA" w:rsidRPr="00040AA9" w:rsidRDefault="007B55FA" w:rsidP="00040AA9">
            <w:pPr>
              <w:suppressAutoHyphens/>
              <w:rPr>
                <w:rFonts w:ascii="Arial" w:hAnsi="Arial" w:cs="Arial"/>
                <w:sz w:val="20"/>
                <w:szCs w:val="20"/>
              </w:rPr>
            </w:pPr>
          </w:p>
        </w:tc>
      </w:tr>
      <w:tr w:rsidR="007B55FA" w:rsidRPr="00CF5903" w14:paraId="2994B72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3"/>
          <w:jc w:val="center"/>
        </w:trPr>
        <w:tc>
          <w:tcPr>
            <w:tcW w:w="2556" w:type="dxa"/>
            <w:vMerge/>
            <w:shd w:val="clear" w:color="auto" w:fill="auto"/>
            <w:hideMark/>
          </w:tcPr>
          <w:p w14:paraId="57D6EADF"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6AFD5370"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1376D525"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50DB9DD2" w14:textId="77777777" w:rsidR="007B55FA" w:rsidRPr="00040AA9" w:rsidRDefault="007B55FA" w:rsidP="00040AA9">
            <w:pPr>
              <w:suppressAutoHyphens/>
              <w:rPr>
                <w:rFonts w:ascii="Arial" w:hAnsi="Arial" w:cs="Arial"/>
                <w:sz w:val="20"/>
                <w:szCs w:val="20"/>
              </w:rPr>
            </w:pPr>
          </w:p>
        </w:tc>
        <w:tc>
          <w:tcPr>
            <w:tcW w:w="594" w:type="dxa"/>
            <w:vMerge w:val="restart"/>
            <w:shd w:val="clear" w:color="auto" w:fill="auto"/>
            <w:hideMark/>
          </w:tcPr>
          <w:p w14:paraId="14424FAB" w14:textId="77777777" w:rsidR="007B55FA" w:rsidRPr="00040AA9" w:rsidRDefault="007B55FA" w:rsidP="00040AA9">
            <w:pPr>
              <w:suppressAutoHyphens/>
              <w:rPr>
                <w:rFonts w:ascii="Arial" w:hAnsi="Arial" w:cs="Arial"/>
                <w:sz w:val="20"/>
                <w:szCs w:val="20"/>
              </w:rPr>
            </w:pPr>
          </w:p>
          <w:p w14:paraId="4EF70672" w14:textId="77777777" w:rsidR="007B55FA" w:rsidRPr="00040AA9" w:rsidRDefault="007B55FA" w:rsidP="00040AA9">
            <w:pPr>
              <w:suppressAutoHyphens/>
              <w:rPr>
                <w:rFonts w:ascii="Arial" w:hAnsi="Arial" w:cs="Arial"/>
                <w:sz w:val="20"/>
                <w:szCs w:val="20"/>
              </w:rPr>
            </w:pPr>
          </w:p>
          <w:p w14:paraId="75BF2D8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vMerge w:val="restart"/>
            <w:shd w:val="clear" w:color="auto" w:fill="auto"/>
          </w:tcPr>
          <w:p w14:paraId="4241DC39" w14:textId="77777777" w:rsidR="007B55FA" w:rsidRPr="00040AA9" w:rsidRDefault="007B55FA" w:rsidP="00040AA9">
            <w:pPr>
              <w:suppressAutoHyphens/>
              <w:jc w:val="center"/>
              <w:rPr>
                <w:rFonts w:ascii="Arial" w:hAnsi="Arial" w:cs="Arial"/>
                <w:sz w:val="20"/>
                <w:szCs w:val="20"/>
              </w:rPr>
            </w:pPr>
          </w:p>
          <w:p w14:paraId="73AA4441" w14:textId="77777777" w:rsidR="007B55FA" w:rsidRPr="00040AA9" w:rsidRDefault="007B55FA" w:rsidP="00040AA9">
            <w:pPr>
              <w:suppressAutoHyphens/>
              <w:jc w:val="center"/>
              <w:rPr>
                <w:rFonts w:ascii="Arial" w:hAnsi="Arial" w:cs="Arial"/>
                <w:sz w:val="20"/>
                <w:szCs w:val="20"/>
              </w:rPr>
            </w:pPr>
          </w:p>
          <w:p w14:paraId="660971BD" w14:textId="77777777" w:rsidR="007B55FA" w:rsidRPr="00040AA9" w:rsidRDefault="007B55FA" w:rsidP="00040AA9">
            <w:pPr>
              <w:suppressAutoHyphens/>
              <w:jc w:val="center"/>
              <w:rPr>
                <w:rFonts w:ascii="Arial" w:hAnsi="Arial" w:cs="Arial"/>
                <w:sz w:val="20"/>
                <w:szCs w:val="20"/>
              </w:rPr>
            </w:pPr>
          </w:p>
          <w:p w14:paraId="135D50E1" w14:textId="77777777" w:rsidR="007B55FA" w:rsidRPr="00040AA9" w:rsidRDefault="007B55FA" w:rsidP="00040AA9">
            <w:pPr>
              <w:suppressAutoHyphens/>
              <w:jc w:val="center"/>
              <w:rPr>
                <w:rFonts w:ascii="Arial" w:hAnsi="Arial" w:cs="Arial"/>
                <w:sz w:val="20"/>
                <w:szCs w:val="20"/>
              </w:rPr>
            </w:pPr>
          </w:p>
          <w:p w14:paraId="7DF48CD2" w14:textId="77777777" w:rsidR="007B55FA" w:rsidRPr="00040AA9" w:rsidRDefault="007B55FA" w:rsidP="00040AA9">
            <w:pPr>
              <w:suppressAutoHyphens/>
              <w:jc w:val="center"/>
              <w:rPr>
                <w:rFonts w:ascii="Arial" w:hAnsi="Arial" w:cs="Arial"/>
                <w:sz w:val="20"/>
                <w:szCs w:val="20"/>
              </w:rPr>
            </w:pPr>
          </w:p>
          <w:p w14:paraId="29CB404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56D1A6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(Apr 2015)</w:t>
            </w:r>
          </w:p>
        </w:tc>
        <w:tc>
          <w:tcPr>
            <w:tcW w:w="1106" w:type="dxa"/>
            <w:vMerge/>
            <w:shd w:val="clear" w:color="auto" w:fill="auto"/>
            <w:hideMark/>
          </w:tcPr>
          <w:p w14:paraId="759C1B31" w14:textId="77777777" w:rsidR="007B55FA" w:rsidRPr="00040AA9" w:rsidRDefault="007B55FA" w:rsidP="00040AA9">
            <w:pPr>
              <w:suppressAutoHyphens/>
              <w:rPr>
                <w:rFonts w:ascii="Arial" w:hAnsi="Arial" w:cs="Arial"/>
                <w:sz w:val="20"/>
                <w:szCs w:val="20"/>
              </w:rPr>
            </w:pPr>
          </w:p>
        </w:tc>
        <w:tc>
          <w:tcPr>
            <w:tcW w:w="5027" w:type="dxa"/>
            <w:vMerge w:val="restart"/>
            <w:shd w:val="clear" w:color="auto" w:fill="auto"/>
          </w:tcPr>
          <w:p w14:paraId="00CC2536" w14:textId="77777777" w:rsidR="007B55FA" w:rsidRPr="00040AA9" w:rsidRDefault="007B55FA" w:rsidP="00040AA9">
            <w:pPr>
              <w:suppressAutoHyphens/>
              <w:rPr>
                <w:rFonts w:ascii="Arial" w:hAnsi="Arial" w:cs="Arial"/>
                <w:sz w:val="20"/>
                <w:szCs w:val="20"/>
              </w:rPr>
            </w:pPr>
          </w:p>
          <w:p w14:paraId="6B34C89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Official letter from Cabinet Secretary to Bank dated Jan. 6, 2014 providing evidence of compliance with section 2.03(b)(ii)(B) of the FISPEG I loan contract regarding the JCA IT system.</w:t>
            </w:r>
            <w:r w:rsidRPr="00040AA9">
              <w:rPr>
                <w:rStyle w:val="FootnoteReference"/>
                <w:rFonts w:ascii="Arial" w:hAnsi="Arial" w:cs="Arial"/>
                <w:sz w:val="20"/>
                <w:szCs w:val="20"/>
              </w:rPr>
              <w:footnoteReference w:id="98"/>
            </w:r>
          </w:p>
          <w:p w14:paraId="6300C8BC" w14:textId="77777777" w:rsidR="007B55FA" w:rsidRPr="00040AA9" w:rsidRDefault="007B55FA" w:rsidP="00040AA9">
            <w:pPr>
              <w:suppressAutoHyphens/>
              <w:rPr>
                <w:rFonts w:ascii="Arial" w:hAnsi="Arial" w:cs="Arial"/>
                <w:sz w:val="20"/>
                <w:szCs w:val="20"/>
              </w:rPr>
            </w:pPr>
          </w:p>
          <w:p w14:paraId="0F83D19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and …</w:t>
            </w:r>
          </w:p>
          <w:p w14:paraId="3578354A" w14:textId="77777777" w:rsidR="007B55FA" w:rsidRPr="00040AA9" w:rsidRDefault="007B55FA" w:rsidP="00040AA9">
            <w:pPr>
              <w:suppressAutoHyphens/>
              <w:rPr>
                <w:rFonts w:ascii="Arial" w:hAnsi="Arial" w:cs="Arial"/>
                <w:sz w:val="20"/>
                <w:szCs w:val="20"/>
              </w:rPr>
            </w:pPr>
          </w:p>
          <w:p w14:paraId="5FA13B1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Official letter from Commissioner JCA to Bank dated Apr. 22, 2015 providing evidence of compliance with section 2.03.I.(b)(iii) of the FISPEG II loan contract by way of certifying that ACCPAC system was fully implemented on April 1, 2015</w:t>
            </w:r>
            <w:r w:rsidRPr="00040AA9">
              <w:rPr>
                <w:rStyle w:val="FootnoteReference"/>
                <w:rFonts w:ascii="Arial" w:hAnsi="Arial" w:cs="Arial"/>
                <w:sz w:val="20"/>
                <w:szCs w:val="20"/>
              </w:rPr>
              <w:footnoteReference w:id="99"/>
            </w:r>
            <w:r w:rsidRPr="00040AA9">
              <w:rPr>
                <w:rFonts w:ascii="Arial" w:hAnsi="Arial" w:cs="Arial"/>
                <w:sz w:val="20"/>
                <w:szCs w:val="20"/>
              </w:rPr>
              <w:t xml:space="preserve"> </w:t>
            </w:r>
          </w:p>
          <w:p w14:paraId="32BC2637" w14:textId="4F0C4D2C" w:rsidR="007B55FA" w:rsidRPr="00040AA9" w:rsidRDefault="007B55FA" w:rsidP="00040AA9">
            <w:pPr>
              <w:suppressAutoHyphens/>
              <w:rPr>
                <w:rFonts w:ascii="Arial" w:hAnsi="Arial" w:cs="Arial"/>
                <w:sz w:val="20"/>
                <w:szCs w:val="20"/>
              </w:rPr>
            </w:pPr>
          </w:p>
        </w:tc>
      </w:tr>
      <w:tr w:rsidR="007B55FA" w:rsidRPr="00CF5903" w14:paraId="7C3BE6B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7"/>
          <w:jc w:val="center"/>
        </w:trPr>
        <w:tc>
          <w:tcPr>
            <w:tcW w:w="2556" w:type="dxa"/>
            <w:vMerge/>
            <w:shd w:val="clear" w:color="auto" w:fill="auto"/>
          </w:tcPr>
          <w:p w14:paraId="4942E91F"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26F62C92" w14:textId="77777777" w:rsidR="007B55FA" w:rsidRPr="00040AA9" w:rsidRDefault="007B55FA" w:rsidP="00040AA9">
            <w:pPr>
              <w:suppressAutoHyphens/>
              <w:rPr>
                <w:rFonts w:ascii="Arial" w:hAnsi="Arial" w:cs="Arial"/>
                <w:sz w:val="20"/>
                <w:szCs w:val="20"/>
              </w:rPr>
            </w:pPr>
          </w:p>
        </w:tc>
        <w:tc>
          <w:tcPr>
            <w:tcW w:w="774" w:type="dxa"/>
            <w:vMerge/>
            <w:shd w:val="clear" w:color="auto" w:fill="auto"/>
          </w:tcPr>
          <w:p w14:paraId="4D189C81" w14:textId="77777777" w:rsidR="007B55FA" w:rsidRPr="00040AA9" w:rsidRDefault="007B55FA" w:rsidP="00040AA9">
            <w:pPr>
              <w:suppressAutoHyphens/>
              <w:rPr>
                <w:rFonts w:ascii="Arial" w:hAnsi="Arial" w:cs="Arial"/>
                <w:sz w:val="20"/>
                <w:szCs w:val="20"/>
              </w:rPr>
            </w:pPr>
          </w:p>
        </w:tc>
        <w:tc>
          <w:tcPr>
            <w:tcW w:w="939" w:type="dxa"/>
            <w:vMerge/>
            <w:shd w:val="clear" w:color="auto" w:fill="auto"/>
          </w:tcPr>
          <w:p w14:paraId="4438D4EF" w14:textId="77777777" w:rsidR="007B55FA" w:rsidRPr="00040AA9" w:rsidRDefault="007B55FA" w:rsidP="00040AA9">
            <w:pPr>
              <w:suppressAutoHyphens/>
              <w:rPr>
                <w:rFonts w:ascii="Arial" w:hAnsi="Arial" w:cs="Arial"/>
                <w:sz w:val="20"/>
                <w:szCs w:val="20"/>
              </w:rPr>
            </w:pPr>
          </w:p>
        </w:tc>
        <w:tc>
          <w:tcPr>
            <w:tcW w:w="594" w:type="dxa"/>
            <w:vMerge/>
            <w:shd w:val="clear" w:color="auto" w:fill="auto"/>
          </w:tcPr>
          <w:p w14:paraId="534DA705" w14:textId="77777777" w:rsidR="007B55FA" w:rsidRPr="00040AA9" w:rsidRDefault="007B55FA" w:rsidP="00040AA9">
            <w:pPr>
              <w:suppressAutoHyphens/>
              <w:rPr>
                <w:rFonts w:ascii="Arial" w:hAnsi="Arial" w:cs="Arial"/>
                <w:sz w:val="20"/>
                <w:szCs w:val="20"/>
              </w:rPr>
            </w:pPr>
          </w:p>
        </w:tc>
        <w:tc>
          <w:tcPr>
            <w:tcW w:w="1003" w:type="dxa"/>
            <w:vMerge/>
            <w:shd w:val="clear" w:color="auto" w:fill="auto"/>
          </w:tcPr>
          <w:p w14:paraId="650D4E9E"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tcPr>
          <w:p w14:paraId="4A8E0181" w14:textId="77777777" w:rsidR="007B55FA" w:rsidRPr="00040AA9" w:rsidRDefault="007B55FA" w:rsidP="00040AA9">
            <w:pPr>
              <w:suppressAutoHyphens/>
              <w:rPr>
                <w:rFonts w:ascii="Arial" w:hAnsi="Arial" w:cs="Arial"/>
                <w:sz w:val="20"/>
                <w:szCs w:val="20"/>
              </w:rPr>
            </w:pPr>
          </w:p>
        </w:tc>
        <w:tc>
          <w:tcPr>
            <w:tcW w:w="5027" w:type="dxa"/>
            <w:vMerge/>
            <w:shd w:val="clear" w:color="auto" w:fill="auto"/>
          </w:tcPr>
          <w:p w14:paraId="44DC803D" w14:textId="0258460B" w:rsidR="007B55FA" w:rsidRPr="00040AA9" w:rsidRDefault="007B55FA" w:rsidP="00040AA9">
            <w:pPr>
              <w:suppressAutoHyphens/>
              <w:rPr>
                <w:rFonts w:ascii="Arial" w:hAnsi="Arial" w:cs="Arial"/>
                <w:sz w:val="20"/>
                <w:szCs w:val="20"/>
              </w:rPr>
            </w:pPr>
          </w:p>
        </w:tc>
      </w:tr>
      <w:tr w:rsidR="007B55FA" w:rsidRPr="00CF5903" w14:paraId="419F6D1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10EE10F"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II.7.3</w:t>
            </w:r>
          </w:p>
          <w:p w14:paraId="52DCC98D"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New TAJ integrated IT system fully implemented. </w:t>
            </w:r>
          </w:p>
          <w:p w14:paraId="7B2CFC89"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2.16,</w:t>
            </w:r>
          </w:p>
          <w:p w14:paraId="07E11D91"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2.03.I.(b)(ii)(A))</w:t>
            </w:r>
          </w:p>
        </w:tc>
        <w:tc>
          <w:tcPr>
            <w:tcW w:w="860" w:type="dxa"/>
            <w:vMerge w:val="restart"/>
            <w:shd w:val="clear" w:color="auto" w:fill="auto"/>
          </w:tcPr>
          <w:p w14:paraId="6237F8A6" w14:textId="77777777" w:rsidR="007B55FA" w:rsidRPr="00040AA9" w:rsidRDefault="007B55FA" w:rsidP="00040AA9">
            <w:pPr>
              <w:suppressAutoHyphens/>
              <w:jc w:val="center"/>
              <w:rPr>
                <w:rFonts w:ascii="Arial" w:hAnsi="Arial" w:cs="Arial"/>
                <w:sz w:val="20"/>
                <w:szCs w:val="20"/>
              </w:rPr>
            </w:pPr>
          </w:p>
          <w:p w14:paraId="184AE24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w:t>
            </w:r>
          </w:p>
        </w:tc>
        <w:tc>
          <w:tcPr>
            <w:tcW w:w="774" w:type="dxa"/>
            <w:vMerge w:val="restart"/>
            <w:shd w:val="clear" w:color="auto" w:fill="auto"/>
          </w:tcPr>
          <w:p w14:paraId="0BD6AB50" w14:textId="77777777" w:rsidR="007B55FA" w:rsidRPr="00040AA9" w:rsidRDefault="007B55FA" w:rsidP="00040AA9">
            <w:pPr>
              <w:suppressAutoHyphens/>
              <w:jc w:val="center"/>
              <w:rPr>
                <w:rFonts w:ascii="Arial" w:hAnsi="Arial" w:cs="Arial"/>
                <w:sz w:val="20"/>
                <w:szCs w:val="20"/>
              </w:rPr>
            </w:pPr>
          </w:p>
          <w:p w14:paraId="4576CB6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796699EA" w14:textId="77777777" w:rsidR="007B55FA" w:rsidRPr="00040AA9" w:rsidRDefault="007B55FA" w:rsidP="00040AA9">
            <w:pPr>
              <w:suppressAutoHyphens/>
              <w:jc w:val="center"/>
              <w:rPr>
                <w:rFonts w:ascii="Arial" w:hAnsi="Arial" w:cs="Arial"/>
                <w:sz w:val="20"/>
                <w:szCs w:val="20"/>
              </w:rPr>
            </w:pPr>
          </w:p>
          <w:p w14:paraId="702BA23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54FBDE4B" w14:textId="77777777" w:rsidR="007B55FA" w:rsidRPr="00040AA9" w:rsidRDefault="007B55FA" w:rsidP="00040AA9">
            <w:pPr>
              <w:suppressAutoHyphens/>
              <w:rPr>
                <w:rFonts w:ascii="Arial" w:hAnsi="Arial" w:cs="Arial"/>
                <w:sz w:val="20"/>
                <w:szCs w:val="20"/>
              </w:rPr>
            </w:pPr>
          </w:p>
          <w:p w14:paraId="5D8BBEE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526C38F" w14:textId="77777777" w:rsidR="007B55FA" w:rsidRPr="00040AA9" w:rsidRDefault="007B55FA" w:rsidP="00040AA9">
            <w:pPr>
              <w:suppressAutoHyphens/>
              <w:jc w:val="center"/>
              <w:rPr>
                <w:rFonts w:ascii="Arial" w:hAnsi="Arial" w:cs="Arial"/>
                <w:sz w:val="20"/>
                <w:szCs w:val="20"/>
              </w:rPr>
            </w:pPr>
          </w:p>
          <w:p w14:paraId="4B292E8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5EAA1E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(2016/17)</w:t>
            </w:r>
          </w:p>
        </w:tc>
        <w:tc>
          <w:tcPr>
            <w:tcW w:w="1106" w:type="dxa"/>
            <w:vMerge w:val="restart"/>
            <w:shd w:val="clear" w:color="auto" w:fill="auto"/>
          </w:tcPr>
          <w:p w14:paraId="1551B885" w14:textId="77777777" w:rsidR="007B55FA" w:rsidRPr="00040AA9" w:rsidRDefault="007B55FA" w:rsidP="00040AA9">
            <w:pPr>
              <w:suppressAutoHyphens/>
              <w:rPr>
                <w:rFonts w:ascii="Arial" w:hAnsi="Arial" w:cs="Arial"/>
                <w:sz w:val="20"/>
                <w:szCs w:val="20"/>
              </w:rPr>
            </w:pPr>
          </w:p>
          <w:p w14:paraId="7B207020" w14:textId="77777777" w:rsidR="007B55FA" w:rsidRPr="00040AA9" w:rsidRDefault="007B55FA" w:rsidP="00040AA9">
            <w:pPr>
              <w:suppressAutoHyphens/>
              <w:rPr>
                <w:rFonts w:ascii="Arial" w:hAnsi="Arial" w:cs="Arial"/>
                <w:sz w:val="20"/>
                <w:szCs w:val="20"/>
              </w:rPr>
            </w:pPr>
          </w:p>
          <w:p w14:paraId="267A631A" w14:textId="77777777" w:rsidR="007B55FA" w:rsidRPr="00040AA9" w:rsidRDefault="007B55FA" w:rsidP="00040AA9">
            <w:pPr>
              <w:suppressAutoHyphens/>
              <w:rPr>
                <w:rFonts w:ascii="Arial" w:hAnsi="Arial" w:cs="Arial"/>
                <w:sz w:val="20"/>
                <w:szCs w:val="20"/>
              </w:rPr>
            </w:pPr>
          </w:p>
          <w:p w14:paraId="4038B071" w14:textId="77777777" w:rsidR="007B55FA" w:rsidRPr="00040AA9" w:rsidRDefault="007B55FA" w:rsidP="00040AA9">
            <w:pPr>
              <w:suppressAutoHyphens/>
              <w:rPr>
                <w:rFonts w:ascii="Arial" w:hAnsi="Arial" w:cs="Arial"/>
                <w:sz w:val="20"/>
                <w:szCs w:val="20"/>
              </w:rPr>
            </w:pPr>
          </w:p>
          <w:p w14:paraId="59D5AA47" w14:textId="77777777" w:rsidR="007B55FA" w:rsidRPr="00040AA9" w:rsidRDefault="007B55FA" w:rsidP="00040AA9">
            <w:pPr>
              <w:suppressAutoHyphens/>
              <w:rPr>
                <w:rFonts w:ascii="Arial" w:hAnsi="Arial" w:cs="Arial"/>
                <w:sz w:val="20"/>
                <w:szCs w:val="20"/>
              </w:rPr>
            </w:pPr>
          </w:p>
          <w:p w14:paraId="74F24DB7" w14:textId="77777777" w:rsidR="007B55FA" w:rsidRPr="00040AA9" w:rsidRDefault="007B55FA" w:rsidP="00040AA9">
            <w:pPr>
              <w:suppressAutoHyphens/>
              <w:rPr>
                <w:rFonts w:ascii="Arial" w:hAnsi="Arial" w:cs="Arial"/>
                <w:sz w:val="20"/>
                <w:szCs w:val="20"/>
              </w:rPr>
            </w:pPr>
          </w:p>
          <w:p w14:paraId="0E9C633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2096E0A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TAJ Commissioner General informing that the new IT system is fully operational.</w:t>
            </w:r>
          </w:p>
        </w:tc>
      </w:tr>
      <w:tr w:rsidR="007B55FA" w:rsidRPr="00CF5903" w14:paraId="311E914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6"/>
          <w:jc w:val="center"/>
        </w:trPr>
        <w:tc>
          <w:tcPr>
            <w:tcW w:w="2556" w:type="dxa"/>
            <w:vMerge/>
            <w:shd w:val="clear" w:color="auto" w:fill="auto"/>
            <w:hideMark/>
          </w:tcPr>
          <w:p w14:paraId="1C2998CD"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2D7AAD9"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6C1E70E"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7C9BB9B"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112F310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5A77CB67"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0C318A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17962154" w14:textId="77777777" w:rsidR="007B55FA" w:rsidRPr="00040AA9" w:rsidRDefault="007B55FA" w:rsidP="00040AA9">
            <w:pPr>
              <w:suppressAutoHyphens/>
              <w:rPr>
                <w:rFonts w:ascii="Arial" w:hAnsi="Arial" w:cs="Arial"/>
                <w:sz w:val="20"/>
                <w:szCs w:val="20"/>
              </w:rPr>
            </w:pPr>
          </w:p>
        </w:tc>
      </w:tr>
      <w:tr w:rsidR="007B55FA" w:rsidRPr="00CF5903" w14:paraId="0165FCA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jc w:val="center"/>
        </w:trPr>
        <w:tc>
          <w:tcPr>
            <w:tcW w:w="2556" w:type="dxa"/>
            <w:vMerge/>
            <w:shd w:val="clear" w:color="auto" w:fill="auto"/>
            <w:hideMark/>
          </w:tcPr>
          <w:p w14:paraId="7CB8D876"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A552E7C"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10E54290"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63736EC"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F42E6CE" w14:textId="77777777" w:rsidR="007B55FA" w:rsidRPr="00040AA9" w:rsidRDefault="007B55FA" w:rsidP="00040AA9">
            <w:pPr>
              <w:suppressAutoHyphens/>
              <w:rPr>
                <w:rFonts w:ascii="Arial" w:hAnsi="Arial" w:cs="Arial"/>
                <w:sz w:val="20"/>
                <w:szCs w:val="20"/>
              </w:rPr>
            </w:pPr>
          </w:p>
          <w:p w14:paraId="549D5C54" w14:textId="77777777" w:rsidR="007B55FA" w:rsidRPr="00040AA9" w:rsidRDefault="007B55FA" w:rsidP="00040AA9">
            <w:pPr>
              <w:suppressAutoHyphens/>
              <w:rPr>
                <w:rFonts w:ascii="Arial" w:hAnsi="Arial" w:cs="Arial"/>
                <w:sz w:val="20"/>
                <w:szCs w:val="20"/>
              </w:rPr>
            </w:pPr>
          </w:p>
          <w:p w14:paraId="33EBE725" w14:textId="77777777" w:rsidR="007B55FA" w:rsidRPr="00040AA9" w:rsidRDefault="007B55FA" w:rsidP="00040AA9">
            <w:pPr>
              <w:suppressAutoHyphens/>
              <w:rPr>
                <w:rFonts w:ascii="Arial" w:hAnsi="Arial" w:cs="Arial"/>
                <w:sz w:val="20"/>
                <w:szCs w:val="20"/>
              </w:rPr>
            </w:pPr>
          </w:p>
          <w:p w14:paraId="7C0F4E1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72344F93" w14:textId="77777777" w:rsidR="007B55FA" w:rsidRPr="00040AA9" w:rsidRDefault="007B55FA" w:rsidP="00040AA9">
            <w:pPr>
              <w:suppressAutoHyphens/>
              <w:jc w:val="center"/>
              <w:rPr>
                <w:rFonts w:ascii="Arial" w:hAnsi="Arial" w:cs="Arial"/>
                <w:sz w:val="20"/>
                <w:szCs w:val="20"/>
              </w:rPr>
            </w:pPr>
          </w:p>
          <w:p w14:paraId="5BDDBEA6" w14:textId="77777777" w:rsidR="007B55FA" w:rsidRPr="00040AA9" w:rsidRDefault="007B55FA" w:rsidP="00040AA9">
            <w:pPr>
              <w:suppressAutoHyphens/>
              <w:jc w:val="center"/>
              <w:rPr>
                <w:rFonts w:ascii="Arial" w:hAnsi="Arial" w:cs="Arial"/>
                <w:sz w:val="20"/>
                <w:szCs w:val="20"/>
              </w:rPr>
            </w:pPr>
          </w:p>
          <w:p w14:paraId="64E7D71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D32B58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shd w:val="clear" w:color="auto" w:fill="auto"/>
            <w:hideMark/>
          </w:tcPr>
          <w:p w14:paraId="0D6B4D7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887C25E" w14:textId="249BA3A1"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II.2.c.B.1) providing evidence of compliance with section 2.03.I.(a)(ii)(A) of the FISPEG III loan contract by way of affirming full implementation of Phases 1 and 2 of TAJ’s integrated tax administration system, announcing implementation of Phase 3 of system.</w:t>
            </w:r>
            <w:r w:rsidRPr="00040AA9">
              <w:rPr>
                <w:rStyle w:val="FootnoteReference"/>
                <w:rFonts w:ascii="Arial" w:hAnsi="Arial" w:cs="Arial"/>
                <w:sz w:val="20"/>
                <w:szCs w:val="20"/>
              </w:rPr>
              <w:footnoteReference w:id="100"/>
            </w:r>
          </w:p>
        </w:tc>
      </w:tr>
      <w:tr w:rsidR="007B55FA" w:rsidRPr="00CF5903" w14:paraId="566E6AB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40998B1F"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II.7.4</w:t>
            </w:r>
          </w:p>
          <w:p w14:paraId="5D7B0DE9"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New integrated customs IT system fully implemented</w:t>
            </w:r>
          </w:p>
          <w:p w14:paraId="54D18D4B"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2.17</w:t>
            </w:r>
          </w:p>
          <w:p w14:paraId="0626546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2.03.I.(b)(ii)(B))</w:t>
            </w:r>
          </w:p>
        </w:tc>
        <w:tc>
          <w:tcPr>
            <w:tcW w:w="860" w:type="dxa"/>
            <w:vMerge w:val="restart"/>
            <w:shd w:val="clear" w:color="auto" w:fill="auto"/>
          </w:tcPr>
          <w:p w14:paraId="0781E62B" w14:textId="77777777" w:rsidR="007B55FA" w:rsidRPr="00040AA9" w:rsidRDefault="007B55FA" w:rsidP="00040AA9">
            <w:pPr>
              <w:suppressAutoHyphens/>
              <w:jc w:val="center"/>
              <w:rPr>
                <w:rFonts w:ascii="Arial" w:hAnsi="Arial" w:cs="Arial"/>
                <w:sz w:val="20"/>
                <w:szCs w:val="20"/>
              </w:rPr>
            </w:pPr>
          </w:p>
          <w:p w14:paraId="1D67A9C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w:t>
            </w:r>
          </w:p>
        </w:tc>
        <w:tc>
          <w:tcPr>
            <w:tcW w:w="774" w:type="dxa"/>
            <w:vMerge w:val="restart"/>
            <w:shd w:val="clear" w:color="auto" w:fill="auto"/>
          </w:tcPr>
          <w:p w14:paraId="2CEA27CB" w14:textId="77777777" w:rsidR="007B55FA" w:rsidRPr="00040AA9" w:rsidRDefault="007B55FA" w:rsidP="00040AA9">
            <w:pPr>
              <w:suppressAutoHyphens/>
              <w:jc w:val="center"/>
              <w:rPr>
                <w:rFonts w:ascii="Arial" w:hAnsi="Arial" w:cs="Arial"/>
                <w:sz w:val="20"/>
                <w:szCs w:val="20"/>
              </w:rPr>
            </w:pPr>
          </w:p>
          <w:p w14:paraId="2E05561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DC369F3" w14:textId="77777777" w:rsidR="007B55FA" w:rsidRPr="00040AA9" w:rsidRDefault="007B55FA" w:rsidP="00040AA9">
            <w:pPr>
              <w:suppressAutoHyphens/>
              <w:jc w:val="center"/>
              <w:rPr>
                <w:rFonts w:ascii="Arial" w:hAnsi="Arial" w:cs="Arial"/>
                <w:sz w:val="20"/>
                <w:szCs w:val="20"/>
              </w:rPr>
            </w:pPr>
          </w:p>
          <w:p w14:paraId="6CC4435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4058B6C0" w14:textId="77777777" w:rsidR="007B55FA" w:rsidRPr="00040AA9" w:rsidRDefault="007B55FA" w:rsidP="00040AA9">
            <w:pPr>
              <w:suppressAutoHyphens/>
              <w:rPr>
                <w:rFonts w:ascii="Arial" w:hAnsi="Arial" w:cs="Arial"/>
                <w:sz w:val="20"/>
                <w:szCs w:val="20"/>
              </w:rPr>
            </w:pPr>
          </w:p>
          <w:p w14:paraId="2667C2B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75A492BB" w14:textId="77777777" w:rsidR="007B55FA" w:rsidRPr="00040AA9" w:rsidRDefault="007B55FA" w:rsidP="00040AA9">
            <w:pPr>
              <w:suppressAutoHyphens/>
              <w:jc w:val="center"/>
              <w:rPr>
                <w:rFonts w:ascii="Arial" w:hAnsi="Arial" w:cs="Arial"/>
                <w:sz w:val="20"/>
                <w:szCs w:val="20"/>
              </w:rPr>
            </w:pPr>
          </w:p>
          <w:p w14:paraId="459E03F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5A0C356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2169ECF1" w14:textId="77777777" w:rsidR="007B55FA" w:rsidRPr="00040AA9" w:rsidRDefault="007B55FA" w:rsidP="00040AA9">
            <w:pPr>
              <w:suppressAutoHyphens/>
              <w:rPr>
                <w:rFonts w:ascii="Arial" w:hAnsi="Arial" w:cs="Arial"/>
                <w:sz w:val="20"/>
                <w:szCs w:val="20"/>
              </w:rPr>
            </w:pPr>
          </w:p>
          <w:p w14:paraId="77B38D53" w14:textId="77777777" w:rsidR="007B55FA" w:rsidRPr="00040AA9" w:rsidRDefault="007B55FA" w:rsidP="00040AA9">
            <w:pPr>
              <w:suppressAutoHyphens/>
              <w:rPr>
                <w:rFonts w:ascii="Arial" w:hAnsi="Arial" w:cs="Arial"/>
                <w:sz w:val="20"/>
                <w:szCs w:val="20"/>
              </w:rPr>
            </w:pPr>
          </w:p>
          <w:p w14:paraId="3E4196B3" w14:textId="77777777" w:rsidR="007B55FA" w:rsidRPr="00040AA9" w:rsidRDefault="007B55FA" w:rsidP="00040AA9">
            <w:pPr>
              <w:suppressAutoHyphens/>
              <w:rPr>
                <w:rFonts w:ascii="Arial" w:hAnsi="Arial" w:cs="Arial"/>
                <w:sz w:val="20"/>
                <w:szCs w:val="20"/>
              </w:rPr>
            </w:pPr>
          </w:p>
          <w:p w14:paraId="753F1A14" w14:textId="77777777" w:rsidR="007B55FA" w:rsidRPr="00040AA9" w:rsidRDefault="007B55FA" w:rsidP="00040AA9">
            <w:pPr>
              <w:suppressAutoHyphens/>
              <w:rPr>
                <w:rFonts w:ascii="Arial" w:hAnsi="Arial" w:cs="Arial"/>
                <w:sz w:val="20"/>
                <w:szCs w:val="20"/>
              </w:rPr>
            </w:pPr>
          </w:p>
          <w:p w14:paraId="10D8754B" w14:textId="77777777" w:rsidR="007B55FA" w:rsidRPr="00040AA9" w:rsidRDefault="007B55FA" w:rsidP="00040AA9">
            <w:pPr>
              <w:suppressAutoHyphens/>
              <w:rPr>
                <w:rFonts w:ascii="Arial" w:hAnsi="Arial" w:cs="Arial"/>
                <w:sz w:val="20"/>
                <w:szCs w:val="20"/>
              </w:rPr>
            </w:pPr>
          </w:p>
          <w:p w14:paraId="5B1873D2" w14:textId="77777777" w:rsidR="007B55FA" w:rsidRPr="00040AA9" w:rsidRDefault="007B55FA" w:rsidP="00040AA9">
            <w:pPr>
              <w:suppressAutoHyphens/>
              <w:rPr>
                <w:rFonts w:ascii="Arial" w:hAnsi="Arial" w:cs="Arial"/>
                <w:sz w:val="20"/>
                <w:szCs w:val="20"/>
              </w:rPr>
            </w:pPr>
          </w:p>
          <w:p w14:paraId="54201442" w14:textId="77777777" w:rsidR="007B55FA" w:rsidRPr="00040AA9" w:rsidRDefault="007B55FA" w:rsidP="00040AA9">
            <w:pPr>
              <w:suppressAutoHyphens/>
              <w:rPr>
                <w:rFonts w:ascii="Arial" w:hAnsi="Arial" w:cs="Arial"/>
                <w:sz w:val="20"/>
                <w:szCs w:val="20"/>
              </w:rPr>
            </w:pPr>
          </w:p>
          <w:p w14:paraId="6DB6011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A53C1E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JCA Commissioner informing that the new IT system is fully operational.</w:t>
            </w:r>
          </w:p>
        </w:tc>
      </w:tr>
      <w:tr w:rsidR="007B55FA" w:rsidRPr="00CF5903" w14:paraId="56C6B0E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6501579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F89CC30"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46B3E3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13E38F8"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B1C410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5F7BFEE"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5C8ABB3E"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13E12B0" w14:textId="77777777" w:rsidR="007B55FA" w:rsidRPr="00040AA9" w:rsidRDefault="007B55FA" w:rsidP="00040AA9">
            <w:pPr>
              <w:suppressAutoHyphens/>
              <w:rPr>
                <w:rFonts w:ascii="Arial" w:hAnsi="Arial" w:cs="Arial"/>
                <w:sz w:val="20"/>
                <w:szCs w:val="20"/>
              </w:rPr>
            </w:pPr>
          </w:p>
        </w:tc>
      </w:tr>
      <w:tr w:rsidR="007B55FA" w:rsidRPr="00CF5903" w14:paraId="6873E71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tcBorders>
              <w:bottom w:val="single" w:sz="4" w:space="0" w:color="auto"/>
            </w:tcBorders>
            <w:shd w:val="clear" w:color="auto" w:fill="auto"/>
            <w:hideMark/>
          </w:tcPr>
          <w:p w14:paraId="1F7C7298"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0444F64E"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64A9D3F1"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6234BAF0"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1BF462BB" w14:textId="77777777" w:rsidR="007B55FA" w:rsidRPr="00040AA9" w:rsidRDefault="007B55FA" w:rsidP="00040AA9">
            <w:pPr>
              <w:suppressAutoHyphens/>
              <w:rPr>
                <w:rFonts w:ascii="Arial" w:hAnsi="Arial" w:cs="Arial"/>
                <w:sz w:val="20"/>
                <w:szCs w:val="20"/>
              </w:rPr>
            </w:pPr>
          </w:p>
          <w:p w14:paraId="097C55BC" w14:textId="77777777" w:rsidR="007B55FA" w:rsidRPr="00040AA9" w:rsidRDefault="007B55FA" w:rsidP="00040AA9">
            <w:pPr>
              <w:suppressAutoHyphens/>
              <w:rPr>
                <w:rFonts w:ascii="Arial" w:hAnsi="Arial" w:cs="Arial"/>
                <w:sz w:val="20"/>
                <w:szCs w:val="20"/>
              </w:rPr>
            </w:pPr>
          </w:p>
          <w:p w14:paraId="01F1D0D0" w14:textId="77777777" w:rsidR="007B55FA" w:rsidRPr="00040AA9" w:rsidRDefault="007B55FA" w:rsidP="00040AA9">
            <w:pPr>
              <w:suppressAutoHyphens/>
              <w:rPr>
                <w:rFonts w:ascii="Arial" w:hAnsi="Arial" w:cs="Arial"/>
                <w:sz w:val="20"/>
                <w:szCs w:val="20"/>
              </w:rPr>
            </w:pPr>
          </w:p>
          <w:p w14:paraId="34E461ED" w14:textId="77777777" w:rsidR="007B55FA" w:rsidRPr="00040AA9" w:rsidRDefault="007B55FA" w:rsidP="00040AA9">
            <w:pPr>
              <w:suppressAutoHyphens/>
              <w:rPr>
                <w:rFonts w:ascii="Arial" w:hAnsi="Arial" w:cs="Arial"/>
                <w:sz w:val="20"/>
                <w:szCs w:val="20"/>
              </w:rPr>
            </w:pPr>
          </w:p>
          <w:p w14:paraId="388D9AF1" w14:textId="77777777" w:rsidR="007B55FA" w:rsidRPr="00040AA9" w:rsidRDefault="007B55FA" w:rsidP="00040AA9">
            <w:pPr>
              <w:suppressAutoHyphens/>
              <w:rPr>
                <w:rFonts w:ascii="Arial" w:hAnsi="Arial" w:cs="Arial"/>
                <w:sz w:val="20"/>
                <w:szCs w:val="20"/>
              </w:rPr>
            </w:pPr>
          </w:p>
          <w:p w14:paraId="2B7DD1D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14E8DB9C" w14:textId="77777777" w:rsidR="007B55FA" w:rsidRPr="00040AA9" w:rsidRDefault="007B55FA" w:rsidP="00040AA9">
            <w:pPr>
              <w:suppressAutoHyphens/>
              <w:rPr>
                <w:rFonts w:ascii="Arial" w:hAnsi="Arial" w:cs="Arial"/>
                <w:sz w:val="20"/>
                <w:szCs w:val="20"/>
              </w:rPr>
            </w:pPr>
          </w:p>
          <w:p w14:paraId="443DBEB9" w14:textId="77777777" w:rsidR="007B55FA" w:rsidRPr="00040AA9" w:rsidRDefault="007B55FA" w:rsidP="00040AA9">
            <w:pPr>
              <w:suppressAutoHyphens/>
              <w:rPr>
                <w:rFonts w:ascii="Arial" w:hAnsi="Arial" w:cs="Arial"/>
                <w:sz w:val="20"/>
                <w:szCs w:val="20"/>
              </w:rPr>
            </w:pPr>
          </w:p>
          <w:p w14:paraId="0FCA8AE3" w14:textId="77777777" w:rsidR="007B55FA" w:rsidRPr="00040AA9" w:rsidRDefault="007B55FA" w:rsidP="00040AA9">
            <w:pPr>
              <w:suppressAutoHyphens/>
              <w:rPr>
                <w:rFonts w:ascii="Arial" w:hAnsi="Arial" w:cs="Arial"/>
                <w:sz w:val="20"/>
                <w:szCs w:val="20"/>
              </w:rPr>
            </w:pPr>
          </w:p>
          <w:p w14:paraId="683EEB79" w14:textId="77777777" w:rsidR="007B55FA" w:rsidRPr="00040AA9" w:rsidRDefault="007B55FA" w:rsidP="00040AA9">
            <w:pPr>
              <w:suppressAutoHyphens/>
              <w:jc w:val="center"/>
              <w:rPr>
                <w:rFonts w:ascii="Arial" w:hAnsi="Arial" w:cs="Arial"/>
                <w:sz w:val="20"/>
                <w:szCs w:val="20"/>
              </w:rPr>
            </w:pPr>
          </w:p>
          <w:p w14:paraId="50DC65F6" w14:textId="77777777" w:rsidR="007B55FA" w:rsidRPr="00040AA9" w:rsidRDefault="007B55FA" w:rsidP="00040AA9">
            <w:pPr>
              <w:suppressAutoHyphens/>
              <w:jc w:val="center"/>
              <w:rPr>
                <w:rFonts w:ascii="Arial" w:hAnsi="Arial" w:cs="Arial"/>
                <w:sz w:val="20"/>
                <w:szCs w:val="20"/>
              </w:rPr>
            </w:pPr>
          </w:p>
          <w:p w14:paraId="3240628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B1014C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bottom w:val="single" w:sz="4" w:space="0" w:color="auto"/>
            </w:tcBorders>
            <w:shd w:val="clear" w:color="auto" w:fill="auto"/>
            <w:hideMark/>
          </w:tcPr>
          <w:p w14:paraId="62F90FCB"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07DFDD4E" w14:textId="4B8A2DA0"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II.2.c.B.2) providing evidence of compliance with section 2.03.I.(b)(ii)(B) of the FISPEG III loan contract by way of affirming full implementation of the integrated IT system at the JCA including mandatory e-filing of all customs declarations and manifests.</w:t>
            </w:r>
            <w:r w:rsidRPr="00040AA9">
              <w:rPr>
                <w:rStyle w:val="FootnoteReference"/>
                <w:rFonts w:ascii="Arial" w:hAnsi="Arial" w:cs="Arial"/>
                <w:sz w:val="20"/>
                <w:szCs w:val="20"/>
              </w:rPr>
              <w:footnoteReference w:id="101"/>
            </w:r>
            <w:r w:rsidRPr="00040AA9">
              <w:rPr>
                <w:rFonts w:ascii="Arial" w:hAnsi="Arial" w:cs="Arial"/>
                <w:sz w:val="20"/>
                <w:szCs w:val="20"/>
              </w:rPr>
              <w:t xml:space="preserve"> </w:t>
            </w:r>
          </w:p>
        </w:tc>
      </w:tr>
      <w:tr w:rsidR="007B55FA" w:rsidRPr="00CF5903" w14:paraId="12B8100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417489E3" w14:textId="77777777"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 xml:space="preserve">Output II.8. Adequate number of Full-time LTO professionals </w:t>
            </w:r>
          </w:p>
        </w:tc>
      </w:tr>
      <w:tr w:rsidR="007B55FA" w:rsidRPr="00CF5903" w14:paraId="50AFB57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3A4BBA94"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II.8.1</w:t>
            </w:r>
          </w:p>
          <w:p w14:paraId="06419809"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Report informing the number of full time professionals working at the LTO presented </w:t>
            </w:r>
          </w:p>
          <w:p w14:paraId="1D7243B3"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(FSPG II – product 2.2, </w:t>
            </w:r>
          </w:p>
          <w:p w14:paraId="439BE6DF"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2.03.I.(b)(</w:t>
            </w:r>
            <w:proofErr w:type="spellStart"/>
            <w:r w:rsidRPr="00040AA9">
              <w:rPr>
                <w:rFonts w:ascii="Arial" w:hAnsi="Arial" w:cs="Arial"/>
                <w:sz w:val="20"/>
                <w:szCs w:val="20"/>
              </w:rPr>
              <w:t>i</w:t>
            </w:r>
            <w:proofErr w:type="spellEnd"/>
            <w:r w:rsidRPr="00040AA9">
              <w:rPr>
                <w:rFonts w:ascii="Arial" w:hAnsi="Arial" w:cs="Arial"/>
                <w:sz w:val="20"/>
                <w:szCs w:val="20"/>
              </w:rPr>
              <w:t>)(A))</w:t>
            </w:r>
          </w:p>
        </w:tc>
        <w:tc>
          <w:tcPr>
            <w:tcW w:w="860" w:type="dxa"/>
            <w:vMerge w:val="restart"/>
            <w:shd w:val="clear" w:color="auto" w:fill="auto"/>
          </w:tcPr>
          <w:p w14:paraId="4EF4BF5E" w14:textId="77777777" w:rsidR="007B55FA" w:rsidRPr="00040AA9" w:rsidRDefault="007B55FA" w:rsidP="00040AA9">
            <w:pPr>
              <w:suppressAutoHyphens/>
              <w:jc w:val="center"/>
              <w:rPr>
                <w:rFonts w:ascii="Arial" w:hAnsi="Arial" w:cs="Arial"/>
                <w:sz w:val="20"/>
                <w:szCs w:val="20"/>
              </w:rPr>
            </w:pPr>
          </w:p>
          <w:p w14:paraId="1E5E687F" w14:textId="77777777" w:rsidR="007B55FA" w:rsidRPr="00040AA9" w:rsidRDefault="007B55FA" w:rsidP="00040AA9">
            <w:pPr>
              <w:suppressAutoHyphens/>
              <w:jc w:val="center"/>
              <w:rPr>
                <w:rFonts w:ascii="Arial" w:hAnsi="Arial" w:cs="Arial"/>
                <w:sz w:val="20"/>
                <w:szCs w:val="20"/>
              </w:rPr>
            </w:pPr>
          </w:p>
          <w:p w14:paraId="26DB807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Report </w:t>
            </w:r>
          </w:p>
        </w:tc>
        <w:tc>
          <w:tcPr>
            <w:tcW w:w="774" w:type="dxa"/>
            <w:vMerge w:val="restart"/>
            <w:shd w:val="clear" w:color="auto" w:fill="auto"/>
          </w:tcPr>
          <w:p w14:paraId="4DDC3523" w14:textId="77777777" w:rsidR="007B55FA" w:rsidRPr="00040AA9" w:rsidRDefault="007B55FA" w:rsidP="00040AA9">
            <w:pPr>
              <w:suppressAutoHyphens/>
              <w:jc w:val="center"/>
              <w:rPr>
                <w:rFonts w:ascii="Arial" w:hAnsi="Arial" w:cs="Arial"/>
                <w:sz w:val="20"/>
                <w:szCs w:val="20"/>
              </w:rPr>
            </w:pPr>
          </w:p>
          <w:p w14:paraId="13EF6CBD" w14:textId="77777777" w:rsidR="007B55FA" w:rsidRPr="00040AA9" w:rsidRDefault="007B55FA" w:rsidP="00040AA9">
            <w:pPr>
              <w:suppressAutoHyphens/>
              <w:jc w:val="center"/>
              <w:rPr>
                <w:rFonts w:ascii="Arial" w:hAnsi="Arial" w:cs="Arial"/>
                <w:sz w:val="20"/>
                <w:szCs w:val="20"/>
              </w:rPr>
            </w:pPr>
          </w:p>
          <w:p w14:paraId="632B4D2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0F3B9761" w14:textId="77777777" w:rsidR="007B55FA" w:rsidRPr="00040AA9" w:rsidRDefault="007B55FA" w:rsidP="00040AA9">
            <w:pPr>
              <w:suppressAutoHyphens/>
              <w:jc w:val="center"/>
              <w:rPr>
                <w:rFonts w:ascii="Arial" w:hAnsi="Arial" w:cs="Arial"/>
                <w:sz w:val="20"/>
                <w:szCs w:val="20"/>
              </w:rPr>
            </w:pPr>
          </w:p>
          <w:p w14:paraId="7C2B1F47" w14:textId="77777777" w:rsidR="007B55FA" w:rsidRPr="00040AA9" w:rsidRDefault="007B55FA" w:rsidP="00040AA9">
            <w:pPr>
              <w:suppressAutoHyphens/>
              <w:jc w:val="center"/>
              <w:rPr>
                <w:rFonts w:ascii="Arial" w:hAnsi="Arial" w:cs="Arial"/>
                <w:sz w:val="20"/>
                <w:szCs w:val="20"/>
              </w:rPr>
            </w:pPr>
          </w:p>
          <w:p w14:paraId="1D5BEC1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6A7D0D96" w14:textId="77777777" w:rsidR="007B55FA" w:rsidRPr="00040AA9" w:rsidRDefault="007B55FA" w:rsidP="00040AA9">
            <w:pPr>
              <w:suppressAutoHyphens/>
              <w:rPr>
                <w:rFonts w:ascii="Arial" w:hAnsi="Arial" w:cs="Arial"/>
                <w:sz w:val="20"/>
                <w:szCs w:val="20"/>
              </w:rPr>
            </w:pPr>
          </w:p>
          <w:p w14:paraId="5A7F2E8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C28AE42"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w:t>
            </w:r>
          </w:p>
          <w:p w14:paraId="1FB2032E"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(2016/17)</w:t>
            </w:r>
          </w:p>
          <w:p w14:paraId="0B30B017" w14:textId="77777777" w:rsidR="007B55FA" w:rsidRPr="00040AA9" w:rsidRDefault="007B55FA" w:rsidP="00040AA9">
            <w:pPr>
              <w:keepNext/>
              <w:keepLines/>
              <w:suppressAutoHyphens/>
              <w:jc w:val="center"/>
              <w:rPr>
                <w:rFonts w:ascii="Arial" w:hAnsi="Arial" w:cs="Arial"/>
                <w:sz w:val="20"/>
                <w:szCs w:val="20"/>
              </w:rPr>
            </w:pPr>
          </w:p>
          <w:p w14:paraId="65E0148E"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consisting of</w:t>
            </w:r>
          </w:p>
          <w:p w14:paraId="6081803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6321E9F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(2014/15)</w:t>
            </w:r>
          </w:p>
          <w:p w14:paraId="2719BD51"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21808752"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5AD425C9" w14:textId="77777777" w:rsidR="007B55FA" w:rsidRPr="00040AA9" w:rsidRDefault="007B55FA" w:rsidP="00040AA9">
            <w:pPr>
              <w:keepNext/>
              <w:keepLines/>
              <w:suppressAutoHyphens/>
              <w:rPr>
                <w:rFonts w:ascii="Arial" w:hAnsi="Arial" w:cs="Arial"/>
                <w:sz w:val="20"/>
                <w:szCs w:val="20"/>
              </w:rPr>
            </w:pPr>
          </w:p>
          <w:p w14:paraId="17BA776C" w14:textId="77777777" w:rsidR="007B55FA" w:rsidRPr="00040AA9" w:rsidRDefault="007B55FA" w:rsidP="00040AA9">
            <w:pPr>
              <w:keepNext/>
              <w:keepLines/>
              <w:suppressAutoHyphens/>
              <w:rPr>
                <w:rFonts w:ascii="Arial" w:hAnsi="Arial" w:cs="Arial"/>
                <w:sz w:val="20"/>
                <w:szCs w:val="20"/>
              </w:rPr>
            </w:pPr>
          </w:p>
          <w:p w14:paraId="6784372F" w14:textId="77777777" w:rsidR="007B55FA" w:rsidRPr="00040AA9" w:rsidRDefault="007B55FA" w:rsidP="00040AA9">
            <w:pPr>
              <w:keepNext/>
              <w:keepLines/>
              <w:suppressAutoHyphens/>
              <w:rPr>
                <w:rFonts w:ascii="Arial" w:hAnsi="Arial" w:cs="Arial"/>
                <w:sz w:val="20"/>
                <w:szCs w:val="20"/>
              </w:rPr>
            </w:pPr>
          </w:p>
          <w:p w14:paraId="5645F4D1" w14:textId="77777777" w:rsidR="007B55FA" w:rsidRPr="00040AA9" w:rsidRDefault="007B55FA" w:rsidP="00040AA9">
            <w:pPr>
              <w:keepNext/>
              <w:keepLines/>
              <w:suppressAutoHyphens/>
              <w:rPr>
                <w:rFonts w:ascii="Arial" w:hAnsi="Arial" w:cs="Arial"/>
                <w:sz w:val="20"/>
                <w:szCs w:val="20"/>
              </w:rPr>
            </w:pPr>
          </w:p>
          <w:p w14:paraId="54CDE199" w14:textId="77777777" w:rsidR="007B55FA" w:rsidRPr="00040AA9" w:rsidRDefault="007B55FA" w:rsidP="00040AA9">
            <w:pPr>
              <w:keepNext/>
              <w:keepLines/>
              <w:suppressAutoHyphens/>
              <w:rPr>
                <w:rFonts w:ascii="Arial" w:hAnsi="Arial" w:cs="Arial"/>
                <w:sz w:val="20"/>
                <w:szCs w:val="20"/>
              </w:rPr>
            </w:pPr>
          </w:p>
          <w:p w14:paraId="79548518" w14:textId="77777777" w:rsidR="007B55FA" w:rsidRPr="00040AA9" w:rsidRDefault="007B55FA" w:rsidP="00040AA9">
            <w:pPr>
              <w:keepNext/>
              <w:keepLines/>
              <w:suppressAutoHyphens/>
              <w:rPr>
                <w:rFonts w:ascii="Arial" w:hAnsi="Arial" w:cs="Arial"/>
                <w:sz w:val="20"/>
                <w:szCs w:val="20"/>
              </w:rPr>
            </w:pPr>
          </w:p>
          <w:p w14:paraId="3A82D3BE" w14:textId="77777777" w:rsidR="007B55FA" w:rsidRPr="00040AA9" w:rsidRDefault="007B55FA" w:rsidP="00040AA9">
            <w:pPr>
              <w:keepNext/>
              <w:keepLines/>
              <w:suppressAutoHyphens/>
              <w:rPr>
                <w:rFonts w:ascii="Arial" w:hAnsi="Arial" w:cs="Arial"/>
                <w:sz w:val="20"/>
                <w:szCs w:val="20"/>
              </w:rPr>
            </w:pPr>
          </w:p>
          <w:p w14:paraId="4801FAC3" w14:textId="77777777" w:rsidR="007B55FA" w:rsidRPr="00040AA9" w:rsidRDefault="007B55FA" w:rsidP="00040AA9">
            <w:pPr>
              <w:keepNext/>
              <w:keepLines/>
              <w:suppressAutoHyphens/>
              <w:rPr>
                <w:rFonts w:ascii="Arial" w:hAnsi="Arial" w:cs="Arial"/>
                <w:sz w:val="20"/>
                <w:szCs w:val="20"/>
              </w:rPr>
            </w:pPr>
          </w:p>
          <w:p w14:paraId="0EFDE369" w14:textId="77777777" w:rsidR="007B55FA" w:rsidRPr="00040AA9" w:rsidRDefault="007B55FA" w:rsidP="00040AA9">
            <w:pPr>
              <w:keepNext/>
              <w:keepLines/>
              <w:suppressAutoHyphens/>
              <w:rPr>
                <w:rFonts w:ascii="Arial" w:hAnsi="Arial" w:cs="Arial"/>
                <w:sz w:val="20"/>
                <w:szCs w:val="20"/>
              </w:rPr>
            </w:pPr>
          </w:p>
          <w:p w14:paraId="3D09DB15"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3E26875A"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Letter from TAJ Commissioner General attaching LTO professional staff list working full time.</w:t>
            </w:r>
          </w:p>
        </w:tc>
      </w:tr>
      <w:tr w:rsidR="007B55FA" w:rsidRPr="00CF5903" w14:paraId="29464B0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7FD200AD"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670FA9D"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74B25FD"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8FD234B"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23FB98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1BE571A"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E20441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6E19A79" w14:textId="77777777" w:rsidR="007B55FA" w:rsidRPr="00040AA9" w:rsidRDefault="007B55FA" w:rsidP="00040AA9">
            <w:pPr>
              <w:suppressAutoHyphens/>
              <w:rPr>
                <w:rFonts w:ascii="Arial" w:hAnsi="Arial" w:cs="Arial"/>
                <w:sz w:val="20"/>
                <w:szCs w:val="20"/>
              </w:rPr>
            </w:pPr>
          </w:p>
        </w:tc>
      </w:tr>
      <w:tr w:rsidR="007B55FA" w:rsidRPr="00CF5903" w14:paraId="684DAA9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jc w:val="center"/>
        </w:trPr>
        <w:tc>
          <w:tcPr>
            <w:tcW w:w="2556" w:type="dxa"/>
            <w:vMerge/>
            <w:shd w:val="clear" w:color="auto" w:fill="auto"/>
            <w:hideMark/>
          </w:tcPr>
          <w:p w14:paraId="08B85E14"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3FDCA48"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A45FBA7"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9D42B28"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6B88702D" w14:textId="77777777" w:rsidR="007B55FA" w:rsidRPr="00040AA9" w:rsidRDefault="007B55FA" w:rsidP="00040AA9">
            <w:pPr>
              <w:suppressAutoHyphens/>
              <w:rPr>
                <w:rFonts w:ascii="Arial" w:hAnsi="Arial" w:cs="Arial"/>
                <w:sz w:val="20"/>
                <w:szCs w:val="20"/>
              </w:rPr>
            </w:pPr>
          </w:p>
          <w:p w14:paraId="6C445599" w14:textId="77777777" w:rsidR="007B55FA" w:rsidRPr="00040AA9" w:rsidRDefault="007B55FA" w:rsidP="00040AA9">
            <w:pPr>
              <w:suppressAutoHyphens/>
              <w:rPr>
                <w:rFonts w:ascii="Arial" w:hAnsi="Arial" w:cs="Arial"/>
                <w:sz w:val="20"/>
                <w:szCs w:val="20"/>
              </w:rPr>
            </w:pPr>
          </w:p>
          <w:p w14:paraId="1494B41D" w14:textId="77777777" w:rsidR="007B55FA" w:rsidRPr="00040AA9" w:rsidRDefault="007B55FA" w:rsidP="00040AA9">
            <w:pPr>
              <w:suppressAutoHyphens/>
              <w:rPr>
                <w:rFonts w:ascii="Arial" w:hAnsi="Arial" w:cs="Arial"/>
                <w:sz w:val="20"/>
                <w:szCs w:val="20"/>
              </w:rPr>
            </w:pPr>
          </w:p>
          <w:p w14:paraId="27CE74C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3663EC7C" w14:textId="77777777" w:rsidR="007B55FA" w:rsidRPr="00040AA9" w:rsidRDefault="007B55FA" w:rsidP="00040AA9">
            <w:pPr>
              <w:suppressAutoHyphens/>
              <w:rPr>
                <w:rFonts w:ascii="Arial" w:hAnsi="Arial" w:cs="Arial"/>
                <w:sz w:val="20"/>
                <w:szCs w:val="20"/>
              </w:rPr>
            </w:pPr>
          </w:p>
          <w:p w14:paraId="32742F3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w:t>
            </w:r>
          </w:p>
          <w:p w14:paraId="2E44D0A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p w14:paraId="2104CDC4" w14:textId="77777777" w:rsidR="007B55FA" w:rsidRPr="00040AA9" w:rsidRDefault="007B55FA" w:rsidP="00040AA9">
            <w:pPr>
              <w:suppressAutoHyphens/>
              <w:jc w:val="center"/>
              <w:rPr>
                <w:rFonts w:ascii="Arial" w:hAnsi="Arial" w:cs="Arial"/>
                <w:sz w:val="20"/>
                <w:szCs w:val="20"/>
              </w:rPr>
            </w:pPr>
          </w:p>
          <w:p w14:paraId="505695C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1 </w:t>
            </w:r>
          </w:p>
          <w:p w14:paraId="24BD726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virtual for (2014/15)</w:t>
            </w:r>
          </w:p>
          <w:p w14:paraId="12DB85BC" w14:textId="77777777" w:rsidR="007B55FA" w:rsidRPr="00040AA9" w:rsidRDefault="007B55FA" w:rsidP="00040AA9">
            <w:pPr>
              <w:suppressAutoHyphens/>
              <w:jc w:val="center"/>
              <w:rPr>
                <w:rFonts w:ascii="Arial" w:hAnsi="Arial" w:cs="Arial"/>
                <w:sz w:val="20"/>
                <w:szCs w:val="20"/>
              </w:rPr>
            </w:pPr>
          </w:p>
          <w:p w14:paraId="0AA6316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4C0EC9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real for </w:t>
            </w:r>
          </w:p>
          <w:p w14:paraId="1840557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p w14:paraId="771B6116" w14:textId="77777777" w:rsidR="007B55FA" w:rsidRPr="00040AA9" w:rsidRDefault="007B55FA" w:rsidP="00040AA9">
            <w:pPr>
              <w:suppressAutoHyphens/>
              <w:jc w:val="center"/>
              <w:rPr>
                <w:rFonts w:ascii="Arial" w:hAnsi="Arial" w:cs="Arial"/>
                <w:sz w:val="20"/>
                <w:szCs w:val="20"/>
              </w:rPr>
            </w:pPr>
          </w:p>
          <w:p w14:paraId="7068854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see notes</w:t>
            </w:r>
          </w:p>
        </w:tc>
        <w:tc>
          <w:tcPr>
            <w:tcW w:w="1106" w:type="dxa"/>
            <w:vMerge/>
            <w:shd w:val="clear" w:color="auto" w:fill="auto"/>
            <w:hideMark/>
          </w:tcPr>
          <w:p w14:paraId="74CE9BA2"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5358CC4"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FS to Bank dated May 27, 2015 (part II.2..c.A.1) providing evidence of compliance with section2.03.I.(b)(</w:t>
            </w:r>
            <w:proofErr w:type="spellStart"/>
            <w:r w:rsidRPr="00040AA9">
              <w:rPr>
                <w:rFonts w:ascii="Arial" w:hAnsi="Arial" w:cs="Arial"/>
                <w:sz w:val="20"/>
                <w:szCs w:val="20"/>
              </w:rPr>
              <w:t>i</w:t>
            </w:r>
            <w:proofErr w:type="spellEnd"/>
            <w:r w:rsidRPr="00040AA9">
              <w:rPr>
                <w:rFonts w:ascii="Arial" w:hAnsi="Arial" w:cs="Arial"/>
                <w:sz w:val="20"/>
                <w:szCs w:val="20"/>
              </w:rPr>
              <w:t xml:space="preserve">)(A)) of the FISPEG II loan contract by way of certifying that the number of qualified professional staff in the Large </w:t>
            </w:r>
          </w:p>
          <w:p w14:paraId="6265F8DE" w14:textId="31C95F23" w:rsidR="007B55FA" w:rsidRPr="00040AA9" w:rsidRDefault="007B55FA" w:rsidP="00040AA9">
            <w:pPr>
              <w:suppressAutoHyphens/>
              <w:rPr>
                <w:rFonts w:ascii="Arial" w:hAnsi="Arial" w:cs="Arial"/>
                <w:sz w:val="20"/>
                <w:szCs w:val="20"/>
              </w:rPr>
            </w:pPr>
            <w:r w:rsidRPr="00040AA9">
              <w:rPr>
                <w:rFonts w:ascii="Arial" w:hAnsi="Arial" w:cs="Arial"/>
                <w:sz w:val="20"/>
                <w:szCs w:val="20"/>
              </w:rPr>
              <w:t>Taxpayer Office (LTO) is being maintained at no less than 120. The letter also includes a list of the LTO positions filled.</w:t>
            </w:r>
            <w:r w:rsidRPr="00040AA9">
              <w:rPr>
                <w:rStyle w:val="FootnoteReference"/>
                <w:rFonts w:ascii="Arial" w:hAnsi="Arial" w:cs="Arial"/>
                <w:sz w:val="20"/>
                <w:szCs w:val="20"/>
              </w:rPr>
              <w:footnoteReference w:id="102"/>
            </w:r>
          </w:p>
        </w:tc>
      </w:tr>
      <w:tr w:rsidR="007B55FA" w:rsidRPr="00CF5903" w14:paraId="5866EC0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069770A7"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II.8.2</w:t>
            </w:r>
          </w:p>
          <w:p w14:paraId="7AC976CE"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Total number of professional staff in the LTO. </w:t>
            </w:r>
          </w:p>
          <w:p w14:paraId="1DDFA942"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2.13,</w:t>
            </w:r>
          </w:p>
          <w:p w14:paraId="286D1C86"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2.03.I.(b)(</w:t>
            </w:r>
            <w:proofErr w:type="spellStart"/>
            <w:r w:rsidRPr="00040AA9">
              <w:rPr>
                <w:rFonts w:ascii="Arial" w:hAnsi="Arial" w:cs="Arial"/>
                <w:sz w:val="20"/>
                <w:szCs w:val="20"/>
              </w:rPr>
              <w:t>i</w:t>
            </w:r>
            <w:proofErr w:type="spellEnd"/>
            <w:r w:rsidRPr="00040AA9">
              <w:rPr>
                <w:rFonts w:ascii="Arial" w:hAnsi="Arial" w:cs="Arial"/>
                <w:sz w:val="20"/>
                <w:szCs w:val="20"/>
              </w:rPr>
              <w:t>)(A))</w:t>
            </w:r>
          </w:p>
        </w:tc>
        <w:tc>
          <w:tcPr>
            <w:tcW w:w="860" w:type="dxa"/>
            <w:vMerge w:val="restart"/>
            <w:shd w:val="clear" w:color="auto" w:fill="auto"/>
          </w:tcPr>
          <w:p w14:paraId="7CEC0875" w14:textId="77777777" w:rsidR="007B55FA" w:rsidRPr="00040AA9" w:rsidRDefault="007B55FA" w:rsidP="00040AA9">
            <w:pPr>
              <w:suppressAutoHyphens/>
              <w:jc w:val="center"/>
              <w:rPr>
                <w:rFonts w:ascii="Arial" w:hAnsi="Arial" w:cs="Arial"/>
                <w:sz w:val="20"/>
                <w:szCs w:val="20"/>
              </w:rPr>
            </w:pPr>
          </w:p>
          <w:p w14:paraId="060D712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Professionals</w:t>
            </w:r>
          </w:p>
        </w:tc>
        <w:tc>
          <w:tcPr>
            <w:tcW w:w="774" w:type="dxa"/>
            <w:vMerge w:val="restart"/>
            <w:shd w:val="clear" w:color="auto" w:fill="auto"/>
          </w:tcPr>
          <w:p w14:paraId="4CBAE0B9" w14:textId="77777777" w:rsidR="007B55FA" w:rsidRPr="00040AA9" w:rsidRDefault="007B55FA" w:rsidP="00040AA9">
            <w:pPr>
              <w:suppressAutoHyphens/>
              <w:jc w:val="center"/>
              <w:rPr>
                <w:rFonts w:ascii="Arial" w:hAnsi="Arial" w:cs="Arial"/>
                <w:sz w:val="20"/>
                <w:szCs w:val="20"/>
              </w:rPr>
            </w:pPr>
          </w:p>
          <w:p w14:paraId="384C073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75</w:t>
            </w:r>
          </w:p>
        </w:tc>
        <w:tc>
          <w:tcPr>
            <w:tcW w:w="939" w:type="dxa"/>
            <w:vMerge w:val="restart"/>
            <w:shd w:val="clear" w:color="auto" w:fill="auto"/>
          </w:tcPr>
          <w:p w14:paraId="57BD223E" w14:textId="77777777" w:rsidR="007B55FA" w:rsidRPr="00040AA9" w:rsidRDefault="007B55FA" w:rsidP="00040AA9">
            <w:pPr>
              <w:suppressAutoHyphens/>
              <w:jc w:val="center"/>
              <w:rPr>
                <w:rFonts w:ascii="Arial" w:hAnsi="Arial" w:cs="Arial"/>
                <w:sz w:val="20"/>
                <w:szCs w:val="20"/>
              </w:rPr>
            </w:pPr>
          </w:p>
          <w:p w14:paraId="0DD781E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1F9EA162" w14:textId="77777777" w:rsidR="007B55FA" w:rsidRPr="00040AA9" w:rsidRDefault="007B55FA" w:rsidP="00040AA9">
            <w:pPr>
              <w:suppressAutoHyphens/>
              <w:jc w:val="center"/>
              <w:rPr>
                <w:rFonts w:ascii="Arial" w:hAnsi="Arial" w:cs="Arial"/>
                <w:sz w:val="20"/>
                <w:szCs w:val="20"/>
              </w:rPr>
            </w:pPr>
          </w:p>
          <w:p w14:paraId="23A1DDC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13C514F3" w14:textId="77777777" w:rsidR="007B55FA" w:rsidRPr="00040AA9" w:rsidRDefault="007B55FA" w:rsidP="00040AA9">
            <w:pPr>
              <w:suppressAutoHyphens/>
              <w:jc w:val="center"/>
              <w:rPr>
                <w:rFonts w:ascii="Arial" w:hAnsi="Arial" w:cs="Arial"/>
                <w:sz w:val="20"/>
                <w:szCs w:val="20"/>
              </w:rPr>
            </w:pPr>
          </w:p>
          <w:p w14:paraId="0AC16DF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135</w:t>
            </w:r>
          </w:p>
          <w:p w14:paraId="39A485B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(2016/17)</w:t>
            </w:r>
          </w:p>
        </w:tc>
        <w:tc>
          <w:tcPr>
            <w:tcW w:w="1106" w:type="dxa"/>
            <w:vMerge w:val="restart"/>
            <w:shd w:val="clear" w:color="auto" w:fill="auto"/>
          </w:tcPr>
          <w:p w14:paraId="77AA3696" w14:textId="77777777" w:rsidR="007B55FA" w:rsidRPr="00040AA9" w:rsidRDefault="007B55FA" w:rsidP="00040AA9">
            <w:pPr>
              <w:suppressAutoHyphens/>
              <w:rPr>
                <w:rFonts w:ascii="Arial" w:hAnsi="Arial" w:cs="Arial"/>
                <w:sz w:val="20"/>
                <w:szCs w:val="20"/>
              </w:rPr>
            </w:pPr>
          </w:p>
          <w:p w14:paraId="57FCFD6B" w14:textId="77777777" w:rsidR="007B55FA" w:rsidRPr="00040AA9" w:rsidRDefault="007B55FA" w:rsidP="00040AA9">
            <w:pPr>
              <w:suppressAutoHyphens/>
              <w:rPr>
                <w:rFonts w:ascii="Arial" w:hAnsi="Arial" w:cs="Arial"/>
                <w:sz w:val="20"/>
                <w:szCs w:val="20"/>
              </w:rPr>
            </w:pPr>
          </w:p>
          <w:p w14:paraId="1F92E57D" w14:textId="77777777" w:rsidR="007B55FA" w:rsidRPr="00040AA9" w:rsidRDefault="007B55FA" w:rsidP="00040AA9">
            <w:pPr>
              <w:suppressAutoHyphens/>
              <w:rPr>
                <w:rFonts w:ascii="Arial" w:hAnsi="Arial" w:cs="Arial"/>
                <w:sz w:val="20"/>
                <w:szCs w:val="20"/>
              </w:rPr>
            </w:pPr>
          </w:p>
          <w:p w14:paraId="617AAA4D" w14:textId="77777777" w:rsidR="007B55FA" w:rsidRPr="00040AA9" w:rsidRDefault="007B55FA" w:rsidP="00040AA9">
            <w:pPr>
              <w:suppressAutoHyphens/>
              <w:rPr>
                <w:rFonts w:ascii="Arial" w:hAnsi="Arial" w:cs="Arial"/>
                <w:sz w:val="20"/>
                <w:szCs w:val="20"/>
              </w:rPr>
            </w:pPr>
          </w:p>
          <w:p w14:paraId="39E42729" w14:textId="77777777" w:rsidR="007B55FA" w:rsidRPr="00040AA9" w:rsidRDefault="007B55FA" w:rsidP="00040AA9">
            <w:pPr>
              <w:suppressAutoHyphens/>
              <w:rPr>
                <w:rFonts w:ascii="Arial" w:hAnsi="Arial" w:cs="Arial"/>
                <w:sz w:val="20"/>
                <w:szCs w:val="20"/>
              </w:rPr>
            </w:pPr>
          </w:p>
          <w:p w14:paraId="00BF2BE9" w14:textId="77777777" w:rsidR="007B55FA" w:rsidRPr="00040AA9" w:rsidRDefault="007B55FA" w:rsidP="00040AA9">
            <w:pPr>
              <w:suppressAutoHyphens/>
              <w:rPr>
                <w:rFonts w:ascii="Arial" w:hAnsi="Arial" w:cs="Arial"/>
                <w:sz w:val="20"/>
                <w:szCs w:val="20"/>
              </w:rPr>
            </w:pPr>
          </w:p>
          <w:p w14:paraId="41043F38" w14:textId="77777777" w:rsidR="007B55FA" w:rsidRPr="00040AA9" w:rsidRDefault="007B55FA" w:rsidP="00040AA9">
            <w:pPr>
              <w:suppressAutoHyphens/>
              <w:rPr>
                <w:rFonts w:ascii="Arial" w:hAnsi="Arial" w:cs="Arial"/>
                <w:sz w:val="20"/>
                <w:szCs w:val="20"/>
              </w:rPr>
            </w:pPr>
          </w:p>
          <w:p w14:paraId="5AFA1C5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p w14:paraId="481D0D9E" w14:textId="77777777" w:rsidR="007B55FA" w:rsidRPr="00040AA9" w:rsidRDefault="007B55FA" w:rsidP="00040AA9">
            <w:pPr>
              <w:suppressAutoHyphens/>
              <w:rPr>
                <w:rFonts w:ascii="Arial" w:hAnsi="Arial" w:cs="Arial"/>
                <w:sz w:val="20"/>
                <w:szCs w:val="20"/>
              </w:rPr>
            </w:pPr>
          </w:p>
          <w:p w14:paraId="1DA0371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66E859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TAJ Commissioner General reporting the number of LTO professionals employed.</w:t>
            </w:r>
          </w:p>
        </w:tc>
      </w:tr>
      <w:tr w:rsidR="007B55FA" w:rsidRPr="00CF5903" w14:paraId="229E3E2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7F7AA8A1"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1FA416A3"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75051F49"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08E3CF0"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BC4A21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518C5E6B"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110F22F0"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CBC1287" w14:textId="77777777" w:rsidR="007B55FA" w:rsidRPr="00040AA9" w:rsidRDefault="007B55FA" w:rsidP="00040AA9">
            <w:pPr>
              <w:suppressAutoHyphens/>
              <w:rPr>
                <w:rFonts w:ascii="Arial" w:hAnsi="Arial" w:cs="Arial"/>
                <w:sz w:val="20"/>
                <w:szCs w:val="20"/>
              </w:rPr>
            </w:pPr>
          </w:p>
        </w:tc>
      </w:tr>
      <w:tr w:rsidR="007B55FA" w:rsidRPr="00CF5903" w14:paraId="0FA3A6C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4"/>
          <w:jc w:val="center"/>
        </w:trPr>
        <w:tc>
          <w:tcPr>
            <w:tcW w:w="2556" w:type="dxa"/>
            <w:vMerge/>
            <w:tcBorders>
              <w:bottom w:val="single" w:sz="4" w:space="0" w:color="auto"/>
            </w:tcBorders>
            <w:shd w:val="clear" w:color="auto" w:fill="auto"/>
            <w:hideMark/>
          </w:tcPr>
          <w:p w14:paraId="2BC2186F"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503026C0"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624B7814"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044A796D"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3820FC20" w14:textId="77777777" w:rsidR="007B55FA" w:rsidRPr="00040AA9" w:rsidRDefault="007B55FA" w:rsidP="00040AA9">
            <w:pPr>
              <w:suppressAutoHyphens/>
              <w:jc w:val="center"/>
              <w:rPr>
                <w:rFonts w:ascii="Arial" w:hAnsi="Arial" w:cs="Arial"/>
                <w:sz w:val="20"/>
                <w:szCs w:val="20"/>
              </w:rPr>
            </w:pPr>
          </w:p>
          <w:p w14:paraId="647533EF" w14:textId="77777777" w:rsidR="007B55FA" w:rsidRPr="00040AA9" w:rsidRDefault="007B55FA" w:rsidP="00040AA9">
            <w:pPr>
              <w:suppressAutoHyphens/>
              <w:jc w:val="center"/>
              <w:rPr>
                <w:rFonts w:ascii="Arial" w:hAnsi="Arial" w:cs="Arial"/>
                <w:sz w:val="20"/>
                <w:szCs w:val="20"/>
              </w:rPr>
            </w:pPr>
          </w:p>
          <w:p w14:paraId="7F564FA2" w14:textId="77777777" w:rsidR="007B55FA" w:rsidRPr="00040AA9" w:rsidRDefault="007B55FA" w:rsidP="00040AA9">
            <w:pPr>
              <w:suppressAutoHyphens/>
              <w:jc w:val="center"/>
              <w:rPr>
                <w:rFonts w:ascii="Arial" w:hAnsi="Arial" w:cs="Arial"/>
                <w:sz w:val="20"/>
                <w:szCs w:val="20"/>
              </w:rPr>
            </w:pPr>
          </w:p>
          <w:p w14:paraId="2D39E4B3" w14:textId="77777777" w:rsidR="007B55FA" w:rsidRPr="00040AA9" w:rsidRDefault="007B55FA" w:rsidP="00040AA9">
            <w:pPr>
              <w:suppressAutoHyphens/>
              <w:jc w:val="center"/>
              <w:rPr>
                <w:rFonts w:ascii="Arial" w:hAnsi="Arial" w:cs="Arial"/>
                <w:sz w:val="20"/>
                <w:szCs w:val="20"/>
              </w:rPr>
            </w:pPr>
          </w:p>
          <w:p w14:paraId="210781C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380A14C5" w14:textId="77777777" w:rsidR="007B55FA" w:rsidRPr="00040AA9" w:rsidRDefault="007B55FA" w:rsidP="00040AA9">
            <w:pPr>
              <w:suppressAutoHyphens/>
              <w:jc w:val="center"/>
              <w:rPr>
                <w:rFonts w:ascii="Arial" w:hAnsi="Arial" w:cs="Arial"/>
                <w:sz w:val="20"/>
                <w:szCs w:val="20"/>
              </w:rPr>
            </w:pPr>
          </w:p>
          <w:p w14:paraId="75CB97DD" w14:textId="77777777" w:rsidR="007B55FA" w:rsidRPr="00040AA9" w:rsidRDefault="007B55FA" w:rsidP="00040AA9">
            <w:pPr>
              <w:suppressAutoHyphens/>
              <w:jc w:val="center"/>
              <w:rPr>
                <w:rFonts w:ascii="Arial" w:hAnsi="Arial" w:cs="Arial"/>
                <w:sz w:val="20"/>
                <w:szCs w:val="20"/>
              </w:rPr>
            </w:pPr>
          </w:p>
          <w:p w14:paraId="1E8DF25F" w14:textId="77777777" w:rsidR="007B55FA" w:rsidRPr="00040AA9" w:rsidRDefault="007B55FA" w:rsidP="00040AA9">
            <w:pPr>
              <w:suppressAutoHyphens/>
              <w:jc w:val="center"/>
              <w:rPr>
                <w:rFonts w:ascii="Arial" w:hAnsi="Arial" w:cs="Arial"/>
                <w:sz w:val="20"/>
                <w:szCs w:val="20"/>
              </w:rPr>
            </w:pPr>
          </w:p>
          <w:p w14:paraId="4697EE5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135</w:t>
            </w:r>
          </w:p>
          <w:p w14:paraId="4DA06D6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bottom w:val="single" w:sz="4" w:space="0" w:color="auto"/>
            </w:tcBorders>
            <w:shd w:val="clear" w:color="auto" w:fill="auto"/>
            <w:hideMark/>
          </w:tcPr>
          <w:p w14:paraId="1E91FFC8"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620E5CB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II.2.c.A.1) providing evidence of compliance with section 2.03.I.(a)(ii)(B) of the FISPEG III loan contract by way of confirming an increase in the number of qualified professional staff in the Large Taxpayer Office (LTO) to 135</w:t>
            </w:r>
          </w:p>
        </w:tc>
      </w:tr>
      <w:tr w:rsidR="007B55FA" w:rsidRPr="00CF5903" w14:paraId="42217D8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1"/>
          <w:jc w:val="center"/>
        </w:trPr>
        <w:tc>
          <w:tcPr>
            <w:tcW w:w="12859" w:type="dxa"/>
            <w:gridSpan w:val="8"/>
            <w:shd w:val="clear" w:color="auto" w:fill="F2F2F2" w:themeFill="background1" w:themeFillShade="F2"/>
          </w:tcPr>
          <w:p w14:paraId="14420BF8" w14:textId="77777777"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 xml:space="preserve">Output II.9. </w:t>
            </w:r>
            <w:r w:rsidRPr="00040AA9">
              <w:rPr>
                <w:rFonts w:ascii="Arial" w:hAnsi="Arial" w:cs="Arial"/>
                <w:b/>
                <w:sz w:val="20"/>
                <w:szCs w:val="20"/>
                <w:shd w:val="clear" w:color="auto" w:fill="F2F2F2" w:themeFill="background1" w:themeFillShade="F2"/>
              </w:rPr>
              <w:t>Large (and other) taxpayers paying on-time via e-filing</w:t>
            </w:r>
          </w:p>
        </w:tc>
      </w:tr>
      <w:tr w:rsidR="007B55FA" w:rsidRPr="00CF5903" w14:paraId="30D86DE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70"/>
          <w:jc w:val="center"/>
        </w:trPr>
        <w:tc>
          <w:tcPr>
            <w:tcW w:w="2556" w:type="dxa"/>
            <w:vMerge w:val="restart"/>
            <w:shd w:val="clear" w:color="auto" w:fill="auto"/>
            <w:hideMark/>
          </w:tcPr>
          <w:p w14:paraId="19DA3E86" w14:textId="77777777" w:rsidR="007B55FA" w:rsidRPr="00040AA9" w:rsidRDefault="007B55FA" w:rsidP="00040AA9">
            <w:pPr>
              <w:keepNext/>
              <w:keepLines/>
              <w:suppressAutoHyphens/>
              <w:ind w:left="69" w:firstLine="90"/>
              <w:rPr>
                <w:rFonts w:ascii="Arial" w:hAnsi="Arial" w:cs="Arial"/>
                <w:sz w:val="20"/>
                <w:szCs w:val="20"/>
              </w:rPr>
            </w:pPr>
            <w:r w:rsidRPr="00040AA9">
              <w:rPr>
                <w:rFonts w:ascii="Arial" w:hAnsi="Arial" w:cs="Arial"/>
                <w:sz w:val="20"/>
                <w:szCs w:val="20"/>
              </w:rPr>
              <w:t>Indicator II.9.1</w:t>
            </w:r>
          </w:p>
          <w:p w14:paraId="649D6C46" w14:textId="77777777" w:rsidR="007B55FA" w:rsidRPr="00040AA9" w:rsidRDefault="007B55FA" w:rsidP="00040AA9">
            <w:pPr>
              <w:keepNext/>
              <w:keepLines/>
              <w:suppressAutoHyphens/>
              <w:ind w:left="339"/>
              <w:rPr>
                <w:rFonts w:ascii="Arial" w:hAnsi="Arial" w:cs="Arial"/>
                <w:sz w:val="20"/>
                <w:szCs w:val="20"/>
              </w:rPr>
            </w:pPr>
            <w:r w:rsidRPr="00040AA9">
              <w:rPr>
                <w:rFonts w:ascii="Arial" w:hAnsi="Arial" w:cs="Arial"/>
                <w:sz w:val="20"/>
                <w:szCs w:val="20"/>
              </w:rPr>
              <w:t xml:space="preserve">Report presenting the information about the Large Taxpayers filing on time CIT, GCT and PAYE prepared </w:t>
            </w:r>
          </w:p>
          <w:p w14:paraId="064FB238" w14:textId="77777777" w:rsidR="007B55FA" w:rsidRPr="00040AA9" w:rsidRDefault="007B55FA" w:rsidP="00040AA9">
            <w:pPr>
              <w:keepNext/>
              <w:keepLines/>
              <w:suppressAutoHyphens/>
              <w:ind w:left="339"/>
              <w:rPr>
                <w:rFonts w:ascii="Arial" w:hAnsi="Arial" w:cs="Arial"/>
                <w:sz w:val="20"/>
                <w:szCs w:val="20"/>
              </w:rPr>
            </w:pPr>
            <w:r w:rsidRPr="00040AA9">
              <w:rPr>
                <w:rFonts w:ascii="Arial" w:hAnsi="Arial" w:cs="Arial"/>
                <w:sz w:val="20"/>
                <w:szCs w:val="20"/>
              </w:rPr>
              <w:t xml:space="preserve">(FSPG II – product 2.3, </w:t>
            </w:r>
          </w:p>
          <w:p w14:paraId="3A74BA54" w14:textId="77777777" w:rsidR="007B55FA" w:rsidRPr="00040AA9" w:rsidRDefault="007B55FA" w:rsidP="00040AA9">
            <w:pPr>
              <w:keepNext/>
              <w:keepLines/>
              <w:suppressAutoHyphens/>
              <w:ind w:left="339"/>
              <w:rPr>
                <w:rFonts w:ascii="Arial" w:hAnsi="Arial" w:cs="Arial"/>
                <w:sz w:val="20"/>
                <w:szCs w:val="20"/>
              </w:rPr>
            </w:pPr>
            <w:r w:rsidRPr="00040AA9">
              <w:rPr>
                <w:rFonts w:ascii="Arial" w:hAnsi="Arial" w:cs="Arial"/>
                <w:sz w:val="20"/>
                <w:szCs w:val="20"/>
              </w:rPr>
              <w:t>contract section 2.03.I.(b)(</w:t>
            </w:r>
            <w:proofErr w:type="spellStart"/>
            <w:r w:rsidRPr="00040AA9">
              <w:rPr>
                <w:rFonts w:ascii="Arial" w:hAnsi="Arial" w:cs="Arial"/>
                <w:sz w:val="20"/>
                <w:szCs w:val="20"/>
              </w:rPr>
              <w:t>i</w:t>
            </w:r>
            <w:proofErr w:type="spellEnd"/>
            <w:r w:rsidRPr="00040AA9">
              <w:rPr>
                <w:rFonts w:ascii="Arial" w:hAnsi="Arial" w:cs="Arial"/>
                <w:sz w:val="20"/>
                <w:szCs w:val="20"/>
              </w:rPr>
              <w:t>)(B,C))</w:t>
            </w:r>
          </w:p>
        </w:tc>
        <w:tc>
          <w:tcPr>
            <w:tcW w:w="860" w:type="dxa"/>
            <w:vMerge w:val="restart"/>
            <w:shd w:val="clear" w:color="auto" w:fill="auto"/>
            <w:vAlign w:val="center"/>
          </w:tcPr>
          <w:p w14:paraId="2B1CF3E5"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Report</w:t>
            </w:r>
          </w:p>
        </w:tc>
        <w:tc>
          <w:tcPr>
            <w:tcW w:w="774" w:type="dxa"/>
            <w:vMerge w:val="restart"/>
            <w:shd w:val="clear" w:color="auto" w:fill="auto"/>
            <w:vAlign w:val="center"/>
          </w:tcPr>
          <w:p w14:paraId="10C567B2"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0027C06E" w14:textId="77777777" w:rsidR="007B55FA" w:rsidRPr="00040AA9" w:rsidRDefault="007B55FA" w:rsidP="00040AA9">
            <w:pPr>
              <w:keepNext/>
              <w:keepLines/>
              <w:suppressAutoHyphens/>
              <w:jc w:val="center"/>
              <w:rPr>
                <w:rFonts w:ascii="Arial" w:hAnsi="Arial" w:cs="Arial"/>
                <w:sz w:val="20"/>
                <w:szCs w:val="20"/>
              </w:rPr>
            </w:pPr>
          </w:p>
          <w:p w14:paraId="100DE83F" w14:textId="77777777" w:rsidR="007B55FA" w:rsidRPr="00040AA9" w:rsidRDefault="007B55FA" w:rsidP="00040AA9">
            <w:pPr>
              <w:keepNext/>
              <w:keepLines/>
              <w:suppressAutoHyphens/>
              <w:jc w:val="center"/>
              <w:rPr>
                <w:rFonts w:ascii="Arial" w:hAnsi="Arial" w:cs="Arial"/>
                <w:sz w:val="20"/>
                <w:szCs w:val="20"/>
              </w:rPr>
            </w:pPr>
          </w:p>
          <w:p w14:paraId="009379C8" w14:textId="77777777" w:rsidR="007B55FA" w:rsidRPr="00040AA9" w:rsidRDefault="007B55FA" w:rsidP="00040AA9">
            <w:pPr>
              <w:keepNext/>
              <w:keepLines/>
              <w:suppressAutoHyphens/>
              <w:jc w:val="center"/>
              <w:rPr>
                <w:rFonts w:ascii="Arial" w:hAnsi="Arial" w:cs="Arial"/>
                <w:sz w:val="20"/>
                <w:szCs w:val="20"/>
              </w:rPr>
            </w:pPr>
          </w:p>
          <w:p w14:paraId="34B394AD" w14:textId="77777777" w:rsidR="007B55FA" w:rsidRPr="00040AA9" w:rsidRDefault="007B55FA" w:rsidP="00040AA9">
            <w:pPr>
              <w:keepNext/>
              <w:keepLines/>
              <w:suppressAutoHyphens/>
              <w:jc w:val="center"/>
              <w:rPr>
                <w:rFonts w:ascii="Arial" w:hAnsi="Arial" w:cs="Arial"/>
                <w:sz w:val="20"/>
                <w:szCs w:val="20"/>
              </w:rPr>
            </w:pPr>
          </w:p>
          <w:p w14:paraId="685B8486"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19F7F1BB" w14:textId="77777777" w:rsidR="007B55FA" w:rsidRPr="00040AA9" w:rsidRDefault="007B55FA" w:rsidP="00040AA9">
            <w:pPr>
              <w:keepNext/>
              <w:keepLines/>
              <w:suppressAutoHyphens/>
              <w:rPr>
                <w:rFonts w:ascii="Arial" w:hAnsi="Arial" w:cs="Arial"/>
                <w:sz w:val="20"/>
                <w:szCs w:val="20"/>
              </w:rPr>
            </w:pPr>
          </w:p>
          <w:p w14:paraId="58015FBC" w14:textId="77777777" w:rsidR="007B55FA" w:rsidRPr="00040AA9" w:rsidRDefault="007B55FA" w:rsidP="00040AA9">
            <w:pPr>
              <w:keepNext/>
              <w:keepLines/>
              <w:suppressAutoHyphens/>
              <w:rPr>
                <w:rFonts w:ascii="Arial" w:hAnsi="Arial" w:cs="Arial"/>
                <w:sz w:val="20"/>
                <w:szCs w:val="20"/>
              </w:rPr>
            </w:pPr>
          </w:p>
          <w:p w14:paraId="47C2901B" w14:textId="77777777" w:rsidR="007B55FA" w:rsidRPr="00040AA9" w:rsidRDefault="007B55FA" w:rsidP="00040AA9">
            <w:pPr>
              <w:keepNext/>
              <w:keepLines/>
              <w:suppressAutoHyphens/>
              <w:rPr>
                <w:rFonts w:ascii="Arial" w:hAnsi="Arial" w:cs="Arial"/>
                <w:sz w:val="20"/>
                <w:szCs w:val="20"/>
              </w:rPr>
            </w:pPr>
          </w:p>
          <w:p w14:paraId="0E1F295D"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C82882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w:t>
            </w:r>
          </w:p>
          <w:p w14:paraId="16AF6425"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(2016/17)</w:t>
            </w:r>
          </w:p>
          <w:p w14:paraId="61A19696" w14:textId="77777777" w:rsidR="007B55FA" w:rsidRPr="00040AA9" w:rsidRDefault="007B55FA" w:rsidP="00040AA9">
            <w:pPr>
              <w:keepNext/>
              <w:keepLines/>
              <w:suppressAutoHyphens/>
              <w:jc w:val="center"/>
              <w:rPr>
                <w:rFonts w:ascii="Arial" w:hAnsi="Arial" w:cs="Arial"/>
                <w:sz w:val="20"/>
                <w:szCs w:val="20"/>
              </w:rPr>
            </w:pPr>
          </w:p>
          <w:p w14:paraId="0F1AECB6"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consisting of</w:t>
            </w:r>
          </w:p>
          <w:p w14:paraId="16F7AB0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36690C20"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(2014/15)</w:t>
            </w:r>
          </w:p>
          <w:p w14:paraId="770306A2" w14:textId="77777777" w:rsidR="007B55FA" w:rsidRPr="00040AA9" w:rsidRDefault="007B55FA" w:rsidP="00040AA9">
            <w:pPr>
              <w:keepNext/>
              <w:keepLines/>
              <w:suppressAutoHyphens/>
              <w:jc w:val="center"/>
              <w:rPr>
                <w:rFonts w:ascii="Arial" w:hAnsi="Arial" w:cs="Arial"/>
                <w:sz w:val="20"/>
                <w:szCs w:val="20"/>
              </w:rPr>
            </w:pPr>
          </w:p>
          <w:p w14:paraId="4A225AFB"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230918D7"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2F0AB8CA" w14:textId="77777777" w:rsidR="007B55FA" w:rsidRPr="00040AA9" w:rsidRDefault="007B55FA" w:rsidP="00040AA9">
            <w:pPr>
              <w:keepNext/>
              <w:keepLines/>
              <w:suppressAutoHyphens/>
              <w:rPr>
                <w:rFonts w:ascii="Arial" w:hAnsi="Arial" w:cs="Arial"/>
                <w:sz w:val="20"/>
                <w:szCs w:val="20"/>
              </w:rPr>
            </w:pPr>
          </w:p>
          <w:p w14:paraId="495FD834" w14:textId="77777777" w:rsidR="007B55FA" w:rsidRPr="00040AA9" w:rsidRDefault="007B55FA" w:rsidP="00040AA9">
            <w:pPr>
              <w:keepNext/>
              <w:keepLines/>
              <w:suppressAutoHyphens/>
              <w:rPr>
                <w:rFonts w:ascii="Arial" w:hAnsi="Arial" w:cs="Arial"/>
                <w:sz w:val="20"/>
                <w:szCs w:val="20"/>
              </w:rPr>
            </w:pPr>
          </w:p>
          <w:p w14:paraId="7CF60CEB" w14:textId="77777777" w:rsidR="007B55FA" w:rsidRPr="00040AA9" w:rsidRDefault="007B55FA" w:rsidP="00040AA9">
            <w:pPr>
              <w:keepNext/>
              <w:keepLines/>
              <w:suppressAutoHyphens/>
              <w:rPr>
                <w:rFonts w:ascii="Arial" w:hAnsi="Arial" w:cs="Arial"/>
                <w:sz w:val="20"/>
                <w:szCs w:val="20"/>
              </w:rPr>
            </w:pPr>
          </w:p>
          <w:p w14:paraId="065A7EE6" w14:textId="77777777" w:rsidR="007B55FA" w:rsidRPr="00040AA9" w:rsidRDefault="007B55FA" w:rsidP="00040AA9">
            <w:pPr>
              <w:keepNext/>
              <w:keepLines/>
              <w:suppressAutoHyphens/>
              <w:rPr>
                <w:rFonts w:ascii="Arial" w:hAnsi="Arial" w:cs="Arial"/>
                <w:sz w:val="20"/>
                <w:szCs w:val="20"/>
              </w:rPr>
            </w:pPr>
          </w:p>
          <w:p w14:paraId="58C2E3D8" w14:textId="77777777" w:rsidR="007B55FA" w:rsidRPr="00040AA9" w:rsidRDefault="007B55FA" w:rsidP="00040AA9">
            <w:pPr>
              <w:keepNext/>
              <w:keepLines/>
              <w:suppressAutoHyphens/>
              <w:rPr>
                <w:rFonts w:ascii="Arial" w:hAnsi="Arial" w:cs="Arial"/>
                <w:sz w:val="20"/>
                <w:szCs w:val="20"/>
              </w:rPr>
            </w:pPr>
          </w:p>
          <w:p w14:paraId="47ABA857" w14:textId="77777777" w:rsidR="007B55FA" w:rsidRPr="00040AA9" w:rsidRDefault="007B55FA" w:rsidP="00040AA9">
            <w:pPr>
              <w:keepNext/>
              <w:keepLines/>
              <w:suppressAutoHyphens/>
              <w:rPr>
                <w:rFonts w:ascii="Arial" w:hAnsi="Arial" w:cs="Arial"/>
                <w:sz w:val="20"/>
                <w:szCs w:val="20"/>
              </w:rPr>
            </w:pPr>
          </w:p>
          <w:p w14:paraId="1F65E767" w14:textId="77777777" w:rsidR="007B55FA" w:rsidRPr="00040AA9" w:rsidRDefault="007B55FA" w:rsidP="00040AA9">
            <w:pPr>
              <w:keepNext/>
              <w:keepLines/>
              <w:suppressAutoHyphens/>
              <w:rPr>
                <w:rFonts w:ascii="Arial" w:hAnsi="Arial" w:cs="Arial"/>
                <w:sz w:val="20"/>
                <w:szCs w:val="20"/>
              </w:rPr>
            </w:pPr>
          </w:p>
          <w:p w14:paraId="236B0D12" w14:textId="77777777" w:rsidR="007B55FA" w:rsidRPr="00040AA9" w:rsidRDefault="007B55FA" w:rsidP="00040AA9">
            <w:pPr>
              <w:keepNext/>
              <w:keepLines/>
              <w:suppressAutoHyphens/>
              <w:rPr>
                <w:rFonts w:ascii="Arial" w:hAnsi="Arial" w:cs="Arial"/>
                <w:sz w:val="20"/>
                <w:szCs w:val="20"/>
              </w:rPr>
            </w:pPr>
          </w:p>
          <w:p w14:paraId="5CE13D49" w14:textId="77777777" w:rsidR="007B55FA" w:rsidRPr="00040AA9" w:rsidRDefault="007B55FA" w:rsidP="00040AA9">
            <w:pPr>
              <w:keepNext/>
              <w:keepLines/>
              <w:suppressAutoHyphens/>
              <w:rPr>
                <w:rFonts w:ascii="Arial" w:hAnsi="Arial" w:cs="Arial"/>
                <w:sz w:val="20"/>
                <w:szCs w:val="20"/>
              </w:rPr>
            </w:pPr>
          </w:p>
          <w:p w14:paraId="47F8F9E1" w14:textId="77777777" w:rsidR="007B55FA" w:rsidRPr="00040AA9" w:rsidRDefault="007B55FA" w:rsidP="00040AA9">
            <w:pPr>
              <w:keepNext/>
              <w:keepLines/>
              <w:suppressAutoHyphens/>
              <w:rPr>
                <w:rFonts w:ascii="Arial" w:hAnsi="Arial" w:cs="Arial"/>
                <w:sz w:val="20"/>
                <w:szCs w:val="20"/>
              </w:rPr>
            </w:pPr>
          </w:p>
          <w:p w14:paraId="3596F6D8" w14:textId="77777777" w:rsidR="007B55FA" w:rsidRPr="00040AA9" w:rsidRDefault="007B55FA" w:rsidP="00040AA9">
            <w:pPr>
              <w:keepNext/>
              <w:keepLines/>
              <w:suppressAutoHyphens/>
              <w:rPr>
                <w:rFonts w:ascii="Arial" w:hAnsi="Arial" w:cs="Arial"/>
                <w:sz w:val="20"/>
                <w:szCs w:val="20"/>
              </w:rPr>
            </w:pPr>
          </w:p>
          <w:p w14:paraId="7B88889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3FED1E0A"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Letter from the TAJ Commissioner General attaching the Performance Report from the TA Commissioner presenting the information about large taxpayers filling on time for the CIT, GCT and PAYE; and the ratio of tax arrears to revenue.</w:t>
            </w:r>
          </w:p>
        </w:tc>
      </w:tr>
      <w:tr w:rsidR="007B55FA" w:rsidRPr="00CF5903" w14:paraId="749DFD7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79FD438E"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4159C78"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C206110"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13888DE"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0E76F4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09A4232D"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78E633E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262652F" w14:textId="77777777" w:rsidR="007B55FA" w:rsidRPr="00040AA9" w:rsidRDefault="007B55FA" w:rsidP="00040AA9">
            <w:pPr>
              <w:suppressAutoHyphens/>
              <w:rPr>
                <w:rFonts w:ascii="Arial" w:hAnsi="Arial" w:cs="Arial"/>
                <w:sz w:val="20"/>
                <w:szCs w:val="20"/>
              </w:rPr>
            </w:pPr>
          </w:p>
        </w:tc>
      </w:tr>
      <w:tr w:rsidR="007B55FA" w:rsidRPr="00CF5903" w14:paraId="711987B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6C11DE5A"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48C02FB"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A5B1A66"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4106BE8"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65088D9A" w14:textId="77777777" w:rsidR="007B55FA" w:rsidRPr="00040AA9" w:rsidRDefault="007B55FA" w:rsidP="00040AA9">
            <w:pPr>
              <w:suppressAutoHyphens/>
              <w:rPr>
                <w:rFonts w:ascii="Arial" w:hAnsi="Arial" w:cs="Arial"/>
                <w:sz w:val="20"/>
                <w:szCs w:val="20"/>
              </w:rPr>
            </w:pPr>
          </w:p>
          <w:p w14:paraId="142D437C" w14:textId="77777777" w:rsidR="007B55FA" w:rsidRPr="00040AA9" w:rsidRDefault="007B55FA" w:rsidP="00040AA9">
            <w:pPr>
              <w:suppressAutoHyphens/>
              <w:rPr>
                <w:rFonts w:ascii="Arial" w:hAnsi="Arial" w:cs="Arial"/>
                <w:sz w:val="20"/>
                <w:szCs w:val="20"/>
              </w:rPr>
            </w:pPr>
          </w:p>
          <w:p w14:paraId="2782AD29" w14:textId="77777777" w:rsidR="007B55FA" w:rsidRPr="00040AA9" w:rsidRDefault="007B55FA" w:rsidP="00040AA9">
            <w:pPr>
              <w:suppressAutoHyphens/>
              <w:rPr>
                <w:rFonts w:ascii="Arial" w:hAnsi="Arial" w:cs="Arial"/>
                <w:sz w:val="20"/>
                <w:szCs w:val="20"/>
              </w:rPr>
            </w:pPr>
          </w:p>
          <w:p w14:paraId="5B39D1D0" w14:textId="77777777" w:rsidR="007B55FA" w:rsidRPr="00040AA9" w:rsidRDefault="007B55FA" w:rsidP="00040AA9">
            <w:pPr>
              <w:suppressAutoHyphens/>
              <w:rPr>
                <w:rFonts w:ascii="Arial" w:hAnsi="Arial" w:cs="Arial"/>
                <w:sz w:val="20"/>
                <w:szCs w:val="20"/>
              </w:rPr>
            </w:pPr>
          </w:p>
          <w:p w14:paraId="5433032F" w14:textId="77777777" w:rsidR="007B55FA" w:rsidRPr="00040AA9" w:rsidRDefault="007B55FA" w:rsidP="00040AA9">
            <w:pPr>
              <w:suppressAutoHyphens/>
              <w:rPr>
                <w:rFonts w:ascii="Arial" w:hAnsi="Arial" w:cs="Arial"/>
                <w:sz w:val="20"/>
                <w:szCs w:val="20"/>
              </w:rPr>
            </w:pPr>
          </w:p>
          <w:p w14:paraId="440E0E1F" w14:textId="77777777" w:rsidR="007B55FA" w:rsidRPr="00040AA9" w:rsidRDefault="007B55FA" w:rsidP="00040AA9">
            <w:pPr>
              <w:suppressAutoHyphens/>
              <w:rPr>
                <w:rFonts w:ascii="Arial" w:hAnsi="Arial" w:cs="Arial"/>
                <w:sz w:val="20"/>
                <w:szCs w:val="20"/>
              </w:rPr>
            </w:pPr>
          </w:p>
          <w:p w14:paraId="6A409240" w14:textId="77777777" w:rsidR="007B55FA" w:rsidRPr="00040AA9" w:rsidRDefault="007B55FA" w:rsidP="00040AA9">
            <w:pPr>
              <w:suppressAutoHyphens/>
              <w:rPr>
                <w:rFonts w:ascii="Arial" w:hAnsi="Arial" w:cs="Arial"/>
                <w:sz w:val="20"/>
                <w:szCs w:val="20"/>
              </w:rPr>
            </w:pPr>
          </w:p>
          <w:p w14:paraId="4A379D08" w14:textId="77777777" w:rsidR="007B55FA" w:rsidRPr="00040AA9" w:rsidRDefault="007B55FA" w:rsidP="00040AA9">
            <w:pPr>
              <w:suppressAutoHyphens/>
              <w:rPr>
                <w:rFonts w:ascii="Arial" w:hAnsi="Arial" w:cs="Arial"/>
                <w:sz w:val="20"/>
                <w:szCs w:val="20"/>
              </w:rPr>
            </w:pPr>
          </w:p>
          <w:p w14:paraId="5290187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7D068D66" w14:textId="77777777" w:rsidR="007B55FA" w:rsidRPr="00040AA9" w:rsidRDefault="007B55FA" w:rsidP="00040AA9">
            <w:pPr>
              <w:suppressAutoHyphens/>
              <w:jc w:val="center"/>
              <w:rPr>
                <w:rFonts w:ascii="Arial" w:hAnsi="Arial" w:cs="Arial"/>
                <w:sz w:val="20"/>
                <w:szCs w:val="20"/>
              </w:rPr>
            </w:pPr>
          </w:p>
          <w:p w14:paraId="7F6B86E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w:t>
            </w:r>
          </w:p>
          <w:p w14:paraId="5B2327B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p w14:paraId="6EB711DC" w14:textId="77777777" w:rsidR="007B55FA" w:rsidRPr="00040AA9" w:rsidRDefault="007B55FA" w:rsidP="00040AA9">
            <w:pPr>
              <w:suppressAutoHyphens/>
              <w:jc w:val="center"/>
              <w:rPr>
                <w:rFonts w:ascii="Arial" w:hAnsi="Arial" w:cs="Arial"/>
                <w:sz w:val="20"/>
                <w:szCs w:val="20"/>
              </w:rPr>
            </w:pPr>
          </w:p>
          <w:p w14:paraId="00350D3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1 </w:t>
            </w:r>
          </w:p>
          <w:p w14:paraId="0E49178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virtual for (2014/15)</w:t>
            </w:r>
          </w:p>
          <w:p w14:paraId="25195FE1" w14:textId="77777777" w:rsidR="007B55FA" w:rsidRPr="00040AA9" w:rsidRDefault="007B55FA" w:rsidP="00040AA9">
            <w:pPr>
              <w:suppressAutoHyphens/>
              <w:jc w:val="center"/>
              <w:rPr>
                <w:rFonts w:ascii="Arial" w:hAnsi="Arial" w:cs="Arial"/>
                <w:sz w:val="20"/>
                <w:szCs w:val="20"/>
              </w:rPr>
            </w:pPr>
          </w:p>
          <w:p w14:paraId="598012E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1624E5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real for </w:t>
            </w:r>
          </w:p>
          <w:p w14:paraId="5363FCF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p w14:paraId="3DECE474" w14:textId="77777777" w:rsidR="007B55FA" w:rsidRPr="00040AA9" w:rsidRDefault="007B55FA" w:rsidP="00040AA9">
            <w:pPr>
              <w:suppressAutoHyphens/>
              <w:jc w:val="center"/>
              <w:rPr>
                <w:rFonts w:ascii="Arial" w:hAnsi="Arial" w:cs="Arial"/>
                <w:sz w:val="20"/>
                <w:szCs w:val="20"/>
              </w:rPr>
            </w:pPr>
          </w:p>
          <w:p w14:paraId="4405039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see notes</w:t>
            </w:r>
          </w:p>
        </w:tc>
        <w:tc>
          <w:tcPr>
            <w:tcW w:w="1106" w:type="dxa"/>
            <w:vMerge/>
            <w:shd w:val="clear" w:color="auto" w:fill="auto"/>
            <w:hideMark/>
          </w:tcPr>
          <w:p w14:paraId="0F689733"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A7D27FD" w14:textId="27C65573"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Official letter from FS to Bank dated May 27, 2015 (parts </w:t>
            </w:r>
            <w:r w:rsidR="00960135" w:rsidRPr="00CF5903">
              <w:rPr>
                <w:rFonts w:ascii="Arial" w:hAnsi="Arial" w:cs="Arial"/>
                <w:sz w:val="20"/>
                <w:szCs w:val="20"/>
              </w:rPr>
              <w:t>II. 2.</w:t>
            </w:r>
            <w:r w:rsidRPr="00040AA9">
              <w:rPr>
                <w:rFonts w:ascii="Arial" w:hAnsi="Arial" w:cs="Arial"/>
                <w:sz w:val="20"/>
                <w:szCs w:val="20"/>
              </w:rPr>
              <w:t>b.A.2&amp;3) providing evidence of compliance with section 2.03.I.(b)(</w:t>
            </w:r>
            <w:proofErr w:type="spellStart"/>
            <w:r w:rsidRPr="00040AA9">
              <w:rPr>
                <w:rFonts w:ascii="Arial" w:hAnsi="Arial" w:cs="Arial"/>
                <w:sz w:val="20"/>
                <w:szCs w:val="20"/>
              </w:rPr>
              <w:t>i</w:t>
            </w:r>
            <w:proofErr w:type="spellEnd"/>
            <w:r w:rsidRPr="00040AA9">
              <w:rPr>
                <w:rFonts w:ascii="Arial" w:hAnsi="Arial" w:cs="Arial"/>
                <w:sz w:val="20"/>
                <w:szCs w:val="20"/>
              </w:rPr>
              <w:t xml:space="preserve">)(B&amp;C)) of the FISPEG II loan contract by way of certifying that the Revenue Administration (Amendment) Act, 2013 maintains the power of the TAJ to mandate taxpayers e-filing and that the TAJ has established that mandatory e-filing of all taxes has been implemented and fully enforced. </w:t>
            </w:r>
          </w:p>
        </w:tc>
      </w:tr>
      <w:tr w:rsidR="007B55FA" w:rsidRPr="00CF5903" w14:paraId="74A2229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jc w:val="center"/>
        </w:trPr>
        <w:tc>
          <w:tcPr>
            <w:tcW w:w="2556" w:type="dxa"/>
            <w:vMerge w:val="restart"/>
            <w:shd w:val="clear" w:color="auto" w:fill="auto"/>
            <w:hideMark/>
          </w:tcPr>
          <w:p w14:paraId="7B78F4F6"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 xml:space="preserve">Indicator II.9.2 </w:t>
            </w:r>
          </w:p>
          <w:p w14:paraId="6A5A6E16"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Amendment of the Revenue Administration Act to enforce e-filing of all taxes paid by </w:t>
            </w:r>
            <w:r w:rsidRPr="00040AA9">
              <w:rPr>
                <w:rFonts w:ascii="Arial" w:hAnsi="Arial" w:cs="Arial"/>
                <w:b/>
                <w:sz w:val="20"/>
                <w:szCs w:val="20"/>
              </w:rPr>
              <w:t>large taxpayers</w:t>
            </w:r>
            <w:r w:rsidRPr="00040AA9">
              <w:rPr>
                <w:rFonts w:ascii="Arial" w:hAnsi="Arial" w:cs="Arial"/>
                <w:sz w:val="20"/>
                <w:szCs w:val="20"/>
              </w:rPr>
              <w:t xml:space="preserve"> implemented. </w:t>
            </w:r>
          </w:p>
          <w:p w14:paraId="2A3E316A"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2.15,</w:t>
            </w:r>
          </w:p>
          <w:p w14:paraId="2EFA66CE"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 contract section 2.03.I.(b)(</w:t>
            </w:r>
            <w:proofErr w:type="spellStart"/>
            <w:r w:rsidRPr="00040AA9">
              <w:rPr>
                <w:rFonts w:ascii="Arial" w:hAnsi="Arial" w:cs="Arial"/>
                <w:sz w:val="20"/>
                <w:szCs w:val="20"/>
              </w:rPr>
              <w:t>i</w:t>
            </w:r>
            <w:proofErr w:type="spellEnd"/>
            <w:r w:rsidRPr="00040AA9">
              <w:rPr>
                <w:rFonts w:ascii="Arial" w:hAnsi="Arial" w:cs="Arial"/>
                <w:sz w:val="20"/>
                <w:szCs w:val="20"/>
              </w:rPr>
              <w:t>)(B,C,&amp;D))</w:t>
            </w:r>
          </w:p>
        </w:tc>
        <w:tc>
          <w:tcPr>
            <w:tcW w:w="860" w:type="dxa"/>
            <w:vMerge w:val="restart"/>
            <w:shd w:val="clear" w:color="auto" w:fill="auto"/>
          </w:tcPr>
          <w:p w14:paraId="5746C89F" w14:textId="77777777" w:rsidR="007B55FA" w:rsidRPr="00040AA9" w:rsidRDefault="007B55FA" w:rsidP="00040AA9">
            <w:pPr>
              <w:suppressAutoHyphens/>
              <w:jc w:val="center"/>
              <w:rPr>
                <w:rFonts w:ascii="Arial" w:hAnsi="Arial" w:cs="Arial"/>
                <w:sz w:val="20"/>
                <w:szCs w:val="20"/>
              </w:rPr>
            </w:pPr>
          </w:p>
          <w:p w14:paraId="518B6928" w14:textId="77777777" w:rsidR="007B55FA" w:rsidRPr="00040AA9" w:rsidRDefault="007B55FA" w:rsidP="00040AA9">
            <w:pPr>
              <w:suppressAutoHyphens/>
              <w:jc w:val="center"/>
              <w:rPr>
                <w:rFonts w:ascii="Arial" w:hAnsi="Arial" w:cs="Arial"/>
                <w:sz w:val="20"/>
                <w:szCs w:val="20"/>
              </w:rPr>
            </w:pPr>
          </w:p>
          <w:p w14:paraId="6C4E04D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Act</w:t>
            </w:r>
          </w:p>
        </w:tc>
        <w:tc>
          <w:tcPr>
            <w:tcW w:w="774" w:type="dxa"/>
            <w:vMerge w:val="restart"/>
            <w:shd w:val="clear" w:color="auto" w:fill="auto"/>
          </w:tcPr>
          <w:p w14:paraId="081D6A41" w14:textId="77777777" w:rsidR="007B55FA" w:rsidRPr="00040AA9" w:rsidRDefault="007B55FA" w:rsidP="00040AA9">
            <w:pPr>
              <w:suppressAutoHyphens/>
              <w:jc w:val="center"/>
              <w:rPr>
                <w:rFonts w:ascii="Arial" w:hAnsi="Arial" w:cs="Arial"/>
                <w:sz w:val="20"/>
                <w:szCs w:val="20"/>
              </w:rPr>
            </w:pPr>
          </w:p>
          <w:p w14:paraId="6B81FCAD" w14:textId="77777777" w:rsidR="007B55FA" w:rsidRPr="00040AA9" w:rsidRDefault="007B55FA" w:rsidP="00040AA9">
            <w:pPr>
              <w:suppressAutoHyphens/>
              <w:jc w:val="center"/>
              <w:rPr>
                <w:rFonts w:ascii="Arial" w:hAnsi="Arial" w:cs="Arial"/>
                <w:sz w:val="20"/>
                <w:szCs w:val="20"/>
              </w:rPr>
            </w:pPr>
          </w:p>
          <w:p w14:paraId="74C77A7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3B25717" w14:textId="77777777" w:rsidR="007B55FA" w:rsidRPr="00040AA9" w:rsidRDefault="007B55FA" w:rsidP="00040AA9">
            <w:pPr>
              <w:suppressAutoHyphens/>
              <w:jc w:val="center"/>
              <w:rPr>
                <w:rFonts w:ascii="Arial" w:hAnsi="Arial" w:cs="Arial"/>
                <w:sz w:val="20"/>
                <w:szCs w:val="20"/>
              </w:rPr>
            </w:pPr>
          </w:p>
          <w:p w14:paraId="0BC3CCD3" w14:textId="77777777" w:rsidR="007B55FA" w:rsidRPr="00040AA9" w:rsidRDefault="007B55FA" w:rsidP="00040AA9">
            <w:pPr>
              <w:suppressAutoHyphens/>
              <w:jc w:val="center"/>
              <w:rPr>
                <w:rFonts w:ascii="Arial" w:hAnsi="Arial" w:cs="Arial"/>
                <w:sz w:val="20"/>
                <w:szCs w:val="20"/>
              </w:rPr>
            </w:pPr>
          </w:p>
          <w:p w14:paraId="7195685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0BD1639F" w14:textId="77777777" w:rsidR="007B55FA" w:rsidRPr="00040AA9" w:rsidRDefault="007B55FA" w:rsidP="00040AA9">
            <w:pPr>
              <w:suppressAutoHyphens/>
              <w:rPr>
                <w:rFonts w:ascii="Arial" w:hAnsi="Arial" w:cs="Arial"/>
                <w:sz w:val="20"/>
                <w:szCs w:val="20"/>
              </w:rPr>
            </w:pPr>
          </w:p>
          <w:p w14:paraId="7AE7884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1F63EA81" w14:textId="77777777" w:rsidR="007B55FA" w:rsidRPr="00040AA9" w:rsidRDefault="007B55FA" w:rsidP="00040AA9">
            <w:pPr>
              <w:suppressAutoHyphens/>
              <w:rPr>
                <w:rFonts w:ascii="Arial" w:hAnsi="Arial" w:cs="Arial"/>
                <w:sz w:val="20"/>
                <w:szCs w:val="20"/>
              </w:rPr>
            </w:pPr>
          </w:p>
          <w:p w14:paraId="5728211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98B55F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316DA4F2" w14:textId="77777777" w:rsidR="007B55FA" w:rsidRPr="00040AA9" w:rsidRDefault="007B55FA" w:rsidP="00040AA9">
            <w:pPr>
              <w:suppressAutoHyphens/>
              <w:rPr>
                <w:rFonts w:ascii="Arial" w:hAnsi="Arial" w:cs="Arial"/>
                <w:sz w:val="20"/>
                <w:szCs w:val="20"/>
              </w:rPr>
            </w:pPr>
          </w:p>
          <w:p w14:paraId="565DA4F0" w14:textId="77777777" w:rsidR="007B55FA" w:rsidRPr="00040AA9" w:rsidRDefault="007B55FA" w:rsidP="00040AA9">
            <w:pPr>
              <w:suppressAutoHyphens/>
              <w:rPr>
                <w:rFonts w:ascii="Arial" w:hAnsi="Arial" w:cs="Arial"/>
                <w:sz w:val="20"/>
                <w:szCs w:val="20"/>
              </w:rPr>
            </w:pPr>
          </w:p>
          <w:p w14:paraId="618D80E6" w14:textId="77777777" w:rsidR="007B55FA" w:rsidRPr="00040AA9" w:rsidRDefault="007B55FA" w:rsidP="00040AA9">
            <w:pPr>
              <w:suppressAutoHyphens/>
              <w:rPr>
                <w:rFonts w:ascii="Arial" w:hAnsi="Arial" w:cs="Arial"/>
                <w:sz w:val="20"/>
                <w:szCs w:val="20"/>
              </w:rPr>
            </w:pPr>
          </w:p>
          <w:p w14:paraId="0C96DF1C" w14:textId="77777777" w:rsidR="007B55FA" w:rsidRPr="00040AA9" w:rsidRDefault="007B55FA" w:rsidP="00040AA9">
            <w:pPr>
              <w:suppressAutoHyphens/>
              <w:rPr>
                <w:rFonts w:ascii="Arial" w:hAnsi="Arial" w:cs="Arial"/>
                <w:sz w:val="20"/>
                <w:szCs w:val="20"/>
              </w:rPr>
            </w:pPr>
          </w:p>
          <w:p w14:paraId="12F9E9B3" w14:textId="77777777" w:rsidR="007B55FA" w:rsidRPr="00040AA9" w:rsidRDefault="007B55FA" w:rsidP="00040AA9">
            <w:pPr>
              <w:suppressAutoHyphens/>
              <w:rPr>
                <w:rFonts w:ascii="Arial" w:hAnsi="Arial" w:cs="Arial"/>
                <w:sz w:val="20"/>
                <w:szCs w:val="20"/>
              </w:rPr>
            </w:pPr>
          </w:p>
          <w:p w14:paraId="1887382B" w14:textId="77777777" w:rsidR="007B55FA" w:rsidRPr="00040AA9" w:rsidRDefault="007B55FA" w:rsidP="00040AA9">
            <w:pPr>
              <w:suppressAutoHyphens/>
              <w:rPr>
                <w:rFonts w:ascii="Arial" w:hAnsi="Arial" w:cs="Arial"/>
                <w:sz w:val="20"/>
                <w:szCs w:val="20"/>
              </w:rPr>
            </w:pPr>
          </w:p>
          <w:p w14:paraId="16828FAF" w14:textId="77777777" w:rsidR="007B55FA" w:rsidRPr="00040AA9" w:rsidRDefault="007B55FA" w:rsidP="00040AA9">
            <w:pPr>
              <w:suppressAutoHyphens/>
              <w:rPr>
                <w:rFonts w:ascii="Arial" w:hAnsi="Arial" w:cs="Arial"/>
                <w:sz w:val="20"/>
                <w:szCs w:val="20"/>
              </w:rPr>
            </w:pPr>
          </w:p>
          <w:p w14:paraId="29CED9AF" w14:textId="321F693F" w:rsidR="007B55FA" w:rsidRPr="00040AA9" w:rsidRDefault="00FF51AB"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F81CF62" w14:textId="7EC8F39E"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Letter from the TAJ Commissioner General informing that the penalty for </w:t>
            </w:r>
            <w:r w:rsidR="00960135" w:rsidRPr="00CF5903">
              <w:rPr>
                <w:rFonts w:ascii="Arial" w:hAnsi="Arial" w:cs="Arial"/>
                <w:sz w:val="20"/>
                <w:szCs w:val="20"/>
              </w:rPr>
              <w:t>non- e</w:t>
            </w:r>
            <w:r w:rsidRPr="00040AA9">
              <w:rPr>
                <w:rFonts w:ascii="Arial" w:hAnsi="Arial" w:cs="Arial"/>
                <w:sz w:val="20"/>
                <w:szCs w:val="20"/>
              </w:rPr>
              <w:t>-filing keeps being applied.</w:t>
            </w:r>
          </w:p>
        </w:tc>
      </w:tr>
      <w:tr w:rsidR="007B55FA" w:rsidRPr="00CF5903" w14:paraId="4B96711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0B16F1F3" w14:textId="77777777" w:rsidR="007B55FA" w:rsidRPr="00040AA9" w:rsidRDefault="007B55FA" w:rsidP="00040AA9">
            <w:pPr>
              <w:suppressAutoHyphens/>
              <w:ind w:left="159"/>
              <w:rPr>
                <w:rFonts w:ascii="Arial" w:hAnsi="Arial" w:cs="Arial"/>
                <w:sz w:val="20"/>
                <w:szCs w:val="20"/>
              </w:rPr>
            </w:pPr>
          </w:p>
        </w:tc>
        <w:tc>
          <w:tcPr>
            <w:tcW w:w="860" w:type="dxa"/>
            <w:vMerge/>
            <w:shd w:val="clear" w:color="auto" w:fill="auto"/>
            <w:hideMark/>
          </w:tcPr>
          <w:p w14:paraId="0A4CB625"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3BF46C21"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AE4FACB"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2D75F83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21BF3D5B"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0A17F76"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EA39C93" w14:textId="77777777" w:rsidR="007B55FA" w:rsidRPr="00040AA9" w:rsidRDefault="007B55FA" w:rsidP="00040AA9">
            <w:pPr>
              <w:suppressAutoHyphens/>
              <w:rPr>
                <w:rFonts w:ascii="Arial" w:hAnsi="Arial" w:cs="Arial"/>
                <w:sz w:val="20"/>
                <w:szCs w:val="20"/>
              </w:rPr>
            </w:pPr>
          </w:p>
        </w:tc>
      </w:tr>
      <w:tr w:rsidR="007B55FA" w:rsidRPr="00CF5903" w14:paraId="7C8C7D8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jc w:val="center"/>
        </w:trPr>
        <w:tc>
          <w:tcPr>
            <w:tcW w:w="2556" w:type="dxa"/>
            <w:vMerge/>
            <w:tcBorders>
              <w:bottom w:val="single" w:sz="4" w:space="0" w:color="auto"/>
            </w:tcBorders>
            <w:shd w:val="clear" w:color="auto" w:fill="auto"/>
            <w:hideMark/>
          </w:tcPr>
          <w:p w14:paraId="657CB52D" w14:textId="77777777" w:rsidR="007B55FA" w:rsidRPr="00040AA9" w:rsidRDefault="007B55FA" w:rsidP="00040AA9">
            <w:pPr>
              <w:suppressAutoHyphens/>
              <w:ind w:left="159"/>
              <w:rPr>
                <w:rFonts w:ascii="Arial" w:hAnsi="Arial" w:cs="Arial"/>
                <w:sz w:val="20"/>
                <w:szCs w:val="20"/>
              </w:rPr>
            </w:pPr>
          </w:p>
        </w:tc>
        <w:tc>
          <w:tcPr>
            <w:tcW w:w="860" w:type="dxa"/>
            <w:vMerge/>
            <w:tcBorders>
              <w:bottom w:val="single" w:sz="4" w:space="0" w:color="auto"/>
            </w:tcBorders>
            <w:shd w:val="clear" w:color="auto" w:fill="auto"/>
            <w:hideMark/>
          </w:tcPr>
          <w:p w14:paraId="7C3F5FED"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26500C79"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67FB3DB8"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2C7BABCA" w14:textId="77777777" w:rsidR="007B55FA" w:rsidRPr="00040AA9" w:rsidRDefault="007B55FA" w:rsidP="00040AA9">
            <w:pPr>
              <w:suppressAutoHyphens/>
              <w:rPr>
                <w:rFonts w:ascii="Arial" w:hAnsi="Arial" w:cs="Arial"/>
                <w:sz w:val="20"/>
                <w:szCs w:val="20"/>
              </w:rPr>
            </w:pPr>
          </w:p>
          <w:p w14:paraId="21B54BD6" w14:textId="77777777" w:rsidR="007B55FA" w:rsidRPr="00040AA9" w:rsidRDefault="007B55FA" w:rsidP="00040AA9">
            <w:pPr>
              <w:suppressAutoHyphens/>
              <w:rPr>
                <w:rFonts w:ascii="Arial" w:hAnsi="Arial" w:cs="Arial"/>
                <w:sz w:val="20"/>
                <w:szCs w:val="20"/>
              </w:rPr>
            </w:pPr>
          </w:p>
          <w:p w14:paraId="432B196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677B256A" w14:textId="77777777" w:rsidR="007B55FA" w:rsidRPr="00040AA9" w:rsidRDefault="007B55FA" w:rsidP="00040AA9">
            <w:pPr>
              <w:suppressAutoHyphens/>
              <w:rPr>
                <w:rFonts w:ascii="Arial" w:hAnsi="Arial" w:cs="Arial"/>
                <w:sz w:val="20"/>
                <w:szCs w:val="20"/>
              </w:rPr>
            </w:pPr>
          </w:p>
          <w:p w14:paraId="7BF35DEA" w14:textId="77777777" w:rsidR="007B55FA" w:rsidRPr="00040AA9" w:rsidRDefault="007B55FA" w:rsidP="00040AA9">
            <w:pPr>
              <w:suppressAutoHyphens/>
              <w:jc w:val="center"/>
              <w:rPr>
                <w:rFonts w:ascii="Arial" w:hAnsi="Arial" w:cs="Arial"/>
                <w:sz w:val="20"/>
                <w:szCs w:val="20"/>
              </w:rPr>
            </w:pPr>
          </w:p>
          <w:p w14:paraId="4266D33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DC2D2DA" w14:textId="66C6A140" w:rsidR="007B55FA" w:rsidRPr="00040AA9" w:rsidRDefault="00FF51AB" w:rsidP="00040AA9">
            <w:pPr>
              <w:suppressAutoHyphens/>
              <w:jc w:val="center"/>
              <w:rPr>
                <w:rFonts w:ascii="Arial" w:hAnsi="Arial" w:cs="Arial"/>
                <w:sz w:val="20"/>
                <w:szCs w:val="20"/>
              </w:rPr>
            </w:pPr>
            <w:r w:rsidRPr="00040AA9">
              <w:rPr>
                <w:rFonts w:ascii="Arial" w:hAnsi="Arial" w:cs="Arial"/>
                <w:sz w:val="20"/>
                <w:szCs w:val="20"/>
              </w:rPr>
              <w:t>(2013</w:t>
            </w:r>
            <w:r w:rsidR="007B55FA" w:rsidRPr="00040AA9">
              <w:rPr>
                <w:rFonts w:ascii="Arial" w:hAnsi="Arial" w:cs="Arial"/>
                <w:sz w:val="20"/>
                <w:szCs w:val="20"/>
              </w:rPr>
              <w:t>)</w:t>
            </w:r>
          </w:p>
        </w:tc>
        <w:tc>
          <w:tcPr>
            <w:tcW w:w="1106" w:type="dxa"/>
            <w:vMerge/>
            <w:tcBorders>
              <w:bottom w:val="single" w:sz="4" w:space="0" w:color="auto"/>
            </w:tcBorders>
            <w:shd w:val="clear" w:color="auto" w:fill="auto"/>
            <w:hideMark/>
          </w:tcPr>
          <w:p w14:paraId="361FF386"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02CE3F1D" w14:textId="56F20A99"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II.2.c.A.3) providing evidence of compliance with section 2.03.I.(b)(</w:t>
            </w:r>
            <w:proofErr w:type="spellStart"/>
            <w:r w:rsidRPr="00040AA9">
              <w:rPr>
                <w:rFonts w:ascii="Arial" w:hAnsi="Arial" w:cs="Arial"/>
                <w:sz w:val="20"/>
                <w:szCs w:val="20"/>
              </w:rPr>
              <w:t>i</w:t>
            </w:r>
            <w:proofErr w:type="spellEnd"/>
            <w:r w:rsidRPr="00040AA9">
              <w:rPr>
                <w:rFonts w:ascii="Arial" w:hAnsi="Arial" w:cs="Arial"/>
                <w:sz w:val="20"/>
                <w:szCs w:val="20"/>
              </w:rPr>
              <w:t>)(C)(1) of the FISPEG III loan contract by way of affirming continued enforcement of mandatory e-filing of all taxes for large taxpayers.</w:t>
            </w:r>
            <w:r w:rsidRPr="00040AA9">
              <w:rPr>
                <w:rStyle w:val="FootnoteReference"/>
                <w:rFonts w:ascii="Arial" w:hAnsi="Arial" w:cs="Arial"/>
                <w:sz w:val="20"/>
                <w:szCs w:val="20"/>
              </w:rPr>
              <w:footnoteReference w:id="103"/>
            </w:r>
            <w:r w:rsidRPr="00040AA9">
              <w:rPr>
                <w:rFonts w:ascii="Arial" w:hAnsi="Arial" w:cs="Arial"/>
                <w:sz w:val="20"/>
                <w:szCs w:val="20"/>
              </w:rPr>
              <w:t xml:space="preserve"> </w:t>
            </w:r>
          </w:p>
        </w:tc>
      </w:tr>
      <w:tr w:rsidR="007B55FA" w:rsidRPr="00CF5903" w14:paraId="5091743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val="restart"/>
            <w:shd w:val="clear" w:color="auto" w:fill="auto"/>
          </w:tcPr>
          <w:p w14:paraId="34B8DE04"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II.9.3</w:t>
            </w:r>
          </w:p>
          <w:p w14:paraId="332A1300"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Amendment of the Revenue Administration Act to enforce taxpayers e-filing implemented </w:t>
            </w:r>
          </w:p>
          <w:p w14:paraId="7027AEC7"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2.14,</w:t>
            </w:r>
          </w:p>
          <w:p w14:paraId="3D6908F2"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2.03.I.(b)(</w:t>
            </w:r>
            <w:proofErr w:type="spellStart"/>
            <w:r w:rsidRPr="00040AA9">
              <w:rPr>
                <w:rFonts w:ascii="Arial" w:hAnsi="Arial" w:cs="Arial"/>
                <w:sz w:val="20"/>
                <w:szCs w:val="20"/>
              </w:rPr>
              <w:t>i</w:t>
            </w:r>
            <w:proofErr w:type="spellEnd"/>
            <w:r w:rsidRPr="00040AA9">
              <w:rPr>
                <w:rFonts w:ascii="Arial" w:hAnsi="Arial" w:cs="Arial"/>
                <w:sz w:val="20"/>
                <w:szCs w:val="20"/>
              </w:rPr>
              <w:t>)(B))</w:t>
            </w:r>
          </w:p>
        </w:tc>
        <w:tc>
          <w:tcPr>
            <w:tcW w:w="860" w:type="dxa"/>
            <w:vMerge w:val="restart"/>
            <w:shd w:val="clear" w:color="auto" w:fill="auto"/>
          </w:tcPr>
          <w:p w14:paraId="0189011D" w14:textId="77777777" w:rsidR="007B55FA" w:rsidRPr="00040AA9" w:rsidRDefault="007B55FA" w:rsidP="00040AA9">
            <w:pPr>
              <w:suppressAutoHyphens/>
              <w:rPr>
                <w:rFonts w:ascii="Arial" w:hAnsi="Arial" w:cs="Arial"/>
                <w:sz w:val="20"/>
                <w:szCs w:val="20"/>
              </w:rPr>
            </w:pPr>
          </w:p>
          <w:p w14:paraId="7FFC56CD" w14:textId="77777777" w:rsidR="007B55FA" w:rsidRPr="00040AA9" w:rsidRDefault="007B55FA" w:rsidP="00040AA9">
            <w:pPr>
              <w:suppressAutoHyphens/>
              <w:rPr>
                <w:rFonts w:ascii="Arial" w:hAnsi="Arial" w:cs="Arial"/>
                <w:sz w:val="20"/>
                <w:szCs w:val="20"/>
              </w:rPr>
            </w:pPr>
          </w:p>
          <w:p w14:paraId="0E9AE93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Act</w:t>
            </w:r>
          </w:p>
        </w:tc>
        <w:tc>
          <w:tcPr>
            <w:tcW w:w="774" w:type="dxa"/>
            <w:vMerge w:val="restart"/>
            <w:shd w:val="clear" w:color="auto" w:fill="auto"/>
          </w:tcPr>
          <w:p w14:paraId="67F0BF69" w14:textId="77777777" w:rsidR="007B55FA" w:rsidRPr="00040AA9" w:rsidRDefault="007B55FA" w:rsidP="00040AA9">
            <w:pPr>
              <w:suppressAutoHyphens/>
              <w:rPr>
                <w:rFonts w:ascii="Arial" w:hAnsi="Arial" w:cs="Arial"/>
                <w:sz w:val="20"/>
                <w:szCs w:val="20"/>
              </w:rPr>
            </w:pPr>
          </w:p>
          <w:p w14:paraId="19EC0B58" w14:textId="77777777" w:rsidR="007B55FA" w:rsidRPr="00040AA9" w:rsidRDefault="007B55FA" w:rsidP="00040AA9">
            <w:pPr>
              <w:suppressAutoHyphens/>
              <w:rPr>
                <w:rFonts w:ascii="Arial" w:hAnsi="Arial" w:cs="Arial"/>
                <w:sz w:val="20"/>
                <w:szCs w:val="20"/>
              </w:rPr>
            </w:pPr>
          </w:p>
          <w:p w14:paraId="0F7BED8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0546DF3" w14:textId="77777777" w:rsidR="007B55FA" w:rsidRPr="00040AA9" w:rsidRDefault="007B55FA" w:rsidP="00040AA9">
            <w:pPr>
              <w:suppressAutoHyphens/>
              <w:rPr>
                <w:rFonts w:ascii="Arial" w:hAnsi="Arial" w:cs="Arial"/>
                <w:sz w:val="20"/>
                <w:szCs w:val="20"/>
              </w:rPr>
            </w:pPr>
          </w:p>
          <w:p w14:paraId="620ABA33" w14:textId="77777777" w:rsidR="007B55FA" w:rsidRPr="00040AA9" w:rsidRDefault="007B55FA" w:rsidP="00040AA9">
            <w:pPr>
              <w:suppressAutoHyphens/>
              <w:rPr>
                <w:rFonts w:ascii="Arial" w:hAnsi="Arial" w:cs="Arial"/>
                <w:sz w:val="20"/>
                <w:szCs w:val="20"/>
              </w:rPr>
            </w:pPr>
          </w:p>
          <w:p w14:paraId="509615D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2012/13</w:t>
            </w:r>
          </w:p>
        </w:tc>
        <w:tc>
          <w:tcPr>
            <w:tcW w:w="594" w:type="dxa"/>
            <w:tcBorders>
              <w:bottom w:val="single" w:sz="4" w:space="0" w:color="auto"/>
            </w:tcBorders>
            <w:shd w:val="clear" w:color="auto" w:fill="auto"/>
          </w:tcPr>
          <w:p w14:paraId="28D08E62" w14:textId="77777777" w:rsidR="007B55FA" w:rsidRPr="00040AA9" w:rsidRDefault="007B55FA" w:rsidP="00040AA9">
            <w:pPr>
              <w:suppressAutoHyphens/>
              <w:rPr>
                <w:rFonts w:ascii="Arial" w:hAnsi="Arial" w:cs="Arial"/>
                <w:sz w:val="20"/>
                <w:szCs w:val="20"/>
              </w:rPr>
            </w:pPr>
          </w:p>
          <w:p w14:paraId="63F2FEB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tcBorders>
              <w:bottom w:val="single" w:sz="4" w:space="0" w:color="auto"/>
            </w:tcBorders>
            <w:shd w:val="clear" w:color="auto" w:fill="auto"/>
          </w:tcPr>
          <w:p w14:paraId="7C21DC3C" w14:textId="77777777" w:rsidR="007B55FA" w:rsidRPr="00040AA9" w:rsidRDefault="007B55FA" w:rsidP="00040AA9">
            <w:pPr>
              <w:suppressAutoHyphens/>
              <w:jc w:val="center"/>
              <w:rPr>
                <w:rFonts w:ascii="Arial" w:hAnsi="Arial" w:cs="Arial"/>
                <w:sz w:val="20"/>
                <w:szCs w:val="20"/>
              </w:rPr>
            </w:pPr>
          </w:p>
          <w:p w14:paraId="3A0AE76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F5B383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shd w:val="clear" w:color="auto" w:fill="auto"/>
          </w:tcPr>
          <w:p w14:paraId="7987CCB3" w14:textId="77777777" w:rsidR="007B55FA" w:rsidRPr="00040AA9" w:rsidRDefault="007B55FA" w:rsidP="00040AA9">
            <w:pPr>
              <w:suppressAutoHyphens/>
              <w:rPr>
                <w:rFonts w:ascii="Arial" w:hAnsi="Arial" w:cs="Arial"/>
                <w:sz w:val="20"/>
                <w:szCs w:val="20"/>
              </w:rPr>
            </w:pPr>
          </w:p>
          <w:p w14:paraId="69C4D680" w14:textId="77777777" w:rsidR="007B55FA" w:rsidRPr="00040AA9" w:rsidRDefault="007B55FA" w:rsidP="00040AA9">
            <w:pPr>
              <w:suppressAutoHyphens/>
              <w:rPr>
                <w:rFonts w:ascii="Arial" w:hAnsi="Arial" w:cs="Arial"/>
                <w:sz w:val="20"/>
                <w:szCs w:val="20"/>
              </w:rPr>
            </w:pPr>
          </w:p>
          <w:p w14:paraId="3F65E6DC" w14:textId="77777777" w:rsidR="007B55FA" w:rsidRPr="00040AA9" w:rsidRDefault="007B55FA" w:rsidP="00040AA9">
            <w:pPr>
              <w:suppressAutoHyphens/>
              <w:rPr>
                <w:rFonts w:ascii="Arial" w:hAnsi="Arial" w:cs="Arial"/>
                <w:sz w:val="20"/>
                <w:szCs w:val="20"/>
              </w:rPr>
            </w:pPr>
          </w:p>
          <w:p w14:paraId="43565126" w14:textId="77777777" w:rsidR="007B55FA" w:rsidRPr="00040AA9" w:rsidRDefault="007B55FA" w:rsidP="00040AA9">
            <w:pPr>
              <w:suppressAutoHyphens/>
              <w:rPr>
                <w:rFonts w:ascii="Arial" w:hAnsi="Arial" w:cs="Arial"/>
                <w:sz w:val="20"/>
                <w:szCs w:val="20"/>
              </w:rPr>
            </w:pPr>
          </w:p>
          <w:p w14:paraId="617406BA" w14:textId="77777777" w:rsidR="007B55FA" w:rsidRPr="00040AA9" w:rsidRDefault="007B55FA" w:rsidP="00040AA9">
            <w:pPr>
              <w:suppressAutoHyphens/>
              <w:rPr>
                <w:rFonts w:ascii="Arial" w:hAnsi="Arial" w:cs="Arial"/>
                <w:sz w:val="20"/>
                <w:szCs w:val="20"/>
              </w:rPr>
            </w:pPr>
          </w:p>
          <w:p w14:paraId="3B330B4D" w14:textId="77777777" w:rsidR="007B55FA" w:rsidRPr="00040AA9" w:rsidRDefault="007B55FA" w:rsidP="00040AA9">
            <w:pPr>
              <w:suppressAutoHyphens/>
              <w:rPr>
                <w:rFonts w:ascii="Arial" w:hAnsi="Arial" w:cs="Arial"/>
                <w:sz w:val="20"/>
                <w:szCs w:val="20"/>
              </w:rPr>
            </w:pPr>
          </w:p>
          <w:p w14:paraId="30455AD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tcBorders>
              <w:bottom w:val="single" w:sz="4" w:space="0" w:color="auto"/>
            </w:tcBorders>
            <w:shd w:val="clear" w:color="auto" w:fill="auto"/>
          </w:tcPr>
          <w:p w14:paraId="6FBBE4F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TAJ Commissioner General informing that the e-filling enforcement keeps being applied</w:t>
            </w:r>
          </w:p>
        </w:tc>
      </w:tr>
      <w:tr w:rsidR="007B55FA" w:rsidRPr="00CF5903" w14:paraId="730B37B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jc w:val="center"/>
        </w:trPr>
        <w:tc>
          <w:tcPr>
            <w:tcW w:w="2556" w:type="dxa"/>
            <w:vMerge/>
            <w:shd w:val="clear" w:color="auto" w:fill="auto"/>
          </w:tcPr>
          <w:p w14:paraId="77255D44"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6F77E55F" w14:textId="77777777" w:rsidR="007B55FA" w:rsidRPr="00040AA9" w:rsidRDefault="007B55FA" w:rsidP="00040AA9">
            <w:pPr>
              <w:suppressAutoHyphens/>
              <w:rPr>
                <w:rFonts w:ascii="Arial" w:hAnsi="Arial" w:cs="Arial"/>
                <w:sz w:val="20"/>
                <w:szCs w:val="20"/>
              </w:rPr>
            </w:pPr>
          </w:p>
        </w:tc>
        <w:tc>
          <w:tcPr>
            <w:tcW w:w="774" w:type="dxa"/>
            <w:vMerge/>
            <w:shd w:val="clear" w:color="auto" w:fill="auto"/>
          </w:tcPr>
          <w:p w14:paraId="65A76E76" w14:textId="77777777" w:rsidR="007B55FA" w:rsidRPr="00040AA9" w:rsidRDefault="007B55FA" w:rsidP="00040AA9">
            <w:pPr>
              <w:suppressAutoHyphens/>
              <w:rPr>
                <w:rFonts w:ascii="Arial" w:hAnsi="Arial" w:cs="Arial"/>
                <w:sz w:val="20"/>
                <w:szCs w:val="20"/>
              </w:rPr>
            </w:pPr>
          </w:p>
        </w:tc>
        <w:tc>
          <w:tcPr>
            <w:tcW w:w="939" w:type="dxa"/>
            <w:vMerge/>
            <w:shd w:val="clear" w:color="auto" w:fill="auto"/>
          </w:tcPr>
          <w:p w14:paraId="634595EF"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tcPr>
          <w:p w14:paraId="7F95CF5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tcBorders>
              <w:bottom w:val="single" w:sz="4" w:space="0" w:color="auto"/>
            </w:tcBorders>
            <w:shd w:val="clear" w:color="auto" w:fill="auto"/>
          </w:tcPr>
          <w:p w14:paraId="313FE418" w14:textId="77777777" w:rsidR="007B55FA" w:rsidRPr="00040AA9" w:rsidRDefault="007B55FA" w:rsidP="00040AA9">
            <w:pPr>
              <w:suppressAutoHyphens/>
              <w:rPr>
                <w:rFonts w:ascii="Arial" w:hAnsi="Arial" w:cs="Arial"/>
                <w:sz w:val="20"/>
                <w:szCs w:val="20"/>
              </w:rPr>
            </w:pPr>
          </w:p>
        </w:tc>
        <w:tc>
          <w:tcPr>
            <w:tcW w:w="1106" w:type="dxa"/>
            <w:vMerge/>
            <w:shd w:val="clear" w:color="auto" w:fill="auto"/>
          </w:tcPr>
          <w:p w14:paraId="7B1E3C11"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51F33FBA" w14:textId="77777777" w:rsidR="007B55FA" w:rsidRPr="00040AA9" w:rsidRDefault="007B55FA" w:rsidP="00040AA9">
            <w:pPr>
              <w:suppressAutoHyphens/>
              <w:rPr>
                <w:rFonts w:ascii="Arial" w:hAnsi="Arial" w:cs="Arial"/>
                <w:i/>
                <w:sz w:val="20"/>
                <w:szCs w:val="20"/>
              </w:rPr>
            </w:pPr>
          </w:p>
        </w:tc>
      </w:tr>
      <w:tr w:rsidR="007B55FA" w:rsidRPr="00CF5903" w14:paraId="0EF6915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9"/>
          <w:jc w:val="center"/>
        </w:trPr>
        <w:tc>
          <w:tcPr>
            <w:tcW w:w="2556" w:type="dxa"/>
            <w:vMerge/>
            <w:tcBorders>
              <w:bottom w:val="single" w:sz="4" w:space="0" w:color="auto"/>
            </w:tcBorders>
            <w:shd w:val="clear" w:color="auto" w:fill="auto"/>
          </w:tcPr>
          <w:p w14:paraId="10667EB8"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tcPr>
          <w:p w14:paraId="471814B6"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tcPr>
          <w:p w14:paraId="01DF68FB"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tcPr>
          <w:p w14:paraId="72CB1702"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tcPr>
          <w:p w14:paraId="743E9FE9" w14:textId="77777777" w:rsidR="007B55FA" w:rsidRPr="00040AA9" w:rsidRDefault="007B55FA" w:rsidP="00040AA9">
            <w:pPr>
              <w:suppressAutoHyphens/>
              <w:jc w:val="center"/>
              <w:rPr>
                <w:rFonts w:ascii="Arial" w:hAnsi="Arial" w:cs="Arial"/>
                <w:sz w:val="20"/>
                <w:szCs w:val="20"/>
              </w:rPr>
            </w:pPr>
          </w:p>
          <w:p w14:paraId="2189AC0D" w14:textId="77777777" w:rsidR="007B55FA" w:rsidRPr="00040AA9" w:rsidRDefault="007B55FA" w:rsidP="00040AA9">
            <w:pPr>
              <w:suppressAutoHyphens/>
              <w:jc w:val="center"/>
              <w:rPr>
                <w:rFonts w:ascii="Arial" w:hAnsi="Arial" w:cs="Arial"/>
                <w:sz w:val="20"/>
                <w:szCs w:val="20"/>
              </w:rPr>
            </w:pPr>
          </w:p>
          <w:p w14:paraId="399A32AF" w14:textId="77777777" w:rsidR="007B55FA" w:rsidRPr="00040AA9" w:rsidRDefault="007B55FA" w:rsidP="00040AA9">
            <w:pPr>
              <w:suppressAutoHyphens/>
              <w:jc w:val="center"/>
              <w:rPr>
                <w:rFonts w:ascii="Arial" w:hAnsi="Arial" w:cs="Arial"/>
                <w:sz w:val="20"/>
                <w:szCs w:val="20"/>
              </w:rPr>
            </w:pPr>
          </w:p>
          <w:p w14:paraId="6B9733B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22A90DDD" w14:textId="77777777" w:rsidR="007B55FA" w:rsidRPr="00040AA9" w:rsidRDefault="007B55FA" w:rsidP="00040AA9">
            <w:pPr>
              <w:suppressAutoHyphens/>
              <w:jc w:val="center"/>
              <w:rPr>
                <w:rFonts w:ascii="Arial" w:hAnsi="Arial" w:cs="Arial"/>
                <w:sz w:val="20"/>
                <w:szCs w:val="20"/>
              </w:rPr>
            </w:pPr>
          </w:p>
          <w:p w14:paraId="4A85AB48" w14:textId="77777777" w:rsidR="007B55FA" w:rsidRPr="00040AA9" w:rsidRDefault="007B55FA" w:rsidP="00040AA9">
            <w:pPr>
              <w:suppressAutoHyphens/>
              <w:jc w:val="center"/>
              <w:rPr>
                <w:rFonts w:ascii="Arial" w:hAnsi="Arial" w:cs="Arial"/>
                <w:sz w:val="20"/>
                <w:szCs w:val="20"/>
              </w:rPr>
            </w:pPr>
          </w:p>
          <w:p w14:paraId="0508B463" w14:textId="77777777" w:rsidR="007B55FA" w:rsidRPr="00040AA9" w:rsidRDefault="007B55FA" w:rsidP="00040AA9">
            <w:pPr>
              <w:suppressAutoHyphens/>
              <w:jc w:val="center"/>
              <w:rPr>
                <w:rFonts w:ascii="Arial" w:hAnsi="Arial" w:cs="Arial"/>
                <w:sz w:val="20"/>
                <w:szCs w:val="20"/>
              </w:rPr>
            </w:pPr>
          </w:p>
          <w:p w14:paraId="39FCFB87" w14:textId="77777777" w:rsidR="007B55FA" w:rsidRPr="00040AA9" w:rsidRDefault="007B55FA" w:rsidP="00040AA9">
            <w:pPr>
              <w:suppressAutoHyphens/>
              <w:jc w:val="center"/>
              <w:rPr>
                <w:rFonts w:ascii="Arial" w:hAnsi="Arial" w:cs="Arial"/>
                <w:sz w:val="20"/>
                <w:szCs w:val="20"/>
              </w:rPr>
            </w:pPr>
          </w:p>
          <w:p w14:paraId="394A416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0BC2B0A" w14:textId="561DE7C3"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75046B" w:rsidRPr="00040AA9">
              <w:rPr>
                <w:rFonts w:ascii="Arial" w:hAnsi="Arial" w:cs="Arial"/>
                <w:sz w:val="20"/>
                <w:szCs w:val="20"/>
              </w:rPr>
              <w:t>2013</w:t>
            </w:r>
            <w:r w:rsidRPr="00040AA9">
              <w:rPr>
                <w:rFonts w:ascii="Arial" w:hAnsi="Arial" w:cs="Arial"/>
                <w:sz w:val="20"/>
                <w:szCs w:val="20"/>
              </w:rPr>
              <w:t>)</w:t>
            </w:r>
            <w:r w:rsidRPr="00040AA9">
              <w:rPr>
                <w:rStyle w:val="FootnoteReference"/>
                <w:rFonts w:ascii="Arial" w:hAnsi="Arial" w:cs="Arial"/>
                <w:sz w:val="20"/>
                <w:szCs w:val="20"/>
              </w:rPr>
              <w:footnoteReference w:id="104"/>
            </w:r>
          </w:p>
        </w:tc>
        <w:tc>
          <w:tcPr>
            <w:tcW w:w="1106" w:type="dxa"/>
            <w:vMerge/>
            <w:tcBorders>
              <w:bottom w:val="single" w:sz="4" w:space="0" w:color="auto"/>
            </w:tcBorders>
            <w:shd w:val="clear" w:color="auto" w:fill="auto"/>
          </w:tcPr>
          <w:p w14:paraId="7DCC0CEC"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1818C853" w14:textId="24348A8B"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II.2.c.A.2) providing evidence of compliance with section 2.03.I.(b)(</w:t>
            </w:r>
            <w:proofErr w:type="spellStart"/>
            <w:r w:rsidRPr="00040AA9">
              <w:rPr>
                <w:rFonts w:ascii="Arial" w:hAnsi="Arial" w:cs="Arial"/>
                <w:sz w:val="20"/>
                <w:szCs w:val="20"/>
              </w:rPr>
              <w:t>i</w:t>
            </w:r>
            <w:proofErr w:type="spellEnd"/>
            <w:r w:rsidRPr="00040AA9">
              <w:rPr>
                <w:rFonts w:ascii="Arial" w:hAnsi="Arial" w:cs="Arial"/>
                <w:sz w:val="20"/>
                <w:szCs w:val="20"/>
              </w:rPr>
              <w:t>)(B) of the FISPEG III loan contract by way of affirming maintenance of powers to mandate the e-filing of taxes.</w:t>
            </w:r>
            <w:r w:rsidRPr="00040AA9">
              <w:rPr>
                <w:rStyle w:val="FootnoteReference"/>
                <w:rFonts w:ascii="Arial" w:hAnsi="Arial" w:cs="Arial"/>
                <w:sz w:val="20"/>
                <w:szCs w:val="20"/>
              </w:rPr>
              <w:footnoteReference w:id="105"/>
            </w:r>
            <w:r w:rsidRPr="00040AA9">
              <w:rPr>
                <w:rFonts w:ascii="Arial" w:hAnsi="Arial" w:cs="Arial"/>
                <w:sz w:val="20"/>
                <w:szCs w:val="20"/>
              </w:rPr>
              <w:t xml:space="preserve"> </w:t>
            </w:r>
          </w:p>
        </w:tc>
      </w:tr>
      <w:tr w:rsidR="007B55FA" w:rsidRPr="00CF5903" w14:paraId="70B09A0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jc w:val="center"/>
        </w:trPr>
        <w:tc>
          <w:tcPr>
            <w:tcW w:w="12859" w:type="dxa"/>
            <w:gridSpan w:val="8"/>
            <w:shd w:val="clear" w:color="auto" w:fill="F2F2F2" w:themeFill="background1" w:themeFillShade="F2"/>
          </w:tcPr>
          <w:p w14:paraId="2431CF6E"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II.10. Cap on claims for deduction of tax losses carried forward</w:t>
            </w:r>
          </w:p>
        </w:tc>
      </w:tr>
      <w:tr w:rsidR="007B55FA" w:rsidRPr="00CF5903" w14:paraId="741B329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42121380"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II.10.1</w:t>
            </w:r>
          </w:p>
          <w:p w14:paraId="4A82F33C"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Cap on claims for deduction of tax losses forwarded on chargeable income (CIT and PIT) applied. </w:t>
            </w:r>
          </w:p>
          <w:p w14:paraId="1CBA278E"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2.4</w:t>
            </w:r>
          </w:p>
          <w:p w14:paraId="2C8C3580"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2.03.I.(a)(ii)(B))</w:t>
            </w:r>
          </w:p>
        </w:tc>
        <w:tc>
          <w:tcPr>
            <w:tcW w:w="860" w:type="dxa"/>
            <w:vMerge w:val="restart"/>
            <w:shd w:val="clear" w:color="auto" w:fill="auto"/>
          </w:tcPr>
          <w:p w14:paraId="19ED2AD9" w14:textId="77777777" w:rsidR="007B55FA" w:rsidRPr="00040AA9" w:rsidRDefault="007B55FA" w:rsidP="00040AA9">
            <w:pPr>
              <w:suppressAutoHyphens/>
              <w:jc w:val="center"/>
              <w:rPr>
                <w:rFonts w:ascii="Arial" w:hAnsi="Arial" w:cs="Arial"/>
                <w:sz w:val="20"/>
                <w:szCs w:val="20"/>
              </w:rPr>
            </w:pPr>
          </w:p>
          <w:p w14:paraId="3A9174EA" w14:textId="77777777" w:rsidR="007B55FA" w:rsidRPr="00040AA9" w:rsidRDefault="007B55FA" w:rsidP="00040AA9">
            <w:pPr>
              <w:suppressAutoHyphens/>
              <w:jc w:val="center"/>
              <w:rPr>
                <w:rFonts w:ascii="Arial" w:hAnsi="Arial" w:cs="Arial"/>
                <w:sz w:val="20"/>
                <w:szCs w:val="20"/>
              </w:rPr>
            </w:pPr>
          </w:p>
          <w:p w14:paraId="793F03A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Cap</w:t>
            </w:r>
          </w:p>
        </w:tc>
        <w:tc>
          <w:tcPr>
            <w:tcW w:w="774" w:type="dxa"/>
            <w:vMerge w:val="restart"/>
            <w:shd w:val="clear" w:color="auto" w:fill="auto"/>
          </w:tcPr>
          <w:p w14:paraId="017D1FC7" w14:textId="77777777" w:rsidR="007B55FA" w:rsidRPr="00040AA9" w:rsidRDefault="007B55FA" w:rsidP="00040AA9">
            <w:pPr>
              <w:suppressAutoHyphens/>
              <w:jc w:val="center"/>
              <w:rPr>
                <w:rFonts w:ascii="Arial" w:hAnsi="Arial" w:cs="Arial"/>
                <w:sz w:val="20"/>
                <w:szCs w:val="20"/>
              </w:rPr>
            </w:pPr>
          </w:p>
          <w:p w14:paraId="3838C89F" w14:textId="77777777" w:rsidR="007B55FA" w:rsidRPr="00040AA9" w:rsidRDefault="007B55FA" w:rsidP="00040AA9">
            <w:pPr>
              <w:suppressAutoHyphens/>
              <w:rPr>
                <w:rFonts w:ascii="Arial" w:hAnsi="Arial" w:cs="Arial"/>
                <w:sz w:val="20"/>
                <w:szCs w:val="20"/>
              </w:rPr>
            </w:pPr>
          </w:p>
          <w:p w14:paraId="75753F7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E11D83C" w14:textId="77777777" w:rsidR="007B55FA" w:rsidRPr="00040AA9" w:rsidRDefault="007B55FA" w:rsidP="00040AA9">
            <w:pPr>
              <w:suppressAutoHyphens/>
              <w:jc w:val="center"/>
              <w:rPr>
                <w:rFonts w:ascii="Arial" w:hAnsi="Arial" w:cs="Arial"/>
                <w:sz w:val="20"/>
                <w:szCs w:val="20"/>
              </w:rPr>
            </w:pPr>
          </w:p>
          <w:p w14:paraId="7DA13B41" w14:textId="77777777" w:rsidR="007B55FA" w:rsidRPr="00040AA9" w:rsidRDefault="007B55FA" w:rsidP="00040AA9">
            <w:pPr>
              <w:suppressAutoHyphens/>
              <w:jc w:val="center"/>
              <w:rPr>
                <w:rFonts w:ascii="Arial" w:hAnsi="Arial" w:cs="Arial"/>
                <w:sz w:val="20"/>
                <w:szCs w:val="20"/>
              </w:rPr>
            </w:pPr>
          </w:p>
          <w:p w14:paraId="2D6B151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0013E8BF" w14:textId="77777777" w:rsidR="007B55FA" w:rsidRPr="00040AA9" w:rsidRDefault="007B55FA" w:rsidP="00040AA9">
            <w:pPr>
              <w:suppressAutoHyphens/>
              <w:rPr>
                <w:rFonts w:ascii="Arial" w:hAnsi="Arial" w:cs="Arial"/>
                <w:sz w:val="20"/>
                <w:szCs w:val="20"/>
              </w:rPr>
            </w:pPr>
          </w:p>
          <w:p w14:paraId="16D4AA6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7798E72F" w14:textId="77777777" w:rsidR="007B55FA" w:rsidRPr="00040AA9" w:rsidRDefault="007B55FA" w:rsidP="00040AA9">
            <w:pPr>
              <w:suppressAutoHyphens/>
              <w:jc w:val="center"/>
              <w:rPr>
                <w:rFonts w:ascii="Arial" w:hAnsi="Arial" w:cs="Arial"/>
                <w:sz w:val="20"/>
                <w:szCs w:val="20"/>
              </w:rPr>
            </w:pPr>
          </w:p>
          <w:p w14:paraId="3FE9FA6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E38A46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shd w:val="clear" w:color="auto" w:fill="auto"/>
          </w:tcPr>
          <w:p w14:paraId="2E06D7FC" w14:textId="77777777" w:rsidR="007B55FA" w:rsidRPr="00040AA9" w:rsidRDefault="007B55FA" w:rsidP="00040AA9">
            <w:pPr>
              <w:suppressAutoHyphens/>
              <w:rPr>
                <w:rFonts w:ascii="Arial" w:hAnsi="Arial" w:cs="Arial"/>
                <w:sz w:val="20"/>
                <w:szCs w:val="20"/>
              </w:rPr>
            </w:pPr>
          </w:p>
          <w:p w14:paraId="5798A19B" w14:textId="77777777" w:rsidR="007B55FA" w:rsidRPr="00040AA9" w:rsidRDefault="007B55FA" w:rsidP="00040AA9">
            <w:pPr>
              <w:suppressAutoHyphens/>
              <w:rPr>
                <w:rFonts w:ascii="Arial" w:hAnsi="Arial" w:cs="Arial"/>
                <w:sz w:val="20"/>
                <w:szCs w:val="20"/>
              </w:rPr>
            </w:pPr>
          </w:p>
          <w:p w14:paraId="157CA6F4" w14:textId="77777777" w:rsidR="007B55FA" w:rsidRPr="00040AA9" w:rsidRDefault="007B55FA" w:rsidP="00040AA9">
            <w:pPr>
              <w:suppressAutoHyphens/>
              <w:rPr>
                <w:rFonts w:ascii="Arial" w:hAnsi="Arial" w:cs="Arial"/>
                <w:sz w:val="20"/>
                <w:szCs w:val="20"/>
              </w:rPr>
            </w:pPr>
          </w:p>
          <w:p w14:paraId="6A1DAAD7" w14:textId="77777777" w:rsidR="007B55FA" w:rsidRPr="00040AA9" w:rsidRDefault="007B55FA" w:rsidP="00040AA9">
            <w:pPr>
              <w:suppressAutoHyphens/>
              <w:rPr>
                <w:rFonts w:ascii="Arial" w:hAnsi="Arial" w:cs="Arial"/>
                <w:sz w:val="20"/>
                <w:szCs w:val="20"/>
              </w:rPr>
            </w:pPr>
          </w:p>
          <w:p w14:paraId="0F2FEFE5" w14:textId="77777777" w:rsidR="007B55FA" w:rsidRPr="00040AA9" w:rsidRDefault="007B55FA" w:rsidP="00040AA9">
            <w:pPr>
              <w:suppressAutoHyphens/>
              <w:rPr>
                <w:rFonts w:ascii="Arial" w:hAnsi="Arial" w:cs="Arial"/>
                <w:sz w:val="20"/>
                <w:szCs w:val="20"/>
              </w:rPr>
            </w:pPr>
          </w:p>
          <w:p w14:paraId="3D12EC59" w14:textId="77777777" w:rsidR="007B55FA" w:rsidRPr="00040AA9" w:rsidRDefault="007B55FA" w:rsidP="00040AA9">
            <w:pPr>
              <w:suppressAutoHyphens/>
              <w:rPr>
                <w:rFonts w:ascii="Arial" w:hAnsi="Arial" w:cs="Arial"/>
                <w:sz w:val="20"/>
                <w:szCs w:val="20"/>
              </w:rPr>
            </w:pPr>
          </w:p>
          <w:p w14:paraId="1A01E91A" w14:textId="77777777" w:rsidR="007B55FA" w:rsidRPr="00040AA9" w:rsidRDefault="007B55FA" w:rsidP="00040AA9">
            <w:pPr>
              <w:suppressAutoHyphens/>
              <w:rPr>
                <w:rFonts w:ascii="Arial" w:hAnsi="Arial" w:cs="Arial"/>
                <w:sz w:val="20"/>
                <w:szCs w:val="20"/>
              </w:rPr>
            </w:pPr>
          </w:p>
          <w:p w14:paraId="56584AF5" w14:textId="77777777" w:rsidR="007B55FA" w:rsidRPr="00040AA9" w:rsidRDefault="007B55FA" w:rsidP="00040AA9">
            <w:pPr>
              <w:suppressAutoHyphens/>
              <w:rPr>
                <w:rFonts w:ascii="Arial" w:hAnsi="Arial" w:cs="Arial"/>
                <w:sz w:val="20"/>
                <w:szCs w:val="20"/>
              </w:rPr>
            </w:pPr>
          </w:p>
          <w:p w14:paraId="144081E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09C4602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CIT and PIT caps keep being applied</w:t>
            </w:r>
          </w:p>
        </w:tc>
      </w:tr>
      <w:tr w:rsidR="007B55FA" w:rsidRPr="00CF5903" w14:paraId="7CEA2D1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5270123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0776F2B"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70F09E62"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59F906AB"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181ABB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26A51393"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25ECB98F"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5975D8C" w14:textId="77777777" w:rsidR="007B55FA" w:rsidRPr="00040AA9" w:rsidRDefault="007B55FA" w:rsidP="00040AA9">
            <w:pPr>
              <w:suppressAutoHyphens/>
              <w:rPr>
                <w:rFonts w:ascii="Arial" w:hAnsi="Arial" w:cs="Arial"/>
                <w:sz w:val="20"/>
                <w:szCs w:val="20"/>
              </w:rPr>
            </w:pPr>
          </w:p>
        </w:tc>
      </w:tr>
      <w:tr w:rsidR="007B55FA" w:rsidRPr="00CF5903" w14:paraId="50974DD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tcBorders>
              <w:bottom w:val="single" w:sz="4" w:space="0" w:color="auto"/>
            </w:tcBorders>
            <w:shd w:val="clear" w:color="auto" w:fill="auto"/>
            <w:hideMark/>
          </w:tcPr>
          <w:p w14:paraId="3ECFD6FE"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4677A4D1"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76FAB7E5"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0B6DC175"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0CA36353" w14:textId="77777777" w:rsidR="007B55FA" w:rsidRPr="00040AA9" w:rsidRDefault="007B55FA" w:rsidP="00040AA9">
            <w:pPr>
              <w:suppressAutoHyphens/>
              <w:rPr>
                <w:rFonts w:ascii="Arial" w:hAnsi="Arial" w:cs="Arial"/>
                <w:sz w:val="20"/>
                <w:szCs w:val="20"/>
              </w:rPr>
            </w:pPr>
          </w:p>
          <w:p w14:paraId="73261501" w14:textId="77777777" w:rsidR="007B55FA" w:rsidRPr="00040AA9" w:rsidRDefault="007B55FA" w:rsidP="00040AA9">
            <w:pPr>
              <w:suppressAutoHyphens/>
              <w:rPr>
                <w:rFonts w:ascii="Arial" w:hAnsi="Arial" w:cs="Arial"/>
                <w:sz w:val="20"/>
                <w:szCs w:val="20"/>
              </w:rPr>
            </w:pPr>
          </w:p>
          <w:p w14:paraId="1700CDDD" w14:textId="77777777" w:rsidR="007B55FA" w:rsidRPr="00040AA9" w:rsidRDefault="007B55FA" w:rsidP="00040AA9">
            <w:pPr>
              <w:suppressAutoHyphens/>
              <w:rPr>
                <w:rFonts w:ascii="Arial" w:hAnsi="Arial" w:cs="Arial"/>
                <w:sz w:val="20"/>
                <w:szCs w:val="20"/>
              </w:rPr>
            </w:pPr>
          </w:p>
          <w:p w14:paraId="14E64C90" w14:textId="77777777" w:rsidR="007B55FA" w:rsidRPr="00040AA9" w:rsidRDefault="007B55FA" w:rsidP="00040AA9">
            <w:pPr>
              <w:suppressAutoHyphens/>
              <w:rPr>
                <w:rFonts w:ascii="Arial" w:hAnsi="Arial" w:cs="Arial"/>
                <w:sz w:val="20"/>
                <w:szCs w:val="20"/>
              </w:rPr>
            </w:pPr>
          </w:p>
          <w:p w14:paraId="6213E968" w14:textId="77777777" w:rsidR="007B55FA" w:rsidRPr="00040AA9" w:rsidRDefault="007B55FA" w:rsidP="00040AA9">
            <w:pPr>
              <w:suppressAutoHyphens/>
              <w:rPr>
                <w:rFonts w:ascii="Arial" w:hAnsi="Arial" w:cs="Arial"/>
                <w:sz w:val="20"/>
                <w:szCs w:val="20"/>
              </w:rPr>
            </w:pPr>
          </w:p>
          <w:p w14:paraId="30EE245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3AF58E47" w14:textId="77777777" w:rsidR="007B55FA" w:rsidRPr="00040AA9" w:rsidRDefault="007B55FA" w:rsidP="00040AA9">
            <w:pPr>
              <w:suppressAutoHyphens/>
              <w:rPr>
                <w:rFonts w:ascii="Arial" w:hAnsi="Arial" w:cs="Arial"/>
                <w:sz w:val="20"/>
                <w:szCs w:val="20"/>
              </w:rPr>
            </w:pPr>
          </w:p>
          <w:p w14:paraId="795FFDC0" w14:textId="77777777" w:rsidR="007B55FA" w:rsidRPr="00040AA9" w:rsidRDefault="007B55FA" w:rsidP="00040AA9">
            <w:pPr>
              <w:suppressAutoHyphens/>
              <w:rPr>
                <w:rFonts w:ascii="Arial" w:hAnsi="Arial" w:cs="Arial"/>
                <w:sz w:val="20"/>
                <w:szCs w:val="20"/>
              </w:rPr>
            </w:pPr>
          </w:p>
          <w:p w14:paraId="7296A549" w14:textId="77777777" w:rsidR="007B55FA" w:rsidRPr="00040AA9" w:rsidRDefault="007B55FA" w:rsidP="00040AA9">
            <w:pPr>
              <w:suppressAutoHyphens/>
              <w:rPr>
                <w:rFonts w:ascii="Arial" w:hAnsi="Arial" w:cs="Arial"/>
                <w:sz w:val="20"/>
                <w:szCs w:val="20"/>
              </w:rPr>
            </w:pPr>
          </w:p>
          <w:p w14:paraId="184FC926" w14:textId="77777777" w:rsidR="007B55FA" w:rsidRPr="00040AA9" w:rsidRDefault="007B55FA" w:rsidP="00040AA9">
            <w:pPr>
              <w:suppressAutoHyphens/>
              <w:rPr>
                <w:rFonts w:ascii="Arial" w:hAnsi="Arial" w:cs="Arial"/>
                <w:sz w:val="20"/>
                <w:szCs w:val="20"/>
              </w:rPr>
            </w:pPr>
          </w:p>
          <w:p w14:paraId="47E4725F" w14:textId="77777777" w:rsidR="007B55FA" w:rsidRPr="00040AA9" w:rsidRDefault="007B55FA" w:rsidP="00040AA9">
            <w:pPr>
              <w:suppressAutoHyphens/>
              <w:rPr>
                <w:rFonts w:ascii="Arial" w:hAnsi="Arial" w:cs="Arial"/>
                <w:sz w:val="20"/>
                <w:szCs w:val="20"/>
              </w:rPr>
            </w:pPr>
          </w:p>
          <w:p w14:paraId="22048FD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40FD399" w14:textId="08D57E05"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t>
            </w:r>
            <w:r w:rsidR="00FD6780" w:rsidRPr="00040AA9">
              <w:rPr>
                <w:rFonts w:ascii="Arial" w:hAnsi="Arial" w:cs="Arial"/>
                <w:sz w:val="20"/>
                <w:szCs w:val="20"/>
              </w:rPr>
              <w:t>2013</w:t>
            </w:r>
            <w:r w:rsidRPr="00040AA9">
              <w:rPr>
                <w:rFonts w:ascii="Arial" w:hAnsi="Arial" w:cs="Arial"/>
                <w:sz w:val="20"/>
                <w:szCs w:val="20"/>
              </w:rPr>
              <w:t>)</w:t>
            </w:r>
            <w:r w:rsidRPr="00040AA9">
              <w:rPr>
                <w:rStyle w:val="FootnoteReference"/>
                <w:rFonts w:ascii="Arial" w:hAnsi="Arial" w:cs="Arial"/>
                <w:sz w:val="20"/>
                <w:szCs w:val="20"/>
              </w:rPr>
              <w:footnoteReference w:id="106"/>
            </w:r>
          </w:p>
        </w:tc>
        <w:tc>
          <w:tcPr>
            <w:tcW w:w="1106" w:type="dxa"/>
            <w:vMerge/>
            <w:tcBorders>
              <w:bottom w:val="single" w:sz="4" w:space="0" w:color="auto"/>
            </w:tcBorders>
            <w:shd w:val="clear" w:color="auto" w:fill="auto"/>
            <w:hideMark/>
          </w:tcPr>
          <w:p w14:paraId="0E3564E9"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316CE755" w14:textId="42199D15"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II.1.c.B.2) providing evidence of compliance with section 2.03.I.(a)(ii)(B) of the FISPEG III loan contract by way of affirming that the 50%cap on claims for deduction of tax losses forwarded in any year of assessment is still in effect and being enforced.</w:t>
            </w:r>
            <w:r w:rsidRPr="00040AA9">
              <w:rPr>
                <w:rStyle w:val="FootnoteReference"/>
                <w:rFonts w:ascii="Arial" w:hAnsi="Arial" w:cs="Arial"/>
                <w:sz w:val="20"/>
                <w:szCs w:val="20"/>
              </w:rPr>
              <w:footnoteReference w:id="107"/>
            </w:r>
            <w:r w:rsidRPr="00040AA9">
              <w:rPr>
                <w:rFonts w:ascii="Arial" w:hAnsi="Arial" w:cs="Arial"/>
                <w:sz w:val="20"/>
                <w:szCs w:val="20"/>
              </w:rPr>
              <w:t xml:space="preserve"> </w:t>
            </w:r>
          </w:p>
        </w:tc>
      </w:tr>
      <w:tr w:rsidR="007B55FA" w:rsidRPr="00CF5903" w14:paraId="5446560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57933D2D" w14:textId="77777777"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Output II.11 Standard GCT rate applied to Government purchases</w:t>
            </w:r>
          </w:p>
        </w:tc>
      </w:tr>
      <w:tr w:rsidR="007B55FA" w:rsidRPr="00CF5903" w14:paraId="1CC71E2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95EEF09"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 xml:space="preserve">Indicator II.11.1 </w:t>
            </w:r>
          </w:p>
          <w:p w14:paraId="3A04F15B"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 xml:space="preserve">Standard GCT rate to government purchase established </w:t>
            </w:r>
          </w:p>
          <w:p w14:paraId="6AABF5AA"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2.5,</w:t>
            </w:r>
          </w:p>
          <w:p w14:paraId="61FC7125"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2.03.I.(a)(ii)(C))</w:t>
            </w:r>
          </w:p>
        </w:tc>
        <w:tc>
          <w:tcPr>
            <w:tcW w:w="860" w:type="dxa"/>
            <w:vMerge w:val="restart"/>
            <w:shd w:val="clear" w:color="auto" w:fill="auto"/>
          </w:tcPr>
          <w:p w14:paraId="2C8D71FB" w14:textId="77777777" w:rsidR="007B55FA" w:rsidRPr="00040AA9" w:rsidRDefault="007B55FA" w:rsidP="00040AA9">
            <w:pPr>
              <w:keepNext/>
              <w:keepLines/>
              <w:suppressAutoHyphens/>
              <w:jc w:val="center"/>
              <w:rPr>
                <w:rFonts w:ascii="Arial" w:hAnsi="Arial" w:cs="Arial"/>
                <w:sz w:val="20"/>
                <w:szCs w:val="20"/>
              </w:rPr>
            </w:pPr>
          </w:p>
          <w:p w14:paraId="495A8658" w14:textId="77777777" w:rsidR="007B55FA" w:rsidRPr="00040AA9" w:rsidRDefault="007B55FA" w:rsidP="00040AA9">
            <w:pPr>
              <w:keepNext/>
              <w:keepLines/>
              <w:suppressAutoHyphens/>
              <w:jc w:val="center"/>
              <w:rPr>
                <w:rFonts w:ascii="Arial" w:hAnsi="Arial" w:cs="Arial"/>
                <w:sz w:val="20"/>
                <w:szCs w:val="20"/>
              </w:rPr>
            </w:pPr>
          </w:p>
          <w:p w14:paraId="30E0C7D8" w14:textId="781C1FB1" w:rsidR="007B55FA" w:rsidRPr="00040AA9" w:rsidRDefault="00424F84" w:rsidP="00040AA9">
            <w:pPr>
              <w:keepNext/>
              <w:keepLines/>
              <w:suppressAutoHyphens/>
              <w:jc w:val="center"/>
              <w:rPr>
                <w:rFonts w:ascii="Arial" w:hAnsi="Arial" w:cs="Arial"/>
                <w:sz w:val="20"/>
                <w:szCs w:val="20"/>
              </w:rPr>
            </w:pPr>
            <w:r w:rsidRPr="00040AA9">
              <w:rPr>
                <w:rFonts w:ascii="Arial" w:hAnsi="Arial" w:cs="Arial"/>
                <w:sz w:val="20"/>
                <w:szCs w:val="20"/>
              </w:rPr>
              <w:t xml:space="preserve">[application of </w:t>
            </w:r>
            <w:r w:rsidR="00373A39" w:rsidRPr="00040AA9">
              <w:rPr>
                <w:rFonts w:ascii="Arial" w:hAnsi="Arial" w:cs="Arial"/>
                <w:sz w:val="20"/>
                <w:szCs w:val="20"/>
              </w:rPr>
              <w:t xml:space="preserve">the] </w:t>
            </w:r>
            <w:r w:rsidR="007B55FA" w:rsidRPr="00040AA9">
              <w:rPr>
                <w:rFonts w:ascii="Arial" w:hAnsi="Arial" w:cs="Arial"/>
                <w:sz w:val="20"/>
                <w:szCs w:val="20"/>
              </w:rPr>
              <w:t>Rate</w:t>
            </w:r>
          </w:p>
        </w:tc>
        <w:tc>
          <w:tcPr>
            <w:tcW w:w="774" w:type="dxa"/>
            <w:vMerge w:val="restart"/>
            <w:shd w:val="clear" w:color="auto" w:fill="auto"/>
          </w:tcPr>
          <w:p w14:paraId="3A5F7632" w14:textId="77777777" w:rsidR="007B55FA" w:rsidRPr="00040AA9" w:rsidRDefault="007B55FA" w:rsidP="00040AA9">
            <w:pPr>
              <w:keepNext/>
              <w:keepLines/>
              <w:suppressAutoHyphens/>
              <w:jc w:val="center"/>
              <w:rPr>
                <w:rFonts w:ascii="Arial" w:hAnsi="Arial" w:cs="Arial"/>
                <w:sz w:val="20"/>
                <w:szCs w:val="20"/>
              </w:rPr>
            </w:pPr>
          </w:p>
          <w:p w14:paraId="7B463600" w14:textId="77777777" w:rsidR="007B55FA" w:rsidRPr="00040AA9" w:rsidRDefault="007B55FA" w:rsidP="00040AA9">
            <w:pPr>
              <w:keepNext/>
              <w:keepLines/>
              <w:suppressAutoHyphens/>
              <w:jc w:val="center"/>
              <w:rPr>
                <w:rFonts w:ascii="Arial" w:hAnsi="Arial" w:cs="Arial"/>
                <w:sz w:val="20"/>
                <w:szCs w:val="20"/>
              </w:rPr>
            </w:pPr>
          </w:p>
          <w:p w14:paraId="4F929609"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4592B0CF" w14:textId="77777777" w:rsidR="007B55FA" w:rsidRPr="00040AA9" w:rsidRDefault="007B55FA" w:rsidP="00040AA9">
            <w:pPr>
              <w:keepNext/>
              <w:keepLines/>
              <w:suppressAutoHyphens/>
              <w:jc w:val="center"/>
              <w:rPr>
                <w:rFonts w:ascii="Arial" w:hAnsi="Arial" w:cs="Arial"/>
                <w:sz w:val="20"/>
                <w:szCs w:val="20"/>
              </w:rPr>
            </w:pPr>
          </w:p>
          <w:p w14:paraId="2795D15D" w14:textId="77777777" w:rsidR="007B55FA" w:rsidRPr="00040AA9" w:rsidRDefault="007B55FA" w:rsidP="00040AA9">
            <w:pPr>
              <w:keepNext/>
              <w:keepLines/>
              <w:suppressAutoHyphens/>
              <w:jc w:val="center"/>
              <w:rPr>
                <w:rFonts w:ascii="Arial" w:hAnsi="Arial" w:cs="Arial"/>
                <w:sz w:val="20"/>
                <w:szCs w:val="20"/>
              </w:rPr>
            </w:pPr>
          </w:p>
          <w:p w14:paraId="398DA04C"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094B5057" w14:textId="77777777" w:rsidR="007B55FA" w:rsidRPr="00040AA9" w:rsidRDefault="007B55FA" w:rsidP="00040AA9">
            <w:pPr>
              <w:keepNext/>
              <w:keepLines/>
              <w:suppressAutoHyphens/>
              <w:rPr>
                <w:rFonts w:ascii="Arial" w:hAnsi="Arial" w:cs="Arial"/>
                <w:sz w:val="20"/>
                <w:szCs w:val="20"/>
              </w:rPr>
            </w:pPr>
          </w:p>
          <w:p w14:paraId="2955CD15"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tcPr>
          <w:p w14:paraId="5BA9704D" w14:textId="77777777" w:rsidR="007B55FA" w:rsidRPr="00040AA9" w:rsidRDefault="007B55FA" w:rsidP="00040AA9">
            <w:pPr>
              <w:keepNext/>
              <w:keepLines/>
              <w:suppressAutoHyphens/>
              <w:jc w:val="center"/>
              <w:rPr>
                <w:rFonts w:ascii="Arial" w:hAnsi="Arial" w:cs="Arial"/>
                <w:sz w:val="20"/>
                <w:szCs w:val="20"/>
              </w:rPr>
            </w:pPr>
          </w:p>
          <w:p w14:paraId="0E46135E"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3161A503"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(from FY 2014/15 on)</w:t>
            </w:r>
          </w:p>
        </w:tc>
        <w:tc>
          <w:tcPr>
            <w:tcW w:w="1106" w:type="dxa"/>
            <w:vMerge w:val="restart"/>
            <w:shd w:val="clear" w:color="auto" w:fill="auto"/>
          </w:tcPr>
          <w:p w14:paraId="0A042FD9" w14:textId="77777777" w:rsidR="007B55FA" w:rsidRPr="00040AA9" w:rsidRDefault="007B55FA" w:rsidP="00040AA9">
            <w:pPr>
              <w:keepNext/>
              <w:keepLines/>
              <w:suppressAutoHyphens/>
              <w:rPr>
                <w:rFonts w:ascii="Arial" w:hAnsi="Arial" w:cs="Arial"/>
                <w:sz w:val="20"/>
                <w:szCs w:val="20"/>
                <w:highlight w:val="yellow"/>
              </w:rPr>
            </w:pPr>
          </w:p>
          <w:p w14:paraId="5DAC3D72" w14:textId="77777777" w:rsidR="007B55FA" w:rsidRPr="00040AA9" w:rsidRDefault="007B55FA" w:rsidP="00040AA9">
            <w:pPr>
              <w:keepNext/>
              <w:keepLines/>
              <w:suppressAutoHyphens/>
              <w:rPr>
                <w:rFonts w:ascii="Arial" w:hAnsi="Arial" w:cs="Arial"/>
                <w:sz w:val="20"/>
                <w:szCs w:val="20"/>
                <w:highlight w:val="yellow"/>
              </w:rPr>
            </w:pPr>
          </w:p>
          <w:p w14:paraId="33BE1F4C" w14:textId="77777777" w:rsidR="007B55FA" w:rsidRPr="00040AA9" w:rsidRDefault="007B55FA" w:rsidP="00040AA9">
            <w:pPr>
              <w:keepNext/>
              <w:keepLines/>
              <w:suppressAutoHyphens/>
              <w:rPr>
                <w:rFonts w:ascii="Arial" w:hAnsi="Arial" w:cs="Arial"/>
                <w:sz w:val="20"/>
                <w:szCs w:val="20"/>
                <w:highlight w:val="yellow"/>
              </w:rPr>
            </w:pPr>
          </w:p>
          <w:p w14:paraId="1FC37B21" w14:textId="77777777" w:rsidR="007B55FA" w:rsidRPr="00040AA9" w:rsidRDefault="007B55FA" w:rsidP="00040AA9">
            <w:pPr>
              <w:keepNext/>
              <w:keepLines/>
              <w:suppressAutoHyphens/>
              <w:rPr>
                <w:rFonts w:ascii="Arial" w:hAnsi="Arial" w:cs="Arial"/>
                <w:sz w:val="20"/>
                <w:szCs w:val="20"/>
                <w:highlight w:val="yellow"/>
              </w:rPr>
            </w:pPr>
          </w:p>
          <w:p w14:paraId="295776A2" w14:textId="77777777" w:rsidR="007B55FA" w:rsidRPr="00040AA9" w:rsidRDefault="007B55FA" w:rsidP="00040AA9">
            <w:pPr>
              <w:keepNext/>
              <w:keepLines/>
              <w:suppressAutoHyphens/>
              <w:rPr>
                <w:rFonts w:ascii="Arial" w:hAnsi="Arial" w:cs="Arial"/>
                <w:sz w:val="20"/>
                <w:szCs w:val="20"/>
                <w:highlight w:val="yellow"/>
              </w:rPr>
            </w:pPr>
          </w:p>
          <w:p w14:paraId="1B6EEFEF" w14:textId="77777777" w:rsidR="007B55FA" w:rsidRPr="00040AA9" w:rsidRDefault="007B55FA" w:rsidP="00040AA9">
            <w:pPr>
              <w:keepNext/>
              <w:keepLines/>
              <w:suppressAutoHyphens/>
              <w:rPr>
                <w:rFonts w:ascii="Arial" w:hAnsi="Arial" w:cs="Arial"/>
                <w:sz w:val="20"/>
                <w:szCs w:val="20"/>
                <w:highlight w:val="yellow"/>
              </w:rPr>
            </w:pPr>
          </w:p>
          <w:p w14:paraId="70E2B662" w14:textId="0A51F00C" w:rsidR="007B55FA" w:rsidRPr="00040AA9" w:rsidRDefault="00C459AE" w:rsidP="00040AA9">
            <w:pPr>
              <w:keepNext/>
              <w:keepLines/>
              <w:suppressAutoHyphens/>
              <w:jc w:val="center"/>
              <w:rPr>
                <w:rFonts w:ascii="Arial" w:hAnsi="Arial" w:cs="Arial"/>
                <w:sz w:val="20"/>
                <w:szCs w:val="20"/>
                <w:highlight w:val="yellow"/>
              </w:rPr>
            </w:pPr>
            <w:r w:rsidRPr="00040AA9">
              <w:rPr>
                <w:rFonts w:ascii="Arial" w:hAnsi="Arial" w:cs="Arial"/>
                <w:sz w:val="20"/>
                <w:szCs w:val="20"/>
              </w:rPr>
              <w:t>100%</w:t>
            </w:r>
          </w:p>
        </w:tc>
        <w:tc>
          <w:tcPr>
            <w:tcW w:w="5027" w:type="dxa"/>
            <w:shd w:val="clear" w:color="auto" w:fill="auto"/>
          </w:tcPr>
          <w:p w14:paraId="447BC51D"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Letter from the FS informing that the Standard GCT rate keeps being applied.</w:t>
            </w:r>
          </w:p>
        </w:tc>
      </w:tr>
      <w:tr w:rsidR="007B55FA" w:rsidRPr="00CF5903" w14:paraId="5DF8728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1DDD42FF"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C5FEF47" w14:textId="77777777" w:rsidR="007B55FA" w:rsidRPr="00040AA9" w:rsidRDefault="007B55FA" w:rsidP="00040AA9">
            <w:pPr>
              <w:keepNext/>
              <w:keepLines/>
              <w:suppressAutoHyphens/>
              <w:rPr>
                <w:rFonts w:ascii="Arial" w:hAnsi="Arial" w:cs="Arial"/>
                <w:sz w:val="20"/>
                <w:szCs w:val="20"/>
              </w:rPr>
            </w:pPr>
          </w:p>
        </w:tc>
        <w:tc>
          <w:tcPr>
            <w:tcW w:w="774" w:type="dxa"/>
            <w:vMerge/>
            <w:shd w:val="clear" w:color="auto" w:fill="auto"/>
            <w:hideMark/>
          </w:tcPr>
          <w:p w14:paraId="176B4AF1" w14:textId="77777777" w:rsidR="007B55FA" w:rsidRPr="00040AA9" w:rsidRDefault="007B55FA" w:rsidP="00040AA9">
            <w:pPr>
              <w:keepNext/>
              <w:keepLines/>
              <w:suppressAutoHyphens/>
              <w:rPr>
                <w:rFonts w:ascii="Arial" w:hAnsi="Arial" w:cs="Arial"/>
                <w:sz w:val="20"/>
                <w:szCs w:val="20"/>
              </w:rPr>
            </w:pPr>
          </w:p>
        </w:tc>
        <w:tc>
          <w:tcPr>
            <w:tcW w:w="939" w:type="dxa"/>
            <w:vMerge/>
            <w:shd w:val="clear" w:color="auto" w:fill="auto"/>
            <w:hideMark/>
          </w:tcPr>
          <w:p w14:paraId="0A26B25B" w14:textId="77777777" w:rsidR="007B55FA" w:rsidRPr="00040AA9" w:rsidRDefault="007B55FA" w:rsidP="00040AA9">
            <w:pPr>
              <w:keepNext/>
              <w:keepLines/>
              <w:suppressAutoHyphens/>
              <w:rPr>
                <w:rFonts w:ascii="Arial" w:hAnsi="Arial" w:cs="Arial"/>
                <w:sz w:val="20"/>
                <w:szCs w:val="20"/>
              </w:rPr>
            </w:pPr>
          </w:p>
        </w:tc>
        <w:tc>
          <w:tcPr>
            <w:tcW w:w="594" w:type="dxa"/>
            <w:shd w:val="clear" w:color="auto" w:fill="auto"/>
            <w:hideMark/>
          </w:tcPr>
          <w:p w14:paraId="09950662"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35228F5B" w14:textId="77777777" w:rsidR="007B55FA" w:rsidRPr="00040AA9" w:rsidRDefault="007B55FA" w:rsidP="00040AA9">
            <w:pPr>
              <w:keepNext/>
              <w:keepLines/>
              <w:suppressAutoHyphens/>
              <w:jc w:val="center"/>
              <w:rPr>
                <w:rFonts w:ascii="Arial" w:hAnsi="Arial" w:cs="Arial"/>
                <w:sz w:val="20"/>
                <w:szCs w:val="20"/>
              </w:rPr>
            </w:pPr>
          </w:p>
        </w:tc>
        <w:tc>
          <w:tcPr>
            <w:tcW w:w="1106" w:type="dxa"/>
            <w:vMerge/>
            <w:shd w:val="clear" w:color="auto" w:fill="auto"/>
          </w:tcPr>
          <w:p w14:paraId="09E260EA" w14:textId="77777777" w:rsidR="007B55FA" w:rsidRPr="00040AA9" w:rsidRDefault="007B55FA" w:rsidP="00040AA9">
            <w:pPr>
              <w:keepNext/>
              <w:keepLines/>
              <w:suppressAutoHyphens/>
              <w:rPr>
                <w:rFonts w:ascii="Arial" w:hAnsi="Arial" w:cs="Arial"/>
                <w:sz w:val="20"/>
                <w:szCs w:val="20"/>
              </w:rPr>
            </w:pPr>
          </w:p>
        </w:tc>
        <w:tc>
          <w:tcPr>
            <w:tcW w:w="5027" w:type="dxa"/>
            <w:shd w:val="clear" w:color="auto" w:fill="auto"/>
          </w:tcPr>
          <w:p w14:paraId="4CACB617" w14:textId="77777777" w:rsidR="007B55FA" w:rsidRPr="00040AA9" w:rsidRDefault="007B55FA" w:rsidP="00040AA9">
            <w:pPr>
              <w:keepNext/>
              <w:keepLines/>
              <w:suppressAutoHyphens/>
              <w:rPr>
                <w:rFonts w:ascii="Arial" w:hAnsi="Arial" w:cs="Arial"/>
                <w:sz w:val="20"/>
                <w:szCs w:val="20"/>
              </w:rPr>
            </w:pPr>
          </w:p>
        </w:tc>
      </w:tr>
      <w:tr w:rsidR="007B55FA" w:rsidRPr="00CF5903" w14:paraId="2B57118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jc w:val="center"/>
        </w:trPr>
        <w:tc>
          <w:tcPr>
            <w:tcW w:w="2556" w:type="dxa"/>
            <w:vMerge/>
            <w:tcBorders>
              <w:bottom w:val="single" w:sz="4" w:space="0" w:color="auto"/>
            </w:tcBorders>
            <w:shd w:val="clear" w:color="auto" w:fill="auto"/>
            <w:hideMark/>
          </w:tcPr>
          <w:p w14:paraId="1F4EF1AD"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329A2FA6"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6022B6D0"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2ECC3CA7"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6C3FAC81" w14:textId="77777777" w:rsidR="007B55FA" w:rsidRPr="00040AA9" w:rsidRDefault="007B55FA" w:rsidP="00040AA9">
            <w:pPr>
              <w:suppressAutoHyphens/>
              <w:rPr>
                <w:rFonts w:ascii="Arial" w:hAnsi="Arial" w:cs="Arial"/>
                <w:sz w:val="20"/>
                <w:szCs w:val="20"/>
              </w:rPr>
            </w:pPr>
          </w:p>
          <w:p w14:paraId="61C9C8E6" w14:textId="77777777" w:rsidR="007B55FA" w:rsidRPr="00040AA9" w:rsidRDefault="007B55FA" w:rsidP="00040AA9">
            <w:pPr>
              <w:suppressAutoHyphens/>
              <w:rPr>
                <w:rFonts w:ascii="Arial" w:hAnsi="Arial" w:cs="Arial"/>
                <w:sz w:val="20"/>
                <w:szCs w:val="20"/>
              </w:rPr>
            </w:pPr>
          </w:p>
          <w:p w14:paraId="152CF919" w14:textId="77777777" w:rsidR="007B55FA" w:rsidRPr="00040AA9" w:rsidRDefault="007B55FA" w:rsidP="00040AA9">
            <w:pPr>
              <w:suppressAutoHyphens/>
              <w:rPr>
                <w:rFonts w:ascii="Arial" w:hAnsi="Arial" w:cs="Arial"/>
                <w:sz w:val="20"/>
                <w:szCs w:val="20"/>
              </w:rPr>
            </w:pPr>
          </w:p>
          <w:p w14:paraId="795CE9E1" w14:textId="77777777" w:rsidR="007B55FA" w:rsidRPr="00040AA9" w:rsidRDefault="007B55FA" w:rsidP="00040AA9">
            <w:pPr>
              <w:suppressAutoHyphens/>
              <w:rPr>
                <w:rFonts w:ascii="Arial" w:hAnsi="Arial" w:cs="Arial"/>
                <w:sz w:val="20"/>
                <w:szCs w:val="20"/>
              </w:rPr>
            </w:pPr>
          </w:p>
          <w:p w14:paraId="7C85469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1FF2C1D7" w14:textId="77777777" w:rsidR="007B55FA" w:rsidRPr="00040AA9" w:rsidRDefault="007B55FA" w:rsidP="00040AA9">
            <w:pPr>
              <w:suppressAutoHyphens/>
              <w:rPr>
                <w:rFonts w:ascii="Arial" w:hAnsi="Arial" w:cs="Arial"/>
                <w:sz w:val="20"/>
                <w:szCs w:val="20"/>
              </w:rPr>
            </w:pPr>
          </w:p>
          <w:p w14:paraId="3F030FA0" w14:textId="77777777" w:rsidR="007B55FA" w:rsidRPr="00040AA9" w:rsidRDefault="007B55FA" w:rsidP="00040AA9">
            <w:pPr>
              <w:suppressAutoHyphens/>
              <w:rPr>
                <w:rFonts w:ascii="Arial" w:hAnsi="Arial" w:cs="Arial"/>
                <w:sz w:val="20"/>
                <w:szCs w:val="20"/>
              </w:rPr>
            </w:pPr>
          </w:p>
          <w:p w14:paraId="737B41A4" w14:textId="77777777" w:rsidR="007B55FA" w:rsidRPr="00040AA9" w:rsidRDefault="007B55FA" w:rsidP="00040AA9">
            <w:pPr>
              <w:suppressAutoHyphens/>
              <w:rPr>
                <w:rFonts w:ascii="Arial" w:hAnsi="Arial" w:cs="Arial"/>
                <w:sz w:val="20"/>
                <w:szCs w:val="20"/>
              </w:rPr>
            </w:pPr>
          </w:p>
          <w:p w14:paraId="5A922C95" w14:textId="77777777" w:rsidR="007B55FA" w:rsidRPr="00040AA9" w:rsidRDefault="007B55FA" w:rsidP="00040AA9">
            <w:pPr>
              <w:suppressAutoHyphens/>
              <w:rPr>
                <w:rFonts w:ascii="Arial" w:hAnsi="Arial" w:cs="Arial"/>
                <w:sz w:val="20"/>
                <w:szCs w:val="20"/>
              </w:rPr>
            </w:pPr>
          </w:p>
          <w:p w14:paraId="34C541A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E7437E7" w14:textId="0472AF9D"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bottom w:val="single" w:sz="4" w:space="0" w:color="auto"/>
            </w:tcBorders>
            <w:shd w:val="clear" w:color="auto" w:fill="auto"/>
            <w:hideMark/>
          </w:tcPr>
          <w:p w14:paraId="1B914E0B"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306BCD85" w14:textId="1A0E6854"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II.1.c.B.3) providing evidence of compliance with section 2.03.I.(a)(ii)(C) of the FISPEG III loan contract by way of affirming the General Consumption Tax (GCT) applicable to government purchases remains in effect.</w:t>
            </w:r>
            <w:r w:rsidRPr="00040AA9">
              <w:rPr>
                <w:rStyle w:val="FootnoteReference"/>
                <w:rFonts w:ascii="Arial" w:hAnsi="Arial" w:cs="Arial"/>
                <w:sz w:val="20"/>
                <w:szCs w:val="20"/>
              </w:rPr>
              <w:footnoteReference w:id="108"/>
            </w:r>
            <w:r w:rsidRPr="00040AA9">
              <w:rPr>
                <w:rFonts w:ascii="Arial" w:hAnsi="Arial" w:cs="Arial"/>
                <w:sz w:val="20"/>
                <w:szCs w:val="20"/>
              </w:rPr>
              <w:t xml:space="preserve"> </w:t>
            </w:r>
          </w:p>
        </w:tc>
      </w:tr>
      <w:tr w:rsidR="007B55FA" w:rsidRPr="00CF5903" w14:paraId="0F672C7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46477900"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II.12 New discretionary waivers eliminated</w:t>
            </w:r>
          </w:p>
        </w:tc>
      </w:tr>
      <w:tr w:rsidR="007B55FA" w:rsidRPr="00CF5903" w14:paraId="1ECC389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0421256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II.12.1</w:t>
            </w:r>
          </w:p>
          <w:p w14:paraId="06A489EF" w14:textId="77777777" w:rsidR="007B55FA" w:rsidRPr="00040AA9" w:rsidRDefault="007B55FA" w:rsidP="00040AA9">
            <w:pPr>
              <w:suppressAutoHyphens/>
              <w:ind w:left="229"/>
              <w:rPr>
                <w:rFonts w:ascii="Arial" w:hAnsi="Arial" w:cs="Arial"/>
                <w:sz w:val="20"/>
                <w:szCs w:val="20"/>
              </w:rPr>
            </w:pPr>
            <w:r w:rsidRPr="00040AA9">
              <w:rPr>
                <w:rFonts w:ascii="Arial" w:hAnsi="Arial" w:cs="Arial"/>
                <w:sz w:val="20"/>
                <w:szCs w:val="20"/>
              </w:rPr>
              <w:t xml:space="preserve">Granting of new categories of ministerial discretionary waivers eliminated. </w:t>
            </w:r>
          </w:p>
          <w:p w14:paraId="714C3B10" w14:textId="77777777" w:rsidR="007B55FA" w:rsidRPr="00040AA9" w:rsidRDefault="007B55FA" w:rsidP="00040AA9">
            <w:pPr>
              <w:suppressAutoHyphens/>
              <w:ind w:left="229"/>
              <w:rPr>
                <w:rFonts w:ascii="Arial" w:hAnsi="Arial" w:cs="Arial"/>
                <w:sz w:val="20"/>
                <w:szCs w:val="20"/>
              </w:rPr>
            </w:pPr>
            <w:r w:rsidRPr="00040AA9">
              <w:rPr>
                <w:rFonts w:ascii="Arial" w:hAnsi="Arial" w:cs="Arial"/>
                <w:sz w:val="20"/>
                <w:szCs w:val="20"/>
              </w:rPr>
              <w:t>(FSPG III – product 2.7,</w:t>
            </w:r>
          </w:p>
          <w:p w14:paraId="1482B938" w14:textId="77777777" w:rsidR="007B55FA" w:rsidRPr="00040AA9" w:rsidRDefault="007B55FA" w:rsidP="00040AA9">
            <w:pPr>
              <w:suppressAutoHyphens/>
              <w:ind w:left="229"/>
              <w:rPr>
                <w:rFonts w:ascii="Arial" w:hAnsi="Arial" w:cs="Arial"/>
                <w:sz w:val="20"/>
                <w:szCs w:val="20"/>
              </w:rPr>
            </w:pPr>
            <w:r w:rsidRPr="00040AA9">
              <w:rPr>
                <w:rFonts w:ascii="Arial" w:hAnsi="Arial" w:cs="Arial"/>
                <w:sz w:val="20"/>
                <w:szCs w:val="20"/>
              </w:rPr>
              <w:t>contract section 2.03.I.(a)(iii)(B))</w:t>
            </w:r>
          </w:p>
          <w:p w14:paraId="76085C1A" w14:textId="77777777" w:rsidR="007B55FA" w:rsidRPr="00040AA9" w:rsidRDefault="007B55FA" w:rsidP="00040AA9">
            <w:pPr>
              <w:suppressAutoHyphens/>
              <w:ind w:left="229"/>
              <w:rPr>
                <w:rFonts w:ascii="Arial" w:hAnsi="Arial" w:cs="Arial"/>
                <w:sz w:val="20"/>
                <w:szCs w:val="20"/>
              </w:rPr>
            </w:pPr>
          </w:p>
          <w:p w14:paraId="39C24B94" w14:textId="77777777" w:rsidR="007B55FA" w:rsidRPr="00040AA9" w:rsidRDefault="007B55FA" w:rsidP="00040AA9">
            <w:pPr>
              <w:suppressAutoHyphens/>
              <w:ind w:left="229"/>
              <w:rPr>
                <w:rFonts w:ascii="Arial" w:hAnsi="Arial" w:cs="Arial"/>
                <w:sz w:val="20"/>
                <w:szCs w:val="20"/>
              </w:rPr>
            </w:pPr>
          </w:p>
        </w:tc>
        <w:tc>
          <w:tcPr>
            <w:tcW w:w="860" w:type="dxa"/>
            <w:vMerge w:val="restart"/>
            <w:shd w:val="clear" w:color="auto" w:fill="auto"/>
          </w:tcPr>
          <w:p w14:paraId="6DDA4999" w14:textId="77777777" w:rsidR="007B55FA" w:rsidRPr="00040AA9" w:rsidRDefault="007B55FA" w:rsidP="00040AA9">
            <w:pPr>
              <w:suppressAutoHyphens/>
              <w:jc w:val="center"/>
              <w:rPr>
                <w:rFonts w:ascii="Arial" w:hAnsi="Arial" w:cs="Arial"/>
                <w:sz w:val="20"/>
                <w:szCs w:val="20"/>
              </w:rPr>
            </w:pPr>
          </w:p>
          <w:p w14:paraId="6A4674CE" w14:textId="77777777" w:rsidR="007B55FA" w:rsidRPr="00040AA9" w:rsidRDefault="007B55FA" w:rsidP="00040AA9">
            <w:pPr>
              <w:suppressAutoHyphens/>
              <w:jc w:val="center"/>
              <w:rPr>
                <w:rFonts w:ascii="Arial" w:hAnsi="Arial" w:cs="Arial"/>
                <w:sz w:val="20"/>
                <w:szCs w:val="20"/>
              </w:rPr>
            </w:pPr>
          </w:p>
          <w:p w14:paraId="2BFBF75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Grant</w:t>
            </w:r>
          </w:p>
        </w:tc>
        <w:tc>
          <w:tcPr>
            <w:tcW w:w="774" w:type="dxa"/>
            <w:vMerge w:val="restart"/>
            <w:shd w:val="clear" w:color="auto" w:fill="auto"/>
          </w:tcPr>
          <w:p w14:paraId="7C4CFC7A" w14:textId="77777777" w:rsidR="007B55FA" w:rsidRPr="00040AA9" w:rsidRDefault="007B55FA" w:rsidP="00040AA9">
            <w:pPr>
              <w:suppressAutoHyphens/>
              <w:jc w:val="center"/>
              <w:rPr>
                <w:rFonts w:ascii="Arial" w:hAnsi="Arial" w:cs="Arial"/>
                <w:sz w:val="20"/>
                <w:szCs w:val="20"/>
              </w:rPr>
            </w:pPr>
          </w:p>
          <w:p w14:paraId="307ECAC9" w14:textId="77777777" w:rsidR="007B55FA" w:rsidRPr="00040AA9" w:rsidRDefault="007B55FA" w:rsidP="00040AA9">
            <w:pPr>
              <w:suppressAutoHyphens/>
              <w:jc w:val="center"/>
              <w:rPr>
                <w:rFonts w:ascii="Arial" w:hAnsi="Arial" w:cs="Arial"/>
                <w:sz w:val="20"/>
                <w:szCs w:val="20"/>
              </w:rPr>
            </w:pPr>
          </w:p>
          <w:p w14:paraId="0B363B3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tc>
        <w:tc>
          <w:tcPr>
            <w:tcW w:w="939" w:type="dxa"/>
            <w:vMerge w:val="restart"/>
            <w:shd w:val="clear" w:color="auto" w:fill="auto"/>
          </w:tcPr>
          <w:p w14:paraId="3A8B722B" w14:textId="77777777" w:rsidR="007B55FA" w:rsidRPr="00040AA9" w:rsidRDefault="007B55FA" w:rsidP="00040AA9">
            <w:pPr>
              <w:suppressAutoHyphens/>
              <w:jc w:val="center"/>
              <w:rPr>
                <w:rFonts w:ascii="Arial" w:hAnsi="Arial" w:cs="Arial"/>
                <w:sz w:val="20"/>
                <w:szCs w:val="20"/>
              </w:rPr>
            </w:pPr>
          </w:p>
          <w:p w14:paraId="12A7C1C0" w14:textId="77777777" w:rsidR="007B55FA" w:rsidRPr="00040AA9" w:rsidRDefault="007B55FA" w:rsidP="00040AA9">
            <w:pPr>
              <w:suppressAutoHyphens/>
              <w:jc w:val="center"/>
              <w:rPr>
                <w:rFonts w:ascii="Arial" w:hAnsi="Arial" w:cs="Arial"/>
                <w:sz w:val="20"/>
                <w:szCs w:val="20"/>
              </w:rPr>
            </w:pPr>
          </w:p>
          <w:p w14:paraId="48C0AC5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29FFA9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6E5D5828" w14:textId="77777777" w:rsidR="007B55FA" w:rsidRPr="00040AA9" w:rsidRDefault="007B55FA" w:rsidP="00040AA9">
            <w:pPr>
              <w:suppressAutoHyphens/>
              <w:jc w:val="center"/>
              <w:rPr>
                <w:rFonts w:ascii="Arial" w:hAnsi="Arial" w:cs="Arial"/>
                <w:sz w:val="20"/>
                <w:szCs w:val="20"/>
              </w:rPr>
            </w:pPr>
          </w:p>
          <w:p w14:paraId="0E0BE68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99877F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shd w:val="clear" w:color="auto" w:fill="auto"/>
          </w:tcPr>
          <w:p w14:paraId="693F99F8" w14:textId="77777777" w:rsidR="007B55FA" w:rsidRPr="00040AA9" w:rsidRDefault="007B55FA" w:rsidP="00040AA9">
            <w:pPr>
              <w:suppressAutoHyphens/>
              <w:rPr>
                <w:rFonts w:ascii="Arial" w:hAnsi="Arial" w:cs="Arial"/>
                <w:sz w:val="20"/>
                <w:szCs w:val="20"/>
              </w:rPr>
            </w:pPr>
          </w:p>
          <w:p w14:paraId="4802AB84" w14:textId="77777777" w:rsidR="007B55FA" w:rsidRPr="00040AA9" w:rsidRDefault="007B55FA" w:rsidP="00040AA9">
            <w:pPr>
              <w:suppressAutoHyphens/>
              <w:rPr>
                <w:rFonts w:ascii="Arial" w:hAnsi="Arial" w:cs="Arial"/>
                <w:sz w:val="20"/>
                <w:szCs w:val="20"/>
              </w:rPr>
            </w:pPr>
          </w:p>
          <w:p w14:paraId="297ABA6D" w14:textId="77777777" w:rsidR="007B55FA" w:rsidRPr="00040AA9" w:rsidRDefault="007B55FA" w:rsidP="00040AA9">
            <w:pPr>
              <w:suppressAutoHyphens/>
              <w:rPr>
                <w:rFonts w:ascii="Arial" w:hAnsi="Arial" w:cs="Arial"/>
                <w:sz w:val="20"/>
                <w:szCs w:val="20"/>
              </w:rPr>
            </w:pPr>
          </w:p>
          <w:p w14:paraId="644EA869" w14:textId="77777777" w:rsidR="007B55FA" w:rsidRPr="00040AA9" w:rsidRDefault="007B55FA" w:rsidP="00040AA9">
            <w:pPr>
              <w:suppressAutoHyphens/>
              <w:rPr>
                <w:rFonts w:ascii="Arial" w:hAnsi="Arial" w:cs="Arial"/>
                <w:sz w:val="20"/>
                <w:szCs w:val="20"/>
              </w:rPr>
            </w:pPr>
          </w:p>
          <w:p w14:paraId="389FA28E" w14:textId="77777777" w:rsidR="007B55FA" w:rsidRPr="00040AA9" w:rsidRDefault="007B55FA" w:rsidP="00040AA9">
            <w:pPr>
              <w:suppressAutoHyphens/>
              <w:rPr>
                <w:rFonts w:ascii="Arial" w:hAnsi="Arial" w:cs="Arial"/>
                <w:sz w:val="20"/>
                <w:szCs w:val="20"/>
              </w:rPr>
            </w:pPr>
          </w:p>
          <w:p w14:paraId="5F2BF654" w14:textId="77777777" w:rsidR="007B55FA" w:rsidRPr="00040AA9" w:rsidRDefault="007B55FA" w:rsidP="00040AA9">
            <w:pPr>
              <w:suppressAutoHyphens/>
              <w:rPr>
                <w:rFonts w:ascii="Arial" w:hAnsi="Arial" w:cs="Arial"/>
                <w:sz w:val="20"/>
                <w:szCs w:val="20"/>
              </w:rPr>
            </w:pPr>
          </w:p>
          <w:p w14:paraId="3495DF1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49B4DE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FS informing that the elimination of the grant of new categories keeps being applied.</w:t>
            </w:r>
          </w:p>
        </w:tc>
      </w:tr>
      <w:tr w:rsidR="007B55FA" w:rsidRPr="00CF5903" w14:paraId="35E4D14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1BA3FF4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D851B62"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76788193"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80FD1BA"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61ED80A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6F6D1CFE"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7FE416C"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0209D89" w14:textId="77777777" w:rsidR="007B55FA" w:rsidRPr="00040AA9" w:rsidRDefault="007B55FA" w:rsidP="00040AA9">
            <w:pPr>
              <w:suppressAutoHyphens/>
              <w:rPr>
                <w:rFonts w:ascii="Arial" w:hAnsi="Arial" w:cs="Arial"/>
                <w:sz w:val="20"/>
                <w:szCs w:val="20"/>
              </w:rPr>
            </w:pPr>
          </w:p>
        </w:tc>
      </w:tr>
      <w:tr w:rsidR="007B55FA" w:rsidRPr="00CF5903" w14:paraId="2590CCF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jc w:val="center"/>
        </w:trPr>
        <w:tc>
          <w:tcPr>
            <w:tcW w:w="2556" w:type="dxa"/>
            <w:vMerge/>
            <w:shd w:val="clear" w:color="auto" w:fill="auto"/>
            <w:hideMark/>
          </w:tcPr>
          <w:p w14:paraId="263CA952"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0386830"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F01B229"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F1C95A1"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16A5155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562F8995" w14:textId="77777777" w:rsidR="007B55FA" w:rsidRPr="00040AA9" w:rsidRDefault="007B55FA" w:rsidP="00040AA9">
            <w:pPr>
              <w:suppressAutoHyphens/>
              <w:rPr>
                <w:rFonts w:ascii="Arial" w:hAnsi="Arial" w:cs="Arial"/>
                <w:sz w:val="20"/>
                <w:szCs w:val="20"/>
              </w:rPr>
            </w:pPr>
          </w:p>
          <w:p w14:paraId="78BE0C11" w14:textId="77777777" w:rsidR="007B55FA" w:rsidRPr="00040AA9" w:rsidRDefault="007B55FA" w:rsidP="00040AA9">
            <w:pPr>
              <w:suppressAutoHyphens/>
              <w:rPr>
                <w:rFonts w:ascii="Arial" w:hAnsi="Arial" w:cs="Arial"/>
                <w:sz w:val="20"/>
                <w:szCs w:val="20"/>
              </w:rPr>
            </w:pPr>
          </w:p>
          <w:p w14:paraId="2DE1DA71" w14:textId="77777777" w:rsidR="007B55FA" w:rsidRPr="00040AA9" w:rsidRDefault="007B55FA" w:rsidP="00040AA9">
            <w:pPr>
              <w:suppressAutoHyphens/>
              <w:rPr>
                <w:rFonts w:ascii="Arial" w:hAnsi="Arial" w:cs="Arial"/>
                <w:sz w:val="20"/>
                <w:szCs w:val="20"/>
              </w:rPr>
            </w:pPr>
          </w:p>
          <w:p w14:paraId="4C85FB0A" w14:textId="77777777" w:rsidR="007B55FA" w:rsidRPr="00040AA9" w:rsidRDefault="007B55FA" w:rsidP="00040AA9">
            <w:pPr>
              <w:suppressAutoHyphens/>
              <w:rPr>
                <w:rFonts w:ascii="Arial" w:hAnsi="Arial" w:cs="Arial"/>
                <w:sz w:val="20"/>
                <w:szCs w:val="20"/>
              </w:rPr>
            </w:pPr>
          </w:p>
          <w:p w14:paraId="4AFC8E3E" w14:textId="77777777" w:rsidR="007B55FA" w:rsidRPr="00040AA9" w:rsidRDefault="007B55FA" w:rsidP="00040AA9">
            <w:pPr>
              <w:suppressAutoHyphens/>
              <w:rPr>
                <w:rFonts w:ascii="Arial" w:hAnsi="Arial" w:cs="Arial"/>
                <w:sz w:val="20"/>
                <w:szCs w:val="20"/>
              </w:rPr>
            </w:pPr>
          </w:p>
          <w:p w14:paraId="55E9B1AB" w14:textId="77777777" w:rsidR="007B55FA" w:rsidRPr="00040AA9" w:rsidRDefault="007B55FA" w:rsidP="00040AA9">
            <w:pPr>
              <w:suppressAutoHyphens/>
              <w:rPr>
                <w:rFonts w:ascii="Arial" w:hAnsi="Arial" w:cs="Arial"/>
                <w:sz w:val="20"/>
                <w:szCs w:val="20"/>
              </w:rPr>
            </w:pPr>
          </w:p>
          <w:p w14:paraId="0151E277" w14:textId="77777777" w:rsidR="007B55FA" w:rsidRPr="00040AA9" w:rsidRDefault="007B55FA" w:rsidP="00040AA9">
            <w:pPr>
              <w:suppressAutoHyphens/>
              <w:rPr>
                <w:rFonts w:ascii="Arial" w:hAnsi="Arial" w:cs="Arial"/>
                <w:sz w:val="20"/>
                <w:szCs w:val="20"/>
              </w:rPr>
            </w:pPr>
          </w:p>
          <w:p w14:paraId="3D698D94" w14:textId="77777777" w:rsidR="007B55FA" w:rsidRPr="00040AA9" w:rsidRDefault="007B55FA" w:rsidP="00040AA9">
            <w:pPr>
              <w:suppressAutoHyphens/>
              <w:jc w:val="center"/>
              <w:rPr>
                <w:rFonts w:ascii="Arial" w:hAnsi="Arial" w:cs="Arial"/>
                <w:sz w:val="20"/>
                <w:szCs w:val="20"/>
              </w:rPr>
            </w:pPr>
          </w:p>
          <w:p w14:paraId="15692FE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F5F5448" w14:textId="292B4876"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r w:rsidRPr="00040AA9">
              <w:rPr>
                <w:rStyle w:val="FootnoteReference"/>
                <w:rFonts w:ascii="Arial" w:hAnsi="Arial" w:cs="Arial"/>
                <w:sz w:val="20"/>
                <w:szCs w:val="20"/>
              </w:rPr>
              <w:footnoteReference w:id="109"/>
            </w:r>
          </w:p>
        </w:tc>
        <w:tc>
          <w:tcPr>
            <w:tcW w:w="1106" w:type="dxa"/>
            <w:vMerge/>
            <w:shd w:val="clear" w:color="auto" w:fill="auto"/>
            <w:hideMark/>
          </w:tcPr>
          <w:p w14:paraId="0731442C"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81102C3" w14:textId="34ED42B2"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II.1.c.C.2) providing evidence of compliance with section 2.03.I.(a)(iii)(B) of the FISPEG III loan contract by way of affirming the cessation of the granting of new categories of ministerial discretionary waivers continues to be enforced.</w:t>
            </w:r>
            <w:r w:rsidRPr="00040AA9">
              <w:rPr>
                <w:rStyle w:val="FootnoteReference"/>
                <w:rFonts w:ascii="Arial" w:hAnsi="Arial" w:cs="Arial"/>
                <w:sz w:val="20"/>
                <w:szCs w:val="20"/>
              </w:rPr>
              <w:footnoteReference w:id="110"/>
            </w:r>
          </w:p>
        </w:tc>
      </w:tr>
      <w:tr w:rsidR="007B55FA" w:rsidRPr="00CF5903" w14:paraId="7223DB8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3F131D95"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 xml:space="preserve">Output II.13 Employment tax credit </w:t>
            </w:r>
          </w:p>
        </w:tc>
      </w:tr>
      <w:tr w:rsidR="007B55FA" w:rsidRPr="00CF5903" w14:paraId="31B9582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64A95821" w14:textId="77777777" w:rsidR="007B55FA" w:rsidRPr="00040AA9" w:rsidRDefault="007B55FA" w:rsidP="00040AA9">
            <w:pPr>
              <w:suppressAutoHyphens/>
              <w:ind w:left="69" w:firstLine="90"/>
              <w:rPr>
                <w:rFonts w:ascii="Arial" w:hAnsi="Arial" w:cs="Arial"/>
                <w:sz w:val="20"/>
                <w:szCs w:val="20"/>
              </w:rPr>
            </w:pPr>
            <w:r w:rsidRPr="00040AA9">
              <w:rPr>
                <w:rFonts w:ascii="Arial" w:hAnsi="Arial" w:cs="Arial"/>
                <w:sz w:val="20"/>
                <w:szCs w:val="20"/>
              </w:rPr>
              <w:t>Indicator II.13.1</w:t>
            </w:r>
          </w:p>
          <w:p w14:paraId="4FA6C985" w14:textId="7E36E23D" w:rsidR="007B55FA" w:rsidRPr="00040AA9" w:rsidRDefault="007B55FA" w:rsidP="00040AA9">
            <w:pPr>
              <w:suppressAutoHyphens/>
              <w:ind w:left="229"/>
              <w:rPr>
                <w:rFonts w:ascii="Arial" w:hAnsi="Arial" w:cs="Arial"/>
                <w:sz w:val="20"/>
                <w:szCs w:val="20"/>
              </w:rPr>
            </w:pPr>
            <w:r w:rsidRPr="00040AA9">
              <w:rPr>
                <w:rFonts w:ascii="Arial" w:hAnsi="Arial" w:cs="Arial"/>
                <w:sz w:val="20"/>
                <w:szCs w:val="20"/>
              </w:rPr>
              <w:t xml:space="preserve">Work plan for the creation of a mechanism for </w:t>
            </w:r>
            <w:r w:rsidR="00A25A0A" w:rsidRPr="00CF5903">
              <w:rPr>
                <w:rFonts w:ascii="Arial" w:hAnsi="Arial" w:cs="Arial"/>
                <w:sz w:val="20"/>
                <w:szCs w:val="20"/>
              </w:rPr>
              <w:t>labor</w:t>
            </w:r>
            <w:r w:rsidRPr="00040AA9">
              <w:rPr>
                <w:rFonts w:ascii="Arial" w:hAnsi="Arial" w:cs="Arial"/>
                <w:sz w:val="20"/>
                <w:szCs w:val="20"/>
              </w:rPr>
              <w:t xml:space="preserve"> incentive capital allowance, and tax incentives allowed under the Omnibus Incentives Act </w:t>
            </w:r>
          </w:p>
          <w:p w14:paraId="4C8DE3DC"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 – product 2.4)</w:t>
            </w:r>
          </w:p>
        </w:tc>
        <w:tc>
          <w:tcPr>
            <w:tcW w:w="860" w:type="dxa"/>
            <w:vMerge w:val="restart"/>
            <w:shd w:val="clear" w:color="auto" w:fill="auto"/>
          </w:tcPr>
          <w:p w14:paraId="7A6B4204" w14:textId="77777777" w:rsidR="007B55FA" w:rsidRPr="00040AA9" w:rsidRDefault="007B55FA" w:rsidP="00040AA9">
            <w:pPr>
              <w:suppressAutoHyphens/>
              <w:jc w:val="center"/>
              <w:rPr>
                <w:rFonts w:ascii="Arial" w:hAnsi="Arial" w:cs="Arial"/>
                <w:sz w:val="20"/>
                <w:szCs w:val="20"/>
              </w:rPr>
            </w:pPr>
          </w:p>
          <w:p w14:paraId="7FD07E26" w14:textId="77777777" w:rsidR="007B55FA" w:rsidRPr="00040AA9" w:rsidRDefault="007B55FA" w:rsidP="00040AA9">
            <w:pPr>
              <w:suppressAutoHyphens/>
              <w:jc w:val="center"/>
              <w:rPr>
                <w:rFonts w:ascii="Arial" w:hAnsi="Arial" w:cs="Arial"/>
                <w:sz w:val="20"/>
                <w:szCs w:val="20"/>
              </w:rPr>
            </w:pPr>
          </w:p>
          <w:p w14:paraId="7C846AD1" w14:textId="77777777" w:rsidR="007B55FA" w:rsidRPr="00040AA9" w:rsidRDefault="007B55FA" w:rsidP="00040AA9">
            <w:pPr>
              <w:suppressAutoHyphens/>
              <w:jc w:val="center"/>
              <w:rPr>
                <w:rFonts w:ascii="Arial" w:hAnsi="Arial" w:cs="Arial"/>
                <w:sz w:val="20"/>
                <w:szCs w:val="20"/>
              </w:rPr>
            </w:pPr>
          </w:p>
          <w:p w14:paraId="7F02CD3B" w14:textId="77777777" w:rsidR="007B55FA" w:rsidRPr="00040AA9" w:rsidRDefault="007B55FA" w:rsidP="00040AA9">
            <w:pPr>
              <w:suppressAutoHyphens/>
              <w:jc w:val="center"/>
              <w:rPr>
                <w:rFonts w:ascii="Arial" w:hAnsi="Arial" w:cs="Arial"/>
                <w:sz w:val="20"/>
                <w:szCs w:val="20"/>
              </w:rPr>
            </w:pPr>
          </w:p>
          <w:p w14:paraId="298853A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Work plan</w:t>
            </w:r>
          </w:p>
        </w:tc>
        <w:tc>
          <w:tcPr>
            <w:tcW w:w="774" w:type="dxa"/>
            <w:vMerge w:val="restart"/>
            <w:shd w:val="clear" w:color="auto" w:fill="auto"/>
          </w:tcPr>
          <w:p w14:paraId="6DFD49C9" w14:textId="77777777" w:rsidR="007B55FA" w:rsidRPr="00040AA9" w:rsidRDefault="007B55FA" w:rsidP="00040AA9">
            <w:pPr>
              <w:suppressAutoHyphens/>
              <w:jc w:val="center"/>
              <w:rPr>
                <w:rFonts w:ascii="Arial" w:hAnsi="Arial" w:cs="Arial"/>
                <w:sz w:val="20"/>
                <w:szCs w:val="20"/>
              </w:rPr>
            </w:pPr>
          </w:p>
          <w:p w14:paraId="29049F5A" w14:textId="77777777" w:rsidR="007B55FA" w:rsidRPr="00040AA9" w:rsidRDefault="007B55FA" w:rsidP="00040AA9">
            <w:pPr>
              <w:suppressAutoHyphens/>
              <w:jc w:val="center"/>
              <w:rPr>
                <w:rFonts w:ascii="Arial" w:hAnsi="Arial" w:cs="Arial"/>
                <w:sz w:val="20"/>
                <w:szCs w:val="20"/>
              </w:rPr>
            </w:pPr>
          </w:p>
          <w:p w14:paraId="316218F0" w14:textId="77777777" w:rsidR="007B55FA" w:rsidRPr="00040AA9" w:rsidRDefault="007B55FA" w:rsidP="00040AA9">
            <w:pPr>
              <w:suppressAutoHyphens/>
              <w:jc w:val="center"/>
              <w:rPr>
                <w:rFonts w:ascii="Arial" w:hAnsi="Arial" w:cs="Arial"/>
                <w:sz w:val="20"/>
                <w:szCs w:val="20"/>
              </w:rPr>
            </w:pPr>
          </w:p>
          <w:p w14:paraId="1B636F7B" w14:textId="77777777" w:rsidR="007B55FA" w:rsidRPr="00040AA9" w:rsidRDefault="007B55FA" w:rsidP="00040AA9">
            <w:pPr>
              <w:suppressAutoHyphens/>
              <w:jc w:val="center"/>
              <w:rPr>
                <w:rFonts w:ascii="Arial" w:hAnsi="Arial" w:cs="Arial"/>
                <w:sz w:val="20"/>
                <w:szCs w:val="20"/>
              </w:rPr>
            </w:pPr>
          </w:p>
          <w:p w14:paraId="50B86F5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4E9341A7" w14:textId="77777777" w:rsidR="007B55FA" w:rsidRPr="00040AA9" w:rsidRDefault="007B55FA" w:rsidP="00040AA9">
            <w:pPr>
              <w:suppressAutoHyphens/>
              <w:jc w:val="center"/>
              <w:rPr>
                <w:rFonts w:ascii="Arial" w:hAnsi="Arial" w:cs="Arial"/>
                <w:sz w:val="20"/>
                <w:szCs w:val="20"/>
              </w:rPr>
            </w:pPr>
          </w:p>
          <w:p w14:paraId="024A8B99" w14:textId="77777777" w:rsidR="007B55FA" w:rsidRPr="00040AA9" w:rsidRDefault="007B55FA" w:rsidP="00040AA9">
            <w:pPr>
              <w:suppressAutoHyphens/>
              <w:jc w:val="center"/>
              <w:rPr>
                <w:rFonts w:ascii="Arial" w:hAnsi="Arial" w:cs="Arial"/>
                <w:sz w:val="20"/>
                <w:szCs w:val="20"/>
              </w:rPr>
            </w:pPr>
          </w:p>
          <w:p w14:paraId="00DA1D9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p w14:paraId="4AADD564" w14:textId="77777777" w:rsidR="007B55FA" w:rsidRPr="00040AA9" w:rsidRDefault="007B55FA" w:rsidP="00040AA9">
            <w:pPr>
              <w:suppressAutoHyphens/>
              <w:jc w:val="center"/>
              <w:rPr>
                <w:rFonts w:ascii="Arial" w:hAnsi="Arial" w:cs="Arial"/>
                <w:sz w:val="20"/>
                <w:szCs w:val="20"/>
              </w:rPr>
            </w:pPr>
          </w:p>
        </w:tc>
        <w:tc>
          <w:tcPr>
            <w:tcW w:w="594" w:type="dxa"/>
            <w:shd w:val="clear" w:color="auto" w:fill="auto"/>
            <w:hideMark/>
          </w:tcPr>
          <w:p w14:paraId="09E03C43" w14:textId="77777777" w:rsidR="007B55FA" w:rsidRPr="00040AA9" w:rsidRDefault="007B55FA" w:rsidP="00040AA9">
            <w:pPr>
              <w:suppressAutoHyphens/>
              <w:jc w:val="center"/>
              <w:rPr>
                <w:rFonts w:ascii="Arial" w:hAnsi="Arial" w:cs="Arial"/>
                <w:sz w:val="20"/>
                <w:szCs w:val="20"/>
              </w:rPr>
            </w:pPr>
          </w:p>
          <w:p w14:paraId="7A747C0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61C70064" w14:textId="77777777" w:rsidR="007B55FA" w:rsidRPr="00040AA9" w:rsidRDefault="007B55FA" w:rsidP="00040AA9">
            <w:pPr>
              <w:suppressAutoHyphens/>
              <w:jc w:val="center"/>
              <w:rPr>
                <w:rFonts w:ascii="Arial" w:hAnsi="Arial" w:cs="Arial"/>
                <w:sz w:val="20"/>
                <w:szCs w:val="20"/>
              </w:rPr>
            </w:pPr>
          </w:p>
          <w:p w14:paraId="2A66F33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A8E4F1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507DF136" w14:textId="77777777" w:rsidR="007B55FA" w:rsidRPr="00040AA9" w:rsidRDefault="007B55FA" w:rsidP="00040AA9">
            <w:pPr>
              <w:suppressAutoHyphens/>
              <w:rPr>
                <w:rFonts w:ascii="Arial" w:hAnsi="Arial" w:cs="Arial"/>
                <w:sz w:val="20"/>
                <w:szCs w:val="20"/>
              </w:rPr>
            </w:pPr>
          </w:p>
          <w:p w14:paraId="0A9B911E" w14:textId="77777777" w:rsidR="007B55FA" w:rsidRPr="00040AA9" w:rsidRDefault="007B55FA" w:rsidP="00040AA9">
            <w:pPr>
              <w:suppressAutoHyphens/>
              <w:rPr>
                <w:rFonts w:ascii="Arial" w:hAnsi="Arial" w:cs="Arial"/>
                <w:sz w:val="20"/>
                <w:szCs w:val="20"/>
              </w:rPr>
            </w:pPr>
          </w:p>
          <w:p w14:paraId="0D1ADFFA" w14:textId="77777777" w:rsidR="007B55FA" w:rsidRPr="00040AA9" w:rsidRDefault="007B55FA" w:rsidP="00040AA9">
            <w:pPr>
              <w:suppressAutoHyphens/>
              <w:rPr>
                <w:rFonts w:ascii="Arial" w:hAnsi="Arial" w:cs="Arial"/>
                <w:sz w:val="20"/>
                <w:szCs w:val="20"/>
              </w:rPr>
            </w:pPr>
          </w:p>
          <w:p w14:paraId="5B0F3683" w14:textId="77777777" w:rsidR="007B55FA" w:rsidRPr="00040AA9" w:rsidRDefault="007B55FA" w:rsidP="00040AA9">
            <w:pPr>
              <w:suppressAutoHyphens/>
              <w:rPr>
                <w:rFonts w:ascii="Arial" w:hAnsi="Arial" w:cs="Arial"/>
                <w:sz w:val="20"/>
                <w:szCs w:val="20"/>
              </w:rPr>
            </w:pPr>
          </w:p>
          <w:p w14:paraId="71AB1E5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4CB91A1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MOF – Tax Policy Division – work group report presenting the progress of the implementation of the work plan.</w:t>
            </w:r>
          </w:p>
        </w:tc>
      </w:tr>
      <w:tr w:rsidR="007B55FA" w:rsidRPr="00CF5903" w14:paraId="55A23FF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2E76DA02"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0964769"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03E41F7"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F756AC3"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68D800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3D744C94"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31AA95A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83C9B08" w14:textId="77777777" w:rsidR="007B55FA" w:rsidRPr="00040AA9" w:rsidRDefault="007B55FA" w:rsidP="00040AA9">
            <w:pPr>
              <w:suppressAutoHyphens/>
              <w:rPr>
                <w:rFonts w:ascii="Arial" w:hAnsi="Arial" w:cs="Arial"/>
                <w:sz w:val="20"/>
                <w:szCs w:val="20"/>
              </w:rPr>
            </w:pPr>
          </w:p>
        </w:tc>
      </w:tr>
      <w:tr w:rsidR="007B55FA" w:rsidRPr="00CF5903" w14:paraId="6D908E0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9"/>
          <w:jc w:val="center"/>
        </w:trPr>
        <w:tc>
          <w:tcPr>
            <w:tcW w:w="2556" w:type="dxa"/>
            <w:vMerge/>
            <w:shd w:val="clear" w:color="auto" w:fill="auto"/>
            <w:hideMark/>
          </w:tcPr>
          <w:p w14:paraId="4C7DA27A"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ACF0CCC"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42AA5DB"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3329A1CB"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F30BD6A" w14:textId="77777777" w:rsidR="007B55FA" w:rsidRPr="00040AA9" w:rsidRDefault="007B55FA" w:rsidP="00040AA9">
            <w:pPr>
              <w:suppressAutoHyphens/>
              <w:rPr>
                <w:rFonts w:ascii="Arial" w:hAnsi="Arial" w:cs="Arial"/>
                <w:sz w:val="20"/>
                <w:szCs w:val="20"/>
              </w:rPr>
            </w:pPr>
          </w:p>
          <w:p w14:paraId="6BDF6F16" w14:textId="77777777" w:rsidR="007B55FA" w:rsidRPr="00040AA9" w:rsidRDefault="007B55FA" w:rsidP="00040AA9">
            <w:pPr>
              <w:suppressAutoHyphens/>
              <w:rPr>
                <w:rFonts w:ascii="Arial" w:hAnsi="Arial" w:cs="Arial"/>
                <w:sz w:val="20"/>
                <w:szCs w:val="20"/>
              </w:rPr>
            </w:pPr>
          </w:p>
          <w:p w14:paraId="75B5883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50369A8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  </w:t>
            </w:r>
          </w:p>
          <w:p w14:paraId="59D378C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0CD193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tc>
        <w:tc>
          <w:tcPr>
            <w:tcW w:w="1106" w:type="dxa"/>
            <w:vMerge/>
            <w:shd w:val="clear" w:color="auto" w:fill="auto"/>
            <w:hideMark/>
          </w:tcPr>
          <w:p w14:paraId="774C8820"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E0F2238" w14:textId="6BCCFEE9"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FS to IDB rep dated May 27, 2015 (part D.2) certifying that ETC is continuing to be applied.</w:t>
            </w:r>
            <w:r w:rsidRPr="00040AA9">
              <w:rPr>
                <w:rStyle w:val="FootnoteReference"/>
                <w:rFonts w:ascii="Arial" w:hAnsi="Arial" w:cs="Arial"/>
                <w:sz w:val="20"/>
                <w:szCs w:val="20"/>
              </w:rPr>
              <w:footnoteReference w:id="111"/>
            </w:r>
          </w:p>
        </w:tc>
      </w:tr>
      <w:tr w:rsidR="007B55FA" w:rsidRPr="00CF5903" w14:paraId="21CA202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5DA53F17" w14:textId="77777777" w:rsidR="007B55FA" w:rsidRPr="00040AA9" w:rsidRDefault="007B55FA" w:rsidP="00040AA9">
            <w:pPr>
              <w:suppressAutoHyphens/>
              <w:ind w:left="159"/>
              <w:rPr>
                <w:rFonts w:ascii="Arial" w:hAnsi="Arial" w:cs="Arial"/>
                <w:sz w:val="20"/>
                <w:szCs w:val="20"/>
              </w:rPr>
            </w:pPr>
            <w:r w:rsidRPr="00040AA9">
              <w:rPr>
                <w:rFonts w:ascii="Arial" w:hAnsi="Arial" w:cs="Arial"/>
                <w:sz w:val="20"/>
                <w:szCs w:val="20"/>
              </w:rPr>
              <w:t>Indicator II.13.2</w:t>
            </w:r>
          </w:p>
          <w:p w14:paraId="27723724" w14:textId="1A924974" w:rsidR="007B55FA" w:rsidRPr="00040AA9" w:rsidRDefault="007B55FA" w:rsidP="00040AA9">
            <w:pPr>
              <w:suppressAutoHyphens/>
              <w:ind w:left="229"/>
              <w:rPr>
                <w:rFonts w:ascii="Arial" w:hAnsi="Arial" w:cs="Arial"/>
                <w:sz w:val="20"/>
                <w:szCs w:val="20"/>
              </w:rPr>
            </w:pPr>
            <w:r w:rsidRPr="00040AA9">
              <w:rPr>
                <w:rFonts w:ascii="Arial" w:hAnsi="Arial" w:cs="Arial"/>
                <w:sz w:val="20"/>
                <w:szCs w:val="20"/>
              </w:rPr>
              <w:t xml:space="preserve">Employment Tax Credit (ETC) for registered trade companies under the labor incentive program applied </w:t>
            </w:r>
          </w:p>
          <w:p w14:paraId="63BA1520"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(FSPG III – product 2.9,</w:t>
            </w:r>
          </w:p>
          <w:p w14:paraId="74C95D8A" w14:textId="77777777" w:rsidR="007B55FA" w:rsidRPr="00040AA9" w:rsidRDefault="007B55FA" w:rsidP="00040AA9">
            <w:pPr>
              <w:suppressAutoHyphens/>
              <w:ind w:left="339"/>
              <w:rPr>
                <w:rFonts w:ascii="Arial" w:hAnsi="Arial" w:cs="Arial"/>
                <w:sz w:val="20"/>
                <w:szCs w:val="20"/>
              </w:rPr>
            </w:pPr>
            <w:r w:rsidRPr="00040AA9">
              <w:rPr>
                <w:rFonts w:ascii="Arial" w:hAnsi="Arial" w:cs="Arial"/>
                <w:sz w:val="20"/>
                <w:szCs w:val="20"/>
              </w:rPr>
              <w:t>contract section 2.03.I.(a)(iv)(B))</w:t>
            </w:r>
          </w:p>
          <w:p w14:paraId="6C166D11" w14:textId="77777777" w:rsidR="007B55FA" w:rsidRPr="00040AA9" w:rsidRDefault="007B55FA" w:rsidP="00040AA9">
            <w:pPr>
              <w:suppressAutoHyphens/>
              <w:ind w:left="339"/>
              <w:rPr>
                <w:rFonts w:ascii="Arial" w:hAnsi="Arial" w:cs="Arial"/>
                <w:sz w:val="20"/>
                <w:szCs w:val="20"/>
              </w:rPr>
            </w:pPr>
          </w:p>
        </w:tc>
        <w:tc>
          <w:tcPr>
            <w:tcW w:w="860" w:type="dxa"/>
            <w:vMerge w:val="restart"/>
            <w:shd w:val="clear" w:color="auto" w:fill="auto"/>
          </w:tcPr>
          <w:p w14:paraId="336321C8" w14:textId="77777777" w:rsidR="007B55FA" w:rsidRPr="00040AA9" w:rsidRDefault="007B55FA" w:rsidP="00040AA9">
            <w:pPr>
              <w:suppressAutoHyphens/>
              <w:jc w:val="center"/>
              <w:rPr>
                <w:rFonts w:ascii="Arial" w:hAnsi="Arial" w:cs="Arial"/>
                <w:sz w:val="20"/>
                <w:szCs w:val="20"/>
              </w:rPr>
            </w:pPr>
          </w:p>
          <w:p w14:paraId="7D13D230" w14:textId="77777777" w:rsidR="007B55FA" w:rsidRPr="00040AA9" w:rsidRDefault="007B55FA" w:rsidP="00040AA9">
            <w:pPr>
              <w:suppressAutoHyphens/>
              <w:jc w:val="center"/>
              <w:rPr>
                <w:rFonts w:ascii="Arial" w:hAnsi="Arial" w:cs="Arial"/>
                <w:sz w:val="20"/>
                <w:szCs w:val="20"/>
              </w:rPr>
            </w:pPr>
          </w:p>
          <w:p w14:paraId="7C73882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Tax credit</w:t>
            </w:r>
          </w:p>
        </w:tc>
        <w:tc>
          <w:tcPr>
            <w:tcW w:w="774" w:type="dxa"/>
            <w:vMerge w:val="restart"/>
            <w:shd w:val="clear" w:color="auto" w:fill="auto"/>
          </w:tcPr>
          <w:p w14:paraId="773B1ECD" w14:textId="77777777" w:rsidR="007B55FA" w:rsidRPr="00040AA9" w:rsidRDefault="007B55FA" w:rsidP="00040AA9">
            <w:pPr>
              <w:suppressAutoHyphens/>
              <w:jc w:val="center"/>
              <w:rPr>
                <w:rFonts w:ascii="Arial" w:hAnsi="Arial" w:cs="Arial"/>
                <w:sz w:val="20"/>
                <w:szCs w:val="20"/>
              </w:rPr>
            </w:pPr>
          </w:p>
          <w:p w14:paraId="32198833" w14:textId="77777777" w:rsidR="007B55FA" w:rsidRPr="00040AA9" w:rsidRDefault="007B55FA" w:rsidP="00040AA9">
            <w:pPr>
              <w:suppressAutoHyphens/>
              <w:jc w:val="center"/>
              <w:rPr>
                <w:rFonts w:ascii="Arial" w:hAnsi="Arial" w:cs="Arial"/>
                <w:sz w:val="20"/>
                <w:szCs w:val="20"/>
              </w:rPr>
            </w:pPr>
          </w:p>
          <w:p w14:paraId="188ACB6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FA9A461" w14:textId="77777777" w:rsidR="007B55FA" w:rsidRPr="00040AA9" w:rsidRDefault="007B55FA" w:rsidP="00040AA9">
            <w:pPr>
              <w:suppressAutoHyphens/>
              <w:jc w:val="center"/>
              <w:rPr>
                <w:rFonts w:ascii="Arial" w:hAnsi="Arial" w:cs="Arial"/>
                <w:sz w:val="20"/>
                <w:szCs w:val="20"/>
              </w:rPr>
            </w:pPr>
          </w:p>
          <w:p w14:paraId="4A13EA0A" w14:textId="77777777" w:rsidR="007B55FA" w:rsidRPr="00040AA9" w:rsidRDefault="007B55FA" w:rsidP="00040AA9">
            <w:pPr>
              <w:suppressAutoHyphens/>
              <w:jc w:val="center"/>
              <w:rPr>
                <w:rFonts w:ascii="Arial" w:hAnsi="Arial" w:cs="Arial"/>
                <w:sz w:val="20"/>
                <w:szCs w:val="20"/>
              </w:rPr>
            </w:pPr>
          </w:p>
          <w:p w14:paraId="7906627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04FB569B" w14:textId="77777777" w:rsidR="007B55FA" w:rsidRPr="00040AA9" w:rsidRDefault="007B55FA" w:rsidP="00040AA9">
            <w:pPr>
              <w:suppressAutoHyphens/>
              <w:rPr>
                <w:rFonts w:ascii="Arial" w:hAnsi="Arial" w:cs="Arial"/>
                <w:sz w:val="20"/>
                <w:szCs w:val="20"/>
              </w:rPr>
            </w:pPr>
          </w:p>
          <w:p w14:paraId="39362BC9" w14:textId="77777777" w:rsidR="007B55FA" w:rsidRPr="00040AA9" w:rsidRDefault="007B55FA" w:rsidP="00040AA9">
            <w:pPr>
              <w:suppressAutoHyphens/>
              <w:rPr>
                <w:rFonts w:ascii="Arial" w:hAnsi="Arial" w:cs="Arial"/>
                <w:sz w:val="20"/>
                <w:szCs w:val="20"/>
              </w:rPr>
            </w:pPr>
          </w:p>
          <w:p w14:paraId="6E3A8FB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7A752B0" w14:textId="77777777" w:rsidR="007B55FA" w:rsidRPr="00040AA9" w:rsidRDefault="007B55FA" w:rsidP="00040AA9">
            <w:pPr>
              <w:suppressAutoHyphens/>
              <w:jc w:val="center"/>
              <w:rPr>
                <w:rFonts w:ascii="Arial" w:hAnsi="Arial" w:cs="Arial"/>
                <w:sz w:val="20"/>
                <w:szCs w:val="20"/>
              </w:rPr>
            </w:pPr>
          </w:p>
          <w:p w14:paraId="491C1E9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56CECCA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568E83FA" w14:textId="77777777" w:rsidR="007B55FA" w:rsidRPr="00040AA9" w:rsidRDefault="007B55FA" w:rsidP="00040AA9">
            <w:pPr>
              <w:suppressAutoHyphens/>
              <w:rPr>
                <w:rFonts w:ascii="Arial" w:hAnsi="Arial" w:cs="Arial"/>
                <w:sz w:val="20"/>
                <w:szCs w:val="20"/>
              </w:rPr>
            </w:pPr>
          </w:p>
          <w:p w14:paraId="3469EF14" w14:textId="77777777" w:rsidR="007B55FA" w:rsidRPr="00040AA9" w:rsidRDefault="007B55FA" w:rsidP="00040AA9">
            <w:pPr>
              <w:suppressAutoHyphens/>
              <w:rPr>
                <w:rFonts w:ascii="Arial" w:hAnsi="Arial" w:cs="Arial"/>
                <w:sz w:val="20"/>
                <w:szCs w:val="20"/>
              </w:rPr>
            </w:pPr>
          </w:p>
          <w:p w14:paraId="5F05A343" w14:textId="77777777" w:rsidR="007B55FA" w:rsidRPr="00040AA9" w:rsidRDefault="007B55FA" w:rsidP="00040AA9">
            <w:pPr>
              <w:suppressAutoHyphens/>
              <w:rPr>
                <w:rFonts w:ascii="Arial" w:hAnsi="Arial" w:cs="Arial"/>
                <w:sz w:val="20"/>
                <w:szCs w:val="20"/>
              </w:rPr>
            </w:pPr>
          </w:p>
          <w:p w14:paraId="765528BD" w14:textId="77777777" w:rsidR="007B55FA" w:rsidRPr="00040AA9" w:rsidRDefault="007B55FA" w:rsidP="00040AA9">
            <w:pPr>
              <w:suppressAutoHyphens/>
              <w:rPr>
                <w:rFonts w:ascii="Arial" w:hAnsi="Arial" w:cs="Arial"/>
                <w:sz w:val="20"/>
                <w:szCs w:val="20"/>
              </w:rPr>
            </w:pPr>
          </w:p>
          <w:p w14:paraId="3C08CDFA" w14:textId="77777777" w:rsidR="007B55FA" w:rsidRPr="00040AA9" w:rsidRDefault="007B55FA" w:rsidP="00040AA9">
            <w:pPr>
              <w:suppressAutoHyphens/>
              <w:rPr>
                <w:rFonts w:ascii="Arial" w:hAnsi="Arial" w:cs="Arial"/>
                <w:sz w:val="20"/>
                <w:szCs w:val="20"/>
              </w:rPr>
            </w:pPr>
          </w:p>
          <w:p w14:paraId="38D2B847" w14:textId="77777777" w:rsidR="007B55FA" w:rsidRPr="00040AA9" w:rsidRDefault="007B55FA" w:rsidP="00040AA9">
            <w:pPr>
              <w:suppressAutoHyphens/>
              <w:rPr>
                <w:rFonts w:ascii="Arial" w:hAnsi="Arial" w:cs="Arial"/>
                <w:sz w:val="20"/>
                <w:szCs w:val="20"/>
              </w:rPr>
            </w:pPr>
          </w:p>
          <w:p w14:paraId="06F44813" w14:textId="77777777" w:rsidR="007B55FA" w:rsidRPr="00040AA9" w:rsidRDefault="007B55FA" w:rsidP="00040AA9">
            <w:pPr>
              <w:suppressAutoHyphens/>
              <w:rPr>
                <w:rFonts w:ascii="Arial" w:hAnsi="Arial" w:cs="Arial"/>
                <w:sz w:val="20"/>
                <w:szCs w:val="20"/>
              </w:rPr>
            </w:pPr>
          </w:p>
          <w:p w14:paraId="647DB0E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44F984D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TAJ Commissioner General informing that the tax credit for registered companies keeps being applied.</w:t>
            </w:r>
          </w:p>
        </w:tc>
      </w:tr>
      <w:tr w:rsidR="007B55FA" w:rsidRPr="00CF5903" w14:paraId="425714C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6240E5EA"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6EC1291B"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352EE9E"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F98D5FA"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555A29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014BC311"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528723D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576BF95" w14:textId="77777777" w:rsidR="007B55FA" w:rsidRPr="00040AA9" w:rsidRDefault="007B55FA" w:rsidP="00040AA9">
            <w:pPr>
              <w:suppressAutoHyphens/>
              <w:rPr>
                <w:rFonts w:ascii="Arial" w:hAnsi="Arial" w:cs="Arial"/>
                <w:sz w:val="20"/>
                <w:szCs w:val="20"/>
              </w:rPr>
            </w:pPr>
          </w:p>
        </w:tc>
      </w:tr>
      <w:tr w:rsidR="007B55FA" w:rsidRPr="00CF5903" w14:paraId="7EC9DFC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tcBorders>
              <w:bottom w:val="single" w:sz="4" w:space="0" w:color="auto"/>
            </w:tcBorders>
            <w:shd w:val="clear" w:color="auto" w:fill="auto"/>
            <w:hideMark/>
          </w:tcPr>
          <w:p w14:paraId="21C45841"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047A802C"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6A93C131"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41677142"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3870BF8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586F7920" w14:textId="77777777" w:rsidR="007B55FA" w:rsidRPr="00040AA9" w:rsidRDefault="007B55FA" w:rsidP="00040AA9">
            <w:pPr>
              <w:suppressAutoHyphens/>
              <w:jc w:val="center"/>
              <w:rPr>
                <w:rFonts w:ascii="Arial" w:hAnsi="Arial" w:cs="Arial"/>
                <w:sz w:val="20"/>
                <w:szCs w:val="20"/>
              </w:rPr>
            </w:pPr>
          </w:p>
          <w:p w14:paraId="4786A27B" w14:textId="77777777" w:rsidR="007B55FA" w:rsidRPr="00040AA9" w:rsidRDefault="007B55FA" w:rsidP="00040AA9">
            <w:pPr>
              <w:suppressAutoHyphens/>
              <w:jc w:val="center"/>
              <w:rPr>
                <w:rFonts w:ascii="Arial" w:hAnsi="Arial" w:cs="Arial"/>
                <w:sz w:val="20"/>
                <w:szCs w:val="20"/>
              </w:rPr>
            </w:pPr>
          </w:p>
          <w:p w14:paraId="13142B11" w14:textId="77777777" w:rsidR="007B55FA" w:rsidRPr="00040AA9" w:rsidRDefault="007B55FA" w:rsidP="00040AA9">
            <w:pPr>
              <w:suppressAutoHyphens/>
              <w:jc w:val="center"/>
              <w:rPr>
                <w:rFonts w:ascii="Arial" w:hAnsi="Arial" w:cs="Arial"/>
                <w:sz w:val="20"/>
                <w:szCs w:val="20"/>
              </w:rPr>
            </w:pPr>
          </w:p>
          <w:p w14:paraId="07C4F19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975BD9F" w14:textId="6072C36C"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bookmarkStart w:id="21" w:name="_Ref493592348"/>
            <w:r w:rsidRPr="00040AA9">
              <w:rPr>
                <w:rStyle w:val="FootnoteReference"/>
                <w:rFonts w:ascii="Arial" w:hAnsi="Arial" w:cs="Arial"/>
                <w:sz w:val="20"/>
                <w:szCs w:val="20"/>
              </w:rPr>
              <w:footnoteReference w:id="112"/>
            </w:r>
            <w:bookmarkEnd w:id="21"/>
          </w:p>
        </w:tc>
        <w:tc>
          <w:tcPr>
            <w:tcW w:w="1106" w:type="dxa"/>
            <w:vMerge/>
            <w:tcBorders>
              <w:bottom w:val="single" w:sz="4" w:space="0" w:color="auto"/>
            </w:tcBorders>
            <w:shd w:val="clear" w:color="auto" w:fill="auto"/>
            <w:hideMark/>
          </w:tcPr>
          <w:p w14:paraId="24F84F56"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65085029" w14:textId="683AB6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Official letter from Financial Secretary (FS) to the Bank dated Nov. 8, 2016 (part II.1.c.D.2) providing evidence of compliance with section 2.03.I.(a)(iv)(B) of the FISPEG III loan contract by way of affirming that “The following measures continue to be maintained and enforced … The Employment Tax Credit (ETC) for registered trade companies under the </w:t>
            </w:r>
            <w:r w:rsidR="00960135" w:rsidRPr="00CF5903">
              <w:rPr>
                <w:rFonts w:ascii="Arial" w:hAnsi="Arial" w:cs="Arial"/>
                <w:sz w:val="20"/>
                <w:szCs w:val="20"/>
              </w:rPr>
              <w:t>labor</w:t>
            </w:r>
            <w:r w:rsidRPr="00040AA9">
              <w:rPr>
                <w:rFonts w:ascii="Arial" w:hAnsi="Arial" w:cs="Arial"/>
                <w:sz w:val="20"/>
                <w:szCs w:val="20"/>
              </w:rPr>
              <w:t xml:space="preserve"> incentive program up to cap of 30% of the chargeable income tax.”</w:t>
            </w:r>
            <w:bookmarkStart w:id="22" w:name="_Ref493592182"/>
            <w:r w:rsidRPr="00040AA9">
              <w:rPr>
                <w:rStyle w:val="FootnoteReference"/>
                <w:rFonts w:ascii="Arial" w:hAnsi="Arial" w:cs="Arial"/>
                <w:sz w:val="20"/>
                <w:szCs w:val="20"/>
              </w:rPr>
              <w:footnoteReference w:id="113"/>
            </w:r>
            <w:bookmarkEnd w:id="22"/>
          </w:p>
        </w:tc>
      </w:tr>
      <w:tr w:rsidR="007B55FA" w:rsidRPr="00CF5903" w14:paraId="4440790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jc w:val="center"/>
        </w:trPr>
        <w:tc>
          <w:tcPr>
            <w:tcW w:w="12859" w:type="dxa"/>
            <w:gridSpan w:val="8"/>
            <w:tcBorders>
              <w:bottom w:val="single" w:sz="4" w:space="0" w:color="auto"/>
            </w:tcBorders>
            <w:shd w:val="clear" w:color="auto" w:fill="auto"/>
          </w:tcPr>
          <w:p w14:paraId="219B8E0C" w14:textId="77777777" w:rsidR="007B55FA" w:rsidRPr="00040AA9" w:rsidRDefault="007B55FA" w:rsidP="00040AA9">
            <w:pPr>
              <w:suppressAutoHyphens/>
              <w:rPr>
                <w:rFonts w:ascii="Arial" w:hAnsi="Arial" w:cs="Arial"/>
                <w:b/>
                <w:sz w:val="20"/>
                <w:szCs w:val="20"/>
              </w:rPr>
            </w:pPr>
          </w:p>
        </w:tc>
      </w:tr>
      <w:tr w:rsidR="007B55FA" w:rsidRPr="00CF5903" w14:paraId="26EE44E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tcPr>
          <w:p w14:paraId="78701646" w14:textId="77777777"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Output II.14 Application of Caps on Tax Incentives</w:t>
            </w:r>
          </w:p>
        </w:tc>
      </w:tr>
      <w:tr w:rsidR="007B55FA" w:rsidRPr="00CF5903" w14:paraId="625505F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1DD553F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II.14.1</w:t>
            </w:r>
          </w:p>
          <w:p w14:paraId="1C02F79C" w14:textId="77777777" w:rsidR="007B55FA" w:rsidRPr="00040AA9" w:rsidRDefault="007B55FA" w:rsidP="00040AA9">
            <w:pPr>
              <w:suppressAutoHyphens/>
              <w:ind w:left="319"/>
              <w:rPr>
                <w:rFonts w:ascii="Arial" w:hAnsi="Arial" w:cs="Arial"/>
                <w:sz w:val="20"/>
                <w:szCs w:val="20"/>
              </w:rPr>
            </w:pPr>
            <w:r w:rsidRPr="00040AA9">
              <w:rPr>
                <w:rFonts w:ascii="Arial" w:hAnsi="Arial" w:cs="Arial"/>
                <w:sz w:val="20"/>
                <w:szCs w:val="20"/>
              </w:rPr>
              <w:t xml:space="preserve">Increase for Initial Capital Allowance (ICA) for new capital investment applied. </w:t>
            </w:r>
          </w:p>
          <w:p w14:paraId="38E1DD16" w14:textId="77777777" w:rsidR="007B55FA" w:rsidRPr="00040AA9" w:rsidRDefault="007B55FA" w:rsidP="00040AA9">
            <w:pPr>
              <w:suppressAutoHyphens/>
              <w:ind w:left="319"/>
              <w:rPr>
                <w:rFonts w:ascii="Arial" w:hAnsi="Arial" w:cs="Arial"/>
                <w:sz w:val="20"/>
                <w:szCs w:val="20"/>
              </w:rPr>
            </w:pPr>
            <w:r w:rsidRPr="00040AA9">
              <w:rPr>
                <w:rFonts w:ascii="Arial" w:hAnsi="Arial" w:cs="Arial"/>
                <w:sz w:val="20"/>
                <w:szCs w:val="20"/>
              </w:rPr>
              <w:t>(FSPG III – product 2.10</w:t>
            </w:r>
          </w:p>
          <w:p w14:paraId="4BEB5E6C" w14:textId="77777777" w:rsidR="007B55FA" w:rsidRPr="00040AA9" w:rsidRDefault="007B55FA" w:rsidP="00040AA9">
            <w:pPr>
              <w:suppressAutoHyphens/>
              <w:ind w:left="319"/>
              <w:rPr>
                <w:rFonts w:ascii="Arial" w:hAnsi="Arial" w:cs="Arial"/>
                <w:sz w:val="20"/>
                <w:szCs w:val="20"/>
              </w:rPr>
            </w:pPr>
            <w:r w:rsidRPr="00040AA9">
              <w:rPr>
                <w:rFonts w:ascii="Arial" w:hAnsi="Arial" w:cs="Arial"/>
                <w:sz w:val="20"/>
                <w:szCs w:val="20"/>
              </w:rPr>
              <w:t>contract section 2.03.I.(a)(iv)(C)</w:t>
            </w:r>
          </w:p>
        </w:tc>
        <w:tc>
          <w:tcPr>
            <w:tcW w:w="860" w:type="dxa"/>
            <w:vMerge w:val="restart"/>
            <w:shd w:val="clear" w:color="auto" w:fill="auto"/>
            <w:vAlign w:val="center"/>
          </w:tcPr>
          <w:p w14:paraId="1F922F6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Allowance</w:t>
            </w:r>
          </w:p>
          <w:p w14:paraId="46303D0F" w14:textId="77777777" w:rsidR="007B55FA" w:rsidRPr="00040AA9" w:rsidRDefault="007B55FA" w:rsidP="00040AA9">
            <w:pPr>
              <w:suppressAutoHyphens/>
              <w:jc w:val="center"/>
              <w:rPr>
                <w:rFonts w:ascii="Arial" w:hAnsi="Arial" w:cs="Arial"/>
                <w:sz w:val="20"/>
                <w:szCs w:val="20"/>
              </w:rPr>
            </w:pPr>
          </w:p>
        </w:tc>
        <w:tc>
          <w:tcPr>
            <w:tcW w:w="774" w:type="dxa"/>
            <w:vMerge w:val="restart"/>
            <w:shd w:val="clear" w:color="auto" w:fill="auto"/>
          </w:tcPr>
          <w:p w14:paraId="43A3315B" w14:textId="77777777" w:rsidR="007B55FA" w:rsidRPr="00040AA9" w:rsidRDefault="007B55FA" w:rsidP="00040AA9">
            <w:pPr>
              <w:suppressAutoHyphens/>
              <w:jc w:val="center"/>
              <w:rPr>
                <w:rFonts w:ascii="Arial" w:hAnsi="Arial" w:cs="Arial"/>
                <w:sz w:val="20"/>
                <w:szCs w:val="20"/>
              </w:rPr>
            </w:pPr>
          </w:p>
          <w:p w14:paraId="66A93FC8" w14:textId="77777777" w:rsidR="007B55FA" w:rsidRPr="00040AA9" w:rsidRDefault="007B55FA" w:rsidP="00040AA9">
            <w:pPr>
              <w:suppressAutoHyphens/>
              <w:jc w:val="center"/>
              <w:rPr>
                <w:rFonts w:ascii="Arial" w:hAnsi="Arial" w:cs="Arial"/>
                <w:sz w:val="20"/>
                <w:szCs w:val="20"/>
              </w:rPr>
            </w:pPr>
          </w:p>
          <w:p w14:paraId="0600BFB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65C68938" w14:textId="77777777" w:rsidR="007B55FA" w:rsidRPr="00040AA9" w:rsidRDefault="007B55FA" w:rsidP="00040AA9">
            <w:pPr>
              <w:suppressAutoHyphens/>
              <w:jc w:val="center"/>
              <w:rPr>
                <w:rFonts w:ascii="Arial" w:hAnsi="Arial" w:cs="Arial"/>
                <w:sz w:val="20"/>
                <w:szCs w:val="20"/>
              </w:rPr>
            </w:pPr>
          </w:p>
          <w:p w14:paraId="0C8B11B9" w14:textId="77777777" w:rsidR="007B55FA" w:rsidRPr="00040AA9" w:rsidRDefault="007B55FA" w:rsidP="00040AA9">
            <w:pPr>
              <w:suppressAutoHyphens/>
              <w:jc w:val="center"/>
              <w:rPr>
                <w:rFonts w:ascii="Arial" w:hAnsi="Arial" w:cs="Arial"/>
                <w:sz w:val="20"/>
                <w:szCs w:val="20"/>
              </w:rPr>
            </w:pPr>
          </w:p>
          <w:p w14:paraId="4E339AA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CC0FE91"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02F2CADC"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375D06A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06D51F5F" w14:textId="77777777" w:rsidR="007B55FA" w:rsidRPr="00040AA9" w:rsidRDefault="007B55FA" w:rsidP="00040AA9">
            <w:pPr>
              <w:keepNext/>
              <w:keepLines/>
              <w:suppressAutoHyphens/>
              <w:rPr>
                <w:rFonts w:ascii="Arial" w:hAnsi="Arial" w:cs="Arial"/>
                <w:sz w:val="20"/>
                <w:szCs w:val="20"/>
              </w:rPr>
            </w:pPr>
          </w:p>
          <w:p w14:paraId="39213CCE" w14:textId="77777777" w:rsidR="007B55FA" w:rsidRPr="00040AA9" w:rsidRDefault="007B55FA" w:rsidP="00040AA9">
            <w:pPr>
              <w:keepNext/>
              <w:keepLines/>
              <w:suppressAutoHyphens/>
              <w:rPr>
                <w:rFonts w:ascii="Arial" w:hAnsi="Arial" w:cs="Arial"/>
                <w:sz w:val="20"/>
                <w:szCs w:val="20"/>
              </w:rPr>
            </w:pPr>
          </w:p>
          <w:p w14:paraId="4B2674A4"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     </w:t>
            </w:r>
          </w:p>
          <w:p w14:paraId="1D558E33" w14:textId="77777777" w:rsidR="007B55FA" w:rsidRPr="00040AA9" w:rsidRDefault="007B55FA" w:rsidP="00040AA9">
            <w:pPr>
              <w:keepNext/>
              <w:keepLines/>
              <w:suppressAutoHyphens/>
              <w:rPr>
                <w:rFonts w:ascii="Arial" w:hAnsi="Arial" w:cs="Arial"/>
                <w:sz w:val="20"/>
                <w:szCs w:val="20"/>
              </w:rPr>
            </w:pPr>
          </w:p>
          <w:p w14:paraId="763CED1A" w14:textId="77777777" w:rsidR="007B55FA" w:rsidRPr="00040AA9" w:rsidRDefault="007B55FA" w:rsidP="00040AA9">
            <w:pPr>
              <w:keepNext/>
              <w:keepLines/>
              <w:suppressAutoHyphens/>
              <w:rPr>
                <w:rFonts w:ascii="Arial" w:hAnsi="Arial" w:cs="Arial"/>
                <w:sz w:val="20"/>
                <w:szCs w:val="20"/>
              </w:rPr>
            </w:pPr>
          </w:p>
          <w:p w14:paraId="1A60EF97" w14:textId="77777777" w:rsidR="007B55FA" w:rsidRPr="00040AA9" w:rsidRDefault="007B55FA" w:rsidP="00040AA9">
            <w:pPr>
              <w:keepNext/>
              <w:keepLines/>
              <w:suppressAutoHyphens/>
              <w:rPr>
                <w:rFonts w:ascii="Arial" w:hAnsi="Arial" w:cs="Arial"/>
                <w:sz w:val="20"/>
                <w:szCs w:val="20"/>
              </w:rPr>
            </w:pPr>
          </w:p>
          <w:p w14:paraId="13D43220" w14:textId="77777777" w:rsidR="007B55FA" w:rsidRPr="00040AA9" w:rsidRDefault="007B55FA" w:rsidP="00040AA9">
            <w:pPr>
              <w:keepNext/>
              <w:keepLines/>
              <w:suppressAutoHyphens/>
              <w:rPr>
                <w:rFonts w:ascii="Arial" w:hAnsi="Arial" w:cs="Arial"/>
                <w:sz w:val="20"/>
                <w:szCs w:val="20"/>
              </w:rPr>
            </w:pPr>
          </w:p>
          <w:p w14:paraId="4E93A6ED" w14:textId="77777777" w:rsidR="007B55FA" w:rsidRPr="00040AA9" w:rsidRDefault="007B55FA" w:rsidP="00040AA9">
            <w:pPr>
              <w:keepNext/>
              <w:keepLines/>
              <w:suppressAutoHyphens/>
              <w:rPr>
                <w:rFonts w:ascii="Arial" w:hAnsi="Arial" w:cs="Arial"/>
                <w:sz w:val="20"/>
                <w:szCs w:val="20"/>
              </w:rPr>
            </w:pPr>
          </w:p>
          <w:p w14:paraId="1177BFDF" w14:textId="77777777" w:rsidR="007B55FA" w:rsidRPr="00040AA9" w:rsidRDefault="007B55FA" w:rsidP="00040AA9">
            <w:pPr>
              <w:keepNext/>
              <w:keepLines/>
              <w:suppressAutoHyphens/>
              <w:rPr>
                <w:rFonts w:ascii="Arial" w:hAnsi="Arial" w:cs="Arial"/>
                <w:sz w:val="20"/>
                <w:szCs w:val="20"/>
              </w:rPr>
            </w:pPr>
          </w:p>
          <w:p w14:paraId="3A088576"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3F4C33A"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Letter from the FS informing that the allowance for new investments keeps being applied.</w:t>
            </w:r>
          </w:p>
        </w:tc>
      </w:tr>
      <w:tr w:rsidR="007B55FA" w:rsidRPr="00CF5903" w14:paraId="69E68B0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72D1A70B"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hideMark/>
          </w:tcPr>
          <w:p w14:paraId="70024F8C"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3B2A61F"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79BBB45"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C6C0EE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6884564F"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37EFFCDA"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CC3FD1B" w14:textId="77777777" w:rsidR="007B55FA" w:rsidRPr="00040AA9" w:rsidRDefault="007B55FA" w:rsidP="00040AA9">
            <w:pPr>
              <w:suppressAutoHyphens/>
              <w:rPr>
                <w:rFonts w:ascii="Arial" w:hAnsi="Arial" w:cs="Arial"/>
                <w:sz w:val="20"/>
                <w:szCs w:val="20"/>
              </w:rPr>
            </w:pPr>
          </w:p>
        </w:tc>
      </w:tr>
      <w:tr w:rsidR="007B55FA" w:rsidRPr="00CF5903" w14:paraId="152F44E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9"/>
          <w:jc w:val="center"/>
        </w:trPr>
        <w:tc>
          <w:tcPr>
            <w:tcW w:w="2556" w:type="dxa"/>
            <w:vMerge/>
            <w:shd w:val="clear" w:color="auto" w:fill="auto"/>
            <w:hideMark/>
          </w:tcPr>
          <w:p w14:paraId="4C7042D7"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hideMark/>
          </w:tcPr>
          <w:p w14:paraId="09C10DE5"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E3ED139"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5AED590A"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E7DAC9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16534CDD" w14:textId="77777777" w:rsidR="007B55FA" w:rsidRPr="00040AA9" w:rsidRDefault="007B55FA" w:rsidP="00040AA9">
            <w:pPr>
              <w:suppressAutoHyphens/>
              <w:jc w:val="center"/>
              <w:rPr>
                <w:rFonts w:ascii="Arial" w:hAnsi="Arial" w:cs="Arial"/>
                <w:sz w:val="20"/>
                <w:szCs w:val="20"/>
              </w:rPr>
            </w:pPr>
          </w:p>
          <w:p w14:paraId="14B8879D" w14:textId="77777777" w:rsidR="007B55FA" w:rsidRPr="00040AA9" w:rsidRDefault="007B55FA" w:rsidP="00040AA9">
            <w:pPr>
              <w:suppressAutoHyphens/>
              <w:jc w:val="center"/>
              <w:rPr>
                <w:rFonts w:ascii="Arial" w:hAnsi="Arial" w:cs="Arial"/>
                <w:sz w:val="20"/>
                <w:szCs w:val="20"/>
              </w:rPr>
            </w:pPr>
          </w:p>
          <w:p w14:paraId="063756E6" w14:textId="77777777" w:rsidR="007B55FA" w:rsidRPr="00040AA9" w:rsidRDefault="007B55FA" w:rsidP="00040AA9">
            <w:pPr>
              <w:suppressAutoHyphens/>
              <w:jc w:val="center"/>
              <w:rPr>
                <w:rFonts w:ascii="Arial" w:hAnsi="Arial" w:cs="Arial"/>
                <w:sz w:val="20"/>
                <w:szCs w:val="20"/>
              </w:rPr>
            </w:pPr>
          </w:p>
          <w:p w14:paraId="140D664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118CE5D" w14:textId="2868B57C"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r w:rsidRPr="0064684F">
              <w:rPr>
                <w:rFonts w:ascii="Arial" w:hAnsi="Arial" w:cs="Arial"/>
                <w:sz w:val="20"/>
                <w:szCs w:val="20"/>
              </w:rPr>
              <w:fldChar w:fldCharType="begin"/>
            </w:r>
            <w:r w:rsidRPr="0064684F">
              <w:rPr>
                <w:rFonts w:ascii="Arial" w:hAnsi="Arial" w:cs="Arial"/>
                <w:sz w:val="20"/>
                <w:szCs w:val="20"/>
              </w:rPr>
              <w:instrText xml:space="preserve"> NOTEREF _Ref493592348 \f  \* MERGEFORMAT </w:instrText>
            </w:r>
            <w:r w:rsidRPr="0064684F">
              <w:rPr>
                <w:rFonts w:ascii="Arial" w:hAnsi="Arial" w:cs="Arial"/>
                <w:sz w:val="20"/>
                <w:szCs w:val="20"/>
              </w:rPr>
              <w:fldChar w:fldCharType="separate"/>
            </w:r>
            <w:r w:rsidR="003D2A7F" w:rsidRPr="003D2A7F">
              <w:rPr>
                <w:rStyle w:val="FootnoteReference"/>
              </w:rPr>
              <w:t>106</w:t>
            </w:r>
            <w:r w:rsidRPr="0064684F">
              <w:rPr>
                <w:rFonts w:ascii="Arial" w:hAnsi="Arial" w:cs="Arial"/>
                <w:sz w:val="20"/>
                <w:szCs w:val="20"/>
              </w:rPr>
              <w:fldChar w:fldCharType="end"/>
            </w:r>
          </w:p>
        </w:tc>
        <w:tc>
          <w:tcPr>
            <w:tcW w:w="1106" w:type="dxa"/>
            <w:vMerge/>
            <w:shd w:val="clear" w:color="auto" w:fill="auto"/>
            <w:hideMark/>
          </w:tcPr>
          <w:p w14:paraId="0FB19E34"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C0EF141" w14:textId="2D80C5CB"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II.1.c.D.3) providing evidence of compliance with section 2.03.I.(a)(iv)(C) of the FISPEG III loan contract by way of affirming that “The following measures continue to be maintained and enforced …The initial capital allowances for new capital investment..”</w:t>
            </w:r>
            <w:r w:rsidRPr="0064684F">
              <w:rPr>
                <w:rFonts w:ascii="Arial" w:hAnsi="Arial" w:cs="Arial"/>
                <w:sz w:val="20"/>
                <w:szCs w:val="20"/>
              </w:rPr>
              <w:fldChar w:fldCharType="begin"/>
            </w:r>
            <w:r w:rsidRPr="0064684F">
              <w:rPr>
                <w:rFonts w:ascii="Arial" w:hAnsi="Arial" w:cs="Arial"/>
                <w:sz w:val="20"/>
                <w:szCs w:val="20"/>
              </w:rPr>
              <w:instrText xml:space="preserve"> NOTEREF _Ref493592182 \f  \* MERGEFORMAT </w:instrText>
            </w:r>
            <w:r w:rsidRPr="0064684F">
              <w:rPr>
                <w:rFonts w:ascii="Arial" w:hAnsi="Arial" w:cs="Arial"/>
                <w:sz w:val="20"/>
                <w:szCs w:val="20"/>
              </w:rPr>
              <w:fldChar w:fldCharType="separate"/>
            </w:r>
            <w:r w:rsidR="003D2A7F" w:rsidRPr="003D2A7F">
              <w:rPr>
                <w:rStyle w:val="FootnoteReference"/>
              </w:rPr>
              <w:t>107</w:t>
            </w:r>
            <w:r w:rsidRPr="0064684F">
              <w:rPr>
                <w:rFonts w:ascii="Arial" w:hAnsi="Arial" w:cs="Arial"/>
                <w:sz w:val="20"/>
                <w:szCs w:val="20"/>
              </w:rPr>
              <w:fldChar w:fldCharType="end"/>
            </w:r>
            <w:r w:rsidRPr="0064684F">
              <w:rPr>
                <w:rFonts w:ascii="Arial" w:hAnsi="Arial" w:cs="Arial"/>
                <w:sz w:val="20"/>
                <w:szCs w:val="20"/>
              </w:rPr>
              <w:t xml:space="preserve"> </w:t>
            </w:r>
            <w:r w:rsidRPr="00040AA9">
              <w:rPr>
                <w:rFonts w:ascii="Arial" w:hAnsi="Arial" w:cs="Arial"/>
                <w:sz w:val="20"/>
                <w:szCs w:val="20"/>
              </w:rPr>
              <w:t xml:space="preserve"> </w:t>
            </w:r>
          </w:p>
        </w:tc>
      </w:tr>
      <w:tr w:rsidR="007B55FA" w:rsidRPr="00CF5903" w14:paraId="2DE63A3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51735BE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II.14.2</w:t>
            </w:r>
          </w:p>
          <w:p w14:paraId="519ACFFE" w14:textId="77777777" w:rsidR="007B55FA" w:rsidRPr="00040AA9" w:rsidRDefault="007B55FA" w:rsidP="00040AA9">
            <w:pPr>
              <w:suppressAutoHyphens/>
              <w:ind w:left="319"/>
              <w:rPr>
                <w:rFonts w:ascii="Arial" w:hAnsi="Arial" w:cs="Arial"/>
                <w:sz w:val="20"/>
                <w:szCs w:val="20"/>
              </w:rPr>
            </w:pPr>
            <w:r w:rsidRPr="00040AA9">
              <w:rPr>
                <w:rFonts w:ascii="Arial" w:hAnsi="Arial" w:cs="Arial"/>
                <w:sz w:val="20"/>
                <w:szCs w:val="20"/>
              </w:rPr>
              <w:t xml:space="preserve">Tax incentive cap allowed under the FIA for pioneer/mega projects applied </w:t>
            </w:r>
          </w:p>
          <w:p w14:paraId="3B2A19E4" w14:textId="77777777" w:rsidR="007B55FA" w:rsidRPr="00040AA9" w:rsidRDefault="007B55FA" w:rsidP="00040AA9">
            <w:pPr>
              <w:suppressAutoHyphens/>
              <w:ind w:left="319"/>
              <w:rPr>
                <w:rFonts w:ascii="Arial" w:hAnsi="Arial" w:cs="Arial"/>
                <w:sz w:val="20"/>
                <w:szCs w:val="20"/>
              </w:rPr>
            </w:pPr>
            <w:r w:rsidRPr="00040AA9">
              <w:rPr>
                <w:rFonts w:ascii="Arial" w:hAnsi="Arial" w:cs="Arial"/>
                <w:sz w:val="20"/>
                <w:szCs w:val="20"/>
              </w:rPr>
              <w:t>(FSPG III – product 2.11,</w:t>
            </w:r>
          </w:p>
          <w:p w14:paraId="593018C4" w14:textId="77777777" w:rsidR="007B55FA" w:rsidRPr="00040AA9" w:rsidRDefault="007B55FA" w:rsidP="00040AA9">
            <w:pPr>
              <w:suppressAutoHyphens/>
              <w:ind w:left="319"/>
              <w:rPr>
                <w:rFonts w:ascii="Arial" w:hAnsi="Arial" w:cs="Arial"/>
                <w:sz w:val="20"/>
                <w:szCs w:val="20"/>
              </w:rPr>
            </w:pPr>
            <w:r w:rsidRPr="00040AA9">
              <w:rPr>
                <w:rFonts w:ascii="Arial" w:hAnsi="Arial" w:cs="Arial"/>
                <w:sz w:val="20"/>
                <w:szCs w:val="20"/>
              </w:rPr>
              <w:t>contract section 2.03.I.(a)(iv)(D))</w:t>
            </w:r>
          </w:p>
        </w:tc>
        <w:tc>
          <w:tcPr>
            <w:tcW w:w="860" w:type="dxa"/>
            <w:vMerge w:val="restart"/>
            <w:shd w:val="clear" w:color="auto" w:fill="auto"/>
            <w:vAlign w:val="center"/>
          </w:tcPr>
          <w:p w14:paraId="2533085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Cap</w:t>
            </w:r>
          </w:p>
        </w:tc>
        <w:tc>
          <w:tcPr>
            <w:tcW w:w="774" w:type="dxa"/>
            <w:vMerge w:val="restart"/>
            <w:shd w:val="clear" w:color="auto" w:fill="auto"/>
            <w:vAlign w:val="center"/>
          </w:tcPr>
          <w:p w14:paraId="31D3FC73" w14:textId="23276709"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vAlign w:val="center"/>
          </w:tcPr>
          <w:p w14:paraId="2C889182" w14:textId="77777777" w:rsidR="007B55FA" w:rsidRPr="00040AA9" w:rsidRDefault="007B55FA" w:rsidP="00040AA9">
            <w:pPr>
              <w:suppressAutoHyphens/>
              <w:jc w:val="center"/>
              <w:rPr>
                <w:rFonts w:ascii="Arial" w:hAnsi="Arial" w:cs="Arial"/>
                <w:sz w:val="20"/>
                <w:szCs w:val="20"/>
              </w:rPr>
            </w:pPr>
          </w:p>
          <w:p w14:paraId="0E42F7E1" w14:textId="77777777" w:rsidR="007B55FA" w:rsidRPr="00040AA9" w:rsidRDefault="007B55FA" w:rsidP="00040AA9">
            <w:pPr>
              <w:suppressAutoHyphens/>
              <w:jc w:val="center"/>
              <w:rPr>
                <w:rFonts w:ascii="Arial" w:hAnsi="Arial" w:cs="Arial"/>
                <w:sz w:val="20"/>
                <w:szCs w:val="20"/>
              </w:rPr>
            </w:pPr>
          </w:p>
          <w:p w14:paraId="3A2C297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vAlign w:val="center"/>
            <w:hideMark/>
          </w:tcPr>
          <w:p w14:paraId="4B3E7817" w14:textId="77777777" w:rsidR="007B55FA" w:rsidRPr="00040AA9" w:rsidRDefault="007B55FA" w:rsidP="00040AA9">
            <w:pPr>
              <w:suppressAutoHyphens/>
              <w:rPr>
                <w:rFonts w:ascii="Arial" w:hAnsi="Arial" w:cs="Arial"/>
                <w:sz w:val="20"/>
                <w:szCs w:val="20"/>
              </w:rPr>
            </w:pPr>
          </w:p>
          <w:p w14:paraId="3691F25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vAlign w:val="center"/>
          </w:tcPr>
          <w:p w14:paraId="180B6B65" w14:textId="77777777" w:rsidR="007B55FA" w:rsidRPr="00040AA9" w:rsidRDefault="007B55FA" w:rsidP="00040AA9">
            <w:pPr>
              <w:suppressAutoHyphens/>
              <w:jc w:val="center"/>
              <w:rPr>
                <w:rFonts w:ascii="Arial" w:hAnsi="Arial" w:cs="Arial"/>
                <w:sz w:val="20"/>
                <w:szCs w:val="20"/>
              </w:rPr>
            </w:pPr>
          </w:p>
          <w:p w14:paraId="0923CF7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DDAF6E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 on)</w:t>
            </w:r>
          </w:p>
        </w:tc>
        <w:tc>
          <w:tcPr>
            <w:tcW w:w="1106" w:type="dxa"/>
            <w:vMerge w:val="restart"/>
            <w:shd w:val="clear" w:color="auto" w:fill="auto"/>
          </w:tcPr>
          <w:p w14:paraId="143EBA43" w14:textId="77777777" w:rsidR="007B55FA" w:rsidRPr="00040AA9" w:rsidRDefault="007B55FA" w:rsidP="00040AA9">
            <w:pPr>
              <w:suppressAutoHyphens/>
              <w:rPr>
                <w:rFonts w:ascii="Arial" w:hAnsi="Arial" w:cs="Arial"/>
                <w:sz w:val="20"/>
                <w:szCs w:val="20"/>
              </w:rPr>
            </w:pPr>
          </w:p>
          <w:p w14:paraId="457C549C" w14:textId="77777777" w:rsidR="007B55FA" w:rsidRPr="00040AA9" w:rsidRDefault="007B55FA" w:rsidP="00040AA9">
            <w:pPr>
              <w:suppressAutoHyphens/>
              <w:rPr>
                <w:rFonts w:ascii="Arial" w:hAnsi="Arial" w:cs="Arial"/>
                <w:sz w:val="20"/>
                <w:szCs w:val="20"/>
              </w:rPr>
            </w:pPr>
          </w:p>
          <w:p w14:paraId="4DC6CE52" w14:textId="77777777" w:rsidR="007B55FA" w:rsidRPr="00040AA9" w:rsidRDefault="007B55FA" w:rsidP="00040AA9">
            <w:pPr>
              <w:suppressAutoHyphens/>
              <w:rPr>
                <w:rFonts w:ascii="Arial" w:hAnsi="Arial" w:cs="Arial"/>
                <w:sz w:val="20"/>
                <w:szCs w:val="20"/>
              </w:rPr>
            </w:pPr>
          </w:p>
          <w:p w14:paraId="5EE5FDF9" w14:textId="77777777" w:rsidR="007B55FA" w:rsidRPr="00040AA9" w:rsidRDefault="007B55FA" w:rsidP="00040AA9">
            <w:pPr>
              <w:suppressAutoHyphens/>
              <w:rPr>
                <w:rFonts w:ascii="Arial" w:hAnsi="Arial" w:cs="Arial"/>
                <w:sz w:val="20"/>
                <w:szCs w:val="20"/>
              </w:rPr>
            </w:pPr>
          </w:p>
          <w:p w14:paraId="384D1FA9" w14:textId="77777777" w:rsidR="007B55FA" w:rsidRPr="00040AA9" w:rsidRDefault="007B55FA" w:rsidP="00040AA9">
            <w:pPr>
              <w:suppressAutoHyphens/>
              <w:rPr>
                <w:rFonts w:ascii="Arial" w:hAnsi="Arial" w:cs="Arial"/>
                <w:sz w:val="20"/>
                <w:szCs w:val="20"/>
              </w:rPr>
            </w:pPr>
          </w:p>
          <w:p w14:paraId="01C466F2" w14:textId="77777777" w:rsidR="007B55FA" w:rsidRPr="00040AA9" w:rsidRDefault="007B55FA" w:rsidP="00040AA9">
            <w:pPr>
              <w:suppressAutoHyphens/>
              <w:rPr>
                <w:rFonts w:ascii="Arial" w:hAnsi="Arial" w:cs="Arial"/>
                <w:sz w:val="20"/>
                <w:szCs w:val="20"/>
              </w:rPr>
            </w:pPr>
          </w:p>
          <w:p w14:paraId="66AE0F8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vAlign w:val="center"/>
          </w:tcPr>
          <w:p w14:paraId="3E95AD8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cap on the pioneer/mega projects incentives keeps being applied.</w:t>
            </w:r>
          </w:p>
        </w:tc>
      </w:tr>
      <w:tr w:rsidR="007B55FA" w:rsidRPr="00CF5903" w14:paraId="249CE4A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74548095"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hideMark/>
          </w:tcPr>
          <w:p w14:paraId="68D5D933" w14:textId="77777777" w:rsidR="007B55FA" w:rsidRPr="00040AA9" w:rsidRDefault="007B55FA" w:rsidP="00040AA9">
            <w:pPr>
              <w:suppressAutoHyphens/>
              <w:rPr>
                <w:rFonts w:ascii="Arial" w:hAnsi="Arial" w:cs="Arial"/>
                <w:sz w:val="20"/>
                <w:szCs w:val="20"/>
              </w:rPr>
            </w:pPr>
          </w:p>
        </w:tc>
        <w:tc>
          <w:tcPr>
            <w:tcW w:w="774" w:type="dxa"/>
            <w:vMerge/>
            <w:shd w:val="clear" w:color="auto" w:fill="auto"/>
            <w:vAlign w:val="center"/>
            <w:hideMark/>
          </w:tcPr>
          <w:p w14:paraId="6EFA6A24" w14:textId="77777777" w:rsidR="007B55FA" w:rsidRPr="00040AA9" w:rsidRDefault="007B55FA" w:rsidP="00040AA9">
            <w:pPr>
              <w:suppressAutoHyphens/>
              <w:rPr>
                <w:rFonts w:ascii="Arial" w:hAnsi="Arial" w:cs="Arial"/>
                <w:sz w:val="20"/>
                <w:szCs w:val="20"/>
              </w:rPr>
            </w:pPr>
          </w:p>
        </w:tc>
        <w:tc>
          <w:tcPr>
            <w:tcW w:w="939" w:type="dxa"/>
            <w:vMerge/>
            <w:shd w:val="clear" w:color="auto" w:fill="auto"/>
            <w:vAlign w:val="center"/>
            <w:hideMark/>
          </w:tcPr>
          <w:p w14:paraId="17C6E782" w14:textId="77777777" w:rsidR="007B55FA" w:rsidRPr="00040AA9" w:rsidRDefault="007B55FA" w:rsidP="00040AA9">
            <w:pPr>
              <w:suppressAutoHyphens/>
              <w:rPr>
                <w:rFonts w:ascii="Arial" w:hAnsi="Arial" w:cs="Arial"/>
                <w:sz w:val="20"/>
                <w:szCs w:val="20"/>
              </w:rPr>
            </w:pPr>
          </w:p>
        </w:tc>
        <w:tc>
          <w:tcPr>
            <w:tcW w:w="594" w:type="dxa"/>
            <w:shd w:val="clear" w:color="auto" w:fill="auto"/>
            <w:vAlign w:val="center"/>
            <w:hideMark/>
          </w:tcPr>
          <w:p w14:paraId="44AC269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vAlign w:val="center"/>
          </w:tcPr>
          <w:p w14:paraId="1B5149D2"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1889C466"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8403EFD" w14:textId="77777777" w:rsidR="007B55FA" w:rsidRPr="00040AA9" w:rsidRDefault="007B55FA" w:rsidP="00040AA9">
            <w:pPr>
              <w:suppressAutoHyphens/>
              <w:rPr>
                <w:rFonts w:ascii="Arial" w:hAnsi="Arial" w:cs="Arial"/>
                <w:sz w:val="20"/>
                <w:szCs w:val="20"/>
              </w:rPr>
            </w:pPr>
          </w:p>
        </w:tc>
      </w:tr>
      <w:tr w:rsidR="007B55FA" w:rsidRPr="00CF5903" w14:paraId="1D143FE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shd w:val="clear" w:color="auto" w:fill="auto"/>
            <w:hideMark/>
          </w:tcPr>
          <w:p w14:paraId="31FBC543"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hideMark/>
          </w:tcPr>
          <w:p w14:paraId="22CB6DD7" w14:textId="77777777" w:rsidR="007B55FA" w:rsidRPr="00040AA9" w:rsidRDefault="007B55FA" w:rsidP="00040AA9">
            <w:pPr>
              <w:suppressAutoHyphens/>
              <w:rPr>
                <w:rFonts w:ascii="Arial" w:hAnsi="Arial" w:cs="Arial"/>
                <w:sz w:val="20"/>
                <w:szCs w:val="20"/>
              </w:rPr>
            </w:pPr>
          </w:p>
        </w:tc>
        <w:tc>
          <w:tcPr>
            <w:tcW w:w="774" w:type="dxa"/>
            <w:vMerge/>
            <w:shd w:val="clear" w:color="auto" w:fill="auto"/>
            <w:vAlign w:val="center"/>
            <w:hideMark/>
          </w:tcPr>
          <w:p w14:paraId="7141840E" w14:textId="77777777" w:rsidR="007B55FA" w:rsidRPr="00040AA9" w:rsidRDefault="007B55FA" w:rsidP="00040AA9">
            <w:pPr>
              <w:suppressAutoHyphens/>
              <w:rPr>
                <w:rFonts w:ascii="Arial" w:hAnsi="Arial" w:cs="Arial"/>
                <w:sz w:val="20"/>
                <w:szCs w:val="20"/>
              </w:rPr>
            </w:pPr>
          </w:p>
        </w:tc>
        <w:tc>
          <w:tcPr>
            <w:tcW w:w="939" w:type="dxa"/>
            <w:vMerge/>
            <w:shd w:val="clear" w:color="auto" w:fill="auto"/>
            <w:vAlign w:val="center"/>
            <w:hideMark/>
          </w:tcPr>
          <w:p w14:paraId="7973FAB4" w14:textId="77777777" w:rsidR="007B55FA" w:rsidRPr="00040AA9" w:rsidRDefault="007B55FA" w:rsidP="00040AA9">
            <w:pPr>
              <w:suppressAutoHyphens/>
              <w:rPr>
                <w:rFonts w:ascii="Arial" w:hAnsi="Arial" w:cs="Arial"/>
                <w:sz w:val="20"/>
                <w:szCs w:val="20"/>
              </w:rPr>
            </w:pPr>
          </w:p>
        </w:tc>
        <w:tc>
          <w:tcPr>
            <w:tcW w:w="594" w:type="dxa"/>
            <w:shd w:val="clear" w:color="auto" w:fill="auto"/>
            <w:vAlign w:val="center"/>
            <w:hideMark/>
          </w:tcPr>
          <w:p w14:paraId="7165C1B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vAlign w:val="center"/>
          </w:tcPr>
          <w:p w14:paraId="67C4E909" w14:textId="77777777" w:rsidR="007B55FA" w:rsidRPr="00040AA9" w:rsidRDefault="007B55FA" w:rsidP="00040AA9">
            <w:pPr>
              <w:suppressAutoHyphens/>
              <w:jc w:val="center"/>
              <w:rPr>
                <w:rFonts w:ascii="Arial" w:hAnsi="Arial" w:cs="Arial"/>
                <w:sz w:val="20"/>
                <w:szCs w:val="20"/>
              </w:rPr>
            </w:pPr>
          </w:p>
          <w:p w14:paraId="082CE599" w14:textId="77777777" w:rsidR="007B55FA" w:rsidRPr="00040AA9" w:rsidRDefault="007B55FA" w:rsidP="00040AA9">
            <w:pPr>
              <w:suppressAutoHyphens/>
              <w:jc w:val="center"/>
              <w:rPr>
                <w:rFonts w:ascii="Arial" w:hAnsi="Arial" w:cs="Arial"/>
                <w:sz w:val="20"/>
                <w:szCs w:val="20"/>
              </w:rPr>
            </w:pPr>
          </w:p>
          <w:p w14:paraId="3D70E491" w14:textId="77777777" w:rsidR="007B55FA" w:rsidRPr="00040AA9" w:rsidRDefault="007B55FA" w:rsidP="00040AA9">
            <w:pPr>
              <w:suppressAutoHyphens/>
              <w:jc w:val="center"/>
              <w:rPr>
                <w:rFonts w:ascii="Arial" w:hAnsi="Arial" w:cs="Arial"/>
                <w:sz w:val="20"/>
                <w:szCs w:val="20"/>
              </w:rPr>
            </w:pPr>
          </w:p>
          <w:p w14:paraId="2EFD5B2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89FB8A5" w14:textId="63A9FA4F"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r w:rsidR="00D535C8" w:rsidRPr="009C086E">
              <w:rPr>
                <w:rFonts w:ascii="Arial" w:hAnsi="Arial" w:cs="Arial"/>
                <w:sz w:val="20"/>
                <w:szCs w:val="20"/>
                <w:vertAlign w:val="superscript"/>
              </w:rPr>
              <w:t>106</w:t>
            </w:r>
          </w:p>
        </w:tc>
        <w:tc>
          <w:tcPr>
            <w:tcW w:w="1106" w:type="dxa"/>
            <w:vMerge/>
            <w:shd w:val="clear" w:color="auto" w:fill="auto"/>
            <w:hideMark/>
          </w:tcPr>
          <w:p w14:paraId="327B6FFA"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483A216" w14:textId="290493F0"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DD6586">
              <w:rPr>
                <w:rFonts w:ascii="Arial" w:hAnsi="Arial" w:cs="Arial"/>
                <w:sz w:val="20"/>
                <w:szCs w:val="20"/>
              </w:rPr>
              <w:t xml:space="preserve">S to </w:t>
            </w:r>
            <w:r w:rsidRPr="00040AA9">
              <w:rPr>
                <w:rFonts w:ascii="Arial" w:hAnsi="Arial" w:cs="Arial"/>
                <w:sz w:val="20"/>
                <w:szCs w:val="20"/>
              </w:rPr>
              <w:t xml:space="preserve">the Bank dated Nov. 8, 2016 (part II.1.c.D.4) providing evidence of compliance with section 2.03.I.(a)(iv)(D) of the FISPEG III loan contract by way of affirming that “The following measures continue to be maintained and enforced …The limitations </w:t>
            </w:r>
            <w:r w:rsidR="00960135" w:rsidRPr="00CF5903">
              <w:rPr>
                <w:rFonts w:ascii="Arial" w:hAnsi="Arial" w:cs="Arial"/>
                <w:sz w:val="20"/>
                <w:szCs w:val="20"/>
              </w:rPr>
              <w:t>of</w:t>
            </w:r>
            <w:r w:rsidRPr="00040AA9">
              <w:rPr>
                <w:rFonts w:ascii="Arial" w:hAnsi="Arial" w:cs="Arial"/>
                <w:sz w:val="20"/>
                <w:szCs w:val="20"/>
              </w:rPr>
              <w:t xml:space="preserve"> tax incentives allowed under the </w:t>
            </w:r>
            <w:r w:rsidRPr="00040AA9">
              <w:rPr>
                <w:rFonts w:ascii="Arial" w:hAnsi="Arial" w:cs="Arial"/>
                <w:i/>
                <w:sz w:val="20"/>
                <w:szCs w:val="20"/>
              </w:rPr>
              <w:t>Fiscal Incentives Act</w:t>
            </w:r>
            <w:r w:rsidRPr="00040AA9">
              <w:rPr>
                <w:rFonts w:ascii="Arial" w:hAnsi="Arial" w:cs="Arial"/>
                <w:sz w:val="20"/>
                <w:szCs w:val="20"/>
              </w:rPr>
              <w:t xml:space="preserve"> for pioneer/mega projects at an overall cap of 0.25% of </w:t>
            </w:r>
            <w:r w:rsidRPr="0064684F">
              <w:rPr>
                <w:rFonts w:ascii="Arial" w:hAnsi="Arial" w:cs="Arial"/>
                <w:sz w:val="20"/>
                <w:szCs w:val="20"/>
              </w:rPr>
              <w:t>GDP</w:t>
            </w:r>
            <w:r w:rsidRPr="009C086E">
              <w:rPr>
                <w:rFonts w:ascii="Arial" w:hAnsi="Arial" w:cs="Arial"/>
                <w:sz w:val="20"/>
                <w:szCs w:val="20"/>
                <w:vertAlign w:val="superscript"/>
              </w:rPr>
              <w:fldChar w:fldCharType="begin"/>
            </w:r>
            <w:r w:rsidRPr="009C086E">
              <w:rPr>
                <w:rFonts w:ascii="Arial" w:hAnsi="Arial" w:cs="Arial"/>
                <w:sz w:val="20"/>
                <w:szCs w:val="20"/>
                <w:vertAlign w:val="superscript"/>
              </w:rPr>
              <w:instrText xml:space="preserve"> NOTEREF _Ref493592182 \f </w:instrText>
            </w:r>
            <w:r w:rsidR="00CF5903" w:rsidRPr="009C086E">
              <w:rPr>
                <w:rFonts w:ascii="Arial" w:hAnsi="Arial" w:cs="Arial"/>
                <w:sz w:val="20"/>
                <w:szCs w:val="20"/>
                <w:vertAlign w:val="superscript"/>
              </w:rPr>
              <w:instrText xml:space="preserve"> \* MERGEFORMAT </w:instrText>
            </w:r>
            <w:r w:rsidRPr="009C086E">
              <w:rPr>
                <w:rFonts w:ascii="Arial" w:hAnsi="Arial" w:cs="Arial"/>
                <w:sz w:val="20"/>
                <w:szCs w:val="20"/>
                <w:vertAlign w:val="superscript"/>
              </w:rPr>
              <w:fldChar w:fldCharType="separate"/>
            </w:r>
            <w:r w:rsidR="003D2A7F" w:rsidRPr="003D2A7F">
              <w:rPr>
                <w:rStyle w:val="FootnoteReference"/>
              </w:rPr>
              <w:t>107</w:t>
            </w:r>
            <w:r w:rsidRPr="009C086E">
              <w:rPr>
                <w:rFonts w:ascii="Arial" w:hAnsi="Arial" w:cs="Arial"/>
                <w:sz w:val="20"/>
                <w:szCs w:val="20"/>
                <w:vertAlign w:val="superscript"/>
              </w:rPr>
              <w:fldChar w:fldCharType="end"/>
            </w:r>
          </w:p>
        </w:tc>
      </w:tr>
      <w:tr w:rsidR="007B55FA" w:rsidRPr="00CF5903" w14:paraId="557491E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jc w:val="center"/>
        </w:trPr>
        <w:tc>
          <w:tcPr>
            <w:tcW w:w="12859" w:type="dxa"/>
            <w:gridSpan w:val="8"/>
            <w:tcBorders>
              <w:bottom w:val="single" w:sz="4" w:space="0" w:color="auto"/>
            </w:tcBorders>
            <w:shd w:val="clear" w:color="auto" w:fill="auto"/>
          </w:tcPr>
          <w:p w14:paraId="2CE5176E" w14:textId="77777777" w:rsidR="007B55FA" w:rsidRPr="00040AA9" w:rsidRDefault="007B55FA" w:rsidP="00040AA9">
            <w:pPr>
              <w:suppressAutoHyphens/>
              <w:rPr>
                <w:rFonts w:ascii="Arial" w:hAnsi="Arial" w:cs="Arial"/>
                <w:sz w:val="20"/>
                <w:szCs w:val="20"/>
              </w:rPr>
            </w:pPr>
          </w:p>
        </w:tc>
      </w:tr>
      <w:tr w:rsidR="007B55FA" w:rsidRPr="00CF5903" w14:paraId="1D62F31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tcBorders>
              <w:bottom w:val="single" w:sz="4" w:space="0" w:color="auto"/>
            </w:tcBorders>
            <w:shd w:val="clear" w:color="auto" w:fill="E5DFEC" w:themeFill="accent4" w:themeFillTint="33"/>
            <w:vAlign w:val="center"/>
          </w:tcPr>
          <w:p w14:paraId="740D7007" w14:textId="77777777" w:rsidR="007B55FA" w:rsidRPr="00D60FB9" w:rsidRDefault="007B55FA" w:rsidP="00040AA9">
            <w:pPr>
              <w:keepNext/>
              <w:keepLines/>
              <w:widowControl w:val="0"/>
              <w:suppressAutoHyphens/>
              <w:rPr>
                <w:rFonts w:ascii="Arial" w:hAnsi="Arial" w:cs="Arial"/>
                <w:sz w:val="20"/>
                <w:szCs w:val="20"/>
              </w:rPr>
            </w:pPr>
            <w:r w:rsidRPr="00D60FB9">
              <w:rPr>
                <w:rFonts w:ascii="Arial" w:hAnsi="Arial" w:cs="Arial"/>
                <w:b/>
                <w:sz w:val="20"/>
                <w:szCs w:val="20"/>
              </w:rPr>
              <w:t>OUTPUTS (Products) for COMPONENT III - Rationalization of Expenditure</w:t>
            </w:r>
          </w:p>
        </w:tc>
      </w:tr>
      <w:tr w:rsidR="007B55FA" w:rsidRPr="00CF5903" w14:paraId="5268B2C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shd w:val="clear" w:color="auto" w:fill="F2F2F2" w:themeFill="background1" w:themeFillShade="F2"/>
            <w:vAlign w:val="center"/>
          </w:tcPr>
          <w:p w14:paraId="78139A0E"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b/>
                <w:sz w:val="20"/>
                <w:szCs w:val="20"/>
              </w:rPr>
              <w:t>Output III.1. Central Government Salaries</w:t>
            </w:r>
          </w:p>
        </w:tc>
      </w:tr>
      <w:tr w:rsidR="007B55FA" w:rsidRPr="00CF5903" w14:paraId="65CA31A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tcPr>
          <w:p w14:paraId="159E5940"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Indicator III.1.1</w:t>
            </w:r>
          </w:p>
          <w:p w14:paraId="76D2BC7F"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 xml:space="preserve">Agreement with the government workers’ union that central government salary scales will remain unchanged in nominal terms over a 3 years period. </w:t>
            </w:r>
          </w:p>
          <w:p w14:paraId="0D964296"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 xml:space="preserve">(FSPG I – product 3.1, </w:t>
            </w:r>
          </w:p>
          <w:p w14:paraId="58851E14"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contract section 2.03(c))</w:t>
            </w:r>
          </w:p>
          <w:p w14:paraId="05DFB7D7" w14:textId="77777777" w:rsidR="007B55FA" w:rsidRPr="00040AA9" w:rsidRDefault="007B55FA" w:rsidP="00040AA9">
            <w:pPr>
              <w:keepNext/>
              <w:keepLines/>
              <w:widowControl w:val="0"/>
              <w:suppressAutoHyphens/>
              <w:rPr>
                <w:rFonts w:ascii="Arial" w:hAnsi="Arial" w:cs="Arial"/>
                <w:sz w:val="20"/>
                <w:szCs w:val="20"/>
              </w:rPr>
            </w:pPr>
          </w:p>
          <w:p w14:paraId="729C6D06"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Note: FISPEG II contract section 2.03.II.(a) stipulates central government salaries must remain at or below 10.1% of GDP</w:t>
            </w:r>
          </w:p>
        </w:tc>
        <w:tc>
          <w:tcPr>
            <w:tcW w:w="860" w:type="dxa"/>
            <w:vMerge w:val="restart"/>
            <w:shd w:val="clear" w:color="auto" w:fill="auto"/>
            <w:vAlign w:val="center"/>
          </w:tcPr>
          <w:p w14:paraId="760F68AD"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Agreement</w:t>
            </w:r>
          </w:p>
        </w:tc>
        <w:tc>
          <w:tcPr>
            <w:tcW w:w="774" w:type="dxa"/>
            <w:vMerge w:val="restart"/>
            <w:shd w:val="clear" w:color="auto" w:fill="auto"/>
            <w:vAlign w:val="center"/>
          </w:tcPr>
          <w:p w14:paraId="482FAB75"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67D19605" w14:textId="77777777" w:rsidR="007B55FA" w:rsidRPr="00040AA9" w:rsidRDefault="007B55FA" w:rsidP="00040AA9">
            <w:pPr>
              <w:keepNext/>
              <w:keepLines/>
              <w:widowControl w:val="0"/>
              <w:suppressAutoHyphens/>
              <w:jc w:val="center"/>
              <w:rPr>
                <w:rFonts w:ascii="Arial" w:hAnsi="Arial" w:cs="Arial"/>
                <w:sz w:val="20"/>
                <w:szCs w:val="20"/>
              </w:rPr>
            </w:pPr>
          </w:p>
          <w:p w14:paraId="6E753AF2" w14:textId="77777777" w:rsidR="007B55FA" w:rsidRPr="00040AA9" w:rsidRDefault="007B55FA" w:rsidP="00040AA9">
            <w:pPr>
              <w:keepNext/>
              <w:keepLines/>
              <w:widowControl w:val="0"/>
              <w:suppressAutoHyphens/>
              <w:jc w:val="center"/>
              <w:rPr>
                <w:rFonts w:ascii="Arial" w:hAnsi="Arial" w:cs="Arial"/>
                <w:sz w:val="20"/>
                <w:szCs w:val="20"/>
              </w:rPr>
            </w:pPr>
          </w:p>
          <w:p w14:paraId="22633CCB" w14:textId="77777777" w:rsidR="007B55FA" w:rsidRPr="00040AA9" w:rsidRDefault="007B55FA" w:rsidP="00040AA9">
            <w:pPr>
              <w:keepNext/>
              <w:keepLines/>
              <w:widowControl w:val="0"/>
              <w:suppressAutoHyphens/>
              <w:jc w:val="center"/>
              <w:rPr>
                <w:rFonts w:ascii="Arial" w:hAnsi="Arial" w:cs="Arial"/>
                <w:sz w:val="20"/>
                <w:szCs w:val="20"/>
              </w:rPr>
            </w:pPr>
          </w:p>
          <w:p w14:paraId="541FFA5B" w14:textId="77777777" w:rsidR="007B55FA" w:rsidRPr="00040AA9" w:rsidRDefault="007B55FA" w:rsidP="00040AA9">
            <w:pPr>
              <w:keepNext/>
              <w:keepLines/>
              <w:widowControl w:val="0"/>
              <w:suppressAutoHyphens/>
              <w:jc w:val="center"/>
              <w:rPr>
                <w:rFonts w:ascii="Arial" w:hAnsi="Arial" w:cs="Arial"/>
                <w:sz w:val="20"/>
                <w:szCs w:val="20"/>
              </w:rPr>
            </w:pPr>
          </w:p>
          <w:p w14:paraId="69D46141" w14:textId="77777777" w:rsidR="007B55FA" w:rsidRPr="00040AA9" w:rsidRDefault="007B55FA" w:rsidP="00040AA9">
            <w:pPr>
              <w:keepNext/>
              <w:keepLines/>
              <w:widowControl w:val="0"/>
              <w:suppressAutoHyphens/>
              <w:jc w:val="center"/>
              <w:rPr>
                <w:rFonts w:ascii="Arial" w:hAnsi="Arial" w:cs="Arial"/>
                <w:sz w:val="20"/>
                <w:szCs w:val="20"/>
              </w:rPr>
            </w:pPr>
          </w:p>
          <w:p w14:paraId="13A3DF8B" w14:textId="77777777" w:rsidR="007B55FA" w:rsidRPr="00040AA9" w:rsidRDefault="007B55FA" w:rsidP="00040AA9">
            <w:pPr>
              <w:keepNext/>
              <w:keepLines/>
              <w:widowControl w:val="0"/>
              <w:suppressAutoHyphens/>
              <w:jc w:val="center"/>
              <w:rPr>
                <w:rFonts w:ascii="Arial" w:hAnsi="Arial" w:cs="Arial"/>
                <w:sz w:val="20"/>
                <w:szCs w:val="20"/>
              </w:rPr>
            </w:pPr>
          </w:p>
          <w:p w14:paraId="10C3A4AD" w14:textId="77777777" w:rsidR="007B55FA" w:rsidRPr="00040AA9" w:rsidRDefault="007B55FA" w:rsidP="00040AA9">
            <w:pPr>
              <w:keepNext/>
              <w:keepLines/>
              <w:widowControl w:val="0"/>
              <w:suppressAutoHyphens/>
              <w:jc w:val="center"/>
              <w:rPr>
                <w:rFonts w:ascii="Arial" w:hAnsi="Arial" w:cs="Arial"/>
                <w:sz w:val="20"/>
                <w:szCs w:val="20"/>
              </w:rPr>
            </w:pPr>
          </w:p>
          <w:p w14:paraId="3C9137C5" w14:textId="77777777" w:rsidR="007B55FA" w:rsidRPr="00040AA9" w:rsidRDefault="007B55FA" w:rsidP="00040AA9">
            <w:pPr>
              <w:keepNext/>
              <w:keepLines/>
              <w:widowControl w:val="0"/>
              <w:suppressAutoHyphens/>
              <w:jc w:val="center"/>
              <w:rPr>
                <w:rFonts w:ascii="Arial" w:hAnsi="Arial" w:cs="Arial"/>
                <w:sz w:val="20"/>
                <w:szCs w:val="20"/>
              </w:rPr>
            </w:pPr>
          </w:p>
          <w:p w14:paraId="2A155FE0" w14:textId="77777777" w:rsidR="007B55FA" w:rsidRPr="00040AA9" w:rsidRDefault="007B55FA" w:rsidP="00040AA9">
            <w:pPr>
              <w:keepNext/>
              <w:keepLines/>
              <w:widowControl w:val="0"/>
              <w:suppressAutoHyphens/>
              <w:jc w:val="center"/>
              <w:rPr>
                <w:rFonts w:ascii="Arial" w:hAnsi="Arial" w:cs="Arial"/>
                <w:sz w:val="20"/>
                <w:szCs w:val="20"/>
              </w:rPr>
            </w:pPr>
          </w:p>
          <w:p w14:paraId="110BF004" w14:textId="77777777" w:rsidR="007B55FA" w:rsidRPr="00040AA9" w:rsidRDefault="007B55FA" w:rsidP="00040AA9">
            <w:pPr>
              <w:keepNext/>
              <w:keepLines/>
              <w:widowControl w:val="0"/>
              <w:suppressAutoHyphens/>
              <w:jc w:val="center"/>
              <w:rPr>
                <w:rFonts w:ascii="Arial" w:hAnsi="Arial" w:cs="Arial"/>
                <w:sz w:val="20"/>
                <w:szCs w:val="20"/>
              </w:rPr>
            </w:pPr>
          </w:p>
          <w:p w14:paraId="1203828D" w14:textId="77777777" w:rsidR="007B55FA" w:rsidRPr="00040AA9" w:rsidRDefault="007B55FA" w:rsidP="00040AA9">
            <w:pPr>
              <w:keepNext/>
              <w:keepLines/>
              <w:widowControl w:val="0"/>
              <w:suppressAutoHyphens/>
              <w:jc w:val="center"/>
              <w:rPr>
                <w:rFonts w:ascii="Arial" w:hAnsi="Arial" w:cs="Arial"/>
                <w:sz w:val="20"/>
                <w:szCs w:val="20"/>
              </w:rPr>
            </w:pPr>
          </w:p>
          <w:p w14:paraId="2BB41E6F" w14:textId="77777777" w:rsidR="007B55FA" w:rsidRPr="00040AA9" w:rsidRDefault="007B55FA" w:rsidP="00040AA9">
            <w:pPr>
              <w:keepNext/>
              <w:keepLines/>
              <w:widowControl w:val="0"/>
              <w:suppressAutoHyphens/>
              <w:jc w:val="center"/>
              <w:rPr>
                <w:rFonts w:ascii="Arial" w:hAnsi="Arial" w:cs="Arial"/>
                <w:sz w:val="20"/>
                <w:szCs w:val="20"/>
              </w:rPr>
            </w:pPr>
          </w:p>
          <w:p w14:paraId="38005F8B" w14:textId="77777777" w:rsidR="007B55FA" w:rsidRPr="00040AA9" w:rsidRDefault="007B55FA" w:rsidP="00040AA9">
            <w:pPr>
              <w:keepNext/>
              <w:keepLines/>
              <w:widowControl w:val="0"/>
              <w:suppressAutoHyphens/>
              <w:jc w:val="center"/>
              <w:rPr>
                <w:rFonts w:ascii="Arial" w:hAnsi="Arial" w:cs="Arial"/>
                <w:sz w:val="20"/>
                <w:szCs w:val="20"/>
              </w:rPr>
            </w:pPr>
          </w:p>
          <w:p w14:paraId="015E1B76" w14:textId="77777777" w:rsidR="007B55FA" w:rsidRPr="00040AA9" w:rsidRDefault="007B55FA" w:rsidP="00040AA9">
            <w:pPr>
              <w:keepNext/>
              <w:keepLines/>
              <w:widowControl w:val="0"/>
              <w:suppressAutoHyphens/>
              <w:jc w:val="center"/>
              <w:rPr>
                <w:rFonts w:ascii="Arial" w:hAnsi="Arial" w:cs="Arial"/>
                <w:sz w:val="20"/>
                <w:szCs w:val="20"/>
              </w:rPr>
            </w:pPr>
          </w:p>
          <w:p w14:paraId="125027AE"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tcPr>
          <w:p w14:paraId="280EFF54" w14:textId="77777777" w:rsidR="007B55FA" w:rsidRPr="00040AA9" w:rsidRDefault="007B55FA" w:rsidP="00040AA9">
            <w:pPr>
              <w:keepNext/>
              <w:keepLines/>
              <w:widowControl w:val="0"/>
              <w:suppressAutoHyphens/>
              <w:jc w:val="center"/>
              <w:rPr>
                <w:rFonts w:ascii="Arial" w:hAnsi="Arial" w:cs="Arial"/>
                <w:sz w:val="20"/>
                <w:szCs w:val="20"/>
              </w:rPr>
            </w:pPr>
          </w:p>
          <w:p w14:paraId="6265F292"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7C17C44F" w14:textId="77777777" w:rsidR="007B55FA" w:rsidRPr="00040AA9" w:rsidRDefault="007B55FA" w:rsidP="00040AA9">
            <w:pPr>
              <w:keepNext/>
              <w:keepLines/>
              <w:widowControl w:val="0"/>
              <w:suppressAutoHyphens/>
              <w:jc w:val="center"/>
              <w:rPr>
                <w:rFonts w:ascii="Arial" w:hAnsi="Arial" w:cs="Arial"/>
                <w:sz w:val="20"/>
                <w:szCs w:val="20"/>
              </w:rPr>
            </w:pPr>
          </w:p>
          <w:p w14:paraId="36D2F732"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1</w:t>
            </w:r>
          </w:p>
          <w:p w14:paraId="5662139A"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0B96DE01" w14:textId="77777777" w:rsidR="007B55FA" w:rsidRPr="00040AA9" w:rsidRDefault="007B55FA" w:rsidP="00040AA9">
            <w:pPr>
              <w:keepNext/>
              <w:keepLines/>
              <w:widowControl w:val="0"/>
              <w:suppressAutoHyphens/>
              <w:rPr>
                <w:rFonts w:ascii="Arial" w:hAnsi="Arial" w:cs="Arial"/>
                <w:sz w:val="20"/>
                <w:szCs w:val="20"/>
              </w:rPr>
            </w:pPr>
          </w:p>
          <w:p w14:paraId="35CF84C9" w14:textId="77777777" w:rsidR="007B55FA" w:rsidRPr="00040AA9" w:rsidRDefault="007B55FA" w:rsidP="00040AA9">
            <w:pPr>
              <w:keepNext/>
              <w:keepLines/>
              <w:widowControl w:val="0"/>
              <w:suppressAutoHyphens/>
              <w:rPr>
                <w:rFonts w:ascii="Arial" w:hAnsi="Arial" w:cs="Arial"/>
                <w:sz w:val="20"/>
                <w:szCs w:val="20"/>
              </w:rPr>
            </w:pPr>
          </w:p>
          <w:p w14:paraId="7525E43D" w14:textId="77777777" w:rsidR="007B55FA" w:rsidRPr="00040AA9" w:rsidRDefault="007B55FA" w:rsidP="00040AA9">
            <w:pPr>
              <w:keepNext/>
              <w:keepLines/>
              <w:widowControl w:val="0"/>
              <w:suppressAutoHyphens/>
              <w:rPr>
                <w:rFonts w:ascii="Arial" w:hAnsi="Arial" w:cs="Arial"/>
                <w:sz w:val="20"/>
                <w:szCs w:val="20"/>
              </w:rPr>
            </w:pPr>
          </w:p>
          <w:p w14:paraId="49B1F477" w14:textId="77777777" w:rsidR="007B55FA" w:rsidRPr="00040AA9" w:rsidRDefault="007B55FA" w:rsidP="00040AA9">
            <w:pPr>
              <w:keepNext/>
              <w:keepLines/>
              <w:widowControl w:val="0"/>
              <w:suppressAutoHyphens/>
              <w:rPr>
                <w:rFonts w:ascii="Arial" w:hAnsi="Arial" w:cs="Arial"/>
                <w:sz w:val="20"/>
                <w:szCs w:val="20"/>
              </w:rPr>
            </w:pPr>
          </w:p>
          <w:p w14:paraId="4AFC6042" w14:textId="77777777" w:rsidR="007B55FA" w:rsidRPr="00040AA9" w:rsidRDefault="007B55FA" w:rsidP="00040AA9">
            <w:pPr>
              <w:keepNext/>
              <w:keepLines/>
              <w:widowControl w:val="0"/>
              <w:suppressAutoHyphens/>
              <w:rPr>
                <w:rFonts w:ascii="Arial" w:hAnsi="Arial" w:cs="Arial"/>
                <w:sz w:val="20"/>
                <w:szCs w:val="20"/>
              </w:rPr>
            </w:pPr>
          </w:p>
          <w:p w14:paraId="4F059473" w14:textId="77777777" w:rsidR="007B55FA" w:rsidRPr="00040AA9" w:rsidRDefault="007B55FA" w:rsidP="00040AA9">
            <w:pPr>
              <w:keepNext/>
              <w:keepLines/>
              <w:widowControl w:val="0"/>
              <w:suppressAutoHyphens/>
              <w:rPr>
                <w:rFonts w:ascii="Arial" w:hAnsi="Arial" w:cs="Arial"/>
                <w:sz w:val="20"/>
                <w:szCs w:val="20"/>
              </w:rPr>
            </w:pPr>
          </w:p>
          <w:p w14:paraId="241CDCC4" w14:textId="77777777" w:rsidR="007B55FA" w:rsidRPr="00040AA9" w:rsidRDefault="007B55FA" w:rsidP="00040AA9">
            <w:pPr>
              <w:keepNext/>
              <w:keepLines/>
              <w:widowControl w:val="0"/>
              <w:suppressAutoHyphens/>
              <w:rPr>
                <w:rFonts w:ascii="Arial" w:hAnsi="Arial" w:cs="Arial"/>
                <w:sz w:val="20"/>
                <w:szCs w:val="20"/>
              </w:rPr>
            </w:pPr>
          </w:p>
          <w:p w14:paraId="024E0EA5" w14:textId="77777777" w:rsidR="007B55FA" w:rsidRPr="00040AA9" w:rsidRDefault="007B55FA" w:rsidP="00040AA9">
            <w:pPr>
              <w:keepNext/>
              <w:keepLines/>
              <w:widowControl w:val="0"/>
              <w:suppressAutoHyphens/>
              <w:rPr>
                <w:rFonts w:ascii="Arial" w:hAnsi="Arial" w:cs="Arial"/>
                <w:sz w:val="20"/>
                <w:szCs w:val="20"/>
              </w:rPr>
            </w:pPr>
          </w:p>
          <w:p w14:paraId="07946F57" w14:textId="77777777" w:rsidR="007B55FA" w:rsidRPr="00040AA9" w:rsidRDefault="007B55FA" w:rsidP="00040AA9">
            <w:pPr>
              <w:keepNext/>
              <w:keepLines/>
              <w:widowControl w:val="0"/>
              <w:suppressAutoHyphens/>
              <w:rPr>
                <w:rFonts w:ascii="Arial" w:hAnsi="Arial" w:cs="Arial"/>
                <w:sz w:val="20"/>
                <w:szCs w:val="20"/>
              </w:rPr>
            </w:pPr>
          </w:p>
          <w:p w14:paraId="64801434" w14:textId="77777777" w:rsidR="007B55FA" w:rsidRPr="00040AA9" w:rsidRDefault="007B55FA" w:rsidP="00040AA9">
            <w:pPr>
              <w:keepNext/>
              <w:keepLines/>
              <w:widowControl w:val="0"/>
              <w:suppressAutoHyphens/>
              <w:rPr>
                <w:rFonts w:ascii="Arial" w:hAnsi="Arial" w:cs="Arial"/>
                <w:sz w:val="20"/>
                <w:szCs w:val="20"/>
              </w:rPr>
            </w:pPr>
          </w:p>
          <w:p w14:paraId="2093F72F" w14:textId="77777777" w:rsidR="007B55FA" w:rsidRPr="00040AA9" w:rsidRDefault="007B55FA" w:rsidP="00040AA9">
            <w:pPr>
              <w:keepNext/>
              <w:keepLines/>
              <w:widowControl w:val="0"/>
              <w:suppressAutoHyphens/>
              <w:rPr>
                <w:rFonts w:ascii="Arial" w:hAnsi="Arial" w:cs="Arial"/>
                <w:sz w:val="20"/>
                <w:szCs w:val="20"/>
              </w:rPr>
            </w:pPr>
          </w:p>
          <w:p w14:paraId="677E8AA2"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C994A68"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Document comprising the Agreement with the government workers’ union</w:t>
            </w:r>
          </w:p>
        </w:tc>
      </w:tr>
      <w:tr w:rsidR="007B55FA" w:rsidRPr="00CF5903" w14:paraId="596D204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18DFF5D1" w14:textId="77777777" w:rsidR="007B55FA" w:rsidRPr="00040AA9" w:rsidRDefault="007B55FA" w:rsidP="00040AA9">
            <w:pPr>
              <w:keepNext/>
              <w:keepLines/>
              <w:widowControl w:val="0"/>
              <w:suppressAutoHyphens/>
              <w:rPr>
                <w:rFonts w:ascii="Arial" w:hAnsi="Arial" w:cs="Arial"/>
                <w:sz w:val="20"/>
                <w:szCs w:val="20"/>
              </w:rPr>
            </w:pPr>
          </w:p>
        </w:tc>
        <w:tc>
          <w:tcPr>
            <w:tcW w:w="860" w:type="dxa"/>
            <w:vMerge/>
            <w:shd w:val="clear" w:color="auto" w:fill="auto"/>
            <w:vAlign w:val="center"/>
          </w:tcPr>
          <w:p w14:paraId="62E60919" w14:textId="77777777" w:rsidR="007B55FA" w:rsidRPr="00040AA9" w:rsidRDefault="007B55FA" w:rsidP="00040AA9">
            <w:pPr>
              <w:keepNext/>
              <w:keepLines/>
              <w:widowControl w:val="0"/>
              <w:suppressAutoHyphens/>
              <w:jc w:val="center"/>
              <w:rPr>
                <w:rFonts w:ascii="Arial" w:hAnsi="Arial" w:cs="Arial"/>
                <w:sz w:val="20"/>
                <w:szCs w:val="20"/>
              </w:rPr>
            </w:pPr>
          </w:p>
        </w:tc>
        <w:tc>
          <w:tcPr>
            <w:tcW w:w="774" w:type="dxa"/>
            <w:vMerge/>
            <w:shd w:val="clear" w:color="auto" w:fill="auto"/>
            <w:vAlign w:val="center"/>
          </w:tcPr>
          <w:p w14:paraId="2DF7EA6F" w14:textId="77777777" w:rsidR="007B55FA" w:rsidRPr="00040AA9" w:rsidRDefault="007B55FA" w:rsidP="00040AA9">
            <w:pPr>
              <w:keepNext/>
              <w:keepLines/>
              <w:widowControl w:val="0"/>
              <w:suppressAutoHyphens/>
              <w:jc w:val="center"/>
              <w:rPr>
                <w:rFonts w:ascii="Arial" w:hAnsi="Arial" w:cs="Arial"/>
                <w:sz w:val="20"/>
                <w:szCs w:val="20"/>
              </w:rPr>
            </w:pPr>
          </w:p>
        </w:tc>
        <w:tc>
          <w:tcPr>
            <w:tcW w:w="939" w:type="dxa"/>
            <w:vMerge/>
            <w:shd w:val="clear" w:color="auto" w:fill="auto"/>
          </w:tcPr>
          <w:p w14:paraId="1AE982D0" w14:textId="77777777" w:rsidR="007B55FA" w:rsidRPr="00040AA9" w:rsidRDefault="007B55FA" w:rsidP="00040AA9">
            <w:pPr>
              <w:keepNext/>
              <w:keepLines/>
              <w:widowControl w:val="0"/>
              <w:suppressAutoHyphens/>
              <w:jc w:val="center"/>
              <w:rPr>
                <w:rFonts w:ascii="Arial" w:hAnsi="Arial" w:cs="Arial"/>
                <w:sz w:val="20"/>
                <w:szCs w:val="20"/>
              </w:rPr>
            </w:pPr>
          </w:p>
        </w:tc>
        <w:tc>
          <w:tcPr>
            <w:tcW w:w="594" w:type="dxa"/>
            <w:shd w:val="clear" w:color="auto" w:fill="auto"/>
          </w:tcPr>
          <w:p w14:paraId="0B4C1AEA"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01B14313" w14:textId="77777777" w:rsidR="007B55FA" w:rsidRPr="00040AA9" w:rsidRDefault="007B55FA" w:rsidP="00040AA9">
            <w:pPr>
              <w:keepNext/>
              <w:keepLines/>
              <w:widowControl w:val="0"/>
              <w:suppressAutoHyphens/>
              <w:jc w:val="center"/>
              <w:rPr>
                <w:rFonts w:ascii="Arial" w:hAnsi="Arial" w:cs="Arial"/>
                <w:sz w:val="20"/>
                <w:szCs w:val="20"/>
              </w:rPr>
            </w:pPr>
          </w:p>
        </w:tc>
        <w:tc>
          <w:tcPr>
            <w:tcW w:w="1106" w:type="dxa"/>
            <w:vMerge/>
            <w:shd w:val="clear" w:color="auto" w:fill="auto"/>
          </w:tcPr>
          <w:p w14:paraId="0866EEFF" w14:textId="77777777" w:rsidR="007B55FA" w:rsidRPr="00040AA9" w:rsidRDefault="007B55FA" w:rsidP="00040AA9">
            <w:pPr>
              <w:keepNext/>
              <w:keepLines/>
              <w:widowControl w:val="0"/>
              <w:suppressAutoHyphens/>
              <w:rPr>
                <w:rFonts w:ascii="Arial" w:hAnsi="Arial" w:cs="Arial"/>
                <w:sz w:val="20"/>
                <w:szCs w:val="20"/>
              </w:rPr>
            </w:pPr>
          </w:p>
        </w:tc>
        <w:tc>
          <w:tcPr>
            <w:tcW w:w="5027" w:type="dxa"/>
            <w:shd w:val="clear" w:color="auto" w:fill="auto"/>
          </w:tcPr>
          <w:p w14:paraId="6FEB5DDD" w14:textId="77777777" w:rsidR="007B55FA" w:rsidRPr="00040AA9" w:rsidRDefault="007B55FA" w:rsidP="00040AA9">
            <w:pPr>
              <w:keepNext/>
              <w:keepLines/>
              <w:widowControl w:val="0"/>
              <w:suppressAutoHyphens/>
              <w:rPr>
                <w:rFonts w:ascii="Arial" w:hAnsi="Arial" w:cs="Arial"/>
                <w:sz w:val="20"/>
                <w:szCs w:val="20"/>
              </w:rPr>
            </w:pPr>
          </w:p>
        </w:tc>
      </w:tr>
      <w:tr w:rsidR="007B55FA" w:rsidRPr="00CF5903" w14:paraId="1479096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32"/>
          <w:jc w:val="center"/>
        </w:trPr>
        <w:tc>
          <w:tcPr>
            <w:tcW w:w="2556" w:type="dxa"/>
            <w:vMerge/>
            <w:shd w:val="clear" w:color="auto" w:fill="auto"/>
          </w:tcPr>
          <w:p w14:paraId="4A7C5933" w14:textId="77777777" w:rsidR="007B55FA" w:rsidRPr="00040AA9" w:rsidRDefault="007B55FA" w:rsidP="00040AA9">
            <w:pPr>
              <w:keepNext/>
              <w:keepLines/>
              <w:widowControl w:val="0"/>
              <w:suppressAutoHyphens/>
              <w:rPr>
                <w:rFonts w:ascii="Arial" w:hAnsi="Arial" w:cs="Arial"/>
                <w:sz w:val="20"/>
                <w:szCs w:val="20"/>
              </w:rPr>
            </w:pPr>
          </w:p>
        </w:tc>
        <w:tc>
          <w:tcPr>
            <w:tcW w:w="860" w:type="dxa"/>
            <w:vMerge/>
            <w:shd w:val="clear" w:color="auto" w:fill="auto"/>
            <w:vAlign w:val="center"/>
          </w:tcPr>
          <w:p w14:paraId="1F76DAB6" w14:textId="77777777" w:rsidR="007B55FA" w:rsidRPr="00040AA9" w:rsidRDefault="007B55FA" w:rsidP="00040AA9">
            <w:pPr>
              <w:keepNext/>
              <w:keepLines/>
              <w:widowControl w:val="0"/>
              <w:suppressAutoHyphens/>
              <w:jc w:val="center"/>
              <w:rPr>
                <w:rFonts w:ascii="Arial" w:hAnsi="Arial" w:cs="Arial"/>
                <w:sz w:val="20"/>
                <w:szCs w:val="20"/>
              </w:rPr>
            </w:pPr>
          </w:p>
        </w:tc>
        <w:tc>
          <w:tcPr>
            <w:tcW w:w="774" w:type="dxa"/>
            <w:vMerge/>
            <w:shd w:val="clear" w:color="auto" w:fill="auto"/>
            <w:vAlign w:val="center"/>
          </w:tcPr>
          <w:p w14:paraId="2DB14226" w14:textId="77777777" w:rsidR="007B55FA" w:rsidRPr="00040AA9" w:rsidRDefault="007B55FA" w:rsidP="00040AA9">
            <w:pPr>
              <w:keepNext/>
              <w:keepLines/>
              <w:widowControl w:val="0"/>
              <w:suppressAutoHyphens/>
              <w:jc w:val="center"/>
              <w:rPr>
                <w:rFonts w:ascii="Arial" w:hAnsi="Arial" w:cs="Arial"/>
                <w:sz w:val="20"/>
                <w:szCs w:val="20"/>
              </w:rPr>
            </w:pPr>
          </w:p>
        </w:tc>
        <w:tc>
          <w:tcPr>
            <w:tcW w:w="939" w:type="dxa"/>
            <w:vMerge/>
            <w:shd w:val="clear" w:color="auto" w:fill="auto"/>
          </w:tcPr>
          <w:p w14:paraId="044370F8" w14:textId="77777777" w:rsidR="007B55FA" w:rsidRPr="00040AA9" w:rsidRDefault="007B55FA" w:rsidP="00040AA9">
            <w:pPr>
              <w:keepNext/>
              <w:keepLines/>
              <w:widowControl w:val="0"/>
              <w:suppressAutoHyphens/>
              <w:jc w:val="center"/>
              <w:rPr>
                <w:rFonts w:ascii="Arial" w:hAnsi="Arial" w:cs="Arial"/>
                <w:sz w:val="20"/>
                <w:szCs w:val="20"/>
              </w:rPr>
            </w:pPr>
          </w:p>
        </w:tc>
        <w:tc>
          <w:tcPr>
            <w:tcW w:w="594" w:type="dxa"/>
            <w:shd w:val="clear" w:color="auto" w:fill="auto"/>
          </w:tcPr>
          <w:p w14:paraId="2A51804F" w14:textId="77777777" w:rsidR="007B55FA" w:rsidRPr="00040AA9" w:rsidRDefault="007B55FA" w:rsidP="00040AA9">
            <w:pPr>
              <w:keepNext/>
              <w:keepLines/>
              <w:widowControl w:val="0"/>
              <w:suppressAutoHyphens/>
              <w:jc w:val="center"/>
              <w:rPr>
                <w:rFonts w:ascii="Arial" w:hAnsi="Arial" w:cs="Arial"/>
                <w:sz w:val="20"/>
                <w:szCs w:val="20"/>
              </w:rPr>
            </w:pPr>
          </w:p>
          <w:p w14:paraId="13B4229B" w14:textId="77777777" w:rsidR="007B55FA" w:rsidRPr="00040AA9" w:rsidRDefault="007B55FA" w:rsidP="00040AA9">
            <w:pPr>
              <w:keepNext/>
              <w:keepLines/>
              <w:widowControl w:val="0"/>
              <w:suppressAutoHyphens/>
              <w:jc w:val="center"/>
              <w:rPr>
                <w:rFonts w:ascii="Arial" w:hAnsi="Arial" w:cs="Arial"/>
                <w:sz w:val="20"/>
                <w:szCs w:val="20"/>
              </w:rPr>
            </w:pPr>
          </w:p>
          <w:p w14:paraId="00A047DD" w14:textId="77777777" w:rsidR="007B55FA" w:rsidRPr="00040AA9" w:rsidRDefault="007B55FA" w:rsidP="00040AA9">
            <w:pPr>
              <w:keepNext/>
              <w:keepLines/>
              <w:widowControl w:val="0"/>
              <w:suppressAutoHyphens/>
              <w:jc w:val="center"/>
              <w:rPr>
                <w:rFonts w:ascii="Arial" w:hAnsi="Arial" w:cs="Arial"/>
                <w:sz w:val="20"/>
                <w:szCs w:val="20"/>
              </w:rPr>
            </w:pPr>
          </w:p>
          <w:p w14:paraId="1FF19B90" w14:textId="77777777" w:rsidR="007B55FA" w:rsidRPr="00040AA9" w:rsidRDefault="007B55FA" w:rsidP="00040AA9">
            <w:pPr>
              <w:keepNext/>
              <w:keepLines/>
              <w:widowControl w:val="0"/>
              <w:suppressAutoHyphens/>
              <w:jc w:val="center"/>
              <w:rPr>
                <w:rFonts w:ascii="Arial" w:hAnsi="Arial" w:cs="Arial"/>
                <w:sz w:val="20"/>
                <w:szCs w:val="20"/>
              </w:rPr>
            </w:pPr>
          </w:p>
          <w:p w14:paraId="12E9B896" w14:textId="77777777" w:rsidR="007B55FA" w:rsidRPr="00040AA9" w:rsidRDefault="007B55FA" w:rsidP="00040AA9">
            <w:pPr>
              <w:keepNext/>
              <w:keepLines/>
              <w:widowControl w:val="0"/>
              <w:suppressAutoHyphens/>
              <w:jc w:val="center"/>
              <w:rPr>
                <w:rFonts w:ascii="Arial" w:hAnsi="Arial" w:cs="Arial"/>
                <w:sz w:val="20"/>
                <w:szCs w:val="20"/>
              </w:rPr>
            </w:pPr>
          </w:p>
          <w:p w14:paraId="2B5B063B" w14:textId="77777777" w:rsidR="007B55FA" w:rsidRPr="00040AA9" w:rsidRDefault="007B55FA" w:rsidP="00040AA9">
            <w:pPr>
              <w:keepNext/>
              <w:keepLines/>
              <w:widowControl w:val="0"/>
              <w:suppressAutoHyphens/>
              <w:jc w:val="center"/>
              <w:rPr>
                <w:rFonts w:ascii="Arial" w:hAnsi="Arial" w:cs="Arial"/>
                <w:sz w:val="20"/>
                <w:szCs w:val="20"/>
              </w:rPr>
            </w:pPr>
          </w:p>
          <w:p w14:paraId="5E0ADC50"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61B2C735" w14:textId="77777777" w:rsidR="007B55FA" w:rsidRPr="00040AA9" w:rsidRDefault="007B55FA" w:rsidP="00040AA9">
            <w:pPr>
              <w:keepNext/>
              <w:keepLines/>
              <w:widowControl w:val="0"/>
              <w:suppressAutoHyphens/>
              <w:jc w:val="center"/>
              <w:rPr>
                <w:rFonts w:ascii="Arial" w:hAnsi="Arial" w:cs="Arial"/>
                <w:sz w:val="20"/>
                <w:szCs w:val="20"/>
              </w:rPr>
            </w:pPr>
          </w:p>
          <w:p w14:paraId="22913231" w14:textId="77777777" w:rsidR="007B55FA" w:rsidRPr="00040AA9" w:rsidRDefault="007B55FA" w:rsidP="00040AA9">
            <w:pPr>
              <w:keepNext/>
              <w:keepLines/>
              <w:widowControl w:val="0"/>
              <w:suppressAutoHyphens/>
              <w:jc w:val="center"/>
              <w:rPr>
                <w:rFonts w:ascii="Arial" w:hAnsi="Arial" w:cs="Arial"/>
                <w:sz w:val="20"/>
                <w:szCs w:val="20"/>
              </w:rPr>
            </w:pPr>
          </w:p>
          <w:p w14:paraId="373F57E5" w14:textId="77777777" w:rsidR="007B55FA" w:rsidRPr="00040AA9" w:rsidRDefault="007B55FA" w:rsidP="00040AA9">
            <w:pPr>
              <w:keepNext/>
              <w:keepLines/>
              <w:widowControl w:val="0"/>
              <w:suppressAutoHyphens/>
              <w:jc w:val="center"/>
              <w:rPr>
                <w:rFonts w:ascii="Arial" w:hAnsi="Arial" w:cs="Arial"/>
                <w:sz w:val="20"/>
                <w:szCs w:val="20"/>
              </w:rPr>
            </w:pPr>
          </w:p>
          <w:p w14:paraId="141BBAB8" w14:textId="77777777" w:rsidR="007B55FA" w:rsidRPr="00040AA9" w:rsidRDefault="007B55FA" w:rsidP="00040AA9">
            <w:pPr>
              <w:keepNext/>
              <w:keepLines/>
              <w:widowControl w:val="0"/>
              <w:suppressAutoHyphens/>
              <w:jc w:val="center"/>
              <w:rPr>
                <w:rFonts w:ascii="Arial" w:hAnsi="Arial" w:cs="Arial"/>
                <w:sz w:val="20"/>
                <w:szCs w:val="20"/>
              </w:rPr>
            </w:pPr>
          </w:p>
          <w:p w14:paraId="06D6E61C" w14:textId="77777777" w:rsidR="007B55FA" w:rsidRPr="00040AA9" w:rsidRDefault="007B55FA" w:rsidP="00040AA9">
            <w:pPr>
              <w:keepNext/>
              <w:keepLines/>
              <w:widowControl w:val="0"/>
              <w:suppressAutoHyphens/>
              <w:jc w:val="center"/>
              <w:rPr>
                <w:rFonts w:ascii="Arial" w:hAnsi="Arial" w:cs="Arial"/>
                <w:sz w:val="20"/>
                <w:szCs w:val="20"/>
              </w:rPr>
            </w:pPr>
          </w:p>
          <w:p w14:paraId="7D467BA9" w14:textId="77777777" w:rsidR="007B55FA" w:rsidRPr="00040AA9" w:rsidRDefault="007B55FA" w:rsidP="00040AA9">
            <w:pPr>
              <w:keepNext/>
              <w:keepLines/>
              <w:widowControl w:val="0"/>
              <w:suppressAutoHyphens/>
              <w:jc w:val="center"/>
              <w:rPr>
                <w:rFonts w:ascii="Arial" w:hAnsi="Arial" w:cs="Arial"/>
                <w:sz w:val="20"/>
                <w:szCs w:val="20"/>
              </w:rPr>
            </w:pPr>
          </w:p>
          <w:p w14:paraId="14030B24" w14:textId="77777777" w:rsidR="007B55FA" w:rsidRPr="00040AA9" w:rsidRDefault="007B55FA" w:rsidP="00040AA9">
            <w:pPr>
              <w:keepNext/>
              <w:keepLines/>
              <w:widowControl w:val="0"/>
              <w:suppressAutoHyphens/>
              <w:jc w:val="center"/>
              <w:rPr>
                <w:rFonts w:ascii="Arial" w:hAnsi="Arial" w:cs="Arial"/>
                <w:sz w:val="20"/>
                <w:szCs w:val="20"/>
              </w:rPr>
            </w:pPr>
          </w:p>
          <w:p w14:paraId="53CF2A96" w14:textId="77777777" w:rsidR="007B55FA" w:rsidRPr="00040AA9" w:rsidRDefault="007B55FA" w:rsidP="00040AA9">
            <w:pPr>
              <w:keepNext/>
              <w:keepLines/>
              <w:widowControl w:val="0"/>
              <w:suppressAutoHyphens/>
              <w:jc w:val="center"/>
              <w:rPr>
                <w:rFonts w:ascii="Arial" w:hAnsi="Arial" w:cs="Arial"/>
                <w:sz w:val="20"/>
                <w:szCs w:val="20"/>
              </w:rPr>
            </w:pPr>
          </w:p>
          <w:p w14:paraId="4DA19369"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1</w:t>
            </w:r>
          </w:p>
          <w:p w14:paraId="4AA0F198"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(2014/15)</w:t>
            </w:r>
          </w:p>
          <w:p w14:paraId="1B6134E1" w14:textId="77777777" w:rsidR="007B55FA" w:rsidRPr="00040AA9" w:rsidRDefault="007B55FA" w:rsidP="00040AA9">
            <w:pPr>
              <w:keepNext/>
              <w:keepLines/>
              <w:widowControl w:val="0"/>
              <w:suppressAutoHyphens/>
              <w:jc w:val="center"/>
              <w:rPr>
                <w:rFonts w:ascii="Arial" w:hAnsi="Arial" w:cs="Arial"/>
                <w:sz w:val="20"/>
                <w:szCs w:val="20"/>
              </w:rPr>
            </w:pPr>
          </w:p>
          <w:p w14:paraId="7B365B59" w14:textId="77777777" w:rsidR="007B55FA" w:rsidRPr="00040AA9" w:rsidRDefault="007B55FA" w:rsidP="00040AA9">
            <w:pPr>
              <w:keepNext/>
              <w:keepLines/>
              <w:widowControl w:val="0"/>
              <w:suppressAutoHyphens/>
              <w:jc w:val="center"/>
              <w:rPr>
                <w:rFonts w:ascii="Arial" w:hAnsi="Arial" w:cs="Arial"/>
                <w:sz w:val="20"/>
                <w:szCs w:val="20"/>
              </w:rPr>
            </w:pPr>
          </w:p>
          <w:p w14:paraId="6F5B6DB3"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 xml:space="preserve"> </w:t>
            </w:r>
          </w:p>
        </w:tc>
        <w:tc>
          <w:tcPr>
            <w:tcW w:w="1106" w:type="dxa"/>
            <w:vMerge/>
            <w:shd w:val="clear" w:color="auto" w:fill="auto"/>
          </w:tcPr>
          <w:p w14:paraId="218C5C59" w14:textId="77777777" w:rsidR="007B55FA" w:rsidRPr="00040AA9" w:rsidRDefault="007B55FA" w:rsidP="00040AA9">
            <w:pPr>
              <w:keepNext/>
              <w:keepLines/>
              <w:widowControl w:val="0"/>
              <w:suppressAutoHyphens/>
              <w:rPr>
                <w:rFonts w:ascii="Arial" w:hAnsi="Arial" w:cs="Arial"/>
                <w:sz w:val="20"/>
                <w:szCs w:val="20"/>
              </w:rPr>
            </w:pPr>
          </w:p>
        </w:tc>
        <w:tc>
          <w:tcPr>
            <w:tcW w:w="5027" w:type="dxa"/>
            <w:shd w:val="clear" w:color="auto" w:fill="auto"/>
          </w:tcPr>
          <w:p w14:paraId="20BF809A"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 xml:space="preserve">Official letter from </w:t>
            </w:r>
            <w:proofErr w:type="spellStart"/>
            <w:r w:rsidRPr="00040AA9">
              <w:rPr>
                <w:rFonts w:ascii="Arial" w:hAnsi="Arial" w:cs="Arial"/>
                <w:sz w:val="20"/>
                <w:szCs w:val="20"/>
              </w:rPr>
              <w:t>MoF</w:t>
            </w:r>
            <w:proofErr w:type="spellEnd"/>
            <w:r w:rsidRPr="00040AA9">
              <w:rPr>
                <w:rFonts w:ascii="Arial" w:hAnsi="Arial" w:cs="Arial"/>
                <w:sz w:val="20"/>
                <w:szCs w:val="20"/>
              </w:rPr>
              <w:t xml:space="preserve"> to the Bank dated January 14th,</w:t>
            </w:r>
          </w:p>
          <w:p w14:paraId="6DB5453F"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2014 certifying compliance with section 2.03(c) of the FISPEG I loan contract by way of confirming agreement with Unions and attaching a copy of the agreement.</w:t>
            </w:r>
          </w:p>
          <w:p w14:paraId="5E2E6FA8"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The Heads of Agreement - Page 3, Sections 4.2.1 reads “This Agreement will be for</w:t>
            </w:r>
          </w:p>
          <w:p w14:paraId="367E5DEB" w14:textId="24A3EE0A" w:rsidR="007B55FA" w:rsidRPr="00CF5903" w:rsidRDefault="007B55FA" w:rsidP="00040AA9">
            <w:pPr>
              <w:pStyle w:val="p1"/>
              <w:keepNext/>
              <w:keepLines/>
              <w:widowControl w:val="0"/>
              <w:suppressAutoHyphens/>
              <w:rPr>
                <w:rFonts w:ascii="Arial" w:hAnsi="Arial" w:cs="Arial"/>
                <w:sz w:val="20"/>
                <w:szCs w:val="20"/>
              </w:rPr>
            </w:pPr>
            <w:r w:rsidRPr="00CF5903">
              <w:rPr>
                <w:rFonts w:ascii="Arial" w:hAnsi="Arial" w:cs="Arial"/>
                <w:sz w:val="20"/>
                <w:szCs w:val="20"/>
              </w:rPr>
              <w:t xml:space="preserve">a period of three (3) </w:t>
            </w:r>
            <w:r w:rsidR="00800B2A">
              <w:rPr>
                <w:rFonts w:ascii="Arial" w:hAnsi="Arial" w:cs="Arial"/>
                <w:sz w:val="20"/>
                <w:szCs w:val="20"/>
              </w:rPr>
              <w:t>FYS</w:t>
            </w:r>
            <w:r w:rsidRPr="00CF5903">
              <w:rPr>
                <w:rFonts w:ascii="Arial" w:hAnsi="Arial" w:cs="Arial"/>
                <w:sz w:val="20"/>
                <w:szCs w:val="20"/>
              </w:rPr>
              <w:t xml:space="preserve"> 2012-2015. Wages for the period will be settled in</w:t>
            </w:r>
          </w:p>
          <w:p w14:paraId="28E5CAB4" w14:textId="32C03B83"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keeping with the promulgated wage ceiling of the government i.e. a wage to Nominal GDP ratio of 9% by March 2016.”</w:t>
            </w:r>
            <w:r w:rsidRPr="00040AA9">
              <w:rPr>
                <w:rStyle w:val="FootnoteReference"/>
                <w:rFonts w:ascii="Arial" w:hAnsi="Arial" w:cs="Arial"/>
                <w:sz w:val="20"/>
                <w:szCs w:val="20"/>
              </w:rPr>
              <w:footnoteReference w:id="114"/>
            </w:r>
          </w:p>
        </w:tc>
      </w:tr>
      <w:tr w:rsidR="007B55FA" w:rsidRPr="00CF5903" w14:paraId="32ED520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tcPr>
          <w:p w14:paraId="026A875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III.1.2</w:t>
            </w:r>
          </w:p>
          <w:p w14:paraId="4BD7D78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Policy of no central government salary increases to meet an annual wage bill target implemented </w:t>
            </w:r>
          </w:p>
          <w:p w14:paraId="3274EAC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III – product 3.1</w:t>
            </w:r>
          </w:p>
          <w:p w14:paraId="4A5ED73D" w14:textId="3FEFAB95"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w:t>
            </w:r>
            <w:r w:rsidR="00DD6586">
              <w:rPr>
                <w:rFonts w:ascii="Arial" w:hAnsi="Arial" w:cs="Arial"/>
                <w:sz w:val="20"/>
                <w:szCs w:val="20"/>
              </w:rPr>
              <w:t>II.</w:t>
            </w:r>
            <w:r w:rsidR="00DD6586" w:rsidRPr="00CF5903">
              <w:rPr>
                <w:rFonts w:ascii="Arial" w:hAnsi="Arial" w:cs="Arial"/>
                <w:sz w:val="20"/>
                <w:szCs w:val="20"/>
              </w:rPr>
              <w:t>(</w:t>
            </w:r>
            <w:r w:rsidRPr="00040AA9">
              <w:rPr>
                <w:rFonts w:ascii="Arial" w:hAnsi="Arial" w:cs="Arial"/>
                <w:sz w:val="20"/>
                <w:szCs w:val="20"/>
              </w:rPr>
              <w:t>a))</w:t>
            </w:r>
          </w:p>
        </w:tc>
        <w:tc>
          <w:tcPr>
            <w:tcW w:w="860" w:type="dxa"/>
            <w:vMerge w:val="restart"/>
            <w:shd w:val="clear" w:color="auto" w:fill="auto"/>
            <w:vAlign w:val="center"/>
          </w:tcPr>
          <w:p w14:paraId="337412E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Policy</w:t>
            </w:r>
          </w:p>
        </w:tc>
        <w:tc>
          <w:tcPr>
            <w:tcW w:w="774" w:type="dxa"/>
            <w:vMerge w:val="restart"/>
            <w:shd w:val="clear" w:color="auto" w:fill="auto"/>
            <w:vAlign w:val="center"/>
          </w:tcPr>
          <w:p w14:paraId="0707112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vAlign w:val="center"/>
          </w:tcPr>
          <w:p w14:paraId="3529ACBB" w14:textId="77777777" w:rsidR="007B55FA" w:rsidRPr="00040AA9" w:rsidRDefault="007B55FA" w:rsidP="00040AA9">
            <w:pPr>
              <w:suppressAutoHyphens/>
              <w:jc w:val="center"/>
              <w:rPr>
                <w:rFonts w:ascii="Arial" w:hAnsi="Arial" w:cs="Arial"/>
                <w:sz w:val="20"/>
                <w:szCs w:val="20"/>
              </w:rPr>
            </w:pPr>
          </w:p>
          <w:p w14:paraId="1AD4582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vAlign w:val="center"/>
          </w:tcPr>
          <w:p w14:paraId="5F4792CF" w14:textId="77777777" w:rsidR="007B55FA" w:rsidRPr="00040AA9" w:rsidRDefault="007B55FA" w:rsidP="00040AA9">
            <w:pPr>
              <w:suppressAutoHyphens/>
              <w:jc w:val="center"/>
              <w:rPr>
                <w:rFonts w:ascii="Arial" w:hAnsi="Arial" w:cs="Arial"/>
                <w:sz w:val="20"/>
                <w:szCs w:val="20"/>
              </w:rPr>
            </w:pPr>
          </w:p>
          <w:p w14:paraId="57D7EE95" w14:textId="77777777" w:rsidR="007B55FA" w:rsidRPr="00040AA9" w:rsidRDefault="007B55FA" w:rsidP="00040AA9">
            <w:pPr>
              <w:suppressAutoHyphens/>
              <w:jc w:val="center"/>
              <w:rPr>
                <w:rFonts w:ascii="Arial" w:hAnsi="Arial" w:cs="Arial"/>
                <w:sz w:val="20"/>
                <w:szCs w:val="20"/>
              </w:rPr>
            </w:pPr>
          </w:p>
          <w:p w14:paraId="11E8ACB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vAlign w:val="center"/>
          </w:tcPr>
          <w:p w14:paraId="263783A3" w14:textId="77777777" w:rsidR="007B55FA" w:rsidRPr="00040AA9" w:rsidRDefault="007B55FA" w:rsidP="00040AA9">
            <w:pPr>
              <w:suppressAutoHyphens/>
              <w:jc w:val="center"/>
              <w:rPr>
                <w:rFonts w:ascii="Arial" w:hAnsi="Arial" w:cs="Arial"/>
                <w:sz w:val="20"/>
                <w:szCs w:val="20"/>
              </w:rPr>
            </w:pPr>
          </w:p>
          <w:p w14:paraId="3AC1C7C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71AD72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vAlign w:val="center"/>
          </w:tcPr>
          <w:p w14:paraId="1823DD6D" w14:textId="77777777" w:rsidR="007B55FA" w:rsidRPr="00040AA9" w:rsidRDefault="007B55FA" w:rsidP="00040AA9">
            <w:pPr>
              <w:suppressAutoHyphens/>
              <w:rPr>
                <w:rFonts w:ascii="Arial" w:hAnsi="Arial" w:cs="Arial"/>
                <w:sz w:val="20"/>
                <w:szCs w:val="20"/>
              </w:rPr>
            </w:pPr>
          </w:p>
          <w:p w14:paraId="32F2568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15EE7CE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policy on no central Government salary increases is being applied.</w:t>
            </w:r>
          </w:p>
        </w:tc>
      </w:tr>
      <w:tr w:rsidR="007B55FA" w:rsidRPr="00CF5903" w14:paraId="3FBBA54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557103B4"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6BA7E176"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22815A3D"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576F9F10" w14:textId="77777777" w:rsidR="007B55FA" w:rsidRPr="00040AA9" w:rsidRDefault="007B55FA" w:rsidP="00040AA9">
            <w:pPr>
              <w:suppressAutoHyphens/>
              <w:jc w:val="center"/>
              <w:rPr>
                <w:rFonts w:ascii="Arial" w:hAnsi="Arial" w:cs="Arial"/>
                <w:sz w:val="20"/>
                <w:szCs w:val="20"/>
              </w:rPr>
            </w:pPr>
          </w:p>
        </w:tc>
        <w:tc>
          <w:tcPr>
            <w:tcW w:w="594" w:type="dxa"/>
            <w:shd w:val="clear" w:color="auto" w:fill="auto"/>
          </w:tcPr>
          <w:p w14:paraId="70361EE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674C4195"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tcPr>
          <w:p w14:paraId="737CDDD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1857BD2E" w14:textId="77777777" w:rsidR="007B55FA" w:rsidRPr="00040AA9" w:rsidRDefault="007B55FA" w:rsidP="00040AA9">
            <w:pPr>
              <w:suppressAutoHyphens/>
              <w:rPr>
                <w:rFonts w:ascii="Arial" w:hAnsi="Arial" w:cs="Arial"/>
                <w:sz w:val="20"/>
                <w:szCs w:val="20"/>
              </w:rPr>
            </w:pPr>
          </w:p>
        </w:tc>
      </w:tr>
      <w:tr w:rsidR="007B55FA" w:rsidRPr="00CF5903" w14:paraId="2C7D7C9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4"/>
          <w:jc w:val="center"/>
        </w:trPr>
        <w:tc>
          <w:tcPr>
            <w:tcW w:w="2556" w:type="dxa"/>
            <w:vMerge/>
            <w:tcBorders>
              <w:bottom w:val="single" w:sz="4" w:space="0" w:color="auto"/>
            </w:tcBorders>
            <w:shd w:val="clear" w:color="auto" w:fill="auto"/>
          </w:tcPr>
          <w:p w14:paraId="1CC0A016"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vAlign w:val="center"/>
          </w:tcPr>
          <w:p w14:paraId="24CA392C" w14:textId="77777777" w:rsidR="007B55FA" w:rsidRPr="00040AA9" w:rsidRDefault="007B55FA" w:rsidP="00040AA9">
            <w:pPr>
              <w:suppressAutoHyphens/>
              <w:jc w:val="center"/>
              <w:rPr>
                <w:rFonts w:ascii="Arial" w:hAnsi="Arial" w:cs="Arial"/>
                <w:sz w:val="20"/>
                <w:szCs w:val="20"/>
              </w:rPr>
            </w:pPr>
          </w:p>
        </w:tc>
        <w:tc>
          <w:tcPr>
            <w:tcW w:w="774" w:type="dxa"/>
            <w:vMerge/>
            <w:tcBorders>
              <w:bottom w:val="single" w:sz="4" w:space="0" w:color="auto"/>
            </w:tcBorders>
            <w:shd w:val="clear" w:color="auto" w:fill="auto"/>
            <w:vAlign w:val="center"/>
          </w:tcPr>
          <w:p w14:paraId="7D0003E7" w14:textId="77777777" w:rsidR="007B55FA" w:rsidRPr="00040AA9" w:rsidRDefault="007B55FA" w:rsidP="00040AA9">
            <w:pPr>
              <w:suppressAutoHyphens/>
              <w:jc w:val="center"/>
              <w:rPr>
                <w:rFonts w:ascii="Arial" w:hAnsi="Arial" w:cs="Arial"/>
                <w:sz w:val="20"/>
                <w:szCs w:val="20"/>
              </w:rPr>
            </w:pPr>
          </w:p>
        </w:tc>
        <w:tc>
          <w:tcPr>
            <w:tcW w:w="939" w:type="dxa"/>
            <w:vMerge/>
            <w:tcBorders>
              <w:bottom w:val="single" w:sz="4" w:space="0" w:color="auto"/>
            </w:tcBorders>
            <w:shd w:val="clear" w:color="auto" w:fill="auto"/>
          </w:tcPr>
          <w:p w14:paraId="04A2BA98" w14:textId="77777777" w:rsidR="007B55FA" w:rsidRPr="00040AA9" w:rsidRDefault="007B55FA" w:rsidP="00040AA9">
            <w:pPr>
              <w:suppressAutoHyphens/>
              <w:jc w:val="center"/>
              <w:rPr>
                <w:rFonts w:ascii="Arial" w:hAnsi="Arial" w:cs="Arial"/>
                <w:sz w:val="20"/>
                <w:szCs w:val="20"/>
              </w:rPr>
            </w:pPr>
          </w:p>
        </w:tc>
        <w:tc>
          <w:tcPr>
            <w:tcW w:w="594" w:type="dxa"/>
            <w:tcBorders>
              <w:bottom w:val="single" w:sz="4" w:space="0" w:color="auto"/>
            </w:tcBorders>
            <w:shd w:val="clear" w:color="auto" w:fill="auto"/>
          </w:tcPr>
          <w:p w14:paraId="36C6E8D8" w14:textId="77777777" w:rsidR="00BE1307" w:rsidRPr="00040AA9" w:rsidRDefault="00BE1307" w:rsidP="00040AA9">
            <w:pPr>
              <w:suppressAutoHyphens/>
              <w:jc w:val="center"/>
              <w:rPr>
                <w:rFonts w:ascii="Arial" w:hAnsi="Arial" w:cs="Arial"/>
                <w:sz w:val="20"/>
                <w:szCs w:val="20"/>
              </w:rPr>
            </w:pPr>
          </w:p>
          <w:p w14:paraId="07DF748C" w14:textId="77777777" w:rsidR="00BE1307" w:rsidRPr="00040AA9" w:rsidRDefault="00BE1307" w:rsidP="00040AA9">
            <w:pPr>
              <w:suppressAutoHyphens/>
              <w:jc w:val="center"/>
              <w:rPr>
                <w:rFonts w:ascii="Arial" w:hAnsi="Arial" w:cs="Arial"/>
                <w:sz w:val="20"/>
                <w:szCs w:val="20"/>
              </w:rPr>
            </w:pPr>
          </w:p>
          <w:p w14:paraId="71DD0E7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4881D73B" w14:textId="77777777" w:rsidR="007B55FA" w:rsidRPr="00040AA9" w:rsidRDefault="007B55FA" w:rsidP="00040AA9">
            <w:pPr>
              <w:suppressAutoHyphens/>
              <w:jc w:val="center"/>
              <w:rPr>
                <w:rFonts w:ascii="Arial" w:hAnsi="Arial" w:cs="Arial"/>
                <w:sz w:val="20"/>
                <w:szCs w:val="20"/>
              </w:rPr>
            </w:pPr>
          </w:p>
          <w:p w14:paraId="382ADC29" w14:textId="77777777" w:rsidR="007B55FA" w:rsidRPr="00040AA9" w:rsidRDefault="007B55FA" w:rsidP="00040AA9">
            <w:pPr>
              <w:suppressAutoHyphens/>
              <w:jc w:val="center"/>
              <w:rPr>
                <w:rFonts w:ascii="Arial" w:hAnsi="Arial" w:cs="Arial"/>
                <w:sz w:val="20"/>
                <w:szCs w:val="20"/>
              </w:rPr>
            </w:pPr>
          </w:p>
          <w:p w14:paraId="5F4CCFA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0C84EA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2015)</w:t>
            </w:r>
          </w:p>
        </w:tc>
        <w:tc>
          <w:tcPr>
            <w:tcW w:w="1106" w:type="dxa"/>
            <w:vMerge/>
            <w:tcBorders>
              <w:bottom w:val="single" w:sz="4" w:space="0" w:color="auto"/>
            </w:tcBorders>
            <w:shd w:val="clear" w:color="auto" w:fill="auto"/>
          </w:tcPr>
          <w:p w14:paraId="3F7E53F4"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6C679812" w14:textId="68964493"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DD6586">
              <w:rPr>
                <w:rFonts w:ascii="Arial" w:hAnsi="Arial" w:cs="Arial"/>
                <w:sz w:val="20"/>
                <w:szCs w:val="20"/>
              </w:rPr>
              <w:t>S</w:t>
            </w:r>
            <w:r w:rsidRPr="00040AA9">
              <w:rPr>
                <w:rFonts w:ascii="Arial" w:hAnsi="Arial" w:cs="Arial"/>
                <w:sz w:val="20"/>
                <w:szCs w:val="20"/>
              </w:rPr>
              <w:t xml:space="preserve"> to the Bank dated Nov. 8, 2016 (part III.1.c) providing evidence of compliance with section 2.03.II.(a) of the FISPEG III loan contract by way of affirming that the government is “Managing central government salary increases to meet target of no more than 10.3% of GDP for FY2015/16”</w:t>
            </w:r>
            <w:r w:rsidRPr="00040AA9">
              <w:rPr>
                <w:rStyle w:val="FootnoteReference"/>
                <w:rFonts w:ascii="Arial" w:hAnsi="Arial" w:cs="Arial"/>
                <w:sz w:val="20"/>
                <w:szCs w:val="20"/>
              </w:rPr>
              <w:footnoteReference w:id="115"/>
            </w:r>
          </w:p>
        </w:tc>
      </w:tr>
      <w:tr w:rsidR="007B55FA" w:rsidRPr="00CF5903" w14:paraId="5D6EE99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jc w:val="center"/>
        </w:trPr>
        <w:tc>
          <w:tcPr>
            <w:tcW w:w="12859" w:type="dxa"/>
            <w:gridSpan w:val="8"/>
            <w:shd w:val="clear" w:color="auto" w:fill="F2F2F2" w:themeFill="background1" w:themeFillShade="F2"/>
            <w:vAlign w:val="center"/>
          </w:tcPr>
          <w:p w14:paraId="65216D5E" w14:textId="67D1A63F" w:rsidR="007B55FA" w:rsidRPr="00040AA9" w:rsidRDefault="007B55FA" w:rsidP="00040AA9">
            <w:pPr>
              <w:suppressAutoHyphens/>
              <w:rPr>
                <w:rFonts w:ascii="Arial" w:hAnsi="Arial" w:cs="Arial"/>
                <w:sz w:val="20"/>
                <w:szCs w:val="20"/>
              </w:rPr>
            </w:pPr>
            <w:r w:rsidRPr="00040AA9">
              <w:rPr>
                <w:rFonts w:ascii="Arial" w:hAnsi="Arial" w:cs="Arial"/>
                <w:b/>
                <w:sz w:val="20"/>
                <w:szCs w:val="20"/>
              </w:rPr>
              <w:t>Output III.2. P</w:t>
            </w:r>
            <w:r w:rsidR="00800210">
              <w:rPr>
                <w:rFonts w:ascii="Arial" w:hAnsi="Arial" w:cs="Arial"/>
                <w:b/>
                <w:sz w:val="20"/>
                <w:szCs w:val="20"/>
              </w:rPr>
              <w:t>B</w:t>
            </w:r>
            <w:r w:rsidRPr="00040AA9">
              <w:rPr>
                <w:rFonts w:ascii="Arial" w:hAnsi="Arial" w:cs="Arial"/>
                <w:b/>
                <w:sz w:val="20"/>
                <w:szCs w:val="20"/>
              </w:rPr>
              <w:t>s Rationalization</w:t>
            </w:r>
          </w:p>
        </w:tc>
      </w:tr>
      <w:tr w:rsidR="007B55FA" w:rsidRPr="00CF5903" w14:paraId="2E5547F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tcPr>
          <w:p w14:paraId="0304088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III.2.1</w:t>
            </w:r>
          </w:p>
          <w:p w14:paraId="4CC8894C" w14:textId="6C4365BB" w:rsidR="007B55FA" w:rsidRPr="00040AA9" w:rsidRDefault="007B55FA" w:rsidP="00040AA9">
            <w:pPr>
              <w:suppressAutoHyphens/>
              <w:rPr>
                <w:rFonts w:ascii="Arial" w:hAnsi="Arial" w:cs="Arial"/>
                <w:sz w:val="20"/>
                <w:szCs w:val="20"/>
              </w:rPr>
            </w:pPr>
            <w:r w:rsidRPr="00040AA9">
              <w:rPr>
                <w:rFonts w:ascii="Arial" w:hAnsi="Arial" w:cs="Arial"/>
                <w:sz w:val="20"/>
                <w:szCs w:val="20"/>
              </w:rPr>
              <w:t>Work plan for the rationalization of the P</w:t>
            </w:r>
            <w:r w:rsidR="00800210">
              <w:rPr>
                <w:rFonts w:ascii="Arial" w:hAnsi="Arial" w:cs="Arial"/>
                <w:sz w:val="20"/>
                <w:szCs w:val="20"/>
              </w:rPr>
              <w:t>Bs</w:t>
            </w:r>
            <w:r w:rsidRPr="00040AA9">
              <w:rPr>
                <w:rFonts w:ascii="Arial" w:hAnsi="Arial" w:cs="Arial"/>
                <w:sz w:val="20"/>
                <w:szCs w:val="20"/>
              </w:rPr>
              <w:t xml:space="preserve">, functions and existence </w:t>
            </w:r>
          </w:p>
          <w:p w14:paraId="4448096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 – product 3.2,</w:t>
            </w:r>
          </w:p>
          <w:p w14:paraId="1A9E326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2.03(d))</w:t>
            </w:r>
          </w:p>
        </w:tc>
        <w:tc>
          <w:tcPr>
            <w:tcW w:w="860" w:type="dxa"/>
            <w:vMerge w:val="restart"/>
            <w:shd w:val="clear" w:color="auto" w:fill="auto"/>
            <w:vAlign w:val="center"/>
          </w:tcPr>
          <w:p w14:paraId="4201504C" w14:textId="77777777" w:rsidR="007B55FA" w:rsidRPr="00040AA9" w:rsidRDefault="007B55FA" w:rsidP="00040AA9">
            <w:pPr>
              <w:suppressAutoHyphens/>
              <w:jc w:val="center"/>
              <w:rPr>
                <w:rFonts w:ascii="Arial" w:hAnsi="Arial" w:cs="Arial"/>
                <w:sz w:val="20"/>
                <w:szCs w:val="20"/>
              </w:rPr>
            </w:pPr>
          </w:p>
          <w:p w14:paraId="47723F23" w14:textId="77777777" w:rsidR="007B55FA" w:rsidRPr="00040AA9" w:rsidRDefault="007B55FA" w:rsidP="00040AA9">
            <w:pPr>
              <w:suppressAutoHyphens/>
              <w:jc w:val="center"/>
              <w:rPr>
                <w:rFonts w:ascii="Arial" w:hAnsi="Arial" w:cs="Arial"/>
                <w:sz w:val="20"/>
                <w:szCs w:val="20"/>
              </w:rPr>
            </w:pPr>
          </w:p>
          <w:p w14:paraId="04ECFF2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Work plan</w:t>
            </w:r>
          </w:p>
        </w:tc>
        <w:tc>
          <w:tcPr>
            <w:tcW w:w="774" w:type="dxa"/>
            <w:vMerge w:val="restart"/>
            <w:shd w:val="clear" w:color="auto" w:fill="auto"/>
            <w:vAlign w:val="center"/>
          </w:tcPr>
          <w:p w14:paraId="1305420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4BC3C01E" w14:textId="77777777" w:rsidR="007B55FA" w:rsidRPr="00040AA9" w:rsidRDefault="007B55FA" w:rsidP="00040AA9">
            <w:pPr>
              <w:suppressAutoHyphens/>
              <w:jc w:val="center"/>
              <w:rPr>
                <w:rFonts w:ascii="Arial" w:hAnsi="Arial" w:cs="Arial"/>
                <w:sz w:val="20"/>
                <w:szCs w:val="20"/>
              </w:rPr>
            </w:pPr>
          </w:p>
          <w:p w14:paraId="2FAE1F1C" w14:textId="77777777" w:rsidR="007B55FA" w:rsidRPr="00040AA9" w:rsidRDefault="007B55FA" w:rsidP="00040AA9">
            <w:pPr>
              <w:suppressAutoHyphens/>
              <w:jc w:val="center"/>
              <w:rPr>
                <w:rFonts w:ascii="Arial" w:hAnsi="Arial" w:cs="Arial"/>
                <w:sz w:val="20"/>
                <w:szCs w:val="20"/>
              </w:rPr>
            </w:pPr>
          </w:p>
          <w:p w14:paraId="45EC3157" w14:textId="77777777" w:rsidR="007B55FA" w:rsidRPr="00040AA9" w:rsidRDefault="007B55FA" w:rsidP="00040AA9">
            <w:pPr>
              <w:suppressAutoHyphens/>
              <w:jc w:val="center"/>
              <w:rPr>
                <w:rFonts w:ascii="Arial" w:hAnsi="Arial" w:cs="Arial"/>
                <w:sz w:val="20"/>
                <w:szCs w:val="20"/>
              </w:rPr>
            </w:pPr>
          </w:p>
          <w:p w14:paraId="112DAAFA" w14:textId="77777777" w:rsidR="007B55FA" w:rsidRPr="00040AA9" w:rsidRDefault="007B55FA" w:rsidP="00040AA9">
            <w:pPr>
              <w:suppressAutoHyphens/>
              <w:jc w:val="center"/>
              <w:rPr>
                <w:rFonts w:ascii="Arial" w:hAnsi="Arial" w:cs="Arial"/>
                <w:sz w:val="20"/>
                <w:szCs w:val="20"/>
              </w:rPr>
            </w:pPr>
          </w:p>
          <w:p w14:paraId="20050087" w14:textId="77777777" w:rsidR="007B55FA" w:rsidRPr="00040AA9" w:rsidRDefault="007B55FA" w:rsidP="00040AA9">
            <w:pPr>
              <w:suppressAutoHyphens/>
              <w:jc w:val="center"/>
              <w:rPr>
                <w:rFonts w:ascii="Arial" w:hAnsi="Arial" w:cs="Arial"/>
                <w:sz w:val="20"/>
                <w:szCs w:val="20"/>
              </w:rPr>
            </w:pPr>
          </w:p>
          <w:p w14:paraId="7AF20E5C" w14:textId="77777777" w:rsidR="007B55FA" w:rsidRPr="00040AA9" w:rsidRDefault="007B55FA" w:rsidP="00040AA9">
            <w:pPr>
              <w:suppressAutoHyphens/>
              <w:jc w:val="center"/>
              <w:rPr>
                <w:rFonts w:ascii="Arial" w:hAnsi="Arial" w:cs="Arial"/>
                <w:sz w:val="20"/>
                <w:szCs w:val="20"/>
              </w:rPr>
            </w:pPr>
          </w:p>
          <w:p w14:paraId="331DDF07" w14:textId="77777777" w:rsidR="007B55FA" w:rsidRPr="00040AA9" w:rsidRDefault="007B55FA" w:rsidP="00040AA9">
            <w:pPr>
              <w:suppressAutoHyphens/>
              <w:jc w:val="center"/>
              <w:rPr>
                <w:rFonts w:ascii="Arial" w:hAnsi="Arial" w:cs="Arial"/>
                <w:sz w:val="20"/>
                <w:szCs w:val="20"/>
              </w:rPr>
            </w:pPr>
          </w:p>
          <w:p w14:paraId="1C01CFE9" w14:textId="77777777" w:rsidR="007B55FA" w:rsidRPr="00040AA9" w:rsidRDefault="007B55FA" w:rsidP="00040AA9">
            <w:pPr>
              <w:suppressAutoHyphens/>
              <w:jc w:val="center"/>
              <w:rPr>
                <w:rFonts w:ascii="Arial" w:hAnsi="Arial" w:cs="Arial"/>
                <w:sz w:val="20"/>
                <w:szCs w:val="20"/>
              </w:rPr>
            </w:pPr>
          </w:p>
          <w:p w14:paraId="0C91D23F" w14:textId="77777777" w:rsidR="007B55FA" w:rsidRPr="00040AA9" w:rsidRDefault="007B55FA" w:rsidP="00040AA9">
            <w:pPr>
              <w:suppressAutoHyphens/>
              <w:jc w:val="center"/>
              <w:rPr>
                <w:rFonts w:ascii="Arial" w:hAnsi="Arial" w:cs="Arial"/>
                <w:sz w:val="20"/>
                <w:szCs w:val="20"/>
              </w:rPr>
            </w:pPr>
          </w:p>
          <w:p w14:paraId="513B81FE" w14:textId="77777777" w:rsidR="007B55FA" w:rsidRPr="00040AA9" w:rsidRDefault="007B55FA" w:rsidP="00040AA9">
            <w:pPr>
              <w:suppressAutoHyphens/>
              <w:jc w:val="center"/>
              <w:rPr>
                <w:rFonts w:ascii="Arial" w:hAnsi="Arial" w:cs="Arial"/>
                <w:sz w:val="20"/>
                <w:szCs w:val="20"/>
              </w:rPr>
            </w:pPr>
          </w:p>
          <w:p w14:paraId="72F6D592" w14:textId="77777777" w:rsidR="007B55FA" w:rsidRPr="00040AA9" w:rsidRDefault="007B55FA" w:rsidP="00040AA9">
            <w:pPr>
              <w:suppressAutoHyphens/>
              <w:jc w:val="center"/>
              <w:rPr>
                <w:rFonts w:ascii="Arial" w:hAnsi="Arial" w:cs="Arial"/>
                <w:sz w:val="20"/>
                <w:szCs w:val="20"/>
              </w:rPr>
            </w:pPr>
          </w:p>
          <w:p w14:paraId="026C3C40" w14:textId="77777777" w:rsidR="007B55FA" w:rsidRPr="00040AA9" w:rsidRDefault="007B55FA" w:rsidP="00040AA9">
            <w:pPr>
              <w:suppressAutoHyphens/>
              <w:jc w:val="center"/>
              <w:rPr>
                <w:rFonts w:ascii="Arial" w:hAnsi="Arial" w:cs="Arial"/>
                <w:sz w:val="20"/>
                <w:szCs w:val="20"/>
              </w:rPr>
            </w:pPr>
          </w:p>
          <w:p w14:paraId="0D50209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tcPr>
          <w:p w14:paraId="56001E2C" w14:textId="77777777" w:rsidR="007B55FA" w:rsidRPr="00040AA9" w:rsidRDefault="007B55FA" w:rsidP="00040AA9">
            <w:pPr>
              <w:suppressAutoHyphens/>
              <w:rPr>
                <w:rFonts w:ascii="Arial" w:hAnsi="Arial" w:cs="Arial"/>
                <w:sz w:val="20"/>
                <w:szCs w:val="20"/>
              </w:rPr>
            </w:pPr>
          </w:p>
          <w:p w14:paraId="5D92677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4987448" w14:textId="77777777" w:rsidR="007B55FA" w:rsidRPr="00040AA9" w:rsidRDefault="007B55FA" w:rsidP="00040AA9">
            <w:pPr>
              <w:suppressAutoHyphens/>
              <w:jc w:val="center"/>
              <w:rPr>
                <w:rFonts w:ascii="Arial" w:hAnsi="Arial" w:cs="Arial"/>
                <w:sz w:val="20"/>
                <w:szCs w:val="20"/>
              </w:rPr>
            </w:pPr>
          </w:p>
          <w:p w14:paraId="77B1DA8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D18535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29430229" w14:textId="77777777" w:rsidR="007B55FA" w:rsidRPr="00040AA9" w:rsidRDefault="007B55FA" w:rsidP="00040AA9">
            <w:pPr>
              <w:suppressAutoHyphens/>
              <w:rPr>
                <w:rFonts w:ascii="Arial" w:hAnsi="Arial" w:cs="Arial"/>
                <w:sz w:val="20"/>
                <w:szCs w:val="20"/>
              </w:rPr>
            </w:pPr>
          </w:p>
          <w:p w14:paraId="0AB69D9D" w14:textId="77777777" w:rsidR="007B55FA" w:rsidRPr="00040AA9" w:rsidRDefault="007B55FA" w:rsidP="00040AA9">
            <w:pPr>
              <w:suppressAutoHyphens/>
              <w:rPr>
                <w:rFonts w:ascii="Arial" w:hAnsi="Arial" w:cs="Arial"/>
                <w:sz w:val="20"/>
                <w:szCs w:val="20"/>
              </w:rPr>
            </w:pPr>
          </w:p>
          <w:p w14:paraId="1AC944CA" w14:textId="77777777" w:rsidR="007B55FA" w:rsidRPr="00040AA9" w:rsidRDefault="007B55FA" w:rsidP="00040AA9">
            <w:pPr>
              <w:suppressAutoHyphens/>
              <w:rPr>
                <w:rFonts w:ascii="Arial" w:hAnsi="Arial" w:cs="Arial"/>
                <w:sz w:val="20"/>
                <w:szCs w:val="20"/>
              </w:rPr>
            </w:pPr>
          </w:p>
          <w:p w14:paraId="3660A810" w14:textId="77777777" w:rsidR="007B55FA" w:rsidRPr="00040AA9" w:rsidRDefault="007B55FA" w:rsidP="00040AA9">
            <w:pPr>
              <w:suppressAutoHyphens/>
              <w:rPr>
                <w:rFonts w:ascii="Arial" w:hAnsi="Arial" w:cs="Arial"/>
                <w:sz w:val="20"/>
                <w:szCs w:val="20"/>
              </w:rPr>
            </w:pPr>
          </w:p>
          <w:p w14:paraId="351C4DDF" w14:textId="77777777" w:rsidR="007B55FA" w:rsidRPr="00040AA9" w:rsidRDefault="007B55FA" w:rsidP="00040AA9">
            <w:pPr>
              <w:suppressAutoHyphens/>
              <w:rPr>
                <w:rFonts w:ascii="Arial" w:hAnsi="Arial" w:cs="Arial"/>
                <w:sz w:val="20"/>
                <w:szCs w:val="20"/>
              </w:rPr>
            </w:pPr>
          </w:p>
          <w:p w14:paraId="19E4389C" w14:textId="77777777" w:rsidR="007B55FA" w:rsidRPr="00040AA9" w:rsidRDefault="007B55FA" w:rsidP="00040AA9">
            <w:pPr>
              <w:suppressAutoHyphens/>
              <w:rPr>
                <w:rFonts w:ascii="Arial" w:hAnsi="Arial" w:cs="Arial"/>
                <w:sz w:val="20"/>
                <w:szCs w:val="20"/>
              </w:rPr>
            </w:pPr>
          </w:p>
          <w:p w14:paraId="635C6EEB" w14:textId="77777777" w:rsidR="007B55FA" w:rsidRPr="00040AA9" w:rsidRDefault="007B55FA" w:rsidP="00040AA9">
            <w:pPr>
              <w:suppressAutoHyphens/>
              <w:rPr>
                <w:rFonts w:ascii="Arial" w:hAnsi="Arial" w:cs="Arial"/>
                <w:sz w:val="20"/>
                <w:szCs w:val="20"/>
              </w:rPr>
            </w:pPr>
          </w:p>
          <w:p w14:paraId="6C181AB0" w14:textId="77777777" w:rsidR="007B55FA" w:rsidRPr="00040AA9" w:rsidRDefault="007B55FA" w:rsidP="00040AA9">
            <w:pPr>
              <w:suppressAutoHyphens/>
              <w:rPr>
                <w:rFonts w:ascii="Arial" w:hAnsi="Arial" w:cs="Arial"/>
                <w:sz w:val="20"/>
                <w:szCs w:val="20"/>
              </w:rPr>
            </w:pPr>
          </w:p>
          <w:p w14:paraId="73C4D2A9" w14:textId="77777777" w:rsidR="007B55FA" w:rsidRPr="00040AA9" w:rsidRDefault="007B55FA" w:rsidP="00040AA9">
            <w:pPr>
              <w:suppressAutoHyphens/>
              <w:rPr>
                <w:rFonts w:ascii="Arial" w:hAnsi="Arial" w:cs="Arial"/>
                <w:sz w:val="20"/>
                <w:szCs w:val="20"/>
              </w:rPr>
            </w:pPr>
          </w:p>
          <w:p w14:paraId="60D29FF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0B50C432" w14:textId="1B72A820"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Report from the PED of the </w:t>
            </w:r>
            <w:proofErr w:type="spellStart"/>
            <w:r w:rsidRPr="00040AA9">
              <w:rPr>
                <w:rFonts w:ascii="Arial" w:hAnsi="Arial" w:cs="Arial"/>
                <w:sz w:val="20"/>
                <w:szCs w:val="20"/>
              </w:rPr>
              <w:t>MoF</w:t>
            </w:r>
            <w:proofErr w:type="spellEnd"/>
            <w:r w:rsidRPr="00040AA9">
              <w:rPr>
                <w:rFonts w:ascii="Arial" w:hAnsi="Arial" w:cs="Arial"/>
                <w:sz w:val="20"/>
                <w:szCs w:val="20"/>
              </w:rPr>
              <w:t xml:space="preserve"> presenting the progresses in the rationalization process</w:t>
            </w:r>
          </w:p>
        </w:tc>
      </w:tr>
      <w:tr w:rsidR="007B55FA" w:rsidRPr="00CF5903" w14:paraId="72218B7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18B6C39F"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367B6C06"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37EC0409"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7463AFA6" w14:textId="77777777" w:rsidR="007B55FA" w:rsidRPr="00040AA9" w:rsidRDefault="007B55FA" w:rsidP="00040AA9">
            <w:pPr>
              <w:suppressAutoHyphens/>
              <w:jc w:val="center"/>
              <w:rPr>
                <w:rFonts w:ascii="Arial" w:hAnsi="Arial" w:cs="Arial"/>
                <w:sz w:val="20"/>
                <w:szCs w:val="20"/>
              </w:rPr>
            </w:pPr>
          </w:p>
        </w:tc>
        <w:tc>
          <w:tcPr>
            <w:tcW w:w="594" w:type="dxa"/>
            <w:shd w:val="clear" w:color="auto" w:fill="auto"/>
          </w:tcPr>
          <w:p w14:paraId="2F56601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FB19565"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tcPr>
          <w:p w14:paraId="7ABD1642"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30BE89F" w14:textId="77777777" w:rsidR="007B55FA" w:rsidRPr="00040AA9" w:rsidRDefault="007B55FA" w:rsidP="00040AA9">
            <w:pPr>
              <w:suppressAutoHyphens/>
              <w:rPr>
                <w:rFonts w:ascii="Arial" w:hAnsi="Arial" w:cs="Arial"/>
                <w:sz w:val="20"/>
                <w:szCs w:val="20"/>
              </w:rPr>
            </w:pPr>
          </w:p>
        </w:tc>
      </w:tr>
      <w:tr w:rsidR="007B55FA" w:rsidRPr="00CF5903" w14:paraId="17A4EC7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0BEFF1D5"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0F1D2244"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6BB852C8"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194CB8D2" w14:textId="77777777" w:rsidR="007B55FA" w:rsidRPr="00040AA9" w:rsidRDefault="007B55FA" w:rsidP="00040AA9">
            <w:pPr>
              <w:suppressAutoHyphens/>
              <w:jc w:val="center"/>
              <w:rPr>
                <w:rFonts w:ascii="Arial" w:hAnsi="Arial" w:cs="Arial"/>
                <w:sz w:val="20"/>
                <w:szCs w:val="20"/>
              </w:rPr>
            </w:pPr>
          </w:p>
        </w:tc>
        <w:tc>
          <w:tcPr>
            <w:tcW w:w="594" w:type="dxa"/>
            <w:shd w:val="clear" w:color="auto" w:fill="auto"/>
          </w:tcPr>
          <w:p w14:paraId="2F5B1500" w14:textId="77777777" w:rsidR="007B55FA" w:rsidRPr="00040AA9" w:rsidRDefault="007B55FA" w:rsidP="00040AA9">
            <w:pPr>
              <w:suppressAutoHyphens/>
              <w:rPr>
                <w:rFonts w:ascii="Arial" w:hAnsi="Arial" w:cs="Arial"/>
                <w:sz w:val="20"/>
                <w:szCs w:val="20"/>
              </w:rPr>
            </w:pPr>
          </w:p>
          <w:p w14:paraId="54CB1DB1" w14:textId="77777777" w:rsidR="007B55FA" w:rsidRPr="00040AA9" w:rsidRDefault="007B55FA" w:rsidP="00040AA9">
            <w:pPr>
              <w:suppressAutoHyphens/>
              <w:rPr>
                <w:rFonts w:ascii="Arial" w:hAnsi="Arial" w:cs="Arial"/>
                <w:sz w:val="20"/>
                <w:szCs w:val="20"/>
              </w:rPr>
            </w:pPr>
          </w:p>
          <w:p w14:paraId="0F3EF535" w14:textId="77777777" w:rsidR="007B55FA" w:rsidRPr="00040AA9" w:rsidRDefault="007B55FA" w:rsidP="00040AA9">
            <w:pPr>
              <w:suppressAutoHyphens/>
              <w:rPr>
                <w:rFonts w:ascii="Arial" w:hAnsi="Arial" w:cs="Arial"/>
                <w:sz w:val="20"/>
                <w:szCs w:val="20"/>
              </w:rPr>
            </w:pPr>
          </w:p>
          <w:p w14:paraId="7D51A6ED" w14:textId="77777777" w:rsidR="007B55FA" w:rsidRPr="00040AA9" w:rsidRDefault="007B55FA" w:rsidP="00040AA9">
            <w:pPr>
              <w:suppressAutoHyphens/>
              <w:rPr>
                <w:rFonts w:ascii="Arial" w:hAnsi="Arial" w:cs="Arial"/>
                <w:sz w:val="20"/>
                <w:szCs w:val="20"/>
              </w:rPr>
            </w:pPr>
          </w:p>
          <w:p w14:paraId="407DC68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34365A19" w14:textId="77777777" w:rsidR="007B55FA" w:rsidRPr="00040AA9" w:rsidRDefault="007B55FA" w:rsidP="00040AA9">
            <w:pPr>
              <w:suppressAutoHyphens/>
              <w:jc w:val="center"/>
              <w:rPr>
                <w:rFonts w:ascii="Arial" w:hAnsi="Arial" w:cs="Arial"/>
                <w:sz w:val="20"/>
                <w:szCs w:val="20"/>
              </w:rPr>
            </w:pPr>
          </w:p>
          <w:p w14:paraId="6134A41A" w14:textId="77777777" w:rsidR="007B55FA" w:rsidRPr="00040AA9" w:rsidRDefault="007B55FA" w:rsidP="00040AA9">
            <w:pPr>
              <w:suppressAutoHyphens/>
              <w:jc w:val="center"/>
              <w:rPr>
                <w:rFonts w:ascii="Arial" w:hAnsi="Arial" w:cs="Arial"/>
                <w:sz w:val="20"/>
                <w:szCs w:val="20"/>
              </w:rPr>
            </w:pPr>
          </w:p>
          <w:p w14:paraId="3B886A7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B68213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(Jan. 2014)</w:t>
            </w:r>
          </w:p>
        </w:tc>
        <w:tc>
          <w:tcPr>
            <w:tcW w:w="1106" w:type="dxa"/>
            <w:vMerge/>
            <w:shd w:val="clear" w:color="auto" w:fill="auto"/>
          </w:tcPr>
          <w:p w14:paraId="64CFA66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D2FB2D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Official letter from </w:t>
            </w:r>
            <w:proofErr w:type="spellStart"/>
            <w:r w:rsidRPr="00040AA9">
              <w:rPr>
                <w:rFonts w:ascii="Arial" w:hAnsi="Arial" w:cs="Arial"/>
                <w:sz w:val="20"/>
                <w:szCs w:val="20"/>
              </w:rPr>
              <w:t>MoF</w:t>
            </w:r>
            <w:proofErr w:type="spellEnd"/>
            <w:r w:rsidRPr="00040AA9">
              <w:rPr>
                <w:rFonts w:ascii="Arial" w:hAnsi="Arial" w:cs="Arial"/>
                <w:sz w:val="20"/>
                <w:szCs w:val="20"/>
              </w:rPr>
              <w:t xml:space="preserve"> to the Bank dated January 14th,</w:t>
            </w:r>
          </w:p>
          <w:p w14:paraId="79EC610E" w14:textId="18A89D22"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2014 certifying compliance with section 2.03(d) of the FISPEG I loan contract by way of transmitting approved updated Master Rationalization Plan [MRP] to rationalize </w:t>
            </w:r>
            <w:r w:rsidR="00800210">
              <w:rPr>
                <w:rFonts w:ascii="Arial" w:hAnsi="Arial" w:cs="Arial"/>
                <w:sz w:val="20"/>
                <w:szCs w:val="20"/>
              </w:rPr>
              <w:t>PBs</w:t>
            </w:r>
            <w:r w:rsidRPr="00040AA9">
              <w:rPr>
                <w:rFonts w:ascii="Arial" w:hAnsi="Arial" w:cs="Arial"/>
                <w:sz w:val="20"/>
                <w:szCs w:val="20"/>
              </w:rPr>
              <w:t>.</w:t>
            </w:r>
            <w:r w:rsidRPr="00040AA9">
              <w:rPr>
                <w:rStyle w:val="FootnoteReference"/>
                <w:rFonts w:ascii="Arial" w:hAnsi="Arial" w:cs="Arial"/>
                <w:sz w:val="20"/>
                <w:szCs w:val="20"/>
              </w:rPr>
              <w:footnoteReference w:id="116"/>
            </w:r>
          </w:p>
          <w:p w14:paraId="7C544174" w14:textId="77777777" w:rsidR="007B55FA" w:rsidRPr="00040AA9" w:rsidRDefault="007B55FA" w:rsidP="00040AA9">
            <w:pPr>
              <w:suppressAutoHyphens/>
              <w:rPr>
                <w:rFonts w:ascii="Arial" w:hAnsi="Arial" w:cs="Arial"/>
                <w:sz w:val="20"/>
                <w:szCs w:val="20"/>
              </w:rPr>
            </w:pPr>
          </w:p>
          <w:p w14:paraId="47600A95" w14:textId="11286E25" w:rsidR="007B55FA" w:rsidRPr="00040AA9" w:rsidRDefault="007B55FA" w:rsidP="00040AA9">
            <w:pPr>
              <w:suppressAutoHyphens/>
              <w:rPr>
                <w:rFonts w:ascii="Arial" w:hAnsi="Arial" w:cs="Arial"/>
                <w:sz w:val="20"/>
                <w:szCs w:val="20"/>
              </w:rPr>
            </w:pPr>
            <w:r w:rsidRPr="00040AA9">
              <w:rPr>
                <w:rFonts w:ascii="Arial" w:hAnsi="Arial" w:cs="Arial"/>
                <w:sz w:val="20"/>
                <w:szCs w:val="20"/>
              </w:rPr>
              <w:t>A detailed “Update on the Implementation of the Action Plan for Rationalization of P</w:t>
            </w:r>
            <w:r w:rsidR="00800210">
              <w:rPr>
                <w:rFonts w:ascii="Arial" w:hAnsi="Arial" w:cs="Arial"/>
                <w:sz w:val="20"/>
                <w:szCs w:val="20"/>
              </w:rPr>
              <w:t>Bs</w:t>
            </w:r>
            <w:r w:rsidRPr="00040AA9">
              <w:rPr>
                <w:rFonts w:ascii="Arial" w:hAnsi="Arial" w:cs="Arial"/>
                <w:sz w:val="20"/>
                <w:szCs w:val="20"/>
              </w:rPr>
              <w:t>” is attached to the MRP.</w:t>
            </w:r>
          </w:p>
        </w:tc>
      </w:tr>
      <w:tr w:rsidR="007B55FA" w:rsidRPr="00CF5903" w14:paraId="77C0563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tcPr>
          <w:p w14:paraId="2D0F60A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III.2.2</w:t>
            </w:r>
          </w:p>
          <w:p w14:paraId="41FAAF18" w14:textId="57164AB8"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Master </w:t>
            </w:r>
            <w:r w:rsidR="00A25A0A" w:rsidRPr="00CF5903">
              <w:rPr>
                <w:rFonts w:ascii="Arial" w:hAnsi="Arial" w:cs="Arial"/>
                <w:sz w:val="20"/>
                <w:szCs w:val="20"/>
              </w:rPr>
              <w:t>Rationalization</w:t>
            </w:r>
            <w:r w:rsidRPr="00040AA9">
              <w:rPr>
                <w:rFonts w:ascii="Arial" w:hAnsi="Arial" w:cs="Arial"/>
                <w:sz w:val="20"/>
                <w:szCs w:val="20"/>
              </w:rPr>
              <w:t xml:space="preserve"> Plan to streamline the PBs implemented. </w:t>
            </w:r>
          </w:p>
          <w:p w14:paraId="491C04C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III – product 3.2,</w:t>
            </w:r>
          </w:p>
          <w:p w14:paraId="52F151E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2.03.II.(b))</w:t>
            </w:r>
          </w:p>
        </w:tc>
        <w:tc>
          <w:tcPr>
            <w:tcW w:w="860" w:type="dxa"/>
            <w:vMerge w:val="restart"/>
            <w:shd w:val="clear" w:color="auto" w:fill="auto"/>
            <w:vAlign w:val="center"/>
          </w:tcPr>
          <w:p w14:paraId="0EE05A3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Plan</w:t>
            </w:r>
          </w:p>
        </w:tc>
        <w:tc>
          <w:tcPr>
            <w:tcW w:w="774" w:type="dxa"/>
            <w:vMerge w:val="restart"/>
            <w:shd w:val="clear" w:color="auto" w:fill="auto"/>
            <w:vAlign w:val="center"/>
          </w:tcPr>
          <w:p w14:paraId="4FF2ED5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3588F7C1" w14:textId="77777777" w:rsidR="007B55FA" w:rsidRPr="00040AA9" w:rsidRDefault="007B55FA" w:rsidP="00040AA9">
            <w:pPr>
              <w:suppressAutoHyphens/>
              <w:jc w:val="center"/>
              <w:rPr>
                <w:rFonts w:ascii="Arial" w:hAnsi="Arial" w:cs="Arial"/>
                <w:sz w:val="20"/>
                <w:szCs w:val="20"/>
              </w:rPr>
            </w:pPr>
          </w:p>
          <w:p w14:paraId="6295815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tcPr>
          <w:p w14:paraId="1C8F41AB" w14:textId="77777777" w:rsidR="007B55FA" w:rsidRPr="00040AA9" w:rsidRDefault="007B55FA" w:rsidP="00040AA9">
            <w:pPr>
              <w:suppressAutoHyphens/>
              <w:jc w:val="center"/>
              <w:rPr>
                <w:rFonts w:ascii="Arial" w:hAnsi="Arial" w:cs="Arial"/>
                <w:sz w:val="20"/>
                <w:szCs w:val="20"/>
              </w:rPr>
            </w:pPr>
          </w:p>
          <w:p w14:paraId="3ED701E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970F161" w14:textId="77777777" w:rsidR="007B55FA" w:rsidRPr="00040AA9" w:rsidRDefault="007B55FA" w:rsidP="00040AA9">
            <w:pPr>
              <w:suppressAutoHyphens/>
              <w:jc w:val="center"/>
              <w:rPr>
                <w:rFonts w:ascii="Arial" w:hAnsi="Arial" w:cs="Arial"/>
                <w:sz w:val="20"/>
                <w:szCs w:val="20"/>
              </w:rPr>
            </w:pPr>
          </w:p>
          <w:p w14:paraId="5CE8F6B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04ED56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shd w:val="clear" w:color="auto" w:fill="auto"/>
          </w:tcPr>
          <w:p w14:paraId="1B5EA0D9" w14:textId="77777777" w:rsidR="007B55FA" w:rsidRPr="00040AA9" w:rsidRDefault="007B55FA" w:rsidP="00040AA9">
            <w:pPr>
              <w:suppressAutoHyphens/>
              <w:rPr>
                <w:rFonts w:ascii="Arial" w:hAnsi="Arial" w:cs="Arial"/>
                <w:sz w:val="20"/>
                <w:szCs w:val="20"/>
              </w:rPr>
            </w:pPr>
          </w:p>
          <w:p w14:paraId="184D6E31" w14:textId="77777777" w:rsidR="007B55FA" w:rsidRPr="00040AA9" w:rsidRDefault="007B55FA" w:rsidP="00040AA9">
            <w:pPr>
              <w:suppressAutoHyphens/>
              <w:rPr>
                <w:rFonts w:ascii="Arial" w:hAnsi="Arial" w:cs="Arial"/>
                <w:sz w:val="20"/>
                <w:szCs w:val="20"/>
              </w:rPr>
            </w:pPr>
          </w:p>
          <w:p w14:paraId="6D88FA9B" w14:textId="77777777" w:rsidR="007B55FA" w:rsidRPr="00040AA9" w:rsidRDefault="007B55FA" w:rsidP="00040AA9">
            <w:pPr>
              <w:suppressAutoHyphens/>
              <w:rPr>
                <w:rFonts w:ascii="Arial" w:hAnsi="Arial" w:cs="Arial"/>
                <w:sz w:val="20"/>
                <w:szCs w:val="20"/>
              </w:rPr>
            </w:pPr>
          </w:p>
          <w:p w14:paraId="3B02FDFA" w14:textId="77777777" w:rsidR="007B55FA" w:rsidRPr="00040AA9" w:rsidRDefault="007B55FA" w:rsidP="00040AA9">
            <w:pPr>
              <w:suppressAutoHyphens/>
              <w:rPr>
                <w:rFonts w:ascii="Arial" w:hAnsi="Arial" w:cs="Arial"/>
                <w:sz w:val="20"/>
                <w:szCs w:val="20"/>
              </w:rPr>
            </w:pPr>
          </w:p>
          <w:p w14:paraId="7CD6286C" w14:textId="77777777" w:rsidR="007B55FA" w:rsidRPr="00040AA9" w:rsidRDefault="007B55FA" w:rsidP="00040AA9">
            <w:pPr>
              <w:suppressAutoHyphens/>
              <w:rPr>
                <w:rFonts w:ascii="Arial" w:hAnsi="Arial" w:cs="Arial"/>
                <w:sz w:val="20"/>
                <w:szCs w:val="20"/>
              </w:rPr>
            </w:pPr>
          </w:p>
          <w:p w14:paraId="3ED9B7D0" w14:textId="77777777" w:rsidR="007B55FA" w:rsidRPr="00040AA9" w:rsidRDefault="007B55FA" w:rsidP="00040AA9">
            <w:pPr>
              <w:suppressAutoHyphens/>
              <w:rPr>
                <w:rFonts w:ascii="Arial" w:hAnsi="Arial" w:cs="Arial"/>
                <w:sz w:val="20"/>
                <w:szCs w:val="20"/>
              </w:rPr>
            </w:pPr>
          </w:p>
          <w:p w14:paraId="416D74B7" w14:textId="77777777" w:rsidR="007B55FA" w:rsidRPr="00040AA9" w:rsidRDefault="007B55FA" w:rsidP="00040AA9">
            <w:pPr>
              <w:suppressAutoHyphens/>
              <w:rPr>
                <w:rFonts w:ascii="Arial" w:hAnsi="Arial" w:cs="Arial"/>
                <w:sz w:val="20"/>
                <w:szCs w:val="20"/>
              </w:rPr>
            </w:pPr>
          </w:p>
          <w:p w14:paraId="1F23554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298AE1CE" w14:textId="0D3D676A"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Letter from the FS informing that the Master </w:t>
            </w:r>
            <w:r w:rsidR="00A25A0A" w:rsidRPr="00CF5903">
              <w:rPr>
                <w:rFonts w:ascii="Arial" w:hAnsi="Arial" w:cs="Arial"/>
                <w:sz w:val="20"/>
                <w:szCs w:val="20"/>
              </w:rPr>
              <w:t>Rationalization</w:t>
            </w:r>
            <w:r w:rsidRPr="00040AA9">
              <w:rPr>
                <w:rFonts w:ascii="Arial" w:hAnsi="Arial" w:cs="Arial"/>
                <w:sz w:val="20"/>
                <w:szCs w:val="20"/>
              </w:rPr>
              <w:t xml:space="preserve"> Plan guidelines remain in force</w:t>
            </w:r>
          </w:p>
        </w:tc>
      </w:tr>
      <w:tr w:rsidR="007B55FA" w:rsidRPr="00CF5903" w14:paraId="67FA8D6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28B8B2F5"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50B62A5C"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7783DE97"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18FF3886" w14:textId="77777777" w:rsidR="007B55FA" w:rsidRPr="00040AA9" w:rsidRDefault="007B55FA" w:rsidP="00040AA9">
            <w:pPr>
              <w:suppressAutoHyphens/>
              <w:jc w:val="center"/>
              <w:rPr>
                <w:rFonts w:ascii="Arial" w:hAnsi="Arial" w:cs="Arial"/>
                <w:sz w:val="20"/>
                <w:szCs w:val="20"/>
              </w:rPr>
            </w:pPr>
          </w:p>
        </w:tc>
        <w:tc>
          <w:tcPr>
            <w:tcW w:w="594" w:type="dxa"/>
            <w:shd w:val="clear" w:color="auto" w:fill="auto"/>
          </w:tcPr>
          <w:p w14:paraId="1228354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2B910BBC"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tcPr>
          <w:p w14:paraId="767BF972"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D1D7591" w14:textId="77777777" w:rsidR="007B55FA" w:rsidRPr="00040AA9" w:rsidRDefault="007B55FA" w:rsidP="00040AA9">
            <w:pPr>
              <w:suppressAutoHyphens/>
              <w:rPr>
                <w:rFonts w:ascii="Arial" w:hAnsi="Arial" w:cs="Arial"/>
                <w:sz w:val="20"/>
                <w:szCs w:val="20"/>
              </w:rPr>
            </w:pPr>
          </w:p>
        </w:tc>
      </w:tr>
      <w:tr w:rsidR="007B55FA" w:rsidRPr="00CF5903" w14:paraId="2EFD230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tcBorders>
              <w:bottom w:val="single" w:sz="4" w:space="0" w:color="auto"/>
            </w:tcBorders>
            <w:shd w:val="clear" w:color="auto" w:fill="auto"/>
          </w:tcPr>
          <w:p w14:paraId="120F2B7E"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vAlign w:val="center"/>
          </w:tcPr>
          <w:p w14:paraId="6B044568" w14:textId="77777777" w:rsidR="007B55FA" w:rsidRPr="00040AA9" w:rsidRDefault="007B55FA" w:rsidP="00040AA9">
            <w:pPr>
              <w:suppressAutoHyphens/>
              <w:jc w:val="center"/>
              <w:rPr>
                <w:rFonts w:ascii="Arial" w:hAnsi="Arial" w:cs="Arial"/>
                <w:sz w:val="20"/>
                <w:szCs w:val="20"/>
              </w:rPr>
            </w:pPr>
          </w:p>
        </w:tc>
        <w:tc>
          <w:tcPr>
            <w:tcW w:w="774" w:type="dxa"/>
            <w:vMerge/>
            <w:tcBorders>
              <w:bottom w:val="single" w:sz="4" w:space="0" w:color="auto"/>
            </w:tcBorders>
            <w:shd w:val="clear" w:color="auto" w:fill="auto"/>
            <w:vAlign w:val="center"/>
          </w:tcPr>
          <w:p w14:paraId="1DE78F4F" w14:textId="77777777" w:rsidR="007B55FA" w:rsidRPr="00040AA9" w:rsidRDefault="007B55FA" w:rsidP="00040AA9">
            <w:pPr>
              <w:suppressAutoHyphens/>
              <w:jc w:val="center"/>
              <w:rPr>
                <w:rFonts w:ascii="Arial" w:hAnsi="Arial" w:cs="Arial"/>
                <w:sz w:val="20"/>
                <w:szCs w:val="20"/>
              </w:rPr>
            </w:pPr>
          </w:p>
        </w:tc>
        <w:tc>
          <w:tcPr>
            <w:tcW w:w="939" w:type="dxa"/>
            <w:vMerge/>
            <w:tcBorders>
              <w:bottom w:val="single" w:sz="4" w:space="0" w:color="auto"/>
            </w:tcBorders>
            <w:shd w:val="clear" w:color="auto" w:fill="auto"/>
          </w:tcPr>
          <w:p w14:paraId="57718C29" w14:textId="77777777" w:rsidR="007B55FA" w:rsidRPr="00040AA9" w:rsidRDefault="007B55FA" w:rsidP="00040AA9">
            <w:pPr>
              <w:suppressAutoHyphens/>
              <w:jc w:val="center"/>
              <w:rPr>
                <w:rFonts w:ascii="Arial" w:hAnsi="Arial" w:cs="Arial"/>
                <w:sz w:val="20"/>
                <w:szCs w:val="20"/>
              </w:rPr>
            </w:pPr>
          </w:p>
        </w:tc>
        <w:tc>
          <w:tcPr>
            <w:tcW w:w="594" w:type="dxa"/>
            <w:tcBorders>
              <w:bottom w:val="single" w:sz="4" w:space="0" w:color="auto"/>
            </w:tcBorders>
            <w:shd w:val="clear" w:color="auto" w:fill="auto"/>
          </w:tcPr>
          <w:p w14:paraId="3A1ADF28" w14:textId="77777777" w:rsidR="007B55FA" w:rsidRPr="00040AA9" w:rsidRDefault="007B55FA" w:rsidP="00040AA9">
            <w:pPr>
              <w:suppressAutoHyphens/>
              <w:jc w:val="center"/>
              <w:rPr>
                <w:rFonts w:ascii="Arial" w:hAnsi="Arial" w:cs="Arial"/>
                <w:sz w:val="20"/>
                <w:szCs w:val="20"/>
              </w:rPr>
            </w:pPr>
          </w:p>
          <w:p w14:paraId="33EFC857" w14:textId="77777777" w:rsidR="007B55FA" w:rsidRPr="00040AA9" w:rsidRDefault="007B55FA" w:rsidP="00040AA9">
            <w:pPr>
              <w:suppressAutoHyphens/>
              <w:jc w:val="center"/>
              <w:rPr>
                <w:rFonts w:ascii="Arial" w:hAnsi="Arial" w:cs="Arial"/>
                <w:sz w:val="20"/>
                <w:szCs w:val="20"/>
              </w:rPr>
            </w:pPr>
          </w:p>
          <w:p w14:paraId="10E57E09" w14:textId="77777777" w:rsidR="007B55FA" w:rsidRPr="00040AA9" w:rsidRDefault="007B55FA" w:rsidP="00040AA9">
            <w:pPr>
              <w:suppressAutoHyphens/>
              <w:jc w:val="center"/>
              <w:rPr>
                <w:rFonts w:ascii="Arial" w:hAnsi="Arial" w:cs="Arial"/>
                <w:sz w:val="20"/>
                <w:szCs w:val="20"/>
              </w:rPr>
            </w:pPr>
          </w:p>
          <w:p w14:paraId="4F20DD3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3AD428F4" w14:textId="77777777" w:rsidR="007B55FA" w:rsidRPr="00040AA9" w:rsidRDefault="007B55FA" w:rsidP="00040AA9">
            <w:pPr>
              <w:suppressAutoHyphens/>
              <w:jc w:val="center"/>
              <w:rPr>
                <w:rFonts w:ascii="Arial" w:hAnsi="Arial" w:cs="Arial"/>
                <w:sz w:val="20"/>
                <w:szCs w:val="20"/>
              </w:rPr>
            </w:pPr>
          </w:p>
          <w:p w14:paraId="7833F087" w14:textId="77777777" w:rsidR="007B55FA" w:rsidRPr="00040AA9" w:rsidRDefault="007B55FA" w:rsidP="00040AA9">
            <w:pPr>
              <w:suppressAutoHyphens/>
              <w:jc w:val="center"/>
              <w:rPr>
                <w:rFonts w:ascii="Arial" w:hAnsi="Arial" w:cs="Arial"/>
                <w:sz w:val="20"/>
                <w:szCs w:val="20"/>
              </w:rPr>
            </w:pPr>
          </w:p>
          <w:p w14:paraId="7B9F6DB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E40FD4B" w14:textId="305C8143"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r w:rsidRPr="00040AA9">
              <w:rPr>
                <w:rStyle w:val="FootnoteReference"/>
                <w:rFonts w:ascii="Arial" w:hAnsi="Arial" w:cs="Arial"/>
                <w:sz w:val="20"/>
                <w:szCs w:val="20"/>
              </w:rPr>
              <w:footnoteReference w:id="117"/>
            </w:r>
          </w:p>
        </w:tc>
        <w:tc>
          <w:tcPr>
            <w:tcW w:w="1106" w:type="dxa"/>
            <w:vMerge/>
            <w:tcBorders>
              <w:bottom w:val="single" w:sz="4" w:space="0" w:color="auto"/>
            </w:tcBorders>
            <w:shd w:val="clear" w:color="auto" w:fill="auto"/>
          </w:tcPr>
          <w:p w14:paraId="0E41EACF"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11D9C265" w14:textId="4C74DFEE"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167DE5">
              <w:rPr>
                <w:rFonts w:ascii="Arial" w:hAnsi="Arial" w:cs="Arial"/>
                <w:sz w:val="20"/>
                <w:szCs w:val="20"/>
              </w:rPr>
              <w:t>S</w:t>
            </w:r>
            <w:r w:rsidRPr="00040AA9">
              <w:rPr>
                <w:rFonts w:ascii="Arial" w:hAnsi="Arial" w:cs="Arial"/>
                <w:sz w:val="20"/>
                <w:szCs w:val="20"/>
              </w:rPr>
              <w:t xml:space="preserve"> to the Bank dated Nov. 8, 2016 (part III.2.c) providing evidence of compliance with section 2.03.II.(b) of the FISPEG III loan contract by way certifying that the </w:t>
            </w:r>
            <w:proofErr w:type="spellStart"/>
            <w:r w:rsidRPr="00040AA9">
              <w:rPr>
                <w:rFonts w:ascii="Arial" w:hAnsi="Arial" w:cs="Arial"/>
                <w:sz w:val="20"/>
                <w:szCs w:val="20"/>
              </w:rPr>
              <w:t>GoJ</w:t>
            </w:r>
            <w:proofErr w:type="spellEnd"/>
            <w:r w:rsidRPr="00040AA9">
              <w:rPr>
                <w:rFonts w:ascii="Arial" w:hAnsi="Arial" w:cs="Arial"/>
                <w:sz w:val="20"/>
                <w:szCs w:val="20"/>
              </w:rPr>
              <w:t xml:space="preserve"> is “Continuing to Implement  the Master Rationalization Plan [MRP] to streamline P</w:t>
            </w:r>
            <w:r w:rsidR="00800210">
              <w:rPr>
                <w:rFonts w:ascii="Arial" w:hAnsi="Arial" w:cs="Arial"/>
                <w:sz w:val="20"/>
                <w:szCs w:val="20"/>
              </w:rPr>
              <w:t>Bs</w:t>
            </w:r>
            <w:r w:rsidRPr="00040AA9">
              <w:rPr>
                <w:rStyle w:val="FootnoteReference"/>
                <w:rFonts w:ascii="Arial" w:hAnsi="Arial" w:cs="Arial"/>
                <w:sz w:val="20"/>
                <w:szCs w:val="20"/>
              </w:rPr>
              <w:footnoteReference w:id="118"/>
            </w:r>
          </w:p>
        </w:tc>
      </w:tr>
      <w:tr w:rsidR="007B55FA" w:rsidRPr="00CF5903" w14:paraId="25E3781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jc w:val="center"/>
        </w:trPr>
        <w:tc>
          <w:tcPr>
            <w:tcW w:w="12859" w:type="dxa"/>
            <w:gridSpan w:val="8"/>
            <w:shd w:val="clear" w:color="auto" w:fill="F2F2F2" w:themeFill="background1" w:themeFillShade="F2"/>
          </w:tcPr>
          <w:p w14:paraId="403673AD" w14:textId="3ABF9457" w:rsidR="007B55FA" w:rsidRPr="00040AA9" w:rsidRDefault="007B55FA" w:rsidP="00040AA9">
            <w:pPr>
              <w:keepNext/>
              <w:keepLines/>
              <w:tabs>
                <w:tab w:val="left" w:pos="1266"/>
              </w:tabs>
              <w:suppressAutoHyphens/>
              <w:rPr>
                <w:rFonts w:ascii="Arial" w:hAnsi="Arial" w:cs="Arial"/>
                <w:b/>
                <w:sz w:val="20"/>
                <w:szCs w:val="20"/>
              </w:rPr>
            </w:pPr>
            <w:r w:rsidRPr="00040AA9">
              <w:rPr>
                <w:rFonts w:ascii="Arial" w:hAnsi="Arial" w:cs="Arial"/>
                <w:b/>
                <w:sz w:val="20"/>
                <w:szCs w:val="20"/>
              </w:rPr>
              <w:t>Output III.3. P</w:t>
            </w:r>
            <w:r w:rsidR="00800210">
              <w:rPr>
                <w:rFonts w:ascii="Arial" w:hAnsi="Arial" w:cs="Arial"/>
                <w:b/>
                <w:sz w:val="20"/>
                <w:szCs w:val="20"/>
              </w:rPr>
              <w:t>Bs</w:t>
            </w:r>
            <w:r w:rsidRPr="00040AA9">
              <w:rPr>
                <w:rFonts w:ascii="Arial" w:hAnsi="Arial" w:cs="Arial"/>
                <w:b/>
                <w:sz w:val="20"/>
                <w:szCs w:val="20"/>
              </w:rPr>
              <w:t xml:space="preserve"> timely submission of annual reports</w:t>
            </w:r>
          </w:p>
        </w:tc>
      </w:tr>
      <w:tr w:rsidR="007B55FA" w:rsidRPr="00CF5903" w14:paraId="581B82D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tcPr>
          <w:p w14:paraId="2283E26E"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Indicator III.3.1</w:t>
            </w:r>
          </w:p>
          <w:p w14:paraId="38924D09" w14:textId="62AA9024"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Compliance system of the P</w:t>
            </w:r>
            <w:r w:rsidR="00800210">
              <w:rPr>
                <w:rFonts w:ascii="Arial" w:hAnsi="Arial" w:cs="Arial"/>
                <w:sz w:val="20"/>
                <w:szCs w:val="20"/>
              </w:rPr>
              <w:t>Bs</w:t>
            </w:r>
            <w:r w:rsidRPr="00040AA9">
              <w:rPr>
                <w:rFonts w:ascii="Arial" w:hAnsi="Arial" w:cs="Arial"/>
                <w:sz w:val="20"/>
                <w:szCs w:val="20"/>
              </w:rPr>
              <w:t xml:space="preserve"> with reporting requirements implemented. </w:t>
            </w:r>
          </w:p>
          <w:p w14:paraId="5FA21926"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(FSPG I – product 3.3,</w:t>
            </w:r>
          </w:p>
          <w:p w14:paraId="68ABC090"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contract section 2.03(e))</w:t>
            </w:r>
          </w:p>
          <w:p w14:paraId="20073486" w14:textId="77777777" w:rsidR="007B55FA" w:rsidRPr="00040AA9" w:rsidRDefault="007B55FA" w:rsidP="00040AA9">
            <w:pPr>
              <w:keepNext/>
              <w:keepLines/>
              <w:suppressAutoHyphens/>
              <w:rPr>
                <w:rFonts w:ascii="Arial" w:hAnsi="Arial" w:cs="Arial"/>
                <w:sz w:val="20"/>
                <w:szCs w:val="20"/>
              </w:rPr>
            </w:pPr>
          </w:p>
          <w:p w14:paraId="4F76B4D9"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(Note: FISPEG II loan contract section 2.03.II.(c) calls for the borrower to enforce…presentation of annual reports of </w:t>
            </w:r>
            <w:r w:rsidRPr="00040AA9">
              <w:rPr>
                <w:rFonts w:ascii="Arial" w:hAnsi="Arial" w:cs="Arial"/>
                <w:i/>
                <w:sz w:val="20"/>
                <w:szCs w:val="20"/>
              </w:rPr>
              <w:t xml:space="preserve">self-financing </w:t>
            </w:r>
            <w:r w:rsidRPr="00040AA9">
              <w:rPr>
                <w:rFonts w:ascii="Arial" w:hAnsi="Arial" w:cs="Arial"/>
                <w:sz w:val="20"/>
                <w:szCs w:val="20"/>
              </w:rPr>
              <w:t>PBs)</w:t>
            </w:r>
          </w:p>
        </w:tc>
        <w:tc>
          <w:tcPr>
            <w:tcW w:w="860" w:type="dxa"/>
            <w:vMerge w:val="restart"/>
            <w:shd w:val="clear" w:color="auto" w:fill="auto"/>
            <w:vAlign w:val="center"/>
          </w:tcPr>
          <w:p w14:paraId="1804BD34"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System</w:t>
            </w:r>
          </w:p>
        </w:tc>
        <w:tc>
          <w:tcPr>
            <w:tcW w:w="774" w:type="dxa"/>
            <w:vMerge w:val="restart"/>
            <w:shd w:val="clear" w:color="auto" w:fill="auto"/>
            <w:vAlign w:val="center"/>
          </w:tcPr>
          <w:p w14:paraId="08DB3B9A"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5D8A2FE7" w14:textId="77777777" w:rsidR="007B55FA" w:rsidRPr="00040AA9" w:rsidRDefault="007B55FA" w:rsidP="00040AA9">
            <w:pPr>
              <w:keepNext/>
              <w:keepLines/>
              <w:suppressAutoHyphens/>
              <w:jc w:val="center"/>
              <w:rPr>
                <w:rFonts w:ascii="Arial" w:hAnsi="Arial" w:cs="Arial"/>
                <w:sz w:val="20"/>
                <w:szCs w:val="20"/>
              </w:rPr>
            </w:pPr>
          </w:p>
          <w:p w14:paraId="195C8A29" w14:textId="77777777" w:rsidR="007B55FA" w:rsidRPr="00040AA9" w:rsidRDefault="007B55FA" w:rsidP="00040AA9">
            <w:pPr>
              <w:keepNext/>
              <w:keepLines/>
              <w:suppressAutoHyphens/>
              <w:jc w:val="center"/>
              <w:rPr>
                <w:rFonts w:ascii="Arial" w:hAnsi="Arial" w:cs="Arial"/>
                <w:sz w:val="20"/>
                <w:szCs w:val="20"/>
              </w:rPr>
            </w:pPr>
          </w:p>
          <w:p w14:paraId="0E2D0730" w14:textId="77777777" w:rsidR="007B55FA" w:rsidRPr="00040AA9" w:rsidRDefault="007B55FA" w:rsidP="00040AA9">
            <w:pPr>
              <w:keepNext/>
              <w:keepLines/>
              <w:suppressAutoHyphens/>
              <w:jc w:val="center"/>
              <w:rPr>
                <w:rFonts w:ascii="Arial" w:hAnsi="Arial" w:cs="Arial"/>
                <w:sz w:val="20"/>
                <w:szCs w:val="20"/>
              </w:rPr>
            </w:pPr>
          </w:p>
          <w:p w14:paraId="70796A11" w14:textId="77777777" w:rsidR="007B55FA" w:rsidRPr="00040AA9" w:rsidRDefault="007B55FA" w:rsidP="00040AA9">
            <w:pPr>
              <w:keepNext/>
              <w:keepLines/>
              <w:suppressAutoHyphens/>
              <w:jc w:val="center"/>
              <w:rPr>
                <w:rFonts w:ascii="Arial" w:hAnsi="Arial" w:cs="Arial"/>
                <w:sz w:val="20"/>
                <w:szCs w:val="20"/>
              </w:rPr>
            </w:pPr>
          </w:p>
          <w:p w14:paraId="7CE6FFC4"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tcPr>
          <w:p w14:paraId="37F0E91B" w14:textId="77777777" w:rsidR="007B55FA" w:rsidRPr="00040AA9" w:rsidRDefault="007B55FA" w:rsidP="00040AA9">
            <w:pPr>
              <w:keepNext/>
              <w:keepLines/>
              <w:suppressAutoHyphens/>
              <w:rPr>
                <w:rFonts w:ascii="Arial" w:hAnsi="Arial" w:cs="Arial"/>
                <w:sz w:val="20"/>
                <w:szCs w:val="20"/>
              </w:rPr>
            </w:pPr>
          </w:p>
          <w:p w14:paraId="302B797E" w14:textId="77777777" w:rsidR="007B55FA" w:rsidRPr="00040AA9" w:rsidRDefault="007B55FA" w:rsidP="00040AA9">
            <w:pPr>
              <w:keepNext/>
              <w:keepLines/>
              <w:suppressAutoHyphens/>
              <w:rPr>
                <w:rFonts w:ascii="Arial" w:hAnsi="Arial" w:cs="Arial"/>
                <w:sz w:val="20"/>
                <w:szCs w:val="20"/>
              </w:rPr>
            </w:pPr>
          </w:p>
          <w:p w14:paraId="0EE0A899" w14:textId="77777777" w:rsidR="007B55FA" w:rsidRPr="00040AA9" w:rsidRDefault="007B55FA" w:rsidP="00040AA9">
            <w:pPr>
              <w:keepNext/>
              <w:keepLines/>
              <w:suppressAutoHyphens/>
              <w:rPr>
                <w:rFonts w:ascii="Arial" w:hAnsi="Arial" w:cs="Arial"/>
                <w:sz w:val="20"/>
                <w:szCs w:val="20"/>
              </w:rPr>
            </w:pPr>
          </w:p>
          <w:p w14:paraId="44EEEA21"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1C98CB6F" w14:textId="77777777" w:rsidR="007B55FA" w:rsidRPr="00040AA9" w:rsidRDefault="007B55FA" w:rsidP="00040AA9">
            <w:pPr>
              <w:keepNext/>
              <w:keepLines/>
              <w:suppressAutoHyphens/>
              <w:jc w:val="center"/>
              <w:rPr>
                <w:rFonts w:ascii="Arial" w:hAnsi="Arial" w:cs="Arial"/>
                <w:sz w:val="20"/>
                <w:szCs w:val="20"/>
              </w:rPr>
            </w:pPr>
          </w:p>
          <w:p w14:paraId="2CC113D4" w14:textId="77777777" w:rsidR="007B55FA" w:rsidRPr="00040AA9" w:rsidRDefault="007B55FA" w:rsidP="00040AA9">
            <w:pPr>
              <w:keepNext/>
              <w:keepLines/>
              <w:suppressAutoHyphens/>
              <w:jc w:val="center"/>
              <w:rPr>
                <w:rFonts w:ascii="Arial" w:hAnsi="Arial" w:cs="Arial"/>
                <w:sz w:val="20"/>
                <w:szCs w:val="20"/>
              </w:rPr>
            </w:pPr>
          </w:p>
          <w:p w14:paraId="06226FD4"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7228DA40"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2449B8F8" w14:textId="77777777" w:rsidR="007B55FA" w:rsidRPr="00040AA9" w:rsidRDefault="007B55FA" w:rsidP="00040AA9">
            <w:pPr>
              <w:keepNext/>
              <w:keepLines/>
              <w:suppressAutoHyphens/>
              <w:rPr>
                <w:rFonts w:ascii="Arial" w:hAnsi="Arial" w:cs="Arial"/>
                <w:sz w:val="20"/>
                <w:szCs w:val="20"/>
              </w:rPr>
            </w:pPr>
          </w:p>
          <w:p w14:paraId="3B49D557" w14:textId="77777777" w:rsidR="007B55FA" w:rsidRPr="00040AA9" w:rsidRDefault="007B55FA" w:rsidP="00040AA9">
            <w:pPr>
              <w:keepNext/>
              <w:keepLines/>
              <w:suppressAutoHyphens/>
              <w:rPr>
                <w:rFonts w:ascii="Arial" w:hAnsi="Arial" w:cs="Arial"/>
                <w:sz w:val="20"/>
                <w:szCs w:val="20"/>
              </w:rPr>
            </w:pPr>
          </w:p>
          <w:p w14:paraId="1A8A3CE1" w14:textId="77777777" w:rsidR="007B55FA" w:rsidRPr="00040AA9" w:rsidRDefault="007B55FA" w:rsidP="00040AA9">
            <w:pPr>
              <w:keepNext/>
              <w:keepLines/>
              <w:suppressAutoHyphens/>
              <w:rPr>
                <w:rFonts w:ascii="Arial" w:hAnsi="Arial" w:cs="Arial"/>
                <w:sz w:val="20"/>
                <w:szCs w:val="20"/>
              </w:rPr>
            </w:pPr>
          </w:p>
          <w:p w14:paraId="444E4826" w14:textId="77777777" w:rsidR="007B55FA" w:rsidRPr="00040AA9" w:rsidRDefault="007B55FA" w:rsidP="00040AA9">
            <w:pPr>
              <w:keepNext/>
              <w:keepLines/>
              <w:suppressAutoHyphens/>
              <w:rPr>
                <w:rFonts w:ascii="Arial" w:hAnsi="Arial" w:cs="Arial"/>
                <w:sz w:val="20"/>
                <w:szCs w:val="20"/>
              </w:rPr>
            </w:pPr>
          </w:p>
          <w:p w14:paraId="0A32AD6E" w14:textId="77777777" w:rsidR="007B55FA" w:rsidRPr="00040AA9" w:rsidRDefault="007B55FA" w:rsidP="00040AA9">
            <w:pPr>
              <w:keepNext/>
              <w:keepLines/>
              <w:suppressAutoHyphens/>
              <w:rPr>
                <w:rFonts w:ascii="Arial" w:hAnsi="Arial" w:cs="Arial"/>
                <w:sz w:val="20"/>
                <w:szCs w:val="20"/>
              </w:rPr>
            </w:pPr>
          </w:p>
          <w:p w14:paraId="5533FD59" w14:textId="77777777" w:rsidR="007B55FA" w:rsidRPr="00040AA9" w:rsidRDefault="007B55FA" w:rsidP="00040AA9">
            <w:pPr>
              <w:keepNext/>
              <w:keepLines/>
              <w:suppressAutoHyphens/>
              <w:rPr>
                <w:rFonts w:ascii="Arial" w:hAnsi="Arial" w:cs="Arial"/>
                <w:sz w:val="20"/>
                <w:szCs w:val="20"/>
              </w:rPr>
            </w:pPr>
          </w:p>
          <w:p w14:paraId="601FD716" w14:textId="77777777" w:rsidR="007B55FA" w:rsidRPr="00040AA9" w:rsidRDefault="007B55FA" w:rsidP="00040AA9">
            <w:pPr>
              <w:keepNext/>
              <w:keepLines/>
              <w:suppressAutoHyphens/>
              <w:rPr>
                <w:rFonts w:ascii="Arial" w:hAnsi="Arial" w:cs="Arial"/>
                <w:sz w:val="20"/>
                <w:szCs w:val="20"/>
              </w:rPr>
            </w:pPr>
          </w:p>
          <w:p w14:paraId="408B4B52" w14:textId="77777777" w:rsidR="007B55FA" w:rsidRPr="00040AA9" w:rsidRDefault="007B55FA" w:rsidP="00040AA9">
            <w:pPr>
              <w:keepNext/>
              <w:keepLines/>
              <w:suppressAutoHyphens/>
              <w:rPr>
                <w:rFonts w:ascii="Arial" w:hAnsi="Arial" w:cs="Arial"/>
                <w:sz w:val="20"/>
                <w:szCs w:val="20"/>
              </w:rPr>
            </w:pPr>
          </w:p>
          <w:p w14:paraId="3AD56AF2" w14:textId="77777777" w:rsidR="007B55FA" w:rsidRPr="00040AA9" w:rsidRDefault="007B55FA" w:rsidP="00040AA9">
            <w:pPr>
              <w:keepNext/>
              <w:keepLines/>
              <w:suppressAutoHyphens/>
              <w:rPr>
                <w:rFonts w:ascii="Arial" w:hAnsi="Arial" w:cs="Arial"/>
                <w:sz w:val="20"/>
                <w:szCs w:val="20"/>
              </w:rPr>
            </w:pPr>
          </w:p>
          <w:p w14:paraId="1CD6C426" w14:textId="7146EA2B" w:rsidR="007B55FA" w:rsidRPr="00040AA9" w:rsidRDefault="00186A19"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62FB740" w14:textId="7BF48B62"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Report from the Public Enterprise Division [PED] of the </w:t>
            </w:r>
            <w:proofErr w:type="spellStart"/>
            <w:r w:rsidRPr="00040AA9">
              <w:rPr>
                <w:rFonts w:ascii="Arial" w:hAnsi="Arial" w:cs="Arial"/>
                <w:sz w:val="20"/>
                <w:szCs w:val="20"/>
              </w:rPr>
              <w:t>MoF</w:t>
            </w:r>
            <w:proofErr w:type="spellEnd"/>
            <w:r w:rsidRPr="00040AA9">
              <w:rPr>
                <w:rFonts w:ascii="Arial" w:hAnsi="Arial" w:cs="Arial"/>
                <w:sz w:val="20"/>
                <w:szCs w:val="20"/>
              </w:rPr>
              <w:t xml:space="preserve"> presenting the progresses in P</w:t>
            </w:r>
            <w:r w:rsidR="00167DE5">
              <w:rPr>
                <w:rFonts w:ascii="Arial" w:hAnsi="Arial" w:cs="Arial"/>
                <w:sz w:val="20"/>
                <w:szCs w:val="20"/>
              </w:rPr>
              <w:t>B</w:t>
            </w:r>
            <w:r w:rsidRPr="00040AA9">
              <w:rPr>
                <w:rFonts w:ascii="Arial" w:hAnsi="Arial" w:cs="Arial"/>
                <w:sz w:val="20"/>
                <w:szCs w:val="20"/>
              </w:rPr>
              <w:t>s reporting</w:t>
            </w:r>
          </w:p>
        </w:tc>
      </w:tr>
      <w:tr w:rsidR="007B55FA" w:rsidRPr="00CF5903" w14:paraId="4AC6C4D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tcPr>
          <w:p w14:paraId="32768ADB"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08B9C1DD"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594EE7A4"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43196CCC" w14:textId="77777777" w:rsidR="007B55FA" w:rsidRPr="00040AA9" w:rsidRDefault="007B55FA" w:rsidP="00040AA9">
            <w:pPr>
              <w:suppressAutoHyphens/>
              <w:jc w:val="center"/>
              <w:rPr>
                <w:rFonts w:ascii="Arial" w:hAnsi="Arial" w:cs="Arial"/>
                <w:sz w:val="20"/>
                <w:szCs w:val="20"/>
              </w:rPr>
            </w:pPr>
          </w:p>
        </w:tc>
        <w:tc>
          <w:tcPr>
            <w:tcW w:w="594" w:type="dxa"/>
            <w:shd w:val="clear" w:color="auto" w:fill="auto"/>
          </w:tcPr>
          <w:p w14:paraId="416FAF5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74A77A25"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tcPr>
          <w:p w14:paraId="5805C4D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05D5F6B" w14:textId="77777777" w:rsidR="007B55FA" w:rsidRPr="00040AA9" w:rsidRDefault="007B55FA" w:rsidP="00040AA9">
            <w:pPr>
              <w:suppressAutoHyphens/>
              <w:rPr>
                <w:rFonts w:ascii="Arial" w:hAnsi="Arial" w:cs="Arial"/>
                <w:sz w:val="20"/>
                <w:szCs w:val="20"/>
              </w:rPr>
            </w:pPr>
          </w:p>
        </w:tc>
      </w:tr>
      <w:tr w:rsidR="007B55FA" w:rsidRPr="00CF5903" w14:paraId="7AD8E70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jc w:val="center"/>
        </w:trPr>
        <w:tc>
          <w:tcPr>
            <w:tcW w:w="2556" w:type="dxa"/>
            <w:vMerge/>
            <w:shd w:val="clear" w:color="auto" w:fill="auto"/>
          </w:tcPr>
          <w:p w14:paraId="467AEE02"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7509A481"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0DF8EAA4"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214E6022" w14:textId="77777777" w:rsidR="007B55FA" w:rsidRPr="00040AA9" w:rsidRDefault="007B55FA" w:rsidP="00040AA9">
            <w:pPr>
              <w:suppressAutoHyphens/>
              <w:jc w:val="center"/>
              <w:rPr>
                <w:rFonts w:ascii="Arial" w:hAnsi="Arial" w:cs="Arial"/>
                <w:sz w:val="20"/>
                <w:szCs w:val="20"/>
              </w:rPr>
            </w:pPr>
          </w:p>
        </w:tc>
        <w:tc>
          <w:tcPr>
            <w:tcW w:w="594" w:type="dxa"/>
            <w:vMerge w:val="restart"/>
            <w:shd w:val="clear" w:color="auto" w:fill="auto"/>
          </w:tcPr>
          <w:p w14:paraId="6DB3CBAC" w14:textId="77777777" w:rsidR="00745D52" w:rsidRPr="00040AA9" w:rsidRDefault="00745D52" w:rsidP="00040AA9">
            <w:pPr>
              <w:suppressAutoHyphens/>
              <w:rPr>
                <w:rFonts w:ascii="Arial" w:hAnsi="Arial" w:cs="Arial"/>
                <w:sz w:val="20"/>
                <w:szCs w:val="20"/>
              </w:rPr>
            </w:pPr>
          </w:p>
          <w:p w14:paraId="25996B17" w14:textId="77777777" w:rsidR="00745D52" w:rsidRPr="00040AA9" w:rsidRDefault="00745D52" w:rsidP="00040AA9">
            <w:pPr>
              <w:suppressAutoHyphens/>
              <w:rPr>
                <w:rFonts w:ascii="Arial" w:hAnsi="Arial" w:cs="Arial"/>
                <w:sz w:val="20"/>
                <w:szCs w:val="20"/>
              </w:rPr>
            </w:pPr>
          </w:p>
          <w:p w14:paraId="09AE1086" w14:textId="77777777" w:rsidR="00745D52" w:rsidRPr="00040AA9" w:rsidRDefault="00745D52" w:rsidP="00040AA9">
            <w:pPr>
              <w:suppressAutoHyphens/>
              <w:rPr>
                <w:rFonts w:ascii="Arial" w:hAnsi="Arial" w:cs="Arial"/>
                <w:sz w:val="20"/>
                <w:szCs w:val="20"/>
              </w:rPr>
            </w:pPr>
          </w:p>
          <w:p w14:paraId="75BC9CDF" w14:textId="77777777" w:rsidR="00745D52" w:rsidRPr="00040AA9" w:rsidRDefault="00745D52" w:rsidP="00040AA9">
            <w:pPr>
              <w:suppressAutoHyphens/>
              <w:rPr>
                <w:rFonts w:ascii="Arial" w:hAnsi="Arial" w:cs="Arial"/>
                <w:sz w:val="20"/>
                <w:szCs w:val="20"/>
              </w:rPr>
            </w:pPr>
          </w:p>
          <w:p w14:paraId="5FDB200E" w14:textId="77777777" w:rsidR="00745D52" w:rsidRPr="00040AA9" w:rsidRDefault="00745D52" w:rsidP="00040AA9">
            <w:pPr>
              <w:suppressAutoHyphens/>
              <w:rPr>
                <w:rFonts w:ascii="Arial" w:hAnsi="Arial" w:cs="Arial"/>
                <w:sz w:val="20"/>
                <w:szCs w:val="20"/>
              </w:rPr>
            </w:pPr>
          </w:p>
          <w:p w14:paraId="74699B77" w14:textId="77777777" w:rsidR="00745D52" w:rsidRPr="00040AA9" w:rsidRDefault="00745D52" w:rsidP="00040AA9">
            <w:pPr>
              <w:suppressAutoHyphens/>
              <w:rPr>
                <w:rFonts w:ascii="Arial" w:hAnsi="Arial" w:cs="Arial"/>
                <w:sz w:val="20"/>
                <w:szCs w:val="20"/>
              </w:rPr>
            </w:pPr>
          </w:p>
          <w:p w14:paraId="56CAC7E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vMerge w:val="restart"/>
            <w:shd w:val="clear" w:color="auto" w:fill="auto"/>
          </w:tcPr>
          <w:p w14:paraId="11AA2DA7" w14:textId="77777777" w:rsidR="007B55FA" w:rsidRPr="00040AA9" w:rsidRDefault="007B55FA" w:rsidP="00040AA9">
            <w:pPr>
              <w:suppressAutoHyphens/>
              <w:rPr>
                <w:rFonts w:ascii="Arial" w:hAnsi="Arial" w:cs="Arial"/>
                <w:sz w:val="20"/>
                <w:szCs w:val="20"/>
              </w:rPr>
            </w:pPr>
          </w:p>
          <w:p w14:paraId="48A61145" w14:textId="77777777" w:rsidR="007B55FA" w:rsidRPr="00040AA9" w:rsidRDefault="007B55FA" w:rsidP="00040AA9">
            <w:pPr>
              <w:suppressAutoHyphens/>
              <w:rPr>
                <w:rFonts w:ascii="Arial" w:hAnsi="Arial" w:cs="Arial"/>
                <w:sz w:val="20"/>
                <w:szCs w:val="20"/>
              </w:rPr>
            </w:pPr>
          </w:p>
          <w:p w14:paraId="25F16759" w14:textId="77777777" w:rsidR="007B55FA" w:rsidRPr="00040AA9" w:rsidRDefault="007B55FA" w:rsidP="00040AA9">
            <w:pPr>
              <w:suppressAutoHyphens/>
              <w:rPr>
                <w:rFonts w:ascii="Arial" w:hAnsi="Arial" w:cs="Arial"/>
                <w:sz w:val="20"/>
                <w:szCs w:val="20"/>
              </w:rPr>
            </w:pPr>
          </w:p>
          <w:p w14:paraId="39168EA9" w14:textId="77777777" w:rsidR="007B55FA" w:rsidRPr="00040AA9" w:rsidRDefault="007B55FA" w:rsidP="00040AA9">
            <w:pPr>
              <w:suppressAutoHyphens/>
              <w:rPr>
                <w:rFonts w:ascii="Arial" w:hAnsi="Arial" w:cs="Arial"/>
                <w:sz w:val="20"/>
                <w:szCs w:val="20"/>
              </w:rPr>
            </w:pPr>
          </w:p>
          <w:p w14:paraId="316BAE41" w14:textId="77777777" w:rsidR="007B55FA" w:rsidRPr="00040AA9" w:rsidRDefault="007B55FA" w:rsidP="00040AA9">
            <w:pPr>
              <w:suppressAutoHyphens/>
              <w:rPr>
                <w:rFonts w:ascii="Arial" w:hAnsi="Arial" w:cs="Arial"/>
                <w:sz w:val="20"/>
                <w:szCs w:val="20"/>
              </w:rPr>
            </w:pPr>
          </w:p>
          <w:p w14:paraId="0B08CAAF" w14:textId="77777777" w:rsidR="007B55FA" w:rsidRPr="00040AA9" w:rsidRDefault="007B55FA" w:rsidP="00040AA9">
            <w:pPr>
              <w:suppressAutoHyphens/>
              <w:rPr>
                <w:rFonts w:ascii="Arial" w:hAnsi="Arial" w:cs="Arial"/>
                <w:sz w:val="20"/>
                <w:szCs w:val="20"/>
              </w:rPr>
            </w:pPr>
          </w:p>
          <w:p w14:paraId="6B54519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1CCB330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tc>
        <w:tc>
          <w:tcPr>
            <w:tcW w:w="1106" w:type="dxa"/>
            <w:vMerge/>
            <w:shd w:val="clear" w:color="auto" w:fill="auto"/>
          </w:tcPr>
          <w:p w14:paraId="3A70475D"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9E192DC" w14:textId="6F9421C4"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Official letter from </w:t>
            </w:r>
            <w:proofErr w:type="spellStart"/>
            <w:r w:rsidRPr="00040AA9">
              <w:rPr>
                <w:rFonts w:ascii="Arial" w:hAnsi="Arial" w:cs="Arial"/>
                <w:sz w:val="20"/>
                <w:szCs w:val="20"/>
              </w:rPr>
              <w:t>MoF</w:t>
            </w:r>
            <w:proofErr w:type="spellEnd"/>
            <w:r w:rsidRPr="00040AA9">
              <w:rPr>
                <w:rFonts w:ascii="Arial" w:hAnsi="Arial" w:cs="Arial"/>
                <w:sz w:val="20"/>
                <w:szCs w:val="20"/>
              </w:rPr>
              <w:t xml:space="preserve"> to the Bank dated January 14th,</w:t>
            </w:r>
            <w:r w:rsidR="00116588" w:rsidRPr="00040AA9">
              <w:rPr>
                <w:rFonts w:ascii="Arial" w:hAnsi="Arial" w:cs="Arial"/>
                <w:sz w:val="20"/>
                <w:szCs w:val="20"/>
              </w:rPr>
              <w:t xml:space="preserve"> </w:t>
            </w:r>
            <w:r w:rsidRPr="00040AA9">
              <w:rPr>
                <w:rFonts w:ascii="Arial" w:hAnsi="Arial" w:cs="Arial"/>
                <w:sz w:val="20"/>
                <w:szCs w:val="20"/>
              </w:rPr>
              <w:t>2014 certifying compliance with section 2.03(e) of the FISPEG I loan contract by way of transmitting the list of self-financing P</w:t>
            </w:r>
            <w:r w:rsidR="00167DE5">
              <w:rPr>
                <w:rFonts w:ascii="Arial" w:hAnsi="Arial" w:cs="Arial"/>
                <w:sz w:val="20"/>
                <w:szCs w:val="20"/>
              </w:rPr>
              <w:t>B</w:t>
            </w:r>
            <w:r w:rsidRPr="00040AA9">
              <w:rPr>
                <w:rFonts w:ascii="Arial" w:hAnsi="Arial" w:cs="Arial"/>
                <w:sz w:val="20"/>
                <w:szCs w:val="20"/>
              </w:rPr>
              <w:t xml:space="preserve"> that have been reported for sanction as of December 31st , 2013 as well as copy of the model letter used to make the report.</w:t>
            </w:r>
            <w:r w:rsidRPr="00040AA9">
              <w:rPr>
                <w:rStyle w:val="FootnoteReference"/>
                <w:rFonts w:ascii="Arial" w:hAnsi="Arial" w:cs="Arial"/>
                <w:sz w:val="20"/>
                <w:szCs w:val="20"/>
              </w:rPr>
              <w:footnoteReference w:id="119"/>
            </w:r>
            <w:r w:rsidRPr="00040AA9">
              <w:rPr>
                <w:rFonts w:ascii="Arial" w:hAnsi="Arial" w:cs="Arial"/>
                <w:sz w:val="20"/>
                <w:szCs w:val="20"/>
              </w:rPr>
              <w:t xml:space="preserve"> </w:t>
            </w:r>
          </w:p>
        </w:tc>
      </w:tr>
      <w:tr w:rsidR="007B55FA" w:rsidRPr="00CF5903" w14:paraId="48F2985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jc w:val="center"/>
        </w:trPr>
        <w:tc>
          <w:tcPr>
            <w:tcW w:w="2556" w:type="dxa"/>
            <w:vMerge/>
            <w:shd w:val="clear" w:color="auto" w:fill="auto"/>
          </w:tcPr>
          <w:p w14:paraId="6E23D9FF"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tcPr>
          <w:p w14:paraId="706EFF8C" w14:textId="77777777" w:rsidR="007B55FA" w:rsidRPr="00040AA9" w:rsidRDefault="007B55FA" w:rsidP="00040AA9">
            <w:pPr>
              <w:suppressAutoHyphens/>
              <w:jc w:val="center"/>
              <w:rPr>
                <w:rFonts w:ascii="Arial" w:hAnsi="Arial" w:cs="Arial"/>
                <w:sz w:val="20"/>
                <w:szCs w:val="20"/>
              </w:rPr>
            </w:pPr>
          </w:p>
        </w:tc>
        <w:tc>
          <w:tcPr>
            <w:tcW w:w="774" w:type="dxa"/>
            <w:vMerge/>
            <w:shd w:val="clear" w:color="auto" w:fill="auto"/>
            <w:vAlign w:val="center"/>
          </w:tcPr>
          <w:p w14:paraId="6D4E9E0F" w14:textId="77777777" w:rsidR="007B55FA" w:rsidRPr="00040AA9" w:rsidRDefault="007B55FA" w:rsidP="00040AA9">
            <w:pPr>
              <w:suppressAutoHyphens/>
              <w:jc w:val="center"/>
              <w:rPr>
                <w:rFonts w:ascii="Arial" w:hAnsi="Arial" w:cs="Arial"/>
                <w:sz w:val="20"/>
                <w:szCs w:val="20"/>
              </w:rPr>
            </w:pPr>
          </w:p>
        </w:tc>
        <w:tc>
          <w:tcPr>
            <w:tcW w:w="939" w:type="dxa"/>
            <w:vMerge/>
            <w:shd w:val="clear" w:color="auto" w:fill="auto"/>
          </w:tcPr>
          <w:p w14:paraId="7C129D8E" w14:textId="77777777" w:rsidR="007B55FA" w:rsidRPr="00040AA9" w:rsidRDefault="007B55FA" w:rsidP="00040AA9">
            <w:pPr>
              <w:suppressAutoHyphens/>
              <w:jc w:val="center"/>
              <w:rPr>
                <w:rFonts w:ascii="Arial" w:hAnsi="Arial" w:cs="Arial"/>
                <w:sz w:val="20"/>
                <w:szCs w:val="20"/>
              </w:rPr>
            </w:pPr>
          </w:p>
        </w:tc>
        <w:tc>
          <w:tcPr>
            <w:tcW w:w="594" w:type="dxa"/>
            <w:vMerge/>
            <w:shd w:val="clear" w:color="auto" w:fill="auto"/>
          </w:tcPr>
          <w:p w14:paraId="71335761" w14:textId="77777777" w:rsidR="007B55FA" w:rsidRPr="00040AA9" w:rsidRDefault="007B55FA" w:rsidP="00040AA9">
            <w:pPr>
              <w:suppressAutoHyphens/>
              <w:rPr>
                <w:rFonts w:ascii="Arial" w:hAnsi="Arial" w:cs="Arial"/>
                <w:sz w:val="20"/>
                <w:szCs w:val="20"/>
              </w:rPr>
            </w:pPr>
          </w:p>
        </w:tc>
        <w:tc>
          <w:tcPr>
            <w:tcW w:w="1003" w:type="dxa"/>
            <w:vMerge/>
            <w:shd w:val="clear" w:color="auto" w:fill="auto"/>
          </w:tcPr>
          <w:p w14:paraId="59AC1BBF"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tcPr>
          <w:p w14:paraId="3AB163CD"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24E7B2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Official letter from FS to Bank dated May 27, 2015 (part III.3.b) providing evidence of compliance with section 2.03.II.(c) of the FISPEG II loan contract by way of transmitting a list of PBs that submitted annual reports including audited financial statements for FY2013/14 within the agreed six month period. </w:t>
            </w:r>
          </w:p>
        </w:tc>
      </w:tr>
      <w:tr w:rsidR="007B55FA" w:rsidRPr="00CF5903" w14:paraId="5EAE18E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05C1309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III.3.2</w:t>
            </w:r>
          </w:p>
          <w:p w14:paraId="5F721F84" w14:textId="7853C72B" w:rsidR="007B55FA" w:rsidRPr="00040AA9" w:rsidRDefault="007B55FA" w:rsidP="00040AA9">
            <w:pPr>
              <w:suppressAutoHyphens/>
              <w:rPr>
                <w:rFonts w:ascii="Arial" w:hAnsi="Arial" w:cs="Arial"/>
                <w:sz w:val="20"/>
                <w:szCs w:val="20"/>
              </w:rPr>
            </w:pPr>
            <w:r w:rsidRPr="00040AA9">
              <w:rPr>
                <w:rFonts w:ascii="Arial" w:hAnsi="Arial" w:cs="Arial"/>
                <w:sz w:val="20"/>
                <w:szCs w:val="20"/>
              </w:rPr>
              <w:t>Report that verifies the number of self and non-[self-] financing P</w:t>
            </w:r>
            <w:r w:rsidR="00800210">
              <w:rPr>
                <w:rFonts w:ascii="Arial" w:hAnsi="Arial" w:cs="Arial"/>
                <w:sz w:val="20"/>
                <w:szCs w:val="20"/>
              </w:rPr>
              <w:t>Bs</w:t>
            </w:r>
            <w:r w:rsidRPr="00040AA9">
              <w:rPr>
                <w:rFonts w:ascii="Arial" w:hAnsi="Arial" w:cs="Arial"/>
                <w:sz w:val="20"/>
                <w:szCs w:val="20"/>
              </w:rPr>
              <w:t xml:space="preserve"> that have presented the[</w:t>
            </w:r>
            <w:proofErr w:type="spellStart"/>
            <w:r w:rsidRPr="00040AA9">
              <w:rPr>
                <w:rFonts w:ascii="Arial" w:hAnsi="Arial" w:cs="Arial"/>
                <w:sz w:val="20"/>
                <w:szCs w:val="20"/>
              </w:rPr>
              <w:t>ir</w:t>
            </w:r>
            <w:proofErr w:type="spellEnd"/>
            <w:r w:rsidRPr="00040AA9">
              <w:rPr>
                <w:rFonts w:ascii="Arial" w:hAnsi="Arial" w:cs="Arial"/>
                <w:sz w:val="20"/>
                <w:szCs w:val="20"/>
              </w:rPr>
              <w:t>] Financial Statement</w:t>
            </w:r>
            <w:r w:rsidR="00EC16CF">
              <w:rPr>
                <w:rFonts w:ascii="Arial" w:hAnsi="Arial" w:cs="Arial"/>
                <w:sz w:val="20"/>
                <w:szCs w:val="20"/>
              </w:rPr>
              <w:t>*</w:t>
            </w:r>
            <w:r w:rsidRPr="00040AA9">
              <w:rPr>
                <w:rFonts w:ascii="Arial" w:hAnsi="Arial" w:cs="Arial"/>
                <w:sz w:val="20"/>
                <w:szCs w:val="20"/>
              </w:rPr>
              <w:t xml:space="preserve"> on time [i.e.] presented [within 6 months of] </w:t>
            </w:r>
            <w:r w:rsidRPr="00040AA9">
              <w:rPr>
                <w:rFonts w:ascii="Arial" w:hAnsi="Arial" w:cs="Arial"/>
                <w:strike/>
                <w:sz w:val="20"/>
                <w:szCs w:val="20"/>
              </w:rPr>
              <w:t>at</w:t>
            </w:r>
            <w:r w:rsidRPr="00040AA9">
              <w:rPr>
                <w:rFonts w:ascii="Arial" w:hAnsi="Arial" w:cs="Arial"/>
                <w:sz w:val="20"/>
                <w:szCs w:val="20"/>
              </w:rPr>
              <w:t xml:space="preserve"> the end of the </w:t>
            </w:r>
            <w:r w:rsidR="00800B2A">
              <w:rPr>
                <w:rFonts w:ascii="Arial" w:hAnsi="Arial" w:cs="Arial"/>
                <w:sz w:val="20"/>
                <w:szCs w:val="20"/>
              </w:rPr>
              <w:t>FY</w:t>
            </w:r>
          </w:p>
          <w:p w14:paraId="3830052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 (FSPG II – product 3.1,</w:t>
            </w:r>
          </w:p>
          <w:p w14:paraId="20C31BAE" w14:textId="77777777" w:rsidR="007B55FA" w:rsidRDefault="007B55FA" w:rsidP="00040AA9">
            <w:pPr>
              <w:suppressAutoHyphens/>
              <w:rPr>
                <w:rFonts w:ascii="Arial" w:hAnsi="Arial" w:cs="Arial"/>
                <w:sz w:val="20"/>
                <w:szCs w:val="20"/>
              </w:rPr>
            </w:pPr>
            <w:r w:rsidRPr="00040AA9">
              <w:rPr>
                <w:rFonts w:ascii="Arial" w:hAnsi="Arial" w:cs="Arial"/>
                <w:sz w:val="20"/>
                <w:szCs w:val="20"/>
              </w:rPr>
              <w:t>contract section 2.03.II.(c) as regards self-financing PBs)</w:t>
            </w:r>
          </w:p>
          <w:p w14:paraId="255854BD" w14:textId="77777777" w:rsidR="00EC16CF" w:rsidRDefault="00EC16CF" w:rsidP="00040AA9">
            <w:pPr>
              <w:suppressAutoHyphens/>
              <w:rPr>
                <w:rFonts w:ascii="Arial" w:hAnsi="Arial" w:cs="Arial"/>
                <w:sz w:val="20"/>
                <w:szCs w:val="20"/>
              </w:rPr>
            </w:pPr>
          </w:p>
          <w:p w14:paraId="2542D98D" w14:textId="600EE2A6" w:rsidR="00EC16CF" w:rsidRPr="00D64D1A" w:rsidRDefault="00EC16CF" w:rsidP="00040AA9">
            <w:pPr>
              <w:suppressAutoHyphens/>
              <w:rPr>
                <w:rFonts w:ascii="Arial" w:hAnsi="Arial" w:cs="Arial"/>
                <w:sz w:val="16"/>
                <w:szCs w:val="16"/>
              </w:rPr>
            </w:pPr>
            <w:r w:rsidRPr="00D64D1A">
              <w:rPr>
                <w:rFonts w:ascii="Arial" w:hAnsi="Arial" w:cs="Arial"/>
                <w:sz w:val="16"/>
                <w:szCs w:val="16"/>
              </w:rPr>
              <w:t>*</w:t>
            </w:r>
            <w:r w:rsidR="00D863D3">
              <w:rPr>
                <w:rFonts w:ascii="Arial" w:hAnsi="Arial" w:cs="Arial"/>
                <w:sz w:val="16"/>
                <w:szCs w:val="16"/>
              </w:rPr>
              <w:t xml:space="preserve">The </w:t>
            </w:r>
            <w:proofErr w:type="spellStart"/>
            <w:r w:rsidR="00D863D3">
              <w:rPr>
                <w:rFonts w:ascii="Arial" w:hAnsi="Arial" w:cs="Arial"/>
                <w:sz w:val="16"/>
                <w:szCs w:val="16"/>
              </w:rPr>
              <w:t>MoF</w:t>
            </w:r>
            <w:proofErr w:type="spellEnd"/>
            <w:r w:rsidR="00D863D3">
              <w:rPr>
                <w:rFonts w:ascii="Arial" w:hAnsi="Arial" w:cs="Arial"/>
                <w:sz w:val="16"/>
                <w:szCs w:val="16"/>
              </w:rPr>
              <w:t xml:space="preserve"> properly refers to t</w:t>
            </w:r>
            <w:r w:rsidRPr="00D64D1A">
              <w:rPr>
                <w:rFonts w:ascii="Arial" w:hAnsi="Arial" w:cs="Arial"/>
                <w:sz w:val="16"/>
                <w:szCs w:val="16"/>
              </w:rPr>
              <w:t xml:space="preserve">hese statements </w:t>
            </w:r>
            <w:r w:rsidR="00D863D3">
              <w:rPr>
                <w:rFonts w:ascii="Arial" w:hAnsi="Arial" w:cs="Arial"/>
                <w:sz w:val="16"/>
                <w:szCs w:val="16"/>
              </w:rPr>
              <w:t xml:space="preserve">as </w:t>
            </w:r>
            <w:r w:rsidRPr="00D64D1A">
              <w:rPr>
                <w:rFonts w:ascii="Arial" w:hAnsi="Arial" w:cs="Arial"/>
                <w:sz w:val="16"/>
                <w:szCs w:val="16"/>
              </w:rPr>
              <w:t>“Annual Reports”</w:t>
            </w:r>
            <w:r w:rsidR="00D863D3">
              <w:rPr>
                <w:rFonts w:ascii="Arial" w:hAnsi="Arial" w:cs="Arial"/>
                <w:sz w:val="16"/>
                <w:szCs w:val="16"/>
              </w:rPr>
              <w:t>.</w:t>
            </w:r>
            <w:r w:rsidRPr="00D64D1A">
              <w:rPr>
                <w:rFonts w:ascii="Arial" w:hAnsi="Arial" w:cs="Arial"/>
                <w:sz w:val="16"/>
                <w:szCs w:val="16"/>
              </w:rPr>
              <w:t xml:space="preserve"> </w:t>
            </w:r>
          </w:p>
        </w:tc>
        <w:tc>
          <w:tcPr>
            <w:tcW w:w="860" w:type="dxa"/>
            <w:vMerge w:val="restart"/>
            <w:shd w:val="clear" w:color="auto" w:fill="auto"/>
            <w:vAlign w:val="center"/>
          </w:tcPr>
          <w:p w14:paraId="10A0C00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 xml:space="preserve"> Report</w:t>
            </w:r>
          </w:p>
        </w:tc>
        <w:tc>
          <w:tcPr>
            <w:tcW w:w="774" w:type="dxa"/>
            <w:vMerge w:val="restart"/>
            <w:shd w:val="clear" w:color="auto" w:fill="auto"/>
            <w:vAlign w:val="center"/>
          </w:tcPr>
          <w:p w14:paraId="01F3A32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7AC734D5" w14:textId="77777777" w:rsidR="007B55FA" w:rsidRPr="00040AA9" w:rsidRDefault="007B55FA" w:rsidP="00040AA9">
            <w:pPr>
              <w:suppressAutoHyphens/>
              <w:jc w:val="center"/>
              <w:rPr>
                <w:rFonts w:ascii="Arial" w:hAnsi="Arial" w:cs="Arial"/>
                <w:sz w:val="20"/>
                <w:szCs w:val="20"/>
              </w:rPr>
            </w:pPr>
          </w:p>
          <w:p w14:paraId="4742C086" w14:textId="77777777" w:rsidR="007B55FA" w:rsidRPr="00040AA9" w:rsidRDefault="007B55FA" w:rsidP="00040AA9">
            <w:pPr>
              <w:suppressAutoHyphens/>
              <w:jc w:val="center"/>
              <w:rPr>
                <w:rFonts w:ascii="Arial" w:hAnsi="Arial" w:cs="Arial"/>
                <w:sz w:val="20"/>
                <w:szCs w:val="20"/>
              </w:rPr>
            </w:pPr>
          </w:p>
          <w:p w14:paraId="66E0A9DF" w14:textId="77777777" w:rsidR="007B55FA" w:rsidRPr="00040AA9" w:rsidRDefault="007B55FA" w:rsidP="00040AA9">
            <w:pPr>
              <w:suppressAutoHyphens/>
              <w:rPr>
                <w:rFonts w:ascii="Arial" w:hAnsi="Arial" w:cs="Arial"/>
                <w:sz w:val="20"/>
                <w:szCs w:val="20"/>
              </w:rPr>
            </w:pPr>
          </w:p>
          <w:p w14:paraId="53E1BE01" w14:textId="77777777" w:rsidR="007B55FA" w:rsidRPr="00040AA9" w:rsidRDefault="007B55FA" w:rsidP="00040AA9">
            <w:pPr>
              <w:suppressAutoHyphens/>
              <w:rPr>
                <w:rFonts w:ascii="Arial" w:hAnsi="Arial" w:cs="Arial"/>
                <w:sz w:val="20"/>
                <w:szCs w:val="20"/>
              </w:rPr>
            </w:pPr>
          </w:p>
          <w:p w14:paraId="16431F15" w14:textId="77777777" w:rsidR="007B55FA" w:rsidRPr="00040AA9" w:rsidRDefault="007B55FA" w:rsidP="00040AA9">
            <w:pPr>
              <w:suppressAutoHyphens/>
              <w:rPr>
                <w:rFonts w:ascii="Arial" w:hAnsi="Arial" w:cs="Arial"/>
                <w:sz w:val="20"/>
                <w:szCs w:val="20"/>
              </w:rPr>
            </w:pPr>
          </w:p>
          <w:p w14:paraId="280C1FA1" w14:textId="77777777" w:rsidR="007B55FA" w:rsidRPr="00040AA9" w:rsidRDefault="007B55FA" w:rsidP="00040AA9">
            <w:pPr>
              <w:suppressAutoHyphens/>
              <w:rPr>
                <w:rFonts w:ascii="Arial" w:hAnsi="Arial" w:cs="Arial"/>
                <w:sz w:val="20"/>
                <w:szCs w:val="20"/>
              </w:rPr>
            </w:pPr>
          </w:p>
          <w:p w14:paraId="74262366" w14:textId="77777777" w:rsidR="007B55FA" w:rsidRPr="00040AA9" w:rsidRDefault="007B55FA" w:rsidP="00040AA9">
            <w:pPr>
              <w:suppressAutoHyphens/>
              <w:rPr>
                <w:rFonts w:ascii="Arial" w:hAnsi="Arial" w:cs="Arial"/>
                <w:sz w:val="20"/>
                <w:szCs w:val="20"/>
              </w:rPr>
            </w:pPr>
          </w:p>
          <w:p w14:paraId="7628FDEE" w14:textId="77777777" w:rsidR="007B55FA" w:rsidRPr="00040AA9" w:rsidRDefault="007B55FA" w:rsidP="00040AA9">
            <w:pPr>
              <w:suppressAutoHyphens/>
              <w:rPr>
                <w:rFonts w:ascii="Arial" w:hAnsi="Arial" w:cs="Arial"/>
                <w:sz w:val="20"/>
                <w:szCs w:val="20"/>
              </w:rPr>
            </w:pPr>
          </w:p>
          <w:p w14:paraId="1DA299A9" w14:textId="77777777" w:rsidR="007B55FA" w:rsidRPr="00040AA9" w:rsidRDefault="007B55FA" w:rsidP="00040AA9">
            <w:pPr>
              <w:suppressAutoHyphens/>
              <w:jc w:val="center"/>
              <w:rPr>
                <w:rFonts w:ascii="Arial" w:hAnsi="Arial" w:cs="Arial"/>
                <w:sz w:val="20"/>
                <w:szCs w:val="20"/>
              </w:rPr>
            </w:pPr>
          </w:p>
          <w:p w14:paraId="01EDA82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1558F67A" w14:textId="77777777" w:rsidR="007B55FA" w:rsidRPr="00040AA9" w:rsidRDefault="007B55FA" w:rsidP="00040AA9">
            <w:pPr>
              <w:suppressAutoHyphens/>
              <w:rPr>
                <w:rFonts w:ascii="Arial" w:hAnsi="Arial" w:cs="Arial"/>
                <w:sz w:val="20"/>
                <w:szCs w:val="20"/>
              </w:rPr>
            </w:pPr>
          </w:p>
          <w:p w14:paraId="10F4680A" w14:textId="77777777" w:rsidR="007B55FA" w:rsidRPr="00040AA9" w:rsidRDefault="007B55FA" w:rsidP="00040AA9">
            <w:pPr>
              <w:suppressAutoHyphens/>
              <w:rPr>
                <w:rFonts w:ascii="Arial" w:hAnsi="Arial" w:cs="Arial"/>
                <w:sz w:val="20"/>
                <w:szCs w:val="20"/>
              </w:rPr>
            </w:pPr>
          </w:p>
          <w:p w14:paraId="0B47F737" w14:textId="77777777" w:rsidR="007B55FA" w:rsidRPr="00040AA9" w:rsidRDefault="007B55FA" w:rsidP="00040AA9">
            <w:pPr>
              <w:suppressAutoHyphens/>
              <w:rPr>
                <w:rFonts w:ascii="Arial" w:hAnsi="Arial" w:cs="Arial"/>
                <w:sz w:val="20"/>
                <w:szCs w:val="20"/>
              </w:rPr>
            </w:pPr>
          </w:p>
          <w:p w14:paraId="62E3B991" w14:textId="77777777" w:rsidR="007B55FA" w:rsidRPr="00040AA9" w:rsidRDefault="007B55FA" w:rsidP="00040AA9">
            <w:pPr>
              <w:suppressAutoHyphens/>
              <w:rPr>
                <w:rFonts w:ascii="Arial" w:hAnsi="Arial" w:cs="Arial"/>
                <w:sz w:val="20"/>
                <w:szCs w:val="20"/>
              </w:rPr>
            </w:pPr>
          </w:p>
          <w:p w14:paraId="5552DF8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tcPr>
          <w:p w14:paraId="6756B89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w:t>
            </w:r>
          </w:p>
          <w:p w14:paraId="04F4D56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(2016/17)</w:t>
            </w:r>
          </w:p>
          <w:p w14:paraId="3FAA66CB" w14:textId="77777777" w:rsidR="007B55FA" w:rsidRPr="00040AA9" w:rsidRDefault="007B55FA" w:rsidP="00040AA9">
            <w:pPr>
              <w:suppressAutoHyphens/>
              <w:jc w:val="center"/>
              <w:rPr>
                <w:rFonts w:ascii="Arial" w:hAnsi="Arial" w:cs="Arial"/>
                <w:sz w:val="20"/>
                <w:szCs w:val="20"/>
              </w:rPr>
            </w:pPr>
          </w:p>
          <w:p w14:paraId="073645F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consisting of</w:t>
            </w:r>
          </w:p>
          <w:p w14:paraId="48264AB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00CA38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p w14:paraId="7FEB089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6B6C90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5D49FB9C" w14:textId="77777777" w:rsidR="007B55FA" w:rsidRPr="00040AA9" w:rsidRDefault="007B55FA" w:rsidP="00040AA9">
            <w:pPr>
              <w:suppressAutoHyphens/>
              <w:jc w:val="center"/>
              <w:rPr>
                <w:rFonts w:ascii="Arial" w:hAnsi="Arial" w:cs="Arial"/>
                <w:sz w:val="20"/>
                <w:szCs w:val="20"/>
              </w:rPr>
            </w:pPr>
          </w:p>
          <w:p w14:paraId="7A467E30" w14:textId="77777777" w:rsidR="007B55FA" w:rsidRPr="00040AA9" w:rsidRDefault="007B55FA" w:rsidP="00040AA9">
            <w:pPr>
              <w:suppressAutoHyphens/>
              <w:jc w:val="center"/>
              <w:rPr>
                <w:rFonts w:ascii="Arial" w:hAnsi="Arial" w:cs="Arial"/>
                <w:sz w:val="20"/>
                <w:szCs w:val="20"/>
              </w:rPr>
            </w:pPr>
          </w:p>
          <w:p w14:paraId="7D63F490" w14:textId="77777777" w:rsidR="007B55FA" w:rsidRPr="00040AA9" w:rsidRDefault="007B55FA" w:rsidP="00040AA9">
            <w:pPr>
              <w:suppressAutoHyphens/>
              <w:jc w:val="center"/>
              <w:rPr>
                <w:rFonts w:ascii="Arial" w:hAnsi="Arial" w:cs="Arial"/>
                <w:sz w:val="20"/>
                <w:szCs w:val="20"/>
              </w:rPr>
            </w:pPr>
          </w:p>
          <w:p w14:paraId="7EAA45B3" w14:textId="77777777" w:rsidR="007B55FA" w:rsidRPr="00040AA9" w:rsidRDefault="007B55FA" w:rsidP="00040AA9">
            <w:pPr>
              <w:suppressAutoHyphens/>
              <w:jc w:val="center"/>
              <w:rPr>
                <w:rFonts w:ascii="Arial" w:hAnsi="Arial" w:cs="Arial"/>
                <w:sz w:val="20"/>
                <w:szCs w:val="20"/>
              </w:rPr>
            </w:pPr>
          </w:p>
          <w:p w14:paraId="6540DAF0" w14:textId="77777777" w:rsidR="007B55FA" w:rsidRPr="00040AA9" w:rsidRDefault="007B55FA" w:rsidP="00040AA9">
            <w:pPr>
              <w:suppressAutoHyphens/>
              <w:jc w:val="center"/>
              <w:rPr>
                <w:rFonts w:ascii="Arial" w:hAnsi="Arial" w:cs="Arial"/>
                <w:sz w:val="20"/>
                <w:szCs w:val="20"/>
              </w:rPr>
            </w:pPr>
          </w:p>
          <w:p w14:paraId="041C0D39" w14:textId="77777777" w:rsidR="007B55FA" w:rsidRPr="00040AA9" w:rsidRDefault="007B55FA" w:rsidP="00040AA9">
            <w:pPr>
              <w:suppressAutoHyphens/>
              <w:jc w:val="center"/>
              <w:rPr>
                <w:rFonts w:ascii="Arial" w:hAnsi="Arial" w:cs="Arial"/>
                <w:sz w:val="20"/>
                <w:szCs w:val="20"/>
              </w:rPr>
            </w:pPr>
          </w:p>
          <w:p w14:paraId="4333E3A0" w14:textId="77777777" w:rsidR="007B55FA" w:rsidRPr="00040AA9" w:rsidRDefault="007B55FA" w:rsidP="00040AA9">
            <w:pPr>
              <w:suppressAutoHyphens/>
              <w:jc w:val="center"/>
              <w:rPr>
                <w:rFonts w:ascii="Arial" w:hAnsi="Arial" w:cs="Arial"/>
                <w:sz w:val="20"/>
                <w:szCs w:val="20"/>
              </w:rPr>
            </w:pPr>
          </w:p>
          <w:p w14:paraId="1A46AD84" w14:textId="77777777" w:rsidR="006A1227" w:rsidRPr="00040AA9" w:rsidRDefault="006A1227" w:rsidP="00040AA9">
            <w:pPr>
              <w:suppressAutoHyphens/>
              <w:jc w:val="center"/>
              <w:rPr>
                <w:rFonts w:ascii="Arial" w:hAnsi="Arial" w:cs="Arial"/>
                <w:sz w:val="20"/>
                <w:szCs w:val="20"/>
              </w:rPr>
            </w:pPr>
          </w:p>
          <w:p w14:paraId="247B581A" w14:textId="77777777" w:rsidR="006A1227" w:rsidRPr="00040AA9" w:rsidRDefault="006A1227" w:rsidP="00040AA9">
            <w:pPr>
              <w:suppressAutoHyphens/>
              <w:jc w:val="center"/>
              <w:rPr>
                <w:rFonts w:ascii="Arial" w:hAnsi="Arial" w:cs="Arial"/>
                <w:sz w:val="20"/>
                <w:szCs w:val="20"/>
              </w:rPr>
            </w:pPr>
          </w:p>
          <w:p w14:paraId="2AEFAB4C" w14:textId="77777777" w:rsidR="006A1227" w:rsidRPr="00040AA9" w:rsidRDefault="006A1227" w:rsidP="00040AA9">
            <w:pPr>
              <w:suppressAutoHyphens/>
              <w:jc w:val="center"/>
              <w:rPr>
                <w:rFonts w:ascii="Arial" w:hAnsi="Arial" w:cs="Arial"/>
                <w:sz w:val="20"/>
                <w:szCs w:val="20"/>
              </w:rPr>
            </w:pPr>
          </w:p>
          <w:p w14:paraId="478B51E2" w14:textId="77777777" w:rsidR="006A1227" w:rsidRPr="00040AA9" w:rsidRDefault="006A1227" w:rsidP="00040AA9">
            <w:pPr>
              <w:suppressAutoHyphens/>
              <w:jc w:val="center"/>
              <w:rPr>
                <w:rFonts w:ascii="Arial" w:hAnsi="Arial" w:cs="Arial"/>
                <w:sz w:val="20"/>
                <w:szCs w:val="20"/>
              </w:rPr>
            </w:pPr>
          </w:p>
          <w:p w14:paraId="46D12BAF" w14:textId="77777777" w:rsidR="006A1227" w:rsidRPr="00040AA9" w:rsidRDefault="006A1227" w:rsidP="00040AA9">
            <w:pPr>
              <w:suppressAutoHyphens/>
              <w:jc w:val="center"/>
              <w:rPr>
                <w:rFonts w:ascii="Arial" w:hAnsi="Arial" w:cs="Arial"/>
                <w:sz w:val="20"/>
                <w:szCs w:val="20"/>
              </w:rPr>
            </w:pPr>
          </w:p>
          <w:p w14:paraId="60665E50" w14:textId="3AD3D3AE" w:rsidR="007B55FA" w:rsidRPr="00040AA9" w:rsidRDefault="00186A19" w:rsidP="00040AA9">
            <w:pPr>
              <w:suppressAutoHyphens/>
              <w:jc w:val="center"/>
              <w:rPr>
                <w:rFonts w:ascii="Arial" w:hAnsi="Arial" w:cs="Arial"/>
                <w:sz w:val="20"/>
                <w:szCs w:val="20"/>
              </w:rPr>
            </w:pPr>
            <w:r w:rsidRPr="00040AA9">
              <w:rPr>
                <w:rFonts w:ascii="Arial" w:hAnsi="Arial" w:cs="Arial"/>
                <w:sz w:val="20"/>
                <w:szCs w:val="20"/>
              </w:rPr>
              <w:t>100%</w:t>
            </w:r>
            <w:r w:rsidR="007B55FA" w:rsidRPr="00040AA9">
              <w:rPr>
                <w:rFonts w:ascii="Arial" w:hAnsi="Arial" w:cs="Arial"/>
                <w:sz w:val="20"/>
                <w:szCs w:val="20"/>
              </w:rPr>
              <w:br/>
            </w:r>
          </w:p>
        </w:tc>
        <w:tc>
          <w:tcPr>
            <w:tcW w:w="5027" w:type="dxa"/>
            <w:shd w:val="clear" w:color="auto" w:fill="auto"/>
          </w:tcPr>
          <w:p w14:paraId="523D0298" w14:textId="34D7DC1B"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listing all the self and non-self-financing P</w:t>
            </w:r>
            <w:r w:rsidR="00800210">
              <w:rPr>
                <w:rFonts w:ascii="Arial" w:hAnsi="Arial" w:cs="Arial"/>
                <w:sz w:val="20"/>
                <w:szCs w:val="20"/>
              </w:rPr>
              <w:t>Bs</w:t>
            </w:r>
            <w:r w:rsidRPr="00040AA9">
              <w:rPr>
                <w:rFonts w:ascii="Arial" w:hAnsi="Arial" w:cs="Arial"/>
                <w:sz w:val="20"/>
                <w:szCs w:val="20"/>
              </w:rPr>
              <w:t xml:space="preserve"> which submitted the annual Report with Financial Statement audited FY 2013/2014 [and FY 2015/16]</w:t>
            </w:r>
          </w:p>
        </w:tc>
      </w:tr>
      <w:tr w:rsidR="007B55FA" w:rsidRPr="00CF5903" w14:paraId="598CA91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57FF738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DFFA854"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3E997C0"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36F76B1"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26294B4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938C61F"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32154E02"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65E65C9" w14:textId="77777777" w:rsidR="007B55FA" w:rsidRPr="00040AA9" w:rsidRDefault="007B55FA" w:rsidP="00040AA9">
            <w:pPr>
              <w:suppressAutoHyphens/>
              <w:rPr>
                <w:rFonts w:ascii="Arial" w:hAnsi="Arial" w:cs="Arial"/>
                <w:sz w:val="20"/>
                <w:szCs w:val="20"/>
              </w:rPr>
            </w:pPr>
          </w:p>
        </w:tc>
      </w:tr>
      <w:tr w:rsidR="007B55FA" w:rsidRPr="00CF5903" w14:paraId="08D1426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6"/>
          <w:jc w:val="center"/>
        </w:trPr>
        <w:tc>
          <w:tcPr>
            <w:tcW w:w="2556" w:type="dxa"/>
            <w:vMerge/>
            <w:shd w:val="clear" w:color="auto" w:fill="auto"/>
            <w:hideMark/>
          </w:tcPr>
          <w:p w14:paraId="04407489"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7C36BAF"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F06F017"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8358231" w14:textId="77777777" w:rsidR="007B55FA" w:rsidRPr="00040AA9" w:rsidRDefault="007B55FA" w:rsidP="00040AA9">
            <w:pPr>
              <w:suppressAutoHyphens/>
              <w:rPr>
                <w:rFonts w:ascii="Arial" w:hAnsi="Arial" w:cs="Arial"/>
                <w:sz w:val="20"/>
                <w:szCs w:val="20"/>
              </w:rPr>
            </w:pPr>
          </w:p>
        </w:tc>
        <w:tc>
          <w:tcPr>
            <w:tcW w:w="594" w:type="dxa"/>
            <w:vMerge w:val="restart"/>
            <w:shd w:val="clear" w:color="auto" w:fill="auto"/>
            <w:hideMark/>
          </w:tcPr>
          <w:p w14:paraId="27D0517E" w14:textId="77777777" w:rsidR="007B55FA" w:rsidRPr="00040AA9" w:rsidRDefault="007B55FA" w:rsidP="00040AA9">
            <w:pPr>
              <w:suppressAutoHyphens/>
              <w:rPr>
                <w:rFonts w:ascii="Arial" w:hAnsi="Arial" w:cs="Arial"/>
                <w:sz w:val="20"/>
                <w:szCs w:val="20"/>
              </w:rPr>
            </w:pPr>
          </w:p>
          <w:p w14:paraId="5A7A1F09" w14:textId="77777777" w:rsidR="007B55FA" w:rsidRPr="00040AA9" w:rsidRDefault="007B55FA" w:rsidP="00040AA9">
            <w:pPr>
              <w:suppressAutoHyphens/>
              <w:rPr>
                <w:rFonts w:ascii="Arial" w:hAnsi="Arial" w:cs="Arial"/>
                <w:sz w:val="20"/>
                <w:szCs w:val="20"/>
              </w:rPr>
            </w:pPr>
          </w:p>
          <w:p w14:paraId="1A058FD0" w14:textId="77777777" w:rsidR="007B55FA" w:rsidRPr="00040AA9" w:rsidRDefault="007B55FA" w:rsidP="00040AA9">
            <w:pPr>
              <w:suppressAutoHyphens/>
              <w:rPr>
                <w:rFonts w:ascii="Arial" w:hAnsi="Arial" w:cs="Arial"/>
                <w:sz w:val="20"/>
                <w:szCs w:val="20"/>
              </w:rPr>
            </w:pPr>
          </w:p>
          <w:p w14:paraId="626AD57C" w14:textId="77777777" w:rsidR="007B55FA" w:rsidRPr="00040AA9" w:rsidRDefault="007B55FA" w:rsidP="00040AA9">
            <w:pPr>
              <w:suppressAutoHyphens/>
              <w:rPr>
                <w:rFonts w:ascii="Arial" w:hAnsi="Arial" w:cs="Arial"/>
                <w:sz w:val="20"/>
                <w:szCs w:val="20"/>
              </w:rPr>
            </w:pPr>
          </w:p>
          <w:p w14:paraId="378CD55B" w14:textId="77777777" w:rsidR="007B55FA" w:rsidRPr="00040AA9" w:rsidRDefault="007B55FA" w:rsidP="00040AA9">
            <w:pPr>
              <w:suppressAutoHyphens/>
              <w:rPr>
                <w:rFonts w:ascii="Arial" w:hAnsi="Arial" w:cs="Arial"/>
                <w:sz w:val="20"/>
                <w:szCs w:val="20"/>
              </w:rPr>
            </w:pPr>
          </w:p>
          <w:p w14:paraId="30E1DFB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vMerge w:val="restart"/>
            <w:shd w:val="clear" w:color="auto" w:fill="auto"/>
          </w:tcPr>
          <w:p w14:paraId="644F8F1F" w14:textId="77777777" w:rsidR="007B55FA" w:rsidRPr="00040AA9" w:rsidRDefault="007B55FA" w:rsidP="00040AA9">
            <w:pPr>
              <w:suppressAutoHyphens/>
              <w:jc w:val="center"/>
              <w:rPr>
                <w:rFonts w:ascii="Arial" w:hAnsi="Arial" w:cs="Arial"/>
                <w:sz w:val="20"/>
                <w:szCs w:val="20"/>
              </w:rPr>
            </w:pPr>
          </w:p>
          <w:p w14:paraId="47D63254" w14:textId="77777777" w:rsidR="007B55FA" w:rsidRPr="00040AA9" w:rsidRDefault="007B55FA" w:rsidP="00040AA9">
            <w:pPr>
              <w:suppressAutoHyphens/>
              <w:jc w:val="center"/>
              <w:rPr>
                <w:rFonts w:ascii="Arial" w:hAnsi="Arial" w:cs="Arial"/>
                <w:sz w:val="20"/>
                <w:szCs w:val="20"/>
              </w:rPr>
            </w:pPr>
          </w:p>
          <w:p w14:paraId="7F5590AF" w14:textId="77777777" w:rsidR="007B55FA" w:rsidRPr="00040AA9" w:rsidRDefault="007B55FA" w:rsidP="00040AA9">
            <w:pPr>
              <w:suppressAutoHyphens/>
              <w:jc w:val="center"/>
              <w:rPr>
                <w:rFonts w:ascii="Arial" w:hAnsi="Arial" w:cs="Arial"/>
                <w:sz w:val="20"/>
                <w:szCs w:val="20"/>
              </w:rPr>
            </w:pPr>
          </w:p>
          <w:p w14:paraId="109C976B" w14:textId="77777777" w:rsidR="007B55FA" w:rsidRPr="00040AA9" w:rsidRDefault="007B55FA" w:rsidP="00040AA9">
            <w:pPr>
              <w:suppressAutoHyphens/>
              <w:jc w:val="center"/>
              <w:rPr>
                <w:rFonts w:ascii="Arial" w:hAnsi="Arial" w:cs="Arial"/>
                <w:sz w:val="20"/>
                <w:szCs w:val="20"/>
              </w:rPr>
            </w:pPr>
          </w:p>
          <w:p w14:paraId="62699180" w14:textId="77777777" w:rsidR="007B55FA" w:rsidRPr="00040AA9" w:rsidRDefault="007B55FA" w:rsidP="00040AA9">
            <w:pPr>
              <w:suppressAutoHyphens/>
              <w:jc w:val="center"/>
              <w:rPr>
                <w:rFonts w:ascii="Arial" w:hAnsi="Arial" w:cs="Arial"/>
                <w:sz w:val="20"/>
                <w:szCs w:val="20"/>
              </w:rPr>
            </w:pPr>
          </w:p>
          <w:p w14:paraId="06FFCD1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w:t>
            </w:r>
          </w:p>
          <w:p w14:paraId="1E6BD34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(2016/17)</w:t>
            </w:r>
          </w:p>
          <w:p w14:paraId="29954886" w14:textId="77777777" w:rsidR="007B55FA" w:rsidRPr="00040AA9" w:rsidRDefault="007B55FA" w:rsidP="00040AA9">
            <w:pPr>
              <w:suppressAutoHyphens/>
              <w:jc w:val="center"/>
              <w:rPr>
                <w:rFonts w:ascii="Arial" w:hAnsi="Arial" w:cs="Arial"/>
                <w:sz w:val="20"/>
                <w:szCs w:val="20"/>
              </w:rPr>
            </w:pPr>
          </w:p>
          <w:p w14:paraId="5F0C0E9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consisting of</w:t>
            </w:r>
          </w:p>
          <w:p w14:paraId="6C980BB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00593E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p w14:paraId="11075EC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2CBE70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shd w:val="clear" w:color="auto" w:fill="auto"/>
            <w:hideMark/>
          </w:tcPr>
          <w:p w14:paraId="436B2FF1"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21B0B11" w14:textId="08539A1C" w:rsidR="007B55FA" w:rsidRPr="00040AA9" w:rsidRDefault="007B55FA" w:rsidP="00040AA9">
            <w:pPr>
              <w:suppressAutoHyphens/>
              <w:rPr>
                <w:rFonts w:ascii="Arial" w:hAnsi="Arial" w:cs="Arial"/>
                <w:sz w:val="20"/>
                <w:szCs w:val="20"/>
              </w:rPr>
            </w:pPr>
            <w:r w:rsidRPr="00040AA9">
              <w:rPr>
                <w:rFonts w:ascii="Arial" w:hAnsi="Arial" w:cs="Arial"/>
                <w:sz w:val="20"/>
                <w:szCs w:val="20"/>
              </w:rPr>
              <w:t>- Official letter from FS to Bank dated May 27, 2015 (part III.3.b) providing evidence of compliance with section2.03(c) of the FISPEG II loan contract by way of providing a list of self-financing PBs that submitted the annual reports including audited financial statements for FY 2013/14 within the agreed six</w:t>
            </w:r>
            <w:r w:rsidR="00EC16CF">
              <w:rPr>
                <w:rFonts w:ascii="Arial" w:hAnsi="Arial" w:cs="Arial"/>
                <w:sz w:val="20"/>
                <w:szCs w:val="20"/>
              </w:rPr>
              <w:t>-</w:t>
            </w:r>
            <w:r w:rsidRPr="00040AA9">
              <w:rPr>
                <w:rFonts w:ascii="Arial" w:hAnsi="Arial" w:cs="Arial"/>
                <w:sz w:val="20"/>
                <w:szCs w:val="20"/>
              </w:rPr>
              <w:t>month time period.</w:t>
            </w:r>
            <w:r w:rsidRPr="00040AA9">
              <w:rPr>
                <w:rStyle w:val="FootnoteReference"/>
                <w:rFonts w:ascii="Arial" w:hAnsi="Arial" w:cs="Arial"/>
                <w:sz w:val="20"/>
                <w:szCs w:val="20"/>
              </w:rPr>
              <w:footnoteReference w:id="120"/>
            </w:r>
          </w:p>
        </w:tc>
      </w:tr>
      <w:tr w:rsidR="007B55FA" w:rsidRPr="00CF5903" w14:paraId="1B877CE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2"/>
          <w:jc w:val="center"/>
        </w:trPr>
        <w:tc>
          <w:tcPr>
            <w:tcW w:w="2556" w:type="dxa"/>
            <w:vMerge/>
            <w:shd w:val="clear" w:color="auto" w:fill="auto"/>
          </w:tcPr>
          <w:p w14:paraId="5EED7861"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573010F5" w14:textId="77777777" w:rsidR="007B55FA" w:rsidRPr="00040AA9" w:rsidRDefault="007B55FA" w:rsidP="00040AA9">
            <w:pPr>
              <w:suppressAutoHyphens/>
              <w:rPr>
                <w:rFonts w:ascii="Arial" w:hAnsi="Arial" w:cs="Arial"/>
                <w:sz w:val="20"/>
                <w:szCs w:val="20"/>
              </w:rPr>
            </w:pPr>
          </w:p>
        </w:tc>
        <w:tc>
          <w:tcPr>
            <w:tcW w:w="774" w:type="dxa"/>
            <w:vMerge/>
            <w:shd w:val="clear" w:color="auto" w:fill="auto"/>
          </w:tcPr>
          <w:p w14:paraId="6A075A2C" w14:textId="77777777" w:rsidR="007B55FA" w:rsidRPr="00040AA9" w:rsidRDefault="007B55FA" w:rsidP="00040AA9">
            <w:pPr>
              <w:suppressAutoHyphens/>
              <w:rPr>
                <w:rFonts w:ascii="Arial" w:hAnsi="Arial" w:cs="Arial"/>
                <w:sz w:val="20"/>
                <w:szCs w:val="20"/>
              </w:rPr>
            </w:pPr>
          </w:p>
        </w:tc>
        <w:tc>
          <w:tcPr>
            <w:tcW w:w="939" w:type="dxa"/>
            <w:vMerge/>
            <w:shd w:val="clear" w:color="auto" w:fill="auto"/>
          </w:tcPr>
          <w:p w14:paraId="371B3BA7" w14:textId="77777777" w:rsidR="007B55FA" w:rsidRPr="00040AA9" w:rsidRDefault="007B55FA" w:rsidP="00040AA9">
            <w:pPr>
              <w:suppressAutoHyphens/>
              <w:rPr>
                <w:rFonts w:ascii="Arial" w:hAnsi="Arial" w:cs="Arial"/>
                <w:sz w:val="20"/>
                <w:szCs w:val="20"/>
              </w:rPr>
            </w:pPr>
          </w:p>
        </w:tc>
        <w:tc>
          <w:tcPr>
            <w:tcW w:w="594" w:type="dxa"/>
            <w:vMerge/>
            <w:shd w:val="clear" w:color="auto" w:fill="auto"/>
          </w:tcPr>
          <w:p w14:paraId="2ACC3E33" w14:textId="77777777" w:rsidR="007B55FA" w:rsidRPr="00040AA9" w:rsidRDefault="007B55FA" w:rsidP="00040AA9">
            <w:pPr>
              <w:suppressAutoHyphens/>
              <w:rPr>
                <w:rFonts w:ascii="Arial" w:hAnsi="Arial" w:cs="Arial"/>
                <w:sz w:val="20"/>
                <w:szCs w:val="20"/>
              </w:rPr>
            </w:pPr>
          </w:p>
        </w:tc>
        <w:tc>
          <w:tcPr>
            <w:tcW w:w="1003" w:type="dxa"/>
            <w:vMerge/>
            <w:shd w:val="clear" w:color="auto" w:fill="auto"/>
          </w:tcPr>
          <w:p w14:paraId="787AFDC5" w14:textId="77777777" w:rsidR="007B55FA" w:rsidRPr="00040AA9" w:rsidRDefault="007B55FA" w:rsidP="00040AA9">
            <w:pPr>
              <w:suppressAutoHyphens/>
              <w:rPr>
                <w:rFonts w:ascii="Arial" w:hAnsi="Arial" w:cs="Arial"/>
                <w:sz w:val="20"/>
                <w:szCs w:val="20"/>
              </w:rPr>
            </w:pPr>
          </w:p>
        </w:tc>
        <w:tc>
          <w:tcPr>
            <w:tcW w:w="1106" w:type="dxa"/>
            <w:vMerge/>
            <w:shd w:val="clear" w:color="auto" w:fill="auto"/>
          </w:tcPr>
          <w:p w14:paraId="21666734"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091FA73" w14:textId="105B201C" w:rsidR="007B55FA" w:rsidRPr="00040AA9" w:rsidRDefault="007B55FA" w:rsidP="00040AA9">
            <w:pPr>
              <w:suppressAutoHyphens/>
              <w:rPr>
                <w:rFonts w:ascii="Arial" w:hAnsi="Arial" w:cs="Arial"/>
                <w:sz w:val="20"/>
                <w:szCs w:val="20"/>
              </w:rPr>
            </w:pPr>
            <w:r w:rsidRPr="00040AA9">
              <w:rPr>
                <w:rFonts w:ascii="Arial" w:hAnsi="Arial" w:cs="Arial"/>
                <w:sz w:val="20"/>
                <w:szCs w:val="20"/>
              </w:rPr>
              <w:t>- Separate PED report submitted to Bank as of June 1, 2016 on Status of submission of Annual Reports for FY</w:t>
            </w:r>
            <w:r w:rsidR="00167DE5">
              <w:rPr>
                <w:rFonts w:ascii="Arial" w:hAnsi="Arial" w:cs="Arial"/>
                <w:sz w:val="20"/>
                <w:szCs w:val="20"/>
              </w:rPr>
              <w:t> </w:t>
            </w:r>
            <w:r w:rsidRPr="00040AA9">
              <w:rPr>
                <w:rFonts w:ascii="Arial" w:hAnsi="Arial" w:cs="Arial"/>
                <w:sz w:val="20"/>
                <w:szCs w:val="20"/>
              </w:rPr>
              <w:t xml:space="preserve">2014/15 </w:t>
            </w:r>
          </w:p>
        </w:tc>
      </w:tr>
      <w:tr w:rsidR="007B55FA" w:rsidRPr="00CF5903" w14:paraId="3492C92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8"/>
          <w:jc w:val="center"/>
        </w:trPr>
        <w:tc>
          <w:tcPr>
            <w:tcW w:w="2556" w:type="dxa"/>
            <w:vMerge/>
            <w:shd w:val="clear" w:color="auto" w:fill="auto"/>
          </w:tcPr>
          <w:p w14:paraId="37CF6869"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2AE54A5B" w14:textId="77777777" w:rsidR="007B55FA" w:rsidRPr="00040AA9" w:rsidRDefault="007B55FA" w:rsidP="00040AA9">
            <w:pPr>
              <w:suppressAutoHyphens/>
              <w:rPr>
                <w:rFonts w:ascii="Arial" w:hAnsi="Arial" w:cs="Arial"/>
                <w:sz w:val="20"/>
                <w:szCs w:val="20"/>
              </w:rPr>
            </w:pPr>
          </w:p>
        </w:tc>
        <w:tc>
          <w:tcPr>
            <w:tcW w:w="774" w:type="dxa"/>
            <w:vMerge/>
            <w:shd w:val="clear" w:color="auto" w:fill="auto"/>
          </w:tcPr>
          <w:p w14:paraId="3962401A" w14:textId="77777777" w:rsidR="007B55FA" w:rsidRPr="00040AA9" w:rsidRDefault="007B55FA" w:rsidP="00040AA9">
            <w:pPr>
              <w:suppressAutoHyphens/>
              <w:rPr>
                <w:rFonts w:ascii="Arial" w:hAnsi="Arial" w:cs="Arial"/>
                <w:sz w:val="20"/>
                <w:szCs w:val="20"/>
              </w:rPr>
            </w:pPr>
          </w:p>
        </w:tc>
        <w:tc>
          <w:tcPr>
            <w:tcW w:w="939" w:type="dxa"/>
            <w:vMerge/>
            <w:shd w:val="clear" w:color="auto" w:fill="auto"/>
          </w:tcPr>
          <w:p w14:paraId="09420462" w14:textId="77777777" w:rsidR="007B55FA" w:rsidRPr="00040AA9" w:rsidRDefault="007B55FA" w:rsidP="00040AA9">
            <w:pPr>
              <w:suppressAutoHyphens/>
              <w:rPr>
                <w:rFonts w:ascii="Arial" w:hAnsi="Arial" w:cs="Arial"/>
                <w:sz w:val="20"/>
                <w:szCs w:val="20"/>
              </w:rPr>
            </w:pPr>
          </w:p>
        </w:tc>
        <w:tc>
          <w:tcPr>
            <w:tcW w:w="594" w:type="dxa"/>
            <w:vMerge/>
            <w:shd w:val="clear" w:color="auto" w:fill="auto"/>
          </w:tcPr>
          <w:p w14:paraId="44AEDC66" w14:textId="77777777" w:rsidR="007B55FA" w:rsidRPr="00040AA9" w:rsidRDefault="007B55FA" w:rsidP="00040AA9">
            <w:pPr>
              <w:suppressAutoHyphens/>
              <w:rPr>
                <w:rFonts w:ascii="Arial" w:hAnsi="Arial" w:cs="Arial"/>
                <w:sz w:val="20"/>
                <w:szCs w:val="20"/>
              </w:rPr>
            </w:pPr>
          </w:p>
        </w:tc>
        <w:tc>
          <w:tcPr>
            <w:tcW w:w="1003" w:type="dxa"/>
            <w:vMerge/>
            <w:shd w:val="clear" w:color="auto" w:fill="auto"/>
          </w:tcPr>
          <w:p w14:paraId="034A02C2" w14:textId="77777777" w:rsidR="007B55FA" w:rsidRPr="00040AA9" w:rsidRDefault="007B55FA" w:rsidP="00040AA9">
            <w:pPr>
              <w:suppressAutoHyphens/>
              <w:rPr>
                <w:rFonts w:ascii="Arial" w:hAnsi="Arial" w:cs="Arial"/>
                <w:sz w:val="20"/>
                <w:szCs w:val="20"/>
              </w:rPr>
            </w:pPr>
          </w:p>
        </w:tc>
        <w:tc>
          <w:tcPr>
            <w:tcW w:w="1106" w:type="dxa"/>
            <w:vMerge/>
            <w:shd w:val="clear" w:color="auto" w:fill="auto"/>
          </w:tcPr>
          <w:p w14:paraId="49588DD0"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5454D63" w14:textId="40D7389E" w:rsidR="007B55FA" w:rsidRPr="00040AA9" w:rsidRDefault="007B55FA" w:rsidP="00040AA9">
            <w:pPr>
              <w:suppressAutoHyphens/>
              <w:rPr>
                <w:rFonts w:ascii="Arial" w:hAnsi="Arial" w:cs="Arial"/>
                <w:sz w:val="20"/>
                <w:szCs w:val="20"/>
              </w:rPr>
            </w:pPr>
            <w:r w:rsidRPr="00040AA9">
              <w:rPr>
                <w:rFonts w:ascii="Arial" w:hAnsi="Arial" w:cs="Arial"/>
                <w:sz w:val="20"/>
                <w:szCs w:val="20"/>
              </w:rPr>
              <w:t>- Update (as of Feb. 2017) of PED report on “Submission of Annual Reports to Parent Ministries FY2015/16”</w:t>
            </w:r>
          </w:p>
        </w:tc>
      </w:tr>
      <w:tr w:rsidR="007B55FA" w:rsidRPr="00CF5903" w14:paraId="09377F9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7E3C909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III.3.3</w:t>
            </w:r>
          </w:p>
          <w:p w14:paraId="748421D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Self-financing PBs Report with Financial Statement submitted on time. </w:t>
            </w:r>
          </w:p>
          <w:p w14:paraId="0C12EA1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III – product 3.3,</w:t>
            </w:r>
          </w:p>
          <w:p w14:paraId="4CAAEB4A"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2.03.II.(c))</w:t>
            </w:r>
          </w:p>
        </w:tc>
        <w:tc>
          <w:tcPr>
            <w:tcW w:w="860" w:type="dxa"/>
            <w:vMerge w:val="restart"/>
            <w:shd w:val="clear" w:color="auto" w:fill="auto"/>
            <w:vAlign w:val="center"/>
          </w:tcPr>
          <w:p w14:paraId="5411508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Report</w:t>
            </w:r>
          </w:p>
        </w:tc>
        <w:tc>
          <w:tcPr>
            <w:tcW w:w="774" w:type="dxa"/>
            <w:vMerge w:val="restart"/>
            <w:shd w:val="clear" w:color="auto" w:fill="auto"/>
          </w:tcPr>
          <w:p w14:paraId="374BDC75" w14:textId="77777777" w:rsidR="007B55FA" w:rsidRPr="00040AA9" w:rsidRDefault="007B55FA" w:rsidP="00040AA9">
            <w:pPr>
              <w:suppressAutoHyphens/>
              <w:jc w:val="center"/>
              <w:rPr>
                <w:rFonts w:ascii="Arial" w:hAnsi="Arial" w:cs="Arial"/>
                <w:sz w:val="20"/>
                <w:szCs w:val="20"/>
              </w:rPr>
            </w:pPr>
          </w:p>
        </w:tc>
        <w:tc>
          <w:tcPr>
            <w:tcW w:w="939" w:type="dxa"/>
            <w:vMerge w:val="restart"/>
            <w:shd w:val="clear" w:color="auto" w:fill="auto"/>
          </w:tcPr>
          <w:p w14:paraId="745546EC" w14:textId="77777777" w:rsidR="007B55FA" w:rsidRPr="00040AA9" w:rsidRDefault="007B55FA" w:rsidP="00040AA9">
            <w:pPr>
              <w:suppressAutoHyphens/>
              <w:jc w:val="center"/>
              <w:rPr>
                <w:rFonts w:ascii="Arial" w:hAnsi="Arial" w:cs="Arial"/>
                <w:sz w:val="20"/>
                <w:szCs w:val="20"/>
              </w:rPr>
            </w:pPr>
          </w:p>
          <w:p w14:paraId="068EC473" w14:textId="77777777" w:rsidR="007B55FA" w:rsidRPr="00040AA9" w:rsidRDefault="007B55FA" w:rsidP="00040AA9">
            <w:pPr>
              <w:suppressAutoHyphens/>
              <w:jc w:val="center"/>
              <w:rPr>
                <w:rFonts w:ascii="Arial" w:hAnsi="Arial" w:cs="Arial"/>
                <w:sz w:val="20"/>
                <w:szCs w:val="20"/>
              </w:rPr>
            </w:pPr>
          </w:p>
          <w:p w14:paraId="2E1314D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D145F1E" w14:textId="77777777" w:rsidR="007B55FA" w:rsidRPr="00040AA9" w:rsidRDefault="007B55FA" w:rsidP="00040AA9">
            <w:pPr>
              <w:suppressAutoHyphens/>
              <w:jc w:val="center"/>
              <w:rPr>
                <w:rFonts w:ascii="Arial" w:hAnsi="Arial" w:cs="Arial"/>
                <w:sz w:val="20"/>
                <w:szCs w:val="20"/>
              </w:rPr>
            </w:pPr>
          </w:p>
          <w:p w14:paraId="0191CCE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16E8CF0" w14:textId="77777777" w:rsidR="007B55FA" w:rsidRPr="00040AA9" w:rsidRDefault="007B55FA" w:rsidP="00040AA9">
            <w:pPr>
              <w:suppressAutoHyphens/>
              <w:jc w:val="center"/>
              <w:rPr>
                <w:rFonts w:ascii="Arial" w:hAnsi="Arial" w:cs="Arial"/>
                <w:sz w:val="20"/>
                <w:szCs w:val="20"/>
              </w:rPr>
            </w:pPr>
          </w:p>
          <w:p w14:paraId="1921B6E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3D73319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(2013/14 on)</w:t>
            </w:r>
          </w:p>
        </w:tc>
        <w:tc>
          <w:tcPr>
            <w:tcW w:w="1106" w:type="dxa"/>
            <w:vMerge w:val="restart"/>
            <w:shd w:val="clear" w:color="auto" w:fill="auto"/>
            <w:vAlign w:val="center"/>
          </w:tcPr>
          <w:p w14:paraId="0742F82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2F36B8C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listing all the self-financing PBs which submitted the annual Report with Financial Statement.</w:t>
            </w:r>
          </w:p>
        </w:tc>
      </w:tr>
      <w:tr w:rsidR="007B55FA" w:rsidRPr="00CF5903" w14:paraId="2516866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3126AF01"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4148976"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12EA5461"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2B3BEEA"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04B0014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6F2D0A2E"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2DEC724F"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2EA143E" w14:textId="77777777" w:rsidR="007B55FA" w:rsidRPr="00040AA9" w:rsidRDefault="007B55FA" w:rsidP="00040AA9">
            <w:pPr>
              <w:suppressAutoHyphens/>
              <w:rPr>
                <w:rFonts w:ascii="Arial" w:hAnsi="Arial" w:cs="Arial"/>
                <w:sz w:val="20"/>
                <w:szCs w:val="20"/>
              </w:rPr>
            </w:pPr>
          </w:p>
        </w:tc>
      </w:tr>
      <w:tr w:rsidR="007B55FA" w:rsidRPr="00CF5903" w14:paraId="6C3E98A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tcBorders>
              <w:bottom w:val="single" w:sz="4" w:space="0" w:color="auto"/>
            </w:tcBorders>
            <w:shd w:val="clear" w:color="auto" w:fill="auto"/>
            <w:hideMark/>
          </w:tcPr>
          <w:p w14:paraId="6C2F3F43"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6B9AD45D"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2DD1EAB3"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692592B1"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61797CF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0CBB384B" w14:textId="77777777" w:rsidR="007B55FA" w:rsidRPr="00040AA9" w:rsidRDefault="007B55FA" w:rsidP="00040AA9">
            <w:pPr>
              <w:suppressAutoHyphens/>
              <w:jc w:val="center"/>
              <w:rPr>
                <w:rFonts w:ascii="Arial" w:hAnsi="Arial" w:cs="Arial"/>
                <w:sz w:val="20"/>
                <w:szCs w:val="20"/>
              </w:rPr>
            </w:pPr>
          </w:p>
          <w:p w14:paraId="056B49B3" w14:textId="77777777" w:rsidR="007B55FA" w:rsidRPr="00040AA9" w:rsidRDefault="007B55FA" w:rsidP="00040AA9">
            <w:pPr>
              <w:suppressAutoHyphens/>
              <w:jc w:val="center"/>
              <w:rPr>
                <w:rFonts w:ascii="Arial" w:hAnsi="Arial" w:cs="Arial"/>
                <w:sz w:val="20"/>
                <w:szCs w:val="20"/>
              </w:rPr>
            </w:pPr>
          </w:p>
          <w:p w14:paraId="7FF7113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45B9BB5" w14:textId="31FA79A0"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r w:rsidRPr="00040AA9">
              <w:rPr>
                <w:rStyle w:val="FootnoteReference"/>
                <w:rFonts w:ascii="Arial" w:hAnsi="Arial" w:cs="Arial"/>
                <w:sz w:val="20"/>
                <w:szCs w:val="20"/>
              </w:rPr>
              <w:footnoteReference w:id="121"/>
            </w:r>
          </w:p>
        </w:tc>
        <w:tc>
          <w:tcPr>
            <w:tcW w:w="1106" w:type="dxa"/>
            <w:vMerge/>
            <w:tcBorders>
              <w:bottom w:val="single" w:sz="4" w:space="0" w:color="auto"/>
            </w:tcBorders>
            <w:shd w:val="clear" w:color="auto" w:fill="auto"/>
            <w:hideMark/>
          </w:tcPr>
          <w:p w14:paraId="09714201"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58FDCC45" w14:textId="12EB8128"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167DE5">
              <w:rPr>
                <w:rFonts w:ascii="Arial" w:hAnsi="Arial" w:cs="Arial"/>
                <w:sz w:val="20"/>
                <w:szCs w:val="20"/>
              </w:rPr>
              <w:t>S t</w:t>
            </w:r>
            <w:r w:rsidRPr="00040AA9">
              <w:rPr>
                <w:rFonts w:ascii="Arial" w:hAnsi="Arial" w:cs="Arial"/>
                <w:sz w:val="20"/>
                <w:szCs w:val="20"/>
              </w:rPr>
              <w:t xml:space="preserve">o the Bank dated Nov. 8, 2016 (part III.3.c) providing evidence of compliance with section 2.03.II.(c) of the FISPEG III loan contract by way certifying that the </w:t>
            </w:r>
            <w:proofErr w:type="spellStart"/>
            <w:r w:rsidRPr="00040AA9">
              <w:rPr>
                <w:rFonts w:ascii="Arial" w:hAnsi="Arial" w:cs="Arial"/>
                <w:sz w:val="20"/>
                <w:szCs w:val="20"/>
              </w:rPr>
              <w:t>GoJ</w:t>
            </w:r>
            <w:proofErr w:type="spellEnd"/>
            <w:r w:rsidRPr="00040AA9">
              <w:rPr>
                <w:rFonts w:ascii="Arial" w:hAnsi="Arial" w:cs="Arial"/>
                <w:sz w:val="20"/>
                <w:szCs w:val="20"/>
              </w:rPr>
              <w:t xml:space="preserve"> is continuing to strengthen accountability and transparency of PBs by demonstrating improvement in the proportion of PBs presenting their annual reports within the stipulated time period. </w:t>
            </w:r>
            <w:r w:rsidRPr="00040AA9">
              <w:rPr>
                <w:rStyle w:val="FootnoteReference"/>
                <w:rFonts w:ascii="Arial" w:hAnsi="Arial" w:cs="Arial"/>
                <w:sz w:val="20"/>
                <w:szCs w:val="20"/>
              </w:rPr>
              <w:footnoteReference w:id="122"/>
            </w:r>
          </w:p>
        </w:tc>
      </w:tr>
      <w:tr w:rsidR="007B55FA" w:rsidRPr="00CF5903" w14:paraId="0C9EA084" w14:textId="77777777" w:rsidTr="004511CC">
        <w:trPr>
          <w:jc w:val="center"/>
        </w:trPr>
        <w:tc>
          <w:tcPr>
            <w:tcW w:w="12859" w:type="dxa"/>
            <w:gridSpan w:val="8"/>
            <w:tcBorders>
              <w:bottom w:val="single" w:sz="4" w:space="0" w:color="auto"/>
            </w:tcBorders>
            <w:shd w:val="clear" w:color="auto" w:fill="F2F2F2" w:themeFill="background1" w:themeFillShade="F2"/>
          </w:tcPr>
          <w:p w14:paraId="3872ADCF" w14:textId="2EC538C5" w:rsidR="007B55FA" w:rsidRPr="00040AA9" w:rsidRDefault="007B55FA" w:rsidP="00040AA9">
            <w:pPr>
              <w:keepNext/>
              <w:keepLines/>
              <w:suppressAutoHyphens/>
              <w:rPr>
                <w:rFonts w:ascii="Arial" w:hAnsi="Arial" w:cs="Arial"/>
                <w:b/>
                <w:sz w:val="20"/>
                <w:szCs w:val="20"/>
              </w:rPr>
            </w:pPr>
            <w:r w:rsidRPr="00040AA9">
              <w:rPr>
                <w:rFonts w:ascii="Arial" w:hAnsi="Arial" w:cs="Arial"/>
                <w:b/>
                <w:sz w:val="20"/>
                <w:szCs w:val="20"/>
              </w:rPr>
              <w:t>Output III.4. P</w:t>
            </w:r>
            <w:r w:rsidR="00800210">
              <w:rPr>
                <w:rFonts w:ascii="Arial" w:hAnsi="Arial" w:cs="Arial"/>
                <w:b/>
                <w:sz w:val="20"/>
                <w:szCs w:val="20"/>
              </w:rPr>
              <w:t>Bs Da</w:t>
            </w:r>
            <w:r w:rsidRPr="00040AA9">
              <w:rPr>
                <w:rFonts w:ascii="Arial" w:hAnsi="Arial" w:cs="Arial"/>
                <w:b/>
                <w:sz w:val="20"/>
                <w:szCs w:val="20"/>
              </w:rPr>
              <w:t>tabase System</w:t>
            </w:r>
          </w:p>
        </w:tc>
      </w:tr>
      <w:tr w:rsidR="007B55FA" w:rsidRPr="00CF5903" w14:paraId="52F3D4BE" w14:textId="77777777" w:rsidTr="004511CC">
        <w:trPr>
          <w:trHeight w:val="1916"/>
          <w:jc w:val="center"/>
        </w:trPr>
        <w:tc>
          <w:tcPr>
            <w:tcW w:w="25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808F4B" w14:textId="77777777" w:rsidR="007B55FA" w:rsidRPr="003606E2" w:rsidRDefault="007B55FA" w:rsidP="00040AA9">
            <w:pPr>
              <w:suppressAutoHyphens/>
              <w:rPr>
                <w:rFonts w:ascii="Arial" w:hAnsi="Arial" w:cs="Arial"/>
                <w:sz w:val="20"/>
                <w:szCs w:val="20"/>
              </w:rPr>
            </w:pPr>
            <w:r w:rsidRPr="003606E2">
              <w:rPr>
                <w:rFonts w:ascii="Arial" w:hAnsi="Arial" w:cs="Arial"/>
                <w:sz w:val="20"/>
                <w:szCs w:val="20"/>
              </w:rPr>
              <w:t>Indicator III.4.1</w:t>
            </w:r>
          </w:p>
          <w:p w14:paraId="7E0D62B8" w14:textId="77777777" w:rsidR="00D5107C" w:rsidRPr="003606E2" w:rsidRDefault="00D5107C" w:rsidP="00040AA9">
            <w:pPr>
              <w:widowControl w:val="0"/>
              <w:suppressAutoHyphens/>
              <w:rPr>
                <w:rFonts w:ascii="Arial" w:hAnsi="Arial" w:cs="Arial"/>
                <w:sz w:val="20"/>
                <w:szCs w:val="20"/>
              </w:rPr>
            </w:pPr>
            <w:r w:rsidRPr="003606E2">
              <w:rPr>
                <w:rFonts w:ascii="Arial" w:hAnsi="Arial" w:cs="Arial"/>
                <w:sz w:val="20"/>
                <w:szCs w:val="20"/>
              </w:rPr>
              <w:t>(Deactivated – See Table 1)</w:t>
            </w:r>
          </w:p>
          <w:p w14:paraId="2B05F196" w14:textId="5F1FBBC0" w:rsidR="007B55FA" w:rsidRPr="003606E2" w:rsidRDefault="007B55FA" w:rsidP="00040AA9">
            <w:pPr>
              <w:suppressAutoHyphens/>
              <w:rPr>
                <w:rFonts w:ascii="Arial" w:hAnsi="Arial" w:cs="Arial"/>
                <w:sz w:val="20"/>
                <w:szCs w:val="20"/>
              </w:rPr>
            </w:pPr>
            <w:r w:rsidRPr="003606E2">
              <w:rPr>
                <w:rFonts w:ascii="Arial" w:hAnsi="Arial" w:cs="Arial"/>
                <w:sz w:val="20"/>
                <w:szCs w:val="20"/>
              </w:rPr>
              <w:t>Database system implemented to allow the P</w:t>
            </w:r>
            <w:r w:rsidR="00800210" w:rsidRPr="003606E2">
              <w:rPr>
                <w:rFonts w:ascii="Arial" w:hAnsi="Arial" w:cs="Arial"/>
                <w:sz w:val="20"/>
                <w:szCs w:val="20"/>
              </w:rPr>
              <w:t>Bs</w:t>
            </w:r>
            <w:r w:rsidRPr="003606E2">
              <w:rPr>
                <w:rFonts w:ascii="Arial" w:hAnsi="Arial" w:cs="Arial"/>
                <w:sz w:val="20"/>
                <w:szCs w:val="20"/>
              </w:rPr>
              <w:t xml:space="preserve"> report in a standardized format </w:t>
            </w:r>
          </w:p>
          <w:p w14:paraId="1E11C9F5" w14:textId="77777777" w:rsidR="007B55FA" w:rsidRPr="003606E2" w:rsidRDefault="007B55FA" w:rsidP="00040AA9">
            <w:pPr>
              <w:suppressAutoHyphens/>
              <w:rPr>
                <w:rFonts w:ascii="Arial" w:hAnsi="Arial" w:cs="Arial"/>
                <w:sz w:val="20"/>
                <w:szCs w:val="20"/>
              </w:rPr>
            </w:pPr>
            <w:r w:rsidRPr="003606E2">
              <w:rPr>
                <w:rFonts w:ascii="Arial" w:hAnsi="Arial" w:cs="Arial"/>
                <w:sz w:val="20"/>
                <w:szCs w:val="20"/>
              </w:rPr>
              <w:t>(FSPG I – product 3.4)</w:t>
            </w:r>
          </w:p>
          <w:p w14:paraId="2B7D73E7" w14:textId="37E6AD5D" w:rsidR="007B55FA" w:rsidRPr="003606E2" w:rsidRDefault="002557EA" w:rsidP="00040AA9">
            <w:pPr>
              <w:suppressAutoHyphens/>
              <w:rPr>
                <w:rFonts w:ascii="Arial" w:hAnsi="Arial" w:cs="Arial"/>
                <w:sz w:val="20"/>
                <w:szCs w:val="20"/>
              </w:rPr>
            </w:pPr>
            <w:r w:rsidRPr="003606E2">
              <w:rPr>
                <w:rFonts w:ascii="Arial" w:hAnsi="Arial" w:cs="Arial"/>
                <w:sz w:val="20"/>
                <w:szCs w:val="20"/>
              </w:rPr>
              <w:t>(This indicator does not appear in the</w:t>
            </w:r>
            <w:r w:rsidR="000E06F9" w:rsidRPr="003606E2">
              <w:rPr>
                <w:rFonts w:ascii="Arial" w:hAnsi="Arial" w:cs="Arial"/>
                <w:sz w:val="20"/>
                <w:szCs w:val="20"/>
              </w:rPr>
              <w:t xml:space="preserve"> FISPEG I</w:t>
            </w:r>
            <w:r w:rsidRPr="003606E2">
              <w:rPr>
                <w:rFonts w:ascii="Arial" w:hAnsi="Arial" w:cs="Arial"/>
                <w:sz w:val="20"/>
                <w:szCs w:val="20"/>
              </w:rPr>
              <w:t xml:space="preserve"> policy matrix </w:t>
            </w:r>
            <w:r w:rsidR="000E06F9" w:rsidRPr="003606E2">
              <w:rPr>
                <w:rFonts w:ascii="Arial" w:hAnsi="Arial" w:cs="Arial"/>
                <w:sz w:val="20"/>
                <w:szCs w:val="20"/>
              </w:rPr>
              <w:t>or loan contract)</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auto"/>
          </w:tcPr>
          <w:p w14:paraId="06D42BBB" w14:textId="77777777" w:rsidR="007B55FA" w:rsidRPr="00040AA9" w:rsidRDefault="007B55FA" w:rsidP="00040AA9">
            <w:pPr>
              <w:suppressAutoHyphens/>
              <w:jc w:val="center"/>
              <w:rPr>
                <w:rFonts w:ascii="Arial" w:hAnsi="Arial" w:cs="Arial"/>
                <w:sz w:val="20"/>
                <w:szCs w:val="20"/>
              </w:rPr>
            </w:pPr>
          </w:p>
          <w:p w14:paraId="149E4B00" w14:textId="77777777" w:rsidR="007B55FA" w:rsidRPr="00040AA9" w:rsidRDefault="007B55FA" w:rsidP="00040AA9">
            <w:pPr>
              <w:suppressAutoHyphens/>
              <w:jc w:val="center"/>
              <w:rPr>
                <w:rFonts w:ascii="Arial" w:hAnsi="Arial" w:cs="Arial"/>
                <w:sz w:val="20"/>
                <w:szCs w:val="20"/>
              </w:rPr>
            </w:pPr>
          </w:p>
          <w:p w14:paraId="17AFFCF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tcPr>
          <w:p w14:paraId="558871E3" w14:textId="77777777" w:rsidR="007B55FA" w:rsidRPr="00040AA9" w:rsidRDefault="007B55FA" w:rsidP="00040AA9">
            <w:pPr>
              <w:keepNext/>
              <w:keepLines/>
              <w:suppressAutoHyphens/>
              <w:jc w:val="center"/>
              <w:rPr>
                <w:rFonts w:ascii="Arial" w:hAnsi="Arial" w:cs="Arial"/>
                <w:sz w:val="20"/>
                <w:szCs w:val="20"/>
              </w:rPr>
            </w:pPr>
          </w:p>
          <w:p w14:paraId="6E85E95A" w14:textId="77777777" w:rsidR="007B55FA" w:rsidRPr="00040AA9" w:rsidRDefault="007B55FA" w:rsidP="00040AA9">
            <w:pPr>
              <w:keepNext/>
              <w:keepLines/>
              <w:suppressAutoHyphens/>
              <w:jc w:val="center"/>
              <w:rPr>
                <w:rFonts w:ascii="Arial" w:hAnsi="Arial" w:cs="Arial"/>
                <w:sz w:val="20"/>
                <w:szCs w:val="20"/>
              </w:rPr>
            </w:pPr>
          </w:p>
          <w:p w14:paraId="2256245F"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tcPr>
          <w:p w14:paraId="5DBE21F5" w14:textId="77777777" w:rsidR="007B55FA" w:rsidRPr="00040AA9" w:rsidRDefault="007B55FA" w:rsidP="00040AA9">
            <w:pPr>
              <w:keepNext/>
              <w:keepLines/>
              <w:suppressAutoHyphens/>
              <w:jc w:val="center"/>
              <w:rPr>
                <w:rFonts w:ascii="Arial" w:hAnsi="Arial" w:cs="Arial"/>
                <w:sz w:val="20"/>
                <w:szCs w:val="20"/>
              </w:rPr>
            </w:pPr>
          </w:p>
          <w:p w14:paraId="62299EDA" w14:textId="77777777" w:rsidR="007B55FA" w:rsidRPr="00040AA9" w:rsidRDefault="007B55FA" w:rsidP="00040AA9">
            <w:pPr>
              <w:keepNext/>
              <w:keepLines/>
              <w:suppressAutoHyphens/>
              <w:jc w:val="center"/>
              <w:rPr>
                <w:rFonts w:ascii="Arial" w:hAnsi="Arial" w:cs="Arial"/>
                <w:sz w:val="20"/>
                <w:szCs w:val="20"/>
              </w:rPr>
            </w:pPr>
          </w:p>
          <w:p w14:paraId="71BFEBC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tcBorders>
              <w:top w:val="single" w:sz="4" w:space="0" w:color="auto"/>
              <w:left w:val="single" w:sz="4" w:space="0" w:color="auto"/>
              <w:bottom w:val="single" w:sz="4" w:space="0" w:color="auto"/>
              <w:right w:val="single" w:sz="4" w:space="0" w:color="auto"/>
            </w:tcBorders>
            <w:shd w:val="clear" w:color="auto" w:fill="auto"/>
            <w:hideMark/>
          </w:tcPr>
          <w:p w14:paraId="6AC548A5"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P</w:t>
            </w: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2D80DED9"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43F1FCE1"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5E22CA" w14:textId="780B8097" w:rsidR="007B55FA" w:rsidRPr="00040AA9" w:rsidRDefault="006D5578" w:rsidP="00040AA9">
            <w:pPr>
              <w:keepNext/>
              <w:keepLines/>
              <w:suppressAutoHyphens/>
              <w:jc w:val="center"/>
              <w:rPr>
                <w:rFonts w:ascii="Arial" w:hAnsi="Arial" w:cs="Arial"/>
                <w:sz w:val="20"/>
                <w:szCs w:val="20"/>
              </w:rPr>
            </w:pPr>
            <w:r w:rsidRPr="00040AA9">
              <w:rPr>
                <w:rFonts w:ascii="Arial" w:hAnsi="Arial" w:cs="Arial"/>
                <w:sz w:val="20"/>
                <w:szCs w:val="20"/>
              </w:rPr>
              <w:t>N/A</w:t>
            </w: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68062F4A" w14:textId="5F729AF3"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Report from the P</w:t>
            </w:r>
            <w:r w:rsidR="00167DE5">
              <w:rPr>
                <w:rFonts w:ascii="Arial" w:hAnsi="Arial" w:cs="Arial"/>
                <w:sz w:val="20"/>
                <w:szCs w:val="20"/>
              </w:rPr>
              <w:t>ED</w:t>
            </w:r>
            <w:r w:rsidRPr="00040AA9">
              <w:rPr>
                <w:rFonts w:ascii="Arial" w:hAnsi="Arial" w:cs="Arial"/>
                <w:sz w:val="20"/>
                <w:szCs w:val="20"/>
              </w:rPr>
              <w:t xml:space="preserve"> of the </w:t>
            </w:r>
            <w:proofErr w:type="spellStart"/>
            <w:r w:rsidRPr="00040AA9">
              <w:rPr>
                <w:rFonts w:ascii="Arial" w:hAnsi="Arial" w:cs="Arial"/>
                <w:sz w:val="20"/>
                <w:szCs w:val="20"/>
              </w:rPr>
              <w:t>MoFP</w:t>
            </w:r>
            <w:proofErr w:type="spellEnd"/>
            <w:r w:rsidRPr="00040AA9">
              <w:rPr>
                <w:rFonts w:ascii="Arial" w:hAnsi="Arial" w:cs="Arial"/>
                <w:sz w:val="20"/>
                <w:szCs w:val="20"/>
              </w:rPr>
              <w:t xml:space="preserve"> printed from the new Database system.</w:t>
            </w:r>
          </w:p>
        </w:tc>
      </w:tr>
      <w:tr w:rsidR="007B55FA" w:rsidRPr="00CF5903" w14:paraId="0D647B60" w14:textId="77777777" w:rsidTr="004511CC">
        <w:trPr>
          <w:trHeight w:val="125"/>
          <w:jc w:val="center"/>
        </w:trPr>
        <w:tc>
          <w:tcPr>
            <w:tcW w:w="2556" w:type="dxa"/>
            <w:vMerge/>
            <w:tcBorders>
              <w:top w:val="single" w:sz="4" w:space="0" w:color="auto"/>
              <w:left w:val="single" w:sz="4" w:space="0" w:color="auto"/>
              <w:bottom w:val="single" w:sz="4" w:space="0" w:color="auto"/>
              <w:right w:val="single" w:sz="4" w:space="0" w:color="auto"/>
            </w:tcBorders>
            <w:shd w:val="clear" w:color="auto" w:fill="auto"/>
            <w:hideMark/>
          </w:tcPr>
          <w:p w14:paraId="6F3569F7" w14:textId="7083AD52" w:rsidR="007B55FA" w:rsidRPr="00040AA9" w:rsidRDefault="007B55FA" w:rsidP="00040AA9">
            <w:pPr>
              <w:suppressAutoHyphens/>
              <w:rPr>
                <w:rFonts w:ascii="Arial" w:hAnsi="Arial" w:cs="Arial"/>
                <w:sz w:val="20"/>
                <w:szCs w:val="20"/>
              </w:rPr>
            </w:pPr>
          </w:p>
        </w:tc>
        <w:tc>
          <w:tcPr>
            <w:tcW w:w="860" w:type="dxa"/>
            <w:vMerge/>
            <w:tcBorders>
              <w:top w:val="single" w:sz="4" w:space="0" w:color="auto"/>
              <w:left w:val="single" w:sz="4" w:space="0" w:color="auto"/>
              <w:bottom w:val="single" w:sz="4" w:space="0" w:color="auto"/>
              <w:right w:val="single" w:sz="4" w:space="0" w:color="auto"/>
            </w:tcBorders>
            <w:shd w:val="clear" w:color="auto" w:fill="auto"/>
            <w:hideMark/>
          </w:tcPr>
          <w:p w14:paraId="6F2F2CFA" w14:textId="77777777" w:rsidR="007B55FA" w:rsidRPr="00040AA9" w:rsidRDefault="007B55FA" w:rsidP="00040AA9">
            <w:pPr>
              <w:suppressAutoHyphens/>
              <w:rPr>
                <w:rFonts w:ascii="Arial" w:hAnsi="Arial" w:cs="Arial"/>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auto" w:fill="auto"/>
            <w:hideMark/>
          </w:tcPr>
          <w:p w14:paraId="7FDD6395" w14:textId="77777777" w:rsidR="007B55FA" w:rsidRPr="00040AA9" w:rsidRDefault="007B55FA" w:rsidP="00040AA9">
            <w:pPr>
              <w:suppressAutoHyphens/>
              <w:rPr>
                <w:rFonts w:ascii="Arial" w:hAnsi="Arial" w:cs="Arial"/>
                <w:sz w:val="20"/>
                <w:szCs w:val="20"/>
              </w:rPr>
            </w:pPr>
          </w:p>
        </w:tc>
        <w:tc>
          <w:tcPr>
            <w:tcW w:w="939" w:type="dxa"/>
            <w:vMerge/>
            <w:tcBorders>
              <w:top w:val="single" w:sz="4" w:space="0" w:color="auto"/>
              <w:left w:val="single" w:sz="4" w:space="0" w:color="auto"/>
              <w:bottom w:val="single" w:sz="4" w:space="0" w:color="auto"/>
              <w:right w:val="single" w:sz="4" w:space="0" w:color="auto"/>
            </w:tcBorders>
            <w:shd w:val="clear" w:color="auto" w:fill="auto"/>
            <w:hideMark/>
          </w:tcPr>
          <w:p w14:paraId="6B425991" w14:textId="77777777" w:rsidR="007B55FA" w:rsidRPr="00040AA9" w:rsidRDefault="007B55FA" w:rsidP="00040AA9">
            <w:pPr>
              <w:suppressAutoHyphens/>
              <w:rPr>
                <w:rFonts w:ascii="Arial" w:hAnsi="Arial" w:cs="Arial"/>
                <w:sz w:val="20"/>
                <w:szCs w:val="20"/>
              </w:rPr>
            </w:pPr>
          </w:p>
        </w:tc>
        <w:tc>
          <w:tcPr>
            <w:tcW w:w="594" w:type="dxa"/>
            <w:tcBorders>
              <w:top w:val="single" w:sz="4" w:space="0" w:color="auto"/>
              <w:left w:val="single" w:sz="4" w:space="0" w:color="auto"/>
              <w:bottom w:val="single" w:sz="4" w:space="0" w:color="auto"/>
              <w:right w:val="single" w:sz="4" w:space="0" w:color="auto"/>
            </w:tcBorders>
            <w:shd w:val="clear" w:color="auto" w:fill="auto"/>
            <w:hideMark/>
          </w:tcPr>
          <w:p w14:paraId="6B72F50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342FEAC9" w14:textId="77777777" w:rsidR="007B55FA" w:rsidRPr="00040AA9" w:rsidRDefault="007B55FA" w:rsidP="00040AA9">
            <w:pPr>
              <w:suppressAutoHyphens/>
              <w:rPr>
                <w:rFonts w:ascii="Arial" w:hAnsi="Arial" w:cs="Arial"/>
                <w:sz w:val="20"/>
                <w:szCs w:val="20"/>
              </w:rPr>
            </w:pPr>
          </w:p>
        </w:tc>
        <w:tc>
          <w:tcPr>
            <w:tcW w:w="1106" w:type="dxa"/>
            <w:vMerge/>
            <w:tcBorders>
              <w:top w:val="single" w:sz="4" w:space="0" w:color="auto"/>
              <w:left w:val="single" w:sz="4" w:space="0" w:color="auto"/>
              <w:bottom w:val="single" w:sz="4" w:space="0" w:color="auto"/>
              <w:right w:val="single" w:sz="4" w:space="0" w:color="auto"/>
            </w:tcBorders>
            <w:shd w:val="clear" w:color="auto" w:fill="auto"/>
            <w:hideMark/>
          </w:tcPr>
          <w:p w14:paraId="2D4EECA0" w14:textId="77777777" w:rsidR="007B55FA" w:rsidRPr="00040AA9" w:rsidRDefault="007B55FA" w:rsidP="00040AA9">
            <w:pPr>
              <w:suppressAutoHyphens/>
              <w:rPr>
                <w:rFonts w:ascii="Arial" w:hAnsi="Arial" w:cs="Arial"/>
                <w:sz w:val="20"/>
                <w:szCs w:val="20"/>
              </w:rPr>
            </w:pPr>
          </w:p>
        </w:tc>
        <w:tc>
          <w:tcPr>
            <w:tcW w:w="5027" w:type="dxa"/>
            <w:tcBorders>
              <w:top w:val="single" w:sz="4" w:space="0" w:color="auto"/>
              <w:left w:val="single" w:sz="4" w:space="0" w:color="auto"/>
              <w:bottom w:val="single" w:sz="4" w:space="0" w:color="auto"/>
              <w:right w:val="single" w:sz="4" w:space="0" w:color="auto"/>
            </w:tcBorders>
            <w:shd w:val="clear" w:color="auto" w:fill="auto"/>
          </w:tcPr>
          <w:p w14:paraId="47D8742A" w14:textId="77777777" w:rsidR="007B55FA" w:rsidRPr="00040AA9" w:rsidRDefault="007B55FA" w:rsidP="00040AA9">
            <w:pPr>
              <w:suppressAutoHyphens/>
              <w:rPr>
                <w:rFonts w:ascii="Arial" w:hAnsi="Arial" w:cs="Arial"/>
                <w:sz w:val="20"/>
                <w:szCs w:val="20"/>
              </w:rPr>
            </w:pPr>
          </w:p>
        </w:tc>
      </w:tr>
      <w:tr w:rsidR="007B55FA" w:rsidRPr="00CF5903" w14:paraId="373B23B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89"/>
          <w:jc w:val="center"/>
        </w:trPr>
        <w:tc>
          <w:tcPr>
            <w:tcW w:w="2556" w:type="dxa"/>
            <w:vMerge/>
            <w:shd w:val="clear" w:color="auto" w:fill="auto"/>
            <w:hideMark/>
          </w:tcPr>
          <w:p w14:paraId="62DDC832"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1561A73"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F41AA63"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5324E23"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5EC7B11" w14:textId="77777777" w:rsidR="007B55FA" w:rsidRPr="00040AA9" w:rsidRDefault="007B55FA" w:rsidP="00040AA9">
            <w:pPr>
              <w:suppressAutoHyphens/>
              <w:rPr>
                <w:rFonts w:ascii="Arial" w:hAnsi="Arial" w:cs="Arial"/>
                <w:sz w:val="20"/>
                <w:szCs w:val="20"/>
              </w:rPr>
            </w:pPr>
          </w:p>
          <w:p w14:paraId="6C3A19A8" w14:textId="77777777" w:rsidR="007B55FA" w:rsidRPr="00040AA9" w:rsidRDefault="007B55FA" w:rsidP="00040AA9">
            <w:pPr>
              <w:suppressAutoHyphens/>
              <w:rPr>
                <w:rFonts w:ascii="Arial" w:hAnsi="Arial" w:cs="Arial"/>
                <w:sz w:val="20"/>
                <w:szCs w:val="20"/>
              </w:rPr>
            </w:pPr>
          </w:p>
          <w:p w14:paraId="0BF7441C" w14:textId="77777777" w:rsidR="007B55FA" w:rsidRPr="00040AA9" w:rsidRDefault="007B55FA" w:rsidP="00040AA9">
            <w:pPr>
              <w:suppressAutoHyphens/>
              <w:rPr>
                <w:rFonts w:ascii="Arial" w:hAnsi="Arial" w:cs="Arial"/>
                <w:sz w:val="20"/>
                <w:szCs w:val="20"/>
              </w:rPr>
            </w:pPr>
          </w:p>
          <w:p w14:paraId="27FCA63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74400AB6" w14:textId="77777777" w:rsidR="003515F4" w:rsidRPr="00040AA9" w:rsidRDefault="003515F4" w:rsidP="00040AA9">
            <w:pPr>
              <w:suppressAutoHyphens/>
              <w:rPr>
                <w:rFonts w:ascii="Arial" w:hAnsi="Arial" w:cs="Arial"/>
                <w:sz w:val="20"/>
                <w:szCs w:val="20"/>
              </w:rPr>
            </w:pPr>
          </w:p>
          <w:p w14:paraId="22823140" w14:textId="7ACA07ED" w:rsidR="007B55FA" w:rsidRPr="00040AA9" w:rsidRDefault="00207F78" w:rsidP="00040AA9">
            <w:pPr>
              <w:suppressAutoHyphens/>
              <w:jc w:val="center"/>
              <w:rPr>
                <w:rFonts w:ascii="Arial" w:hAnsi="Arial" w:cs="Arial"/>
                <w:sz w:val="20"/>
                <w:szCs w:val="20"/>
              </w:rPr>
            </w:pPr>
            <w:r w:rsidRPr="00040AA9">
              <w:rPr>
                <w:rFonts w:ascii="Arial" w:hAnsi="Arial" w:cs="Arial"/>
                <w:sz w:val="20"/>
                <w:szCs w:val="20"/>
              </w:rPr>
              <w:t>Target being achieved by o</w:t>
            </w:r>
            <w:r w:rsidR="00DF06AB" w:rsidRPr="00040AA9">
              <w:rPr>
                <w:rFonts w:ascii="Arial" w:hAnsi="Arial" w:cs="Arial"/>
                <w:sz w:val="20"/>
                <w:szCs w:val="20"/>
              </w:rPr>
              <w:t xml:space="preserve">ther means </w:t>
            </w:r>
          </w:p>
        </w:tc>
        <w:tc>
          <w:tcPr>
            <w:tcW w:w="1106" w:type="dxa"/>
            <w:vMerge/>
            <w:shd w:val="clear" w:color="auto" w:fill="auto"/>
            <w:hideMark/>
          </w:tcPr>
          <w:p w14:paraId="77A83BD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07208D1" w14:textId="0A4BE86F" w:rsidR="003515F4" w:rsidRPr="00040AA9" w:rsidRDefault="003515F4" w:rsidP="00040AA9">
            <w:pPr>
              <w:pStyle w:val="p1"/>
              <w:suppressAutoHyphens/>
              <w:rPr>
                <w:rFonts w:ascii="Arial" w:hAnsi="Arial" w:cs="Arial"/>
                <w:sz w:val="20"/>
                <w:szCs w:val="20"/>
              </w:rPr>
            </w:pPr>
            <w:r w:rsidRPr="00040AA9">
              <w:rPr>
                <w:rFonts w:ascii="Arial" w:hAnsi="Arial" w:cs="Arial"/>
                <w:sz w:val="20"/>
                <w:szCs w:val="20"/>
              </w:rPr>
              <w:t>The</w:t>
            </w:r>
            <w:r w:rsidR="007B55FA" w:rsidRPr="00040AA9">
              <w:rPr>
                <w:rFonts w:ascii="Arial" w:hAnsi="Arial" w:cs="Arial"/>
                <w:sz w:val="20"/>
                <w:szCs w:val="20"/>
              </w:rPr>
              <w:t xml:space="preserve"> </w:t>
            </w:r>
            <w:r w:rsidR="00FD22FD" w:rsidRPr="00040AA9">
              <w:rPr>
                <w:rFonts w:ascii="Arial" w:hAnsi="Arial" w:cs="Arial"/>
                <w:sz w:val="20"/>
                <w:szCs w:val="20"/>
              </w:rPr>
              <w:t xml:space="preserve">PED </w:t>
            </w:r>
            <w:r w:rsidR="007B55FA" w:rsidRPr="00040AA9">
              <w:rPr>
                <w:rFonts w:ascii="Arial" w:hAnsi="Arial" w:cs="Arial"/>
                <w:sz w:val="20"/>
                <w:szCs w:val="20"/>
              </w:rPr>
              <w:t xml:space="preserve">report as stipulated was </w:t>
            </w:r>
            <w:r w:rsidR="00167DE5">
              <w:rPr>
                <w:rFonts w:ascii="Arial" w:hAnsi="Arial" w:cs="Arial"/>
                <w:sz w:val="20"/>
                <w:szCs w:val="20"/>
              </w:rPr>
              <w:t>not</w:t>
            </w:r>
            <w:r w:rsidR="00167DE5" w:rsidRPr="00040AA9">
              <w:rPr>
                <w:rFonts w:ascii="Arial" w:hAnsi="Arial" w:cs="Arial"/>
                <w:sz w:val="20"/>
                <w:szCs w:val="20"/>
              </w:rPr>
              <w:t xml:space="preserve"> </w:t>
            </w:r>
            <w:r w:rsidR="007B55FA" w:rsidRPr="00040AA9">
              <w:rPr>
                <w:rFonts w:ascii="Arial" w:hAnsi="Arial" w:cs="Arial"/>
                <w:sz w:val="20"/>
                <w:szCs w:val="20"/>
              </w:rPr>
              <w:t>prepared</w:t>
            </w:r>
            <w:r w:rsidR="00D863D3">
              <w:rPr>
                <w:rFonts w:ascii="Arial" w:hAnsi="Arial" w:cs="Arial"/>
                <w:sz w:val="20"/>
                <w:szCs w:val="20"/>
              </w:rPr>
              <w:t>,</w:t>
            </w:r>
            <w:r w:rsidR="00B0485B" w:rsidRPr="00040AA9">
              <w:rPr>
                <w:rFonts w:ascii="Arial" w:hAnsi="Arial" w:cs="Arial"/>
                <w:sz w:val="20"/>
                <w:szCs w:val="20"/>
              </w:rPr>
              <w:t xml:space="preserve"> although the  final report</w:t>
            </w:r>
            <w:r w:rsidR="00D863D3">
              <w:rPr>
                <w:rFonts w:ascii="Arial" w:hAnsi="Arial" w:cs="Arial"/>
                <w:sz w:val="20"/>
                <w:szCs w:val="20"/>
              </w:rPr>
              <w:t xml:space="preserve"> </w:t>
            </w:r>
            <w:r w:rsidR="00D863D3">
              <w:rPr>
                <w:sz w:val="20"/>
              </w:rPr>
              <w:t xml:space="preserve">of a Government of Korea knowledge-sharing arrangement with the </w:t>
            </w:r>
            <w:proofErr w:type="spellStart"/>
            <w:r w:rsidR="00D863D3">
              <w:rPr>
                <w:sz w:val="20"/>
              </w:rPr>
              <w:t>GoJ</w:t>
            </w:r>
            <w:proofErr w:type="spellEnd"/>
            <w:r w:rsidR="00B0485B" w:rsidRPr="00040AA9">
              <w:rPr>
                <w:rFonts w:ascii="Arial" w:hAnsi="Arial" w:cs="Arial"/>
                <w:sz w:val="20"/>
                <w:szCs w:val="20"/>
              </w:rPr>
              <w:t xml:space="preserve"> was presented</w:t>
            </w:r>
            <w:r w:rsidR="007B55FA" w:rsidRPr="00040AA9">
              <w:rPr>
                <w:rFonts w:ascii="Arial" w:hAnsi="Arial" w:cs="Arial"/>
                <w:sz w:val="20"/>
                <w:szCs w:val="20"/>
              </w:rPr>
              <w:t xml:space="preserve">. </w:t>
            </w:r>
          </w:p>
          <w:p w14:paraId="0C0C8DE9" w14:textId="32BA4F43" w:rsidR="007B55FA" w:rsidRPr="00040AA9" w:rsidRDefault="007B55FA" w:rsidP="00472226">
            <w:pPr>
              <w:pStyle w:val="p1"/>
              <w:suppressAutoHyphens/>
              <w:rPr>
                <w:rFonts w:ascii="Arial" w:hAnsi="Arial" w:cs="Arial"/>
                <w:sz w:val="20"/>
                <w:szCs w:val="20"/>
              </w:rPr>
            </w:pPr>
            <w:r w:rsidRPr="00040AA9">
              <w:rPr>
                <w:rFonts w:ascii="Arial" w:hAnsi="Arial" w:cs="Arial"/>
                <w:sz w:val="20"/>
                <w:szCs w:val="20"/>
              </w:rPr>
              <w:t xml:space="preserve">Instead the PED issued an </w:t>
            </w:r>
            <w:r w:rsidR="00F62F27" w:rsidRPr="00040AA9">
              <w:rPr>
                <w:rFonts w:ascii="Arial" w:hAnsi="Arial" w:cs="Arial"/>
                <w:sz w:val="20"/>
                <w:szCs w:val="20"/>
              </w:rPr>
              <w:t xml:space="preserve">explanatory </w:t>
            </w:r>
            <w:r w:rsidRPr="00040AA9">
              <w:rPr>
                <w:rFonts w:ascii="Arial" w:hAnsi="Arial" w:cs="Arial"/>
                <w:sz w:val="20"/>
                <w:szCs w:val="20"/>
              </w:rPr>
              <w:t>statement</w:t>
            </w:r>
            <w:r w:rsidR="00F62F27" w:rsidRPr="00040AA9">
              <w:rPr>
                <w:rFonts w:ascii="Arial" w:hAnsi="Arial" w:cs="Arial"/>
                <w:sz w:val="20"/>
                <w:szCs w:val="20"/>
              </w:rPr>
              <w:t xml:space="preserve"> </w:t>
            </w:r>
            <w:r w:rsidR="007D7105" w:rsidRPr="00040AA9">
              <w:rPr>
                <w:rFonts w:ascii="Arial" w:hAnsi="Arial" w:cs="Arial"/>
                <w:sz w:val="20"/>
                <w:szCs w:val="20"/>
              </w:rPr>
              <w:t xml:space="preserve">indicating that </w:t>
            </w:r>
            <w:r w:rsidR="006A50B8" w:rsidRPr="00040AA9">
              <w:rPr>
                <w:rFonts w:ascii="Arial" w:hAnsi="Arial" w:cs="Arial"/>
                <w:sz w:val="20"/>
                <w:szCs w:val="20"/>
              </w:rPr>
              <w:t xml:space="preserve">the </w:t>
            </w:r>
            <w:r w:rsidR="00825707" w:rsidRPr="00040AA9">
              <w:rPr>
                <w:rFonts w:ascii="Arial" w:hAnsi="Arial" w:cs="Arial"/>
                <w:sz w:val="20"/>
                <w:szCs w:val="20"/>
              </w:rPr>
              <w:t>essential elements</w:t>
            </w:r>
            <w:r w:rsidR="006A50B8" w:rsidRPr="00040AA9">
              <w:rPr>
                <w:rFonts w:ascii="Arial" w:hAnsi="Arial" w:cs="Arial"/>
                <w:sz w:val="20"/>
                <w:szCs w:val="20"/>
              </w:rPr>
              <w:t xml:space="preserve"> of </w:t>
            </w:r>
            <w:r w:rsidR="00FD22FD" w:rsidRPr="00040AA9">
              <w:rPr>
                <w:rFonts w:ascii="Arial" w:hAnsi="Arial" w:cs="Arial"/>
                <w:sz w:val="20"/>
                <w:szCs w:val="20"/>
              </w:rPr>
              <w:t>recommendation</w:t>
            </w:r>
            <w:r w:rsidR="00B0485B" w:rsidRPr="00040AA9">
              <w:rPr>
                <w:rFonts w:ascii="Arial" w:hAnsi="Arial" w:cs="Arial"/>
                <w:sz w:val="20"/>
                <w:szCs w:val="20"/>
              </w:rPr>
              <w:t>s</w:t>
            </w:r>
            <w:r w:rsidR="00FD22FD" w:rsidRPr="00040AA9">
              <w:rPr>
                <w:rFonts w:ascii="Arial" w:hAnsi="Arial" w:cs="Arial"/>
                <w:sz w:val="20"/>
                <w:szCs w:val="20"/>
              </w:rPr>
              <w:t xml:space="preserve"> </w:t>
            </w:r>
            <w:r w:rsidR="00D863D3">
              <w:rPr>
                <w:sz w:val="20"/>
              </w:rPr>
              <w:t>derived from the arrangement</w:t>
            </w:r>
            <w:r w:rsidR="00D863D3" w:rsidRPr="00040AA9">
              <w:rPr>
                <w:rFonts w:ascii="Arial" w:hAnsi="Arial" w:cs="Arial"/>
                <w:sz w:val="20"/>
                <w:szCs w:val="20"/>
              </w:rPr>
              <w:t xml:space="preserve"> </w:t>
            </w:r>
            <w:r w:rsidR="00825707" w:rsidRPr="00040AA9">
              <w:rPr>
                <w:rFonts w:ascii="Arial" w:hAnsi="Arial" w:cs="Arial"/>
                <w:sz w:val="20"/>
                <w:szCs w:val="20"/>
              </w:rPr>
              <w:t>are</w:t>
            </w:r>
            <w:r w:rsidR="006A50B8" w:rsidRPr="00040AA9">
              <w:rPr>
                <w:rFonts w:ascii="Arial" w:hAnsi="Arial" w:cs="Arial"/>
                <w:sz w:val="20"/>
                <w:szCs w:val="20"/>
              </w:rPr>
              <w:t xml:space="preserve"> being </w:t>
            </w:r>
            <w:r w:rsidR="00FD22FD" w:rsidRPr="00040AA9">
              <w:rPr>
                <w:rFonts w:ascii="Arial" w:hAnsi="Arial" w:cs="Arial"/>
                <w:sz w:val="20"/>
                <w:szCs w:val="20"/>
              </w:rPr>
              <w:t xml:space="preserve">implemented </w:t>
            </w:r>
            <w:r w:rsidR="006A50B8" w:rsidRPr="00040AA9">
              <w:rPr>
                <w:rFonts w:ascii="Arial" w:hAnsi="Arial" w:cs="Arial"/>
                <w:sz w:val="20"/>
                <w:szCs w:val="20"/>
              </w:rPr>
              <w:t>by other means</w:t>
            </w:r>
            <w:r w:rsidRPr="00040AA9">
              <w:rPr>
                <w:rFonts w:ascii="Arial" w:hAnsi="Arial" w:cs="Arial"/>
                <w:sz w:val="20"/>
                <w:szCs w:val="20"/>
              </w:rPr>
              <w:t>.</w:t>
            </w:r>
            <w:r w:rsidRPr="00040AA9">
              <w:rPr>
                <w:rStyle w:val="FootnoteReference"/>
                <w:rFonts w:ascii="Arial" w:hAnsi="Arial" w:cs="Arial"/>
                <w:sz w:val="20"/>
                <w:szCs w:val="20"/>
              </w:rPr>
              <w:footnoteReference w:id="123"/>
            </w:r>
          </w:p>
        </w:tc>
      </w:tr>
      <w:tr w:rsidR="007B55FA" w:rsidRPr="00CF5903" w14:paraId="2E3E2F2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jc w:val="center"/>
        </w:trPr>
        <w:tc>
          <w:tcPr>
            <w:tcW w:w="12859" w:type="dxa"/>
            <w:gridSpan w:val="8"/>
            <w:shd w:val="clear" w:color="auto" w:fill="F2F2F2" w:themeFill="background1" w:themeFillShade="F2"/>
          </w:tcPr>
          <w:p w14:paraId="72D6847D"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III.5. NWC and JUTC economic and financial study</w:t>
            </w:r>
          </w:p>
        </w:tc>
      </w:tr>
      <w:tr w:rsidR="007B55FA" w:rsidRPr="00CF5903" w14:paraId="7BDE401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2A42BB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III.5.1</w:t>
            </w:r>
          </w:p>
          <w:p w14:paraId="0F2E9E1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Analysis on the economic and financial situation of the National Water Commission (NWC) and the Jamaican Urban Transit Company (JUTC) finalized and presented to the Bank. </w:t>
            </w:r>
          </w:p>
          <w:p w14:paraId="0A73CD8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(FSPG II – product 3.2, </w:t>
            </w:r>
          </w:p>
          <w:p w14:paraId="17A12AA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2.03.II.(d) which calls for the Bank-sponsored study of NWC &amp; JUTC to be completed)</w:t>
            </w:r>
          </w:p>
        </w:tc>
        <w:tc>
          <w:tcPr>
            <w:tcW w:w="860" w:type="dxa"/>
            <w:vMerge w:val="restart"/>
            <w:shd w:val="clear" w:color="auto" w:fill="auto"/>
          </w:tcPr>
          <w:p w14:paraId="1CED5A3A" w14:textId="77777777" w:rsidR="007B55FA" w:rsidRPr="00040AA9" w:rsidRDefault="007B55FA" w:rsidP="00040AA9">
            <w:pPr>
              <w:suppressAutoHyphens/>
              <w:jc w:val="center"/>
              <w:rPr>
                <w:rFonts w:ascii="Arial" w:hAnsi="Arial" w:cs="Arial"/>
                <w:sz w:val="20"/>
                <w:szCs w:val="20"/>
              </w:rPr>
            </w:pPr>
          </w:p>
          <w:p w14:paraId="58AB2096" w14:textId="77777777" w:rsidR="007B55FA" w:rsidRPr="00040AA9" w:rsidRDefault="007B55FA" w:rsidP="00040AA9">
            <w:pPr>
              <w:suppressAutoHyphens/>
              <w:jc w:val="center"/>
              <w:rPr>
                <w:rFonts w:ascii="Arial" w:hAnsi="Arial" w:cs="Arial"/>
                <w:sz w:val="20"/>
                <w:szCs w:val="20"/>
              </w:rPr>
            </w:pPr>
          </w:p>
          <w:p w14:paraId="380DF934" w14:textId="77777777" w:rsidR="007B55FA" w:rsidRPr="00040AA9" w:rsidRDefault="007B55FA" w:rsidP="00040AA9">
            <w:pPr>
              <w:suppressAutoHyphens/>
              <w:jc w:val="center"/>
              <w:rPr>
                <w:rFonts w:ascii="Arial" w:hAnsi="Arial" w:cs="Arial"/>
                <w:sz w:val="20"/>
                <w:szCs w:val="20"/>
              </w:rPr>
            </w:pPr>
          </w:p>
          <w:p w14:paraId="0B1E0A2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Report</w:t>
            </w:r>
          </w:p>
        </w:tc>
        <w:tc>
          <w:tcPr>
            <w:tcW w:w="774" w:type="dxa"/>
            <w:vMerge w:val="restart"/>
            <w:shd w:val="clear" w:color="auto" w:fill="auto"/>
          </w:tcPr>
          <w:p w14:paraId="1A780782" w14:textId="77777777" w:rsidR="007B55FA" w:rsidRPr="00040AA9" w:rsidRDefault="007B55FA" w:rsidP="00040AA9">
            <w:pPr>
              <w:suppressAutoHyphens/>
              <w:jc w:val="center"/>
              <w:rPr>
                <w:rFonts w:ascii="Arial" w:hAnsi="Arial" w:cs="Arial"/>
                <w:sz w:val="20"/>
                <w:szCs w:val="20"/>
              </w:rPr>
            </w:pPr>
          </w:p>
          <w:p w14:paraId="09C4C672" w14:textId="77777777" w:rsidR="007B55FA" w:rsidRPr="00040AA9" w:rsidRDefault="007B55FA" w:rsidP="00040AA9">
            <w:pPr>
              <w:suppressAutoHyphens/>
              <w:jc w:val="center"/>
              <w:rPr>
                <w:rFonts w:ascii="Arial" w:hAnsi="Arial" w:cs="Arial"/>
                <w:sz w:val="20"/>
                <w:szCs w:val="20"/>
              </w:rPr>
            </w:pPr>
          </w:p>
          <w:p w14:paraId="5CFDAA13" w14:textId="77777777" w:rsidR="007B55FA" w:rsidRPr="00040AA9" w:rsidRDefault="007B55FA" w:rsidP="00040AA9">
            <w:pPr>
              <w:suppressAutoHyphens/>
              <w:jc w:val="center"/>
              <w:rPr>
                <w:rFonts w:ascii="Arial" w:hAnsi="Arial" w:cs="Arial"/>
                <w:sz w:val="20"/>
                <w:szCs w:val="20"/>
              </w:rPr>
            </w:pPr>
          </w:p>
          <w:p w14:paraId="0A72909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6822BE95" w14:textId="77777777" w:rsidR="007B55FA" w:rsidRPr="00040AA9" w:rsidRDefault="007B55FA" w:rsidP="00040AA9">
            <w:pPr>
              <w:suppressAutoHyphens/>
              <w:jc w:val="center"/>
              <w:rPr>
                <w:rFonts w:ascii="Arial" w:hAnsi="Arial" w:cs="Arial"/>
                <w:sz w:val="20"/>
                <w:szCs w:val="20"/>
              </w:rPr>
            </w:pPr>
          </w:p>
          <w:p w14:paraId="17F65B62" w14:textId="77777777" w:rsidR="007B55FA" w:rsidRPr="00040AA9" w:rsidRDefault="007B55FA" w:rsidP="00040AA9">
            <w:pPr>
              <w:suppressAutoHyphens/>
              <w:jc w:val="center"/>
              <w:rPr>
                <w:rFonts w:ascii="Arial" w:hAnsi="Arial" w:cs="Arial"/>
                <w:sz w:val="20"/>
                <w:szCs w:val="20"/>
              </w:rPr>
            </w:pPr>
          </w:p>
          <w:p w14:paraId="611C7EBD" w14:textId="77777777" w:rsidR="007B55FA" w:rsidRPr="00040AA9" w:rsidRDefault="007B55FA" w:rsidP="00040AA9">
            <w:pPr>
              <w:suppressAutoHyphens/>
              <w:jc w:val="center"/>
              <w:rPr>
                <w:rFonts w:ascii="Arial" w:hAnsi="Arial" w:cs="Arial"/>
                <w:sz w:val="20"/>
                <w:szCs w:val="20"/>
              </w:rPr>
            </w:pPr>
          </w:p>
          <w:p w14:paraId="1D37051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62CACA19" w14:textId="77777777" w:rsidR="007B55FA" w:rsidRPr="00040AA9" w:rsidRDefault="007B55FA" w:rsidP="00040AA9">
            <w:pPr>
              <w:suppressAutoHyphens/>
              <w:rPr>
                <w:rFonts w:ascii="Arial" w:hAnsi="Arial" w:cs="Arial"/>
                <w:sz w:val="20"/>
                <w:szCs w:val="20"/>
              </w:rPr>
            </w:pPr>
          </w:p>
          <w:p w14:paraId="18B80843" w14:textId="77777777" w:rsidR="007B55FA" w:rsidRPr="00040AA9" w:rsidRDefault="007B55FA" w:rsidP="00040AA9">
            <w:pPr>
              <w:suppressAutoHyphens/>
              <w:rPr>
                <w:rFonts w:ascii="Arial" w:hAnsi="Arial" w:cs="Arial"/>
                <w:sz w:val="20"/>
                <w:szCs w:val="20"/>
              </w:rPr>
            </w:pPr>
          </w:p>
          <w:p w14:paraId="6721AA62" w14:textId="77777777" w:rsidR="007B55FA" w:rsidRPr="00040AA9" w:rsidRDefault="007B55FA" w:rsidP="00040AA9">
            <w:pPr>
              <w:suppressAutoHyphens/>
              <w:rPr>
                <w:rFonts w:ascii="Arial" w:hAnsi="Arial" w:cs="Arial"/>
                <w:sz w:val="20"/>
                <w:szCs w:val="20"/>
              </w:rPr>
            </w:pPr>
          </w:p>
          <w:p w14:paraId="11926CB6" w14:textId="77777777" w:rsidR="007B55FA" w:rsidRPr="00040AA9" w:rsidRDefault="007B55FA" w:rsidP="00040AA9">
            <w:pPr>
              <w:suppressAutoHyphens/>
              <w:rPr>
                <w:rFonts w:ascii="Arial" w:hAnsi="Arial" w:cs="Arial"/>
                <w:sz w:val="20"/>
                <w:szCs w:val="20"/>
              </w:rPr>
            </w:pPr>
          </w:p>
          <w:p w14:paraId="3961464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63D2DD0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w:t>
            </w:r>
          </w:p>
          <w:p w14:paraId="2B7716D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(2016/17)</w:t>
            </w:r>
          </w:p>
          <w:p w14:paraId="12B3E4CA" w14:textId="77777777" w:rsidR="007B55FA" w:rsidRPr="00040AA9" w:rsidRDefault="007B55FA" w:rsidP="00040AA9">
            <w:pPr>
              <w:suppressAutoHyphens/>
              <w:jc w:val="center"/>
              <w:rPr>
                <w:rFonts w:ascii="Arial" w:hAnsi="Arial" w:cs="Arial"/>
                <w:sz w:val="20"/>
                <w:szCs w:val="20"/>
              </w:rPr>
            </w:pPr>
          </w:p>
          <w:p w14:paraId="1A5CD31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consisting of</w:t>
            </w:r>
          </w:p>
          <w:p w14:paraId="761A7AD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0E8268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p w14:paraId="151B1CB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C29E60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7E69BDC7" w14:textId="77777777" w:rsidR="007B55FA" w:rsidRPr="00040AA9" w:rsidRDefault="007B55FA" w:rsidP="00040AA9">
            <w:pPr>
              <w:suppressAutoHyphens/>
              <w:rPr>
                <w:rFonts w:ascii="Arial" w:hAnsi="Arial" w:cs="Arial"/>
                <w:sz w:val="20"/>
                <w:szCs w:val="20"/>
              </w:rPr>
            </w:pPr>
          </w:p>
          <w:p w14:paraId="39A28071" w14:textId="77777777" w:rsidR="007B55FA" w:rsidRPr="00040AA9" w:rsidRDefault="007B55FA" w:rsidP="00040AA9">
            <w:pPr>
              <w:suppressAutoHyphens/>
              <w:rPr>
                <w:rFonts w:ascii="Arial" w:hAnsi="Arial" w:cs="Arial"/>
                <w:sz w:val="20"/>
                <w:szCs w:val="20"/>
              </w:rPr>
            </w:pPr>
          </w:p>
          <w:p w14:paraId="2A26405A" w14:textId="77777777" w:rsidR="007B55FA" w:rsidRPr="00040AA9" w:rsidRDefault="007B55FA" w:rsidP="00040AA9">
            <w:pPr>
              <w:suppressAutoHyphens/>
              <w:rPr>
                <w:rFonts w:ascii="Arial" w:hAnsi="Arial" w:cs="Arial"/>
                <w:sz w:val="20"/>
                <w:szCs w:val="20"/>
              </w:rPr>
            </w:pPr>
          </w:p>
          <w:p w14:paraId="187F733F" w14:textId="77777777" w:rsidR="007B55FA" w:rsidRPr="00040AA9" w:rsidRDefault="007B55FA" w:rsidP="00040AA9">
            <w:pPr>
              <w:suppressAutoHyphens/>
              <w:rPr>
                <w:rFonts w:ascii="Arial" w:hAnsi="Arial" w:cs="Arial"/>
                <w:sz w:val="20"/>
                <w:szCs w:val="20"/>
              </w:rPr>
            </w:pPr>
          </w:p>
          <w:p w14:paraId="6C74F45A" w14:textId="77777777" w:rsidR="007B55FA" w:rsidRPr="00040AA9" w:rsidRDefault="007B55FA" w:rsidP="00040AA9">
            <w:pPr>
              <w:suppressAutoHyphens/>
              <w:rPr>
                <w:rFonts w:ascii="Arial" w:hAnsi="Arial" w:cs="Arial"/>
                <w:sz w:val="20"/>
                <w:szCs w:val="20"/>
              </w:rPr>
            </w:pPr>
          </w:p>
          <w:p w14:paraId="5DCF10F0" w14:textId="77777777" w:rsidR="007B55FA" w:rsidRPr="00040AA9" w:rsidRDefault="007B55FA" w:rsidP="00040AA9">
            <w:pPr>
              <w:suppressAutoHyphens/>
              <w:rPr>
                <w:rFonts w:ascii="Arial" w:hAnsi="Arial" w:cs="Arial"/>
                <w:sz w:val="20"/>
                <w:szCs w:val="20"/>
              </w:rPr>
            </w:pPr>
          </w:p>
          <w:p w14:paraId="6BC9A4EC" w14:textId="77777777" w:rsidR="007B55FA" w:rsidRPr="00040AA9" w:rsidRDefault="007B55FA" w:rsidP="00040AA9">
            <w:pPr>
              <w:suppressAutoHyphens/>
              <w:rPr>
                <w:rFonts w:ascii="Arial" w:hAnsi="Arial" w:cs="Arial"/>
                <w:sz w:val="20"/>
                <w:szCs w:val="20"/>
              </w:rPr>
            </w:pPr>
          </w:p>
          <w:p w14:paraId="31C8D47E" w14:textId="77777777" w:rsidR="007B55FA" w:rsidRPr="00040AA9" w:rsidRDefault="007B55FA" w:rsidP="00040AA9">
            <w:pPr>
              <w:suppressAutoHyphens/>
              <w:rPr>
                <w:rFonts w:ascii="Arial" w:hAnsi="Arial" w:cs="Arial"/>
                <w:sz w:val="20"/>
                <w:szCs w:val="20"/>
              </w:rPr>
            </w:pPr>
          </w:p>
          <w:p w14:paraId="008CA8D7" w14:textId="77777777" w:rsidR="007B55FA" w:rsidRPr="00040AA9" w:rsidRDefault="007B55FA" w:rsidP="00040AA9">
            <w:pPr>
              <w:suppressAutoHyphens/>
              <w:rPr>
                <w:rFonts w:ascii="Arial" w:hAnsi="Arial" w:cs="Arial"/>
                <w:sz w:val="20"/>
                <w:szCs w:val="20"/>
              </w:rPr>
            </w:pPr>
          </w:p>
          <w:p w14:paraId="2F35E306" w14:textId="77777777" w:rsidR="007B55FA" w:rsidRPr="00040AA9" w:rsidRDefault="007B55FA" w:rsidP="00040AA9">
            <w:pPr>
              <w:suppressAutoHyphens/>
              <w:rPr>
                <w:rFonts w:ascii="Arial" w:hAnsi="Arial" w:cs="Arial"/>
                <w:sz w:val="20"/>
                <w:szCs w:val="20"/>
              </w:rPr>
            </w:pPr>
          </w:p>
          <w:p w14:paraId="4153296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2E676F87" w14:textId="63F0ED1A"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Letter from FS attaching the comments on the report for the strengthening of the economic and financial situation of the NWC </w:t>
            </w:r>
            <w:r w:rsidR="00167DE5">
              <w:rPr>
                <w:rFonts w:ascii="Arial" w:hAnsi="Arial" w:cs="Arial"/>
                <w:sz w:val="20"/>
                <w:szCs w:val="20"/>
              </w:rPr>
              <w:t xml:space="preserve">and the </w:t>
            </w:r>
            <w:r w:rsidRPr="00040AA9">
              <w:rPr>
                <w:rFonts w:ascii="Arial" w:hAnsi="Arial" w:cs="Arial"/>
                <w:sz w:val="20"/>
                <w:szCs w:val="20"/>
              </w:rPr>
              <w:t>JUTC.</w:t>
            </w:r>
            <w:r w:rsidRPr="00040AA9">
              <w:rPr>
                <w:rStyle w:val="FootnoteReference"/>
                <w:rFonts w:ascii="Arial" w:hAnsi="Arial" w:cs="Arial"/>
                <w:sz w:val="20"/>
                <w:szCs w:val="20"/>
              </w:rPr>
              <w:footnoteReference w:id="124"/>
            </w:r>
          </w:p>
        </w:tc>
      </w:tr>
      <w:tr w:rsidR="007B55FA" w:rsidRPr="00CF5903" w14:paraId="0A9C0AC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184D01CE"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D4AFAB3"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0808E1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ED76210"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27DA06F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724ABF18"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3891FBD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3777EAF" w14:textId="77777777" w:rsidR="007B55FA" w:rsidRPr="00040AA9" w:rsidRDefault="007B55FA" w:rsidP="00040AA9">
            <w:pPr>
              <w:suppressAutoHyphens/>
              <w:rPr>
                <w:rFonts w:ascii="Arial" w:hAnsi="Arial" w:cs="Arial"/>
                <w:sz w:val="20"/>
                <w:szCs w:val="20"/>
              </w:rPr>
            </w:pPr>
          </w:p>
        </w:tc>
      </w:tr>
      <w:tr w:rsidR="007B55FA" w:rsidRPr="00CF5903" w14:paraId="7640696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jc w:val="center"/>
        </w:trPr>
        <w:tc>
          <w:tcPr>
            <w:tcW w:w="2556" w:type="dxa"/>
            <w:vMerge/>
            <w:shd w:val="clear" w:color="auto" w:fill="auto"/>
            <w:hideMark/>
          </w:tcPr>
          <w:p w14:paraId="1F56B769"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CC6EA52"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61827F3"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7C17F26"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537C7E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       </w:t>
            </w:r>
          </w:p>
          <w:p w14:paraId="57FC7607" w14:textId="77777777" w:rsidR="007B55FA" w:rsidRPr="00040AA9" w:rsidRDefault="007B55FA" w:rsidP="00040AA9">
            <w:pPr>
              <w:suppressAutoHyphens/>
              <w:rPr>
                <w:rFonts w:ascii="Arial" w:hAnsi="Arial" w:cs="Arial"/>
                <w:sz w:val="20"/>
                <w:szCs w:val="20"/>
              </w:rPr>
            </w:pPr>
          </w:p>
          <w:p w14:paraId="0B48E29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06292129" w14:textId="77777777" w:rsidR="007B55FA" w:rsidRPr="00040AA9" w:rsidRDefault="007B55FA" w:rsidP="00040AA9">
            <w:pPr>
              <w:suppressAutoHyphens/>
              <w:rPr>
                <w:rFonts w:ascii="Arial" w:hAnsi="Arial" w:cs="Arial"/>
                <w:sz w:val="20"/>
                <w:szCs w:val="20"/>
              </w:rPr>
            </w:pPr>
          </w:p>
          <w:p w14:paraId="72E9C9C1" w14:textId="77777777" w:rsidR="007B55FA" w:rsidRPr="00040AA9" w:rsidRDefault="007B55FA" w:rsidP="00040AA9">
            <w:pPr>
              <w:suppressAutoHyphens/>
              <w:rPr>
                <w:rFonts w:ascii="Arial" w:hAnsi="Arial" w:cs="Arial"/>
                <w:sz w:val="20"/>
                <w:szCs w:val="20"/>
              </w:rPr>
            </w:pPr>
          </w:p>
          <w:p w14:paraId="0DEDE33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A331A7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tc>
        <w:tc>
          <w:tcPr>
            <w:tcW w:w="1106" w:type="dxa"/>
            <w:vMerge/>
            <w:shd w:val="clear" w:color="auto" w:fill="auto"/>
            <w:hideMark/>
          </w:tcPr>
          <w:p w14:paraId="158BEEE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DFE61BB" w14:textId="2CC4F608" w:rsidR="007B55FA" w:rsidRPr="00040AA9" w:rsidRDefault="007B55FA" w:rsidP="00040AA9">
            <w:pPr>
              <w:suppressAutoHyphens/>
              <w:rPr>
                <w:rFonts w:ascii="Arial" w:hAnsi="Arial" w:cs="Arial"/>
                <w:sz w:val="20"/>
                <w:szCs w:val="20"/>
              </w:rPr>
            </w:pPr>
            <w:r w:rsidRPr="00040AA9">
              <w:rPr>
                <w:rFonts w:ascii="Arial" w:hAnsi="Arial" w:cs="Arial"/>
                <w:sz w:val="20"/>
                <w:szCs w:val="20"/>
              </w:rPr>
              <w:t>- Official letter from FS to Bank dated June 9, 2015 (part III.4.b) providing evidence of compliance with section2.03.II.(d) of the FISPEG II loan contract by way of transmitting MOF comments on  the Bank-sponsored study of NWC and JUTC</w:t>
            </w:r>
            <w:r w:rsidRPr="00040AA9">
              <w:rPr>
                <w:rStyle w:val="FootnoteReference"/>
                <w:rFonts w:ascii="Arial" w:hAnsi="Arial" w:cs="Arial"/>
                <w:sz w:val="20"/>
                <w:szCs w:val="20"/>
              </w:rPr>
              <w:footnoteReference w:id="125"/>
            </w:r>
            <w:r w:rsidRPr="00040AA9">
              <w:rPr>
                <w:rFonts w:ascii="Arial" w:hAnsi="Arial" w:cs="Arial"/>
                <w:sz w:val="20"/>
                <w:szCs w:val="20"/>
              </w:rPr>
              <w:t xml:space="preserve"> </w:t>
            </w:r>
          </w:p>
        </w:tc>
      </w:tr>
      <w:tr w:rsidR="007B55FA" w:rsidRPr="00CF5903" w14:paraId="228739C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018511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III.5.2</w:t>
            </w:r>
          </w:p>
          <w:p w14:paraId="5FEC7E1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Bank-sponsored study on the economic and financial situation of the NWC and JUTC completed </w:t>
            </w:r>
          </w:p>
          <w:p w14:paraId="0EAEB0F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III – product 3.4.</w:t>
            </w:r>
          </w:p>
          <w:p w14:paraId="5EC7E7CB"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2.03.II.(d))</w:t>
            </w:r>
          </w:p>
          <w:p w14:paraId="36143E73" w14:textId="77777777" w:rsidR="007B55FA" w:rsidRPr="00040AA9" w:rsidRDefault="007B55FA" w:rsidP="00040AA9">
            <w:pPr>
              <w:suppressAutoHyphens/>
              <w:rPr>
                <w:rFonts w:ascii="Arial" w:hAnsi="Arial" w:cs="Arial"/>
                <w:sz w:val="20"/>
                <w:szCs w:val="20"/>
              </w:rPr>
            </w:pPr>
          </w:p>
          <w:p w14:paraId="41AC843D" w14:textId="77777777" w:rsidR="007B55FA" w:rsidRPr="00040AA9" w:rsidRDefault="007B55FA" w:rsidP="00040AA9">
            <w:pPr>
              <w:suppressAutoHyphens/>
              <w:rPr>
                <w:rFonts w:ascii="Arial" w:hAnsi="Arial" w:cs="Arial"/>
                <w:sz w:val="20"/>
                <w:szCs w:val="20"/>
              </w:rPr>
            </w:pPr>
          </w:p>
        </w:tc>
        <w:tc>
          <w:tcPr>
            <w:tcW w:w="860" w:type="dxa"/>
            <w:vMerge w:val="restart"/>
            <w:shd w:val="clear" w:color="auto" w:fill="auto"/>
          </w:tcPr>
          <w:p w14:paraId="1259F66C" w14:textId="77777777" w:rsidR="007B55FA" w:rsidRPr="00040AA9" w:rsidRDefault="007B55FA" w:rsidP="00040AA9">
            <w:pPr>
              <w:suppressAutoHyphens/>
              <w:jc w:val="center"/>
              <w:rPr>
                <w:rFonts w:ascii="Arial" w:hAnsi="Arial" w:cs="Arial"/>
                <w:sz w:val="20"/>
                <w:szCs w:val="20"/>
              </w:rPr>
            </w:pPr>
          </w:p>
          <w:p w14:paraId="204F540B" w14:textId="77777777" w:rsidR="007B55FA" w:rsidRPr="00040AA9" w:rsidRDefault="007B55FA" w:rsidP="00040AA9">
            <w:pPr>
              <w:suppressAutoHyphens/>
              <w:jc w:val="center"/>
              <w:rPr>
                <w:rFonts w:ascii="Arial" w:hAnsi="Arial" w:cs="Arial"/>
                <w:sz w:val="20"/>
                <w:szCs w:val="20"/>
              </w:rPr>
            </w:pPr>
          </w:p>
          <w:p w14:paraId="1E57F66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Study</w:t>
            </w:r>
          </w:p>
        </w:tc>
        <w:tc>
          <w:tcPr>
            <w:tcW w:w="774" w:type="dxa"/>
            <w:vMerge w:val="restart"/>
            <w:shd w:val="clear" w:color="auto" w:fill="auto"/>
          </w:tcPr>
          <w:p w14:paraId="2F957191" w14:textId="77777777" w:rsidR="007B55FA" w:rsidRPr="00040AA9" w:rsidRDefault="007B55FA" w:rsidP="00040AA9">
            <w:pPr>
              <w:suppressAutoHyphens/>
              <w:jc w:val="center"/>
              <w:rPr>
                <w:rFonts w:ascii="Arial" w:hAnsi="Arial" w:cs="Arial"/>
                <w:sz w:val="20"/>
                <w:szCs w:val="20"/>
              </w:rPr>
            </w:pPr>
          </w:p>
          <w:p w14:paraId="13328379" w14:textId="77777777" w:rsidR="007B55FA" w:rsidRPr="00040AA9" w:rsidRDefault="007B55FA" w:rsidP="00040AA9">
            <w:pPr>
              <w:suppressAutoHyphens/>
              <w:jc w:val="center"/>
              <w:rPr>
                <w:rFonts w:ascii="Arial" w:hAnsi="Arial" w:cs="Arial"/>
                <w:sz w:val="20"/>
                <w:szCs w:val="20"/>
              </w:rPr>
            </w:pPr>
          </w:p>
          <w:p w14:paraId="13EA6A7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303F35C" w14:textId="77777777" w:rsidR="007B55FA" w:rsidRPr="00040AA9" w:rsidRDefault="007B55FA" w:rsidP="00040AA9">
            <w:pPr>
              <w:suppressAutoHyphens/>
              <w:jc w:val="center"/>
              <w:rPr>
                <w:rFonts w:ascii="Arial" w:hAnsi="Arial" w:cs="Arial"/>
                <w:sz w:val="20"/>
                <w:szCs w:val="20"/>
              </w:rPr>
            </w:pPr>
          </w:p>
          <w:p w14:paraId="699BE1DE" w14:textId="77777777" w:rsidR="007B55FA" w:rsidRPr="00040AA9" w:rsidRDefault="007B55FA" w:rsidP="00040AA9">
            <w:pPr>
              <w:suppressAutoHyphens/>
              <w:jc w:val="center"/>
              <w:rPr>
                <w:rFonts w:ascii="Arial" w:hAnsi="Arial" w:cs="Arial"/>
                <w:sz w:val="20"/>
                <w:szCs w:val="20"/>
              </w:rPr>
            </w:pPr>
          </w:p>
          <w:p w14:paraId="1C34EC8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35619EBA" w14:textId="77777777" w:rsidR="007B55FA" w:rsidRPr="00040AA9" w:rsidRDefault="007B55FA" w:rsidP="00040AA9">
            <w:pPr>
              <w:suppressAutoHyphens/>
              <w:rPr>
                <w:rFonts w:ascii="Arial" w:hAnsi="Arial" w:cs="Arial"/>
                <w:sz w:val="20"/>
                <w:szCs w:val="20"/>
              </w:rPr>
            </w:pPr>
          </w:p>
          <w:p w14:paraId="7D131032" w14:textId="77777777" w:rsidR="007B55FA" w:rsidRPr="00040AA9" w:rsidRDefault="007B55FA" w:rsidP="00040AA9">
            <w:pPr>
              <w:suppressAutoHyphens/>
              <w:rPr>
                <w:rFonts w:ascii="Arial" w:hAnsi="Arial" w:cs="Arial"/>
                <w:sz w:val="20"/>
                <w:szCs w:val="20"/>
              </w:rPr>
            </w:pPr>
          </w:p>
          <w:p w14:paraId="5F614B1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3289C396" w14:textId="77777777" w:rsidR="007B55FA" w:rsidRPr="00040AA9" w:rsidRDefault="007B55FA" w:rsidP="00040AA9">
            <w:pPr>
              <w:suppressAutoHyphens/>
              <w:jc w:val="center"/>
              <w:rPr>
                <w:rFonts w:ascii="Arial" w:hAnsi="Arial" w:cs="Arial"/>
                <w:sz w:val="20"/>
                <w:szCs w:val="20"/>
              </w:rPr>
            </w:pPr>
          </w:p>
          <w:p w14:paraId="6A21275C" w14:textId="77777777" w:rsidR="007B55FA" w:rsidRPr="00040AA9" w:rsidRDefault="007B55FA" w:rsidP="00040AA9">
            <w:pPr>
              <w:suppressAutoHyphens/>
              <w:jc w:val="center"/>
              <w:rPr>
                <w:rFonts w:ascii="Arial" w:hAnsi="Arial" w:cs="Arial"/>
                <w:sz w:val="20"/>
                <w:szCs w:val="20"/>
              </w:rPr>
            </w:pPr>
          </w:p>
          <w:p w14:paraId="14EFD46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FB4676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56EFE183" w14:textId="77777777" w:rsidR="007B55FA" w:rsidRPr="00040AA9" w:rsidRDefault="007B55FA" w:rsidP="00040AA9">
            <w:pPr>
              <w:suppressAutoHyphens/>
              <w:rPr>
                <w:rFonts w:ascii="Arial" w:hAnsi="Arial" w:cs="Arial"/>
                <w:sz w:val="20"/>
                <w:szCs w:val="20"/>
              </w:rPr>
            </w:pPr>
          </w:p>
          <w:p w14:paraId="4BAB4B89" w14:textId="77777777" w:rsidR="007B55FA" w:rsidRPr="00040AA9" w:rsidRDefault="007B55FA" w:rsidP="00040AA9">
            <w:pPr>
              <w:suppressAutoHyphens/>
              <w:rPr>
                <w:rFonts w:ascii="Arial" w:hAnsi="Arial" w:cs="Arial"/>
                <w:sz w:val="20"/>
                <w:szCs w:val="20"/>
              </w:rPr>
            </w:pPr>
          </w:p>
          <w:p w14:paraId="057DA4A9" w14:textId="77777777" w:rsidR="007B55FA" w:rsidRPr="00040AA9" w:rsidRDefault="007B55FA" w:rsidP="00040AA9">
            <w:pPr>
              <w:suppressAutoHyphens/>
              <w:rPr>
                <w:rFonts w:ascii="Arial" w:hAnsi="Arial" w:cs="Arial"/>
                <w:sz w:val="20"/>
                <w:szCs w:val="20"/>
              </w:rPr>
            </w:pPr>
          </w:p>
          <w:p w14:paraId="40228B5C" w14:textId="77777777" w:rsidR="007B55FA" w:rsidRPr="00040AA9" w:rsidRDefault="007B55FA" w:rsidP="00040AA9">
            <w:pPr>
              <w:suppressAutoHyphens/>
              <w:rPr>
                <w:rFonts w:ascii="Arial" w:hAnsi="Arial" w:cs="Arial"/>
                <w:sz w:val="20"/>
                <w:szCs w:val="20"/>
              </w:rPr>
            </w:pPr>
          </w:p>
          <w:p w14:paraId="08492975" w14:textId="77777777" w:rsidR="007B55FA" w:rsidRPr="00040AA9" w:rsidRDefault="007B55FA" w:rsidP="00040AA9">
            <w:pPr>
              <w:suppressAutoHyphens/>
              <w:rPr>
                <w:rFonts w:ascii="Arial" w:hAnsi="Arial" w:cs="Arial"/>
                <w:sz w:val="20"/>
                <w:szCs w:val="20"/>
              </w:rPr>
            </w:pPr>
          </w:p>
          <w:p w14:paraId="79C82998" w14:textId="77777777" w:rsidR="007B55FA" w:rsidRPr="00040AA9" w:rsidRDefault="007B55FA" w:rsidP="00040AA9">
            <w:pPr>
              <w:suppressAutoHyphens/>
              <w:rPr>
                <w:rFonts w:ascii="Arial" w:hAnsi="Arial" w:cs="Arial"/>
                <w:sz w:val="20"/>
                <w:szCs w:val="20"/>
              </w:rPr>
            </w:pPr>
          </w:p>
          <w:p w14:paraId="0EF09FFC" w14:textId="77777777" w:rsidR="007B55FA" w:rsidRPr="00040AA9" w:rsidRDefault="007B55FA" w:rsidP="00040AA9">
            <w:pPr>
              <w:suppressAutoHyphens/>
              <w:rPr>
                <w:rFonts w:ascii="Arial" w:hAnsi="Arial" w:cs="Arial"/>
                <w:sz w:val="20"/>
                <w:szCs w:val="20"/>
              </w:rPr>
            </w:pPr>
          </w:p>
          <w:p w14:paraId="40365273" w14:textId="340AF30C"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r w:rsidRPr="00040AA9">
              <w:rPr>
                <w:rStyle w:val="FootnoteReference"/>
                <w:rFonts w:ascii="Arial" w:hAnsi="Arial" w:cs="Arial"/>
                <w:sz w:val="20"/>
                <w:szCs w:val="20"/>
              </w:rPr>
              <w:footnoteReference w:id="126"/>
            </w:r>
          </w:p>
          <w:p w14:paraId="7F05DFB0" w14:textId="44A712D9" w:rsidR="007B55FA" w:rsidRPr="00040AA9" w:rsidRDefault="007B55FA" w:rsidP="00040AA9">
            <w:pPr>
              <w:suppressAutoHyphens/>
              <w:rPr>
                <w:rFonts w:ascii="Arial" w:hAnsi="Arial" w:cs="Arial"/>
                <w:sz w:val="20"/>
                <w:szCs w:val="20"/>
              </w:rPr>
            </w:pPr>
          </w:p>
        </w:tc>
        <w:tc>
          <w:tcPr>
            <w:tcW w:w="5027" w:type="dxa"/>
            <w:shd w:val="clear" w:color="auto" w:fill="auto"/>
          </w:tcPr>
          <w:p w14:paraId="1F6361F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FS informing that the Bank-sponsored study recommendations for NWC and JUTC entities have been considered.</w:t>
            </w:r>
          </w:p>
        </w:tc>
      </w:tr>
      <w:tr w:rsidR="007B55FA" w:rsidRPr="00CF5903" w14:paraId="491B089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38BFB1F3"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D1A9564"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FE1D632"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5E33732"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38C95CE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FFD8DF7"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5D3C0F3A"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420FD62" w14:textId="77777777" w:rsidR="007B55FA" w:rsidRPr="00040AA9" w:rsidRDefault="007B55FA" w:rsidP="00040AA9">
            <w:pPr>
              <w:suppressAutoHyphens/>
              <w:rPr>
                <w:rFonts w:ascii="Arial" w:hAnsi="Arial" w:cs="Arial"/>
                <w:sz w:val="20"/>
                <w:szCs w:val="20"/>
              </w:rPr>
            </w:pPr>
          </w:p>
        </w:tc>
      </w:tr>
      <w:tr w:rsidR="007B55FA" w:rsidRPr="00CF5903" w14:paraId="118FBA6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shd w:val="clear" w:color="auto" w:fill="auto"/>
            <w:hideMark/>
          </w:tcPr>
          <w:p w14:paraId="2D2507BC"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0A67557"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CF04D5F"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9D4E2EB"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712398E" w14:textId="77777777" w:rsidR="007B55FA" w:rsidRPr="00040AA9" w:rsidRDefault="007B55FA" w:rsidP="00040AA9">
            <w:pPr>
              <w:suppressAutoHyphens/>
              <w:rPr>
                <w:rFonts w:ascii="Arial" w:hAnsi="Arial" w:cs="Arial"/>
                <w:sz w:val="20"/>
                <w:szCs w:val="20"/>
              </w:rPr>
            </w:pPr>
          </w:p>
          <w:p w14:paraId="1136FFA4" w14:textId="77777777" w:rsidR="007B55FA" w:rsidRPr="00040AA9" w:rsidRDefault="007B55FA" w:rsidP="00040AA9">
            <w:pPr>
              <w:suppressAutoHyphens/>
              <w:rPr>
                <w:rFonts w:ascii="Arial" w:hAnsi="Arial" w:cs="Arial"/>
                <w:sz w:val="20"/>
                <w:szCs w:val="20"/>
              </w:rPr>
            </w:pPr>
          </w:p>
          <w:p w14:paraId="05F9DE38" w14:textId="77777777" w:rsidR="007B55FA" w:rsidRPr="00040AA9" w:rsidRDefault="007B55FA" w:rsidP="00040AA9">
            <w:pPr>
              <w:suppressAutoHyphens/>
              <w:rPr>
                <w:rFonts w:ascii="Arial" w:hAnsi="Arial" w:cs="Arial"/>
                <w:sz w:val="20"/>
                <w:szCs w:val="20"/>
              </w:rPr>
            </w:pPr>
          </w:p>
          <w:p w14:paraId="5DCEC13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5FD64D24" w14:textId="77777777" w:rsidR="007B55FA" w:rsidRPr="00040AA9" w:rsidRDefault="007B55FA" w:rsidP="00040AA9">
            <w:pPr>
              <w:suppressAutoHyphens/>
              <w:rPr>
                <w:rFonts w:ascii="Arial" w:hAnsi="Arial" w:cs="Arial"/>
                <w:sz w:val="20"/>
                <w:szCs w:val="20"/>
              </w:rPr>
            </w:pPr>
          </w:p>
          <w:p w14:paraId="3B5A3DD6" w14:textId="77777777" w:rsidR="007B55FA" w:rsidRPr="00040AA9" w:rsidRDefault="007B55FA" w:rsidP="00040AA9">
            <w:pPr>
              <w:suppressAutoHyphens/>
              <w:jc w:val="center"/>
              <w:rPr>
                <w:rFonts w:ascii="Arial" w:hAnsi="Arial" w:cs="Arial"/>
                <w:sz w:val="20"/>
                <w:szCs w:val="20"/>
              </w:rPr>
            </w:pPr>
          </w:p>
          <w:p w14:paraId="100319D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202A0B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shd w:val="clear" w:color="auto" w:fill="auto"/>
            <w:hideMark/>
          </w:tcPr>
          <w:p w14:paraId="19DDAB36"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7FDF8B4" w14:textId="1B1F66DA"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167DE5">
              <w:rPr>
                <w:rFonts w:ascii="Arial" w:hAnsi="Arial" w:cs="Arial"/>
                <w:sz w:val="20"/>
                <w:szCs w:val="20"/>
              </w:rPr>
              <w:t>S</w:t>
            </w:r>
            <w:r w:rsidRPr="00040AA9">
              <w:rPr>
                <w:rFonts w:ascii="Arial" w:hAnsi="Arial" w:cs="Arial"/>
                <w:sz w:val="20"/>
                <w:szCs w:val="20"/>
              </w:rPr>
              <w:t xml:space="preserve"> to the Bank dated Nov. 10, 2016 (part III.4.c) providing evidence of compliance with section 2.03.II.(c) of the FISPEG III loan contract by way certifying that the JUTC and NWC have implemented various measures that are consistent with the conclusions of the study.</w:t>
            </w:r>
            <w:r w:rsidRPr="00040AA9">
              <w:rPr>
                <w:rStyle w:val="FootnoteReference"/>
                <w:rFonts w:ascii="Arial" w:hAnsi="Arial" w:cs="Arial"/>
                <w:sz w:val="20"/>
                <w:szCs w:val="20"/>
              </w:rPr>
              <w:footnoteReference w:id="127"/>
            </w:r>
            <w:r w:rsidRPr="00040AA9">
              <w:rPr>
                <w:rFonts w:ascii="Arial" w:hAnsi="Arial" w:cs="Arial"/>
                <w:sz w:val="20"/>
                <w:szCs w:val="20"/>
                <w:vertAlign w:val="superscript"/>
              </w:rPr>
              <w:t>,</w:t>
            </w:r>
            <w:r w:rsidRPr="00040AA9">
              <w:rPr>
                <w:rFonts w:ascii="Arial" w:hAnsi="Arial" w:cs="Arial"/>
                <w:sz w:val="20"/>
                <w:szCs w:val="20"/>
              </w:rPr>
              <w:t xml:space="preserve"> </w:t>
            </w:r>
            <w:r w:rsidRPr="00040AA9">
              <w:rPr>
                <w:rStyle w:val="FootnoteReference"/>
                <w:rFonts w:ascii="Arial" w:hAnsi="Arial" w:cs="Arial"/>
                <w:sz w:val="20"/>
                <w:szCs w:val="20"/>
              </w:rPr>
              <w:footnoteReference w:id="128"/>
            </w:r>
          </w:p>
        </w:tc>
      </w:tr>
      <w:tr w:rsidR="007B55FA" w:rsidRPr="00CF5903" w14:paraId="758C43F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tcBorders>
              <w:bottom w:val="single" w:sz="4" w:space="0" w:color="auto"/>
            </w:tcBorders>
            <w:shd w:val="clear" w:color="auto" w:fill="E5DFEC" w:themeFill="accent4" w:themeFillTint="33"/>
          </w:tcPr>
          <w:p w14:paraId="51EEA59C" w14:textId="77777777" w:rsidR="007B55FA" w:rsidRPr="00D60FB9" w:rsidRDefault="007B55FA" w:rsidP="00040AA9">
            <w:pPr>
              <w:keepNext/>
              <w:keepLines/>
              <w:widowControl w:val="0"/>
              <w:suppressAutoHyphens/>
              <w:rPr>
                <w:rFonts w:ascii="Arial" w:hAnsi="Arial" w:cs="Arial"/>
                <w:sz w:val="20"/>
                <w:szCs w:val="20"/>
              </w:rPr>
            </w:pPr>
            <w:r w:rsidRPr="00D60FB9">
              <w:rPr>
                <w:rFonts w:ascii="Arial" w:hAnsi="Arial" w:cs="Arial"/>
                <w:b/>
                <w:sz w:val="20"/>
                <w:szCs w:val="20"/>
              </w:rPr>
              <w:t xml:space="preserve">OUTPUTS (Products) for COMPONENT IV – </w:t>
            </w:r>
            <w:r w:rsidRPr="00D60FB9">
              <w:rPr>
                <w:rFonts w:ascii="Arial" w:hAnsi="Arial" w:cs="Arial"/>
                <w:b/>
                <w:sz w:val="20"/>
                <w:szCs w:val="20"/>
                <w:lang w:val="en-GB"/>
              </w:rPr>
              <w:t>Ensuring Fiscal Sustainability of the National Insurance Scheme</w:t>
            </w:r>
          </w:p>
        </w:tc>
      </w:tr>
      <w:tr w:rsidR="007B55FA" w:rsidRPr="00CF5903" w14:paraId="6B5A481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jc w:val="center"/>
        </w:trPr>
        <w:tc>
          <w:tcPr>
            <w:tcW w:w="12859" w:type="dxa"/>
            <w:gridSpan w:val="8"/>
            <w:shd w:val="clear" w:color="auto" w:fill="F2F2F2" w:themeFill="background1" w:themeFillShade="F2"/>
          </w:tcPr>
          <w:p w14:paraId="2118C2B6" w14:textId="77777777" w:rsidR="007B55FA" w:rsidRPr="00040AA9" w:rsidRDefault="007B55FA" w:rsidP="00040AA9">
            <w:pPr>
              <w:keepNext/>
              <w:keepLines/>
              <w:widowControl w:val="0"/>
              <w:suppressAutoHyphens/>
              <w:rPr>
                <w:rFonts w:ascii="Arial" w:hAnsi="Arial" w:cs="Arial"/>
                <w:b/>
                <w:sz w:val="20"/>
                <w:szCs w:val="20"/>
              </w:rPr>
            </w:pPr>
            <w:r w:rsidRPr="00040AA9">
              <w:rPr>
                <w:rFonts w:ascii="Arial" w:hAnsi="Arial" w:cs="Arial"/>
                <w:b/>
                <w:sz w:val="20"/>
                <w:szCs w:val="20"/>
              </w:rPr>
              <w:t>Output IV.1 Reform Plan to improve fiscal sustainability</w:t>
            </w:r>
          </w:p>
        </w:tc>
      </w:tr>
      <w:tr w:rsidR="007B55FA" w:rsidRPr="00CF5903" w14:paraId="6863904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018CA31B"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Indicator IV.1.1</w:t>
            </w:r>
          </w:p>
          <w:p w14:paraId="0B59E2F5"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 xml:space="preserve">Reform Plan to the NIS that addresses the contribution rate, the benefits and the coverage is proposed in order to improve its fiscal sustainability. These measures incorporate the gender dimension, differentiating with the highest possible rigor the effects between male and female beneficiaries. </w:t>
            </w:r>
          </w:p>
          <w:p w14:paraId="12648190"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 xml:space="preserve">(FSPG I – product 4.1, </w:t>
            </w:r>
          </w:p>
          <w:p w14:paraId="34CB24E7"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contract section 2.03(f))</w:t>
            </w:r>
          </w:p>
        </w:tc>
        <w:tc>
          <w:tcPr>
            <w:tcW w:w="860" w:type="dxa"/>
            <w:vMerge w:val="restart"/>
            <w:shd w:val="clear" w:color="auto" w:fill="auto"/>
          </w:tcPr>
          <w:p w14:paraId="70537ADC" w14:textId="77777777" w:rsidR="007B55FA" w:rsidRPr="00040AA9" w:rsidRDefault="007B55FA" w:rsidP="00040AA9">
            <w:pPr>
              <w:keepNext/>
              <w:keepLines/>
              <w:widowControl w:val="0"/>
              <w:suppressAutoHyphens/>
              <w:jc w:val="center"/>
              <w:rPr>
                <w:rFonts w:ascii="Arial" w:hAnsi="Arial" w:cs="Arial"/>
                <w:sz w:val="20"/>
                <w:szCs w:val="20"/>
              </w:rPr>
            </w:pPr>
          </w:p>
          <w:p w14:paraId="4D9D3050" w14:textId="77777777" w:rsidR="007B55FA" w:rsidRPr="00040AA9" w:rsidRDefault="007B55FA" w:rsidP="00040AA9">
            <w:pPr>
              <w:keepNext/>
              <w:keepLines/>
              <w:widowControl w:val="0"/>
              <w:suppressAutoHyphens/>
              <w:jc w:val="center"/>
              <w:rPr>
                <w:rFonts w:ascii="Arial" w:hAnsi="Arial" w:cs="Arial"/>
                <w:sz w:val="20"/>
                <w:szCs w:val="20"/>
              </w:rPr>
            </w:pPr>
          </w:p>
          <w:p w14:paraId="22533BF7" w14:textId="77777777" w:rsidR="007B55FA" w:rsidRPr="00040AA9" w:rsidRDefault="007B55FA" w:rsidP="00040AA9">
            <w:pPr>
              <w:keepNext/>
              <w:keepLines/>
              <w:widowControl w:val="0"/>
              <w:suppressAutoHyphens/>
              <w:jc w:val="center"/>
              <w:rPr>
                <w:rFonts w:ascii="Arial" w:hAnsi="Arial" w:cs="Arial"/>
                <w:sz w:val="20"/>
                <w:szCs w:val="20"/>
              </w:rPr>
            </w:pPr>
          </w:p>
          <w:p w14:paraId="6E303078" w14:textId="77777777" w:rsidR="007B55FA" w:rsidRPr="00040AA9" w:rsidRDefault="007B55FA" w:rsidP="00040AA9">
            <w:pPr>
              <w:keepNext/>
              <w:keepLines/>
              <w:widowControl w:val="0"/>
              <w:suppressAutoHyphens/>
              <w:jc w:val="center"/>
              <w:rPr>
                <w:rFonts w:ascii="Arial" w:hAnsi="Arial" w:cs="Arial"/>
                <w:sz w:val="20"/>
                <w:szCs w:val="20"/>
              </w:rPr>
            </w:pPr>
          </w:p>
          <w:p w14:paraId="49C05F35" w14:textId="77777777" w:rsidR="007B55FA" w:rsidRPr="00040AA9" w:rsidRDefault="007B55FA" w:rsidP="00040AA9">
            <w:pPr>
              <w:keepNext/>
              <w:keepLines/>
              <w:widowControl w:val="0"/>
              <w:suppressAutoHyphens/>
              <w:jc w:val="center"/>
              <w:rPr>
                <w:rFonts w:ascii="Arial" w:hAnsi="Arial" w:cs="Arial"/>
                <w:sz w:val="20"/>
                <w:szCs w:val="20"/>
              </w:rPr>
            </w:pPr>
          </w:p>
          <w:p w14:paraId="74115894" w14:textId="77777777" w:rsidR="007B55FA" w:rsidRPr="00040AA9" w:rsidRDefault="007B55FA" w:rsidP="00040AA9">
            <w:pPr>
              <w:keepNext/>
              <w:keepLines/>
              <w:widowControl w:val="0"/>
              <w:suppressAutoHyphens/>
              <w:jc w:val="center"/>
              <w:rPr>
                <w:rFonts w:ascii="Arial" w:hAnsi="Arial" w:cs="Arial"/>
                <w:sz w:val="20"/>
                <w:szCs w:val="20"/>
              </w:rPr>
            </w:pPr>
          </w:p>
          <w:p w14:paraId="58802E49" w14:textId="77777777" w:rsidR="007B55FA" w:rsidRPr="00040AA9" w:rsidRDefault="007B55FA" w:rsidP="00040AA9">
            <w:pPr>
              <w:keepNext/>
              <w:keepLines/>
              <w:widowControl w:val="0"/>
              <w:suppressAutoHyphens/>
              <w:jc w:val="center"/>
              <w:rPr>
                <w:rFonts w:ascii="Arial" w:hAnsi="Arial" w:cs="Arial"/>
                <w:sz w:val="20"/>
                <w:szCs w:val="20"/>
              </w:rPr>
            </w:pPr>
          </w:p>
          <w:p w14:paraId="487C7E8F" w14:textId="77777777" w:rsidR="007B55FA" w:rsidRPr="00040AA9" w:rsidRDefault="007B55FA" w:rsidP="00040AA9">
            <w:pPr>
              <w:keepNext/>
              <w:keepLines/>
              <w:widowControl w:val="0"/>
              <w:suppressAutoHyphens/>
              <w:jc w:val="center"/>
              <w:rPr>
                <w:rFonts w:ascii="Arial" w:hAnsi="Arial" w:cs="Arial"/>
                <w:sz w:val="20"/>
                <w:szCs w:val="20"/>
              </w:rPr>
            </w:pPr>
          </w:p>
          <w:p w14:paraId="6B101E32" w14:textId="77777777" w:rsidR="007B55FA" w:rsidRPr="00040AA9" w:rsidRDefault="007B55FA" w:rsidP="00040AA9">
            <w:pPr>
              <w:keepNext/>
              <w:keepLines/>
              <w:widowControl w:val="0"/>
              <w:suppressAutoHyphens/>
              <w:jc w:val="center"/>
              <w:rPr>
                <w:rFonts w:ascii="Arial" w:hAnsi="Arial" w:cs="Arial"/>
                <w:sz w:val="20"/>
                <w:szCs w:val="20"/>
              </w:rPr>
            </w:pPr>
          </w:p>
          <w:p w14:paraId="646353BB"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Reform Plan</w:t>
            </w:r>
          </w:p>
        </w:tc>
        <w:tc>
          <w:tcPr>
            <w:tcW w:w="774" w:type="dxa"/>
            <w:vMerge w:val="restart"/>
            <w:shd w:val="clear" w:color="auto" w:fill="auto"/>
          </w:tcPr>
          <w:p w14:paraId="5190189B" w14:textId="77777777" w:rsidR="007B55FA" w:rsidRPr="00040AA9" w:rsidRDefault="007B55FA" w:rsidP="00040AA9">
            <w:pPr>
              <w:keepNext/>
              <w:keepLines/>
              <w:widowControl w:val="0"/>
              <w:suppressAutoHyphens/>
              <w:jc w:val="center"/>
              <w:rPr>
                <w:rFonts w:ascii="Arial" w:hAnsi="Arial" w:cs="Arial"/>
                <w:sz w:val="20"/>
                <w:szCs w:val="20"/>
              </w:rPr>
            </w:pPr>
          </w:p>
          <w:p w14:paraId="200CCCD3" w14:textId="77777777" w:rsidR="007B55FA" w:rsidRPr="00040AA9" w:rsidRDefault="007B55FA" w:rsidP="00040AA9">
            <w:pPr>
              <w:keepNext/>
              <w:keepLines/>
              <w:widowControl w:val="0"/>
              <w:suppressAutoHyphens/>
              <w:jc w:val="center"/>
              <w:rPr>
                <w:rFonts w:ascii="Arial" w:hAnsi="Arial" w:cs="Arial"/>
                <w:sz w:val="20"/>
                <w:szCs w:val="20"/>
              </w:rPr>
            </w:pPr>
          </w:p>
          <w:p w14:paraId="261A7E51" w14:textId="77777777" w:rsidR="007B55FA" w:rsidRPr="00040AA9" w:rsidRDefault="007B55FA" w:rsidP="00040AA9">
            <w:pPr>
              <w:keepNext/>
              <w:keepLines/>
              <w:widowControl w:val="0"/>
              <w:suppressAutoHyphens/>
              <w:jc w:val="center"/>
              <w:rPr>
                <w:rFonts w:ascii="Arial" w:hAnsi="Arial" w:cs="Arial"/>
                <w:sz w:val="20"/>
                <w:szCs w:val="20"/>
              </w:rPr>
            </w:pPr>
          </w:p>
          <w:p w14:paraId="616C9DB9" w14:textId="77777777" w:rsidR="007B55FA" w:rsidRPr="00040AA9" w:rsidRDefault="007B55FA" w:rsidP="00040AA9">
            <w:pPr>
              <w:keepNext/>
              <w:keepLines/>
              <w:widowControl w:val="0"/>
              <w:suppressAutoHyphens/>
              <w:jc w:val="center"/>
              <w:rPr>
                <w:rFonts w:ascii="Arial" w:hAnsi="Arial" w:cs="Arial"/>
                <w:sz w:val="20"/>
                <w:szCs w:val="20"/>
              </w:rPr>
            </w:pPr>
          </w:p>
          <w:p w14:paraId="1EEBBA2B" w14:textId="77777777" w:rsidR="007B55FA" w:rsidRPr="00040AA9" w:rsidRDefault="007B55FA" w:rsidP="00040AA9">
            <w:pPr>
              <w:keepNext/>
              <w:keepLines/>
              <w:widowControl w:val="0"/>
              <w:suppressAutoHyphens/>
              <w:jc w:val="center"/>
              <w:rPr>
                <w:rFonts w:ascii="Arial" w:hAnsi="Arial" w:cs="Arial"/>
                <w:sz w:val="20"/>
                <w:szCs w:val="20"/>
              </w:rPr>
            </w:pPr>
          </w:p>
          <w:p w14:paraId="5451D60B" w14:textId="77777777" w:rsidR="007B55FA" w:rsidRPr="00040AA9" w:rsidRDefault="007B55FA" w:rsidP="00040AA9">
            <w:pPr>
              <w:keepNext/>
              <w:keepLines/>
              <w:widowControl w:val="0"/>
              <w:suppressAutoHyphens/>
              <w:jc w:val="center"/>
              <w:rPr>
                <w:rFonts w:ascii="Arial" w:hAnsi="Arial" w:cs="Arial"/>
                <w:sz w:val="20"/>
                <w:szCs w:val="20"/>
              </w:rPr>
            </w:pPr>
          </w:p>
          <w:p w14:paraId="628D3657" w14:textId="77777777" w:rsidR="007B55FA" w:rsidRPr="00040AA9" w:rsidRDefault="007B55FA" w:rsidP="00040AA9">
            <w:pPr>
              <w:keepNext/>
              <w:keepLines/>
              <w:widowControl w:val="0"/>
              <w:suppressAutoHyphens/>
              <w:jc w:val="center"/>
              <w:rPr>
                <w:rFonts w:ascii="Arial" w:hAnsi="Arial" w:cs="Arial"/>
                <w:sz w:val="20"/>
                <w:szCs w:val="20"/>
              </w:rPr>
            </w:pPr>
          </w:p>
          <w:p w14:paraId="5E6A9958" w14:textId="77777777" w:rsidR="007B55FA" w:rsidRPr="00040AA9" w:rsidRDefault="007B55FA" w:rsidP="00040AA9">
            <w:pPr>
              <w:keepNext/>
              <w:keepLines/>
              <w:widowControl w:val="0"/>
              <w:suppressAutoHyphens/>
              <w:jc w:val="center"/>
              <w:rPr>
                <w:rFonts w:ascii="Arial" w:hAnsi="Arial" w:cs="Arial"/>
                <w:sz w:val="20"/>
                <w:szCs w:val="20"/>
              </w:rPr>
            </w:pPr>
          </w:p>
          <w:p w14:paraId="3A89BAD5" w14:textId="77777777" w:rsidR="007B55FA" w:rsidRPr="00040AA9" w:rsidRDefault="007B55FA" w:rsidP="00040AA9">
            <w:pPr>
              <w:keepNext/>
              <w:keepLines/>
              <w:widowControl w:val="0"/>
              <w:suppressAutoHyphens/>
              <w:jc w:val="center"/>
              <w:rPr>
                <w:rFonts w:ascii="Arial" w:hAnsi="Arial" w:cs="Arial"/>
                <w:sz w:val="20"/>
                <w:szCs w:val="20"/>
              </w:rPr>
            </w:pPr>
          </w:p>
          <w:p w14:paraId="50D14C81" w14:textId="77777777" w:rsidR="007B55FA" w:rsidRPr="00040AA9" w:rsidRDefault="007B55FA" w:rsidP="00040AA9">
            <w:pPr>
              <w:keepNext/>
              <w:keepLines/>
              <w:widowControl w:val="0"/>
              <w:suppressAutoHyphens/>
              <w:jc w:val="center"/>
              <w:rPr>
                <w:rFonts w:ascii="Arial" w:hAnsi="Arial" w:cs="Arial"/>
                <w:sz w:val="20"/>
                <w:szCs w:val="20"/>
              </w:rPr>
            </w:pPr>
          </w:p>
          <w:p w14:paraId="0870C383"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6909397A" w14:textId="77777777" w:rsidR="007B55FA" w:rsidRPr="00040AA9" w:rsidRDefault="007B55FA" w:rsidP="00040AA9">
            <w:pPr>
              <w:keepNext/>
              <w:keepLines/>
              <w:widowControl w:val="0"/>
              <w:suppressAutoHyphens/>
              <w:jc w:val="center"/>
              <w:rPr>
                <w:rFonts w:ascii="Arial" w:hAnsi="Arial" w:cs="Arial"/>
                <w:sz w:val="20"/>
                <w:szCs w:val="20"/>
              </w:rPr>
            </w:pPr>
          </w:p>
          <w:p w14:paraId="21EEE2B3" w14:textId="77777777" w:rsidR="007B55FA" w:rsidRPr="00040AA9" w:rsidRDefault="007B55FA" w:rsidP="00040AA9">
            <w:pPr>
              <w:keepNext/>
              <w:keepLines/>
              <w:widowControl w:val="0"/>
              <w:suppressAutoHyphens/>
              <w:jc w:val="center"/>
              <w:rPr>
                <w:rFonts w:ascii="Arial" w:hAnsi="Arial" w:cs="Arial"/>
                <w:sz w:val="20"/>
                <w:szCs w:val="20"/>
              </w:rPr>
            </w:pPr>
          </w:p>
          <w:p w14:paraId="647BBDA6" w14:textId="77777777" w:rsidR="007B55FA" w:rsidRPr="00040AA9" w:rsidRDefault="007B55FA" w:rsidP="00040AA9">
            <w:pPr>
              <w:keepNext/>
              <w:keepLines/>
              <w:widowControl w:val="0"/>
              <w:suppressAutoHyphens/>
              <w:jc w:val="center"/>
              <w:rPr>
                <w:rFonts w:ascii="Arial" w:hAnsi="Arial" w:cs="Arial"/>
                <w:sz w:val="20"/>
                <w:szCs w:val="20"/>
              </w:rPr>
            </w:pPr>
          </w:p>
          <w:p w14:paraId="7A277439" w14:textId="77777777" w:rsidR="007B55FA" w:rsidRPr="00040AA9" w:rsidRDefault="007B55FA" w:rsidP="00040AA9">
            <w:pPr>
              <w:keepNext/>
              <w:keepLines/>
              <w:widowControl w:val="0"/>
              <w:suppressAutoHyphens/>
              <w:jc w:val="center"/>
              <w:rPr>
                <w:rFonts w:ascii="Arial" w:hAnsi="Arial" w:cs="Arial"/>
                <w:sz w:val="20"/>
                <w:szCs w:val="20"/>
              </w:rPr>
            </w:pPr>
          </w:p>
          <w:p w14:paraId="56A2B6A0" w14:textId="77777777" w:rsidR="007B55FA" w:rsidRPr="00040AA9" w:rsidRDefault="007B55FA" w:rsidP="00040AA9">
            <w:pPr>
              <w:keepNext/>
              <w:keepLines/>
              <w:widowControl w:val="0"/>
              <w:suppressAutoHyphens/>
              <w:jc w:val="center"/>
              <w:rPr>
                <w:rFonts w:ascii="Arial" w:hAnsi="Arial" w:cs="Arial"/>
                <w:sz w:val="20"/>
                <w:szCs w:val="20"/>
              </w:rPr>
            </w:pPr>
          </w:p>
          <w:p w14:paraId="3B450525" w14:textId="77777777" w:rsidR="007B55FA" w:rsidRPr="00040AA9" w:rsidRDefault="007B55FA" w:rsidP="00040AA9">
            <w:pPr>
              <w:keepNext/>
              <w:keepLines/>
              <w:widowControl w:val="0"/>
              <w:suppressAutoHyphens/>
              <w:jc w:val="center"/>
              <w:rPr>
                <w:rFonts w:ascii="Arial" w:hAnsi="Arial" w:cs="Arial"/>
                <w:sz w:val="20"/>
                <w:szCs w:val="20"/>
              </w:rPr>
            </w:pPr>
          </w:p>
          <w:p w14:paraId="61E3414B" w14:textId="77777777" w:rsidR="007B55FA" w:rsidRPr="00040AA9" w:rsidRDefault="007B55FA" w:rsidP="00040AA9">
            <w:pPr>
              <w:keepNext/>
              <w:keepLines/>
              <w:widowControl w:val="0"/>
              <w:suppressAutoHyphens/>
              <w:jc w:val="center"/>
              <w:rPr>
                <w:rFonts w:ascii="Arial" w:hAnsi="Arial" w:cs="Arial"/>
                <w:sz w:val="20"/>
                <w:szCs w:val="20"/>
              </w:rPr>
            </w:pPr>
          </w:p>
          <w:p w14:paraId="664CC6D1" w14:textId="77777777" w:rsidR="007B55FA" w:rsidRPr="00040AA9" w:rsidRDefault="007B55FA" w:rsidP="00040AA9">
            <w:pPr>
              <w:keepNext/>
              <w:keepLines/>
              <w:widowControl w:val="0"/>
              <w:suppressAutoHyphens/>
              <w:jc w:val="center"/>
              <w:rPr>
                <w:rFonts w:ascii="Arial" w:hAnsi="Arial" w:cs="Arial"/>
                <w:sz w:val="20"/>
                <w:szCs w:val="20"/>
              </w:rPr>
            </w:pPr>
          </w:p>
          <w:p w14:paraId="2A742156" w14:textId="77777777" w:rsidR="007B55FA" w:rsidRPr="00040AA9" w:rsidRDefault="007B55FA" w:rsidP="00040AA9">
            <w:pPr>
              <w:keepNext/>
              <w:keepLines/>
              <w:widowControl w:val="0"/>
              <w:suppressAutoHyphens/>
              <w:jc w:val="center"/>
              <w:rPr>
                <w:rFonts w:ascii="Arial" w:hAnsi="Arial" w:cs="Arial"/>
                <w:sz w:val="20"/>
                <w:szCs w:val="20"/>
              </w:rPr>
            </w:pPr>
          </w:p>
          <w:p w14:paraId="442F98D0" w14:textId="77777777" w:rsidR="007B55FA" w:rsidRPr="00040AA9" w:rsidRDefault="007B55FA" w:rsidP="00040AA9">
            <w:pPr>
              <w:keepNext/>
              <w:keepLines/>
              <w:widowControl w:val="0"/>
              <w:suppressAutoHyphens/>
              <w:jc w:val="center"/>
              <w:rPr>
                <w:rFonts w:ascii="Arial" w:hAnsi="Arial" w:cs="Arial"/>
                <w:sz w:val="20"/>
                <w:szCs w:val="20"/>
              </w:rPr>
            </w:pPr>
          </w:p>
          <w:p w14:paraId="710642B8"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183A80E9" w14:textId="77777777" w:rsidR="007B55FA" w:rsidRPr="00040AA9" w:rsidRDefault="007B55FA" w:rsidP="00040AA9">
            <w:pPr>
              <w:keepNext/>
              <w:keepLines/>
              <w:widowControl w:val="0"/>
              <w:suppressAutoHyphens/>
              <w:jc w:val="center"/>
              <w:rPr>
                <w:rFonts w:ascii="Arial" w:hAnsi="Arial" w:cs="Arial"/>
                <w:sz w:val="20"/>
                <w:szCs w:val="20"/>
              </w:rPr>
            </w:pPr>
          </w:p>
          <w:p w14:paraId="17702C0F" w14:textId="77777777" w:rsidR="007B55FA" w:rsidRPr="00040AA9" w:rsidRDefault="007B55FA" w:rsidP="00040AA9">
            <w:pPr>
              <w:keepNext/>
              <w:keepLines/>
              <w:widowControl w:val="0"/>
              <w:suppressAutoHyphens/>
              <w:jc w:val="center"/>
              <w:rPr>
                <w:rFonts w:ascii="Arial" w:hAnsi="Arial" w:cs="Arial"/>
                <w:sz w:val="20"/>
                <w:szCs w:val="20"/>
              </w:rPr>
            </w:pPr>
          </w:p>
          <w:p w14:paraId="455704E1"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366305E1" w14:textId="77777777" w:rsidR="007B55FA" w:rsidRPr="00040AA9" w:rsidRDefault="007B55FA" w:rsidP="00040AA9">
            <w:pPr>
              <w:keepNext/>
              <w:keepLines/>
              <w:widowControl w:val="0"/>
              <w:suppressAutoHyphens/>
              <w:jc w:val="center"/>
              <w:rPr>
                <w:rFonts w:ascii="Arial" w:hAnsi="Arial" w:cs="Arial"/>
                <w:sz w:val="20"/>
                <w:szCs w:val="20"/>
              </w:rPr>
            </w:pPr>
          </w:p>
          <w:p w14:paraId="0FE54FEC" w14:textId="77777777" w:rsidR="007B55FA" w:rsidRPr="00040AA9" w:rsidRDefault="007B55FA" w:rsidP="00040AA9">
            <w:pPr>
              <w:keepNext/>
              <w:keepLines/>
              <w:widowControl w:val="0"/>
              <w:suppressAutoHyphens/>
              <w:jc w:val="center"/>
              <w:rPr>
                <w:rFonts w:ascii="Arial" w:hAnsi="Arial" w:cs="Arial"/>
                <w:sz w:val="20"/>
                <w:szCs w:val="20"/>
              </w:rPr>
            </w:pPr>
          </w:p>
          <w:p w14:paraId="6B37D9A3"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1</w:t>
            </w:r>
          </w:p>
          <w:p w14:paraId="58A5384D"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556DC600" w14:textId="77777777" w:rsidR="007B55FA" w:rsidRPr="00040AA9" w:rsidRDefault="007B55FA" w:rsidP="00040AA9">
            <w:pPr>
              <w:keepNext/>
              <w:keepLines/>
              <w:widowControl w:val="0"/>
              <w:suppressAutoHyphens/>
              <w:rPr>
                <w:rFonts w:ascii="Arial" w:hAnsi="Arial" w:cs="Arial"/>
                <w:sz w:val="20"/>
                <w:szCs w:val="20"/>
              </w:rPr>
            </w:pPr>
          </w:p>
          <w:p w14:paraId="6F51DAA5" w14:textId="77777777" w:rsidR="007B55FA" w:rsidRPr="00040AA9" w:rsidRDefault="007B55FA" w:rsidP="00040AA9">
            <w:pPr>
              <w:keepNext/>
              <w:keepLines/>
              <w:widowControl w:val="0"/>
              <w:suppressAutoHyphens/>
              <w:rPr>
                <w:rFonts w:ascii="Arial" w:hAnsi="Arial" w:cs="Arial"/>
                <w:sz w:val="20"/>
                <w:szCs w:val="20"/>
              </w:rPr>
            </w:pPr>
          </w:p>
          <w:p w14:paraId="323DD451" w14:textId="77777777" w:rsidR="007B55FA" w:rsidRPr="00040AA9" w:rsidRDefault="007B55FA" w:rsidP="00040AA9">
            <w:pPr>
              <w:keepNext/>
              <w:keepLines/>
              <w:widowControl w:val="0"/>
              <w:suppressAutoHyphens/>
              <w:rPr>
                <w:rFonts w:ascii="Arial" w:hAnsi="Arial" w:cs="Arial"/>
                <w:sz w:val="20"/>
                <w:szCs w:val="20"/>
              </w:rPr>
            </w:pPr>
          </w:p>
          <w:p w14:paraId="09070251" w14:textId="77777777" w:rsidR="007B55FA" w:rsidRPr="00040AA9" w:rsidRDefault="007B55FA" w:rsidP="00040AA9">
            <w:pPr>
              <w:keepNext/>
              <w:keepLines/>
              <w:widowControl w:val="0"/>
              <w:suppressAutoHyphens/>
              <w:rPr>
                <w:rFonts w:ascii="Arial" w:hAnsi="Arial" w:cs="Arial"/>
                <w:sz w:val="20"/>
                <w:szCs w:val="20"/>
              </w:rPr>
            </w:pPr>
          </w:p>
          <w:p w14:paraId="6CF09D90" w14:textId="77777777" w:rsidR="007B55FA" w:rsidRPr="00040AA9" w:rsidRDefault="007B55FA" w:rsidP="00040AA9">
            <w:pPr>
              <w:keepNext/>
              <w:keepLines/>
              <w:widowControl w:val="0"/>
              <w:suppressAutoHyphens/>
              <w:rPr>
                <w:rFonts w:ascii="Arial" w:hAnsi="Arial" w:cs="Arial"/>
                <w:sz w:val="20"/>
                <w:szCs w:val="20"/>
              </w:rPr>
            </w:pPr>
          </w:p>
          <w:p w14:paraId="65D989BB" w14:textId="77777777" w:rsidR="007B55FA" w:rsidRPr="00040AA9" w:rsidRDefault="007B55FA" w:rsidP="00040AA9">
            <w:pPr>
              <w:keepNext/>
              <w:keepLines/>
              <w:widowControl w:val="0"/>
              <w:suppressAutoHyphens/>
              <w:rPr>
                <w:rFonts w:ascii="Arial" w:hAnsi="Arial" w:cs="Arial"/>
                <w:sz w:val="20"/>
                <w:szCs w:val="20"/>
              </w:rPr>
            </w:pPr>
          </w:p>
          <w:p w14:paraId="6585C4D7" w14:textId="77777777" w:rsidR="007B55FA" w:rsidRPr="00040AA9" w:rsidRDefault="007B55FA" w:rsidP="00040AA9">
            <w:pPr>
              <w:keepNext/>
              <w:keepLines/>
              <w:widowControl w:val="0"/>
              <w:suppressAutoHyphens/>
              <w:rPr>
                <w:rFonts w:ascii="Arial" w:hAnsi="Arial" w:cs="Arial"/>
                <w:sz w:val="20"/>
                <w:szCs w:val="20"/>
              </w:rPr>
            </w:pPr>
          </w:p>
          <w:p w14:paraId="57DD5A40"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61DC2389" w14:textId="1EB979C9"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 xml:space="preserve">Concept Paper for reform of the National Insurance prepared by Ministry of </w:t>
            </w:r>
            <w:r w:rsidR="00167DE5" w:rsidRPr="00CF5903">
              <w:rPr>
                <w:rFonts w:ascii="Arial" w:hAnsi="Arial" w:cs="Arial"/>
                <w:sz w:val="20"/>
                <w:szCs w:val="20"/>
              </w:rPr>
              <w:t>Labor</w:t>
            </w:r>
            <w:r w:rsidRPr="00040AA9">
              <w:rPr>
                <w:rFonts w:ascii="Arial" w:hAnsi="Arial" w:cs="Arial"/>
                <w:sz w:val="20"/>
                <w:szCs w:val="20"/>
              </w:rPr>
              <w:t xml:space="preserve"> and Social Security (MLSS)</w:t>
            </w:r>
          </w:p>
        </w:tc>
      </w:tr>
      <w:tr w:rsidR="007B55FA" w:rsidRPr="00CF5903" w14:paraId="7DAF626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vAlign w:val="center"/>
            <w:hideMark/>
          </w:tcPr>
          <w:p w14:paraId="4EA2C444" w14:textId="77777777" w:rsidR="007B55FA" w:rsidRPr="00040AA9" w:rsidRDefault="007B55FA" w:rsidP="00040AA9">
            <w:pPr>
              <w:suppressAutoHyphens/>
              <w:rPr>
                <w:rFonts w:ascii="Arial" w:hAnsi="Arial" w:cs="Arial"/>
                <w:sz w:val="20"/>
                <w:szCs w:val="20"/>
              </w:rPr>
            </w:pPr>
          </w:p>
        </w:tc>
        <w:tc>
          <w:tcPr>
            <w:tcW w:w="860" w:type="dxa"/>
            <w:vMerge/>
            <w:shd w:val="clear" w:color="auto" w:fill="auto"/>
            <w:vAlign w:val="center"/>
            <w:hideMark/>
          </w:tcPr>
          <w:p w14:paraId="555041B0" w14:textId="77777777" w:rsidR="007B55FA" w:rsidRPr="00040AA9" w:rsidRDefault="007B55FA" w:rsidP="00040AA9">
            <w:pPr>
              <w:suppressAutoHyphens/>
              <w:rPr>
                <w:rFonts w:ascii="Arial" w:hAnsi="Arial" w:cs="Arial"/>
                <w:sz w:val="20"/>
                <w:szCs w:val="20"/>
              </w:rPr>
            </w:pPr>
          </w:p>
        </w:tc>
        <w:tc>
          <w:tcPr>
            <w:tcW w:w="774" w:type="dxa"/>
            <w:vMerge/>
            <w:shd w:val="clear" w:color="auto" w:fill="auto"/>
            <w:vAlign w:val="center"/>
            <w:hideMark/>
          </w:tcPr>
          <w:p w14:paraId="02F4E6BE"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844A66C"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CB134D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4544B7AB"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7847060A"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7BFB58D" w14:textId="77777777" w:rsidR="007B55FA" w:rsidRPr="00040AA9" w:rsidRDefault="007B55FA" w:rsidP="00040AA9">
            <w:pPr>
              <w:suppressAutoHyphens/>
              <w:rPr>
                <w:rFonts w:ascii="Arial" w:hAnsi="Arial" w:cs="Arial"/>
                <w:sz w:val="20"/>
                <w:szCs w:val="20"/>
              </w:rPr>
            </w:pPr>
          </w:p>
        </w:tc>
      </w:tr>
      <w:tr w:rsidR="007B55FA" w:rsidRPr="00CF5903" w14:paraId="68163E8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4C5DE99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9D75BA3"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5E359E0"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5DFBC229"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1E548C4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2C96D437" w14:textId="77777777" w:rsidR="007B55FA" w:rsidRPr="00040AA9" w:rsidRDefault="007B55FA" w:rsidP="00040AA9">
            <w:pPr>
              <w:suppressAutoHyphens/>
              <w:jc w:val="center"/>
              <w:rPr>
                <w:rFonts w:ascii="Arial" w:hAnsi="Arial" w:cs="Arial"/>
                <w:sz w:val="20"/>
                <w:szCs w:val="20"/>
              </w:rPr>
            </w:pPr>
          </w:p>
          <w:p w14:paraId="315819F3" w14:textId="77777777" w:rsidR="007B55FA" w:rsidRPr="00040AA9" w:rsidRDefault="007B55FA" w:rsidP="00040AA9">
            <w:pPr>
              <w:suppressAutoHyphens/>
              <w:jc w:val="center"/>
              <w:rPr>
                <w:rFonts w:ascii="Arial" w:hAnsi="Arial" w:cs="Arial"/>
                <w:sz w:val="20"/>
                <w:szCs w:val="20"/>
              </w:rPr>
            </w:pPr>
          </w:p>
          <w:p w14:paraId="1BE83C32" w14:textId="77777777" w:rsidR="007B55FA" w:rsidRPr="00040AA9" w:rsidRDefault="007B55FA" w:rsidP="00040AA9">
            <w:pPr>
              <w:suppressAutoHyphens/>
              <w:jc w:val="center"/>
              <w:rPr>
                <w:rFonts w:ascii="Arial" w:hAnsi="Arial" w:cs="Arial"/>
                <w:sz w:val="20"/>
                <w:szCs w:val="20"/>
              </w:rPr>
            </w:pPr>
          </w:p>
          <w:p w14:paraId="375A177E" w14:textId="77777777" w:rsidR="007B55FA" w:rsidRPr="00040AA9" w:rsidRDefault="007B55FA" w:rsidP="00040AA9">
            <w:pPr>
              <w:suppressAutoHyphens/>
              <w:jc w:val="center"/>
              <w:rPr>
                <w:rFonts w:ascii="Arial" w:hAnsi="Arial" w:cs="Arial"/>
                <w:sz w:val="20"/>
                <w:szCs w:val="20"/>
              </w:rPr>
            </w:pPr>
          </w:p>
          <w:p w14:paraId="164401A3" w14:textId="77777777" w:rsidR="007B55FA" w:rsidRPr="00040AA9" w:rsidRDefault="007B55FA" w:rsidP="00040AA9">
            <w:pPr>
              <w:suppressAutoHyphens/>
              <w:jc w:val="center"/>
              <w:rPr>
                <w:rFonts w:ascii="Arial" w:hAnsi="Arial" w:cs="Arial"/>
                <w:sz w:val="20"/>
                <w:szCs w:val="20"/>
              </w:rPr>
            </w:pPr>
          </w:p>
          <w:p w14:paraId="49FF7AEB" w14:textId="77777777" w:rsidR="007B55FA" w:rsidRPr="00040AA9" w:rsidRDefault="007B55FA" w:rsidP="00040AA9">
            <w:pPr>
              <w:suppressAutoHyphens/>
              <w:jc w:val="center"/>
              <w:rPr>
                <w:rFonts w:ascii="Arial" w:hAnsi="Arial" w:cs="Arial"/>
                <w:sz w:val="20"/>
                <w:szCs w:val="20"/>
              </w:rPr>
            </w:pPr>
          </w:p>
          <w:p w14:paraId="691B65C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5B1B9BE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(Jan 2014)</w:t>
            </w:r>
          </w:p>
          <w:p w14:paraId="4D38608E" w14:textId="77777777" w:rsidR="007B55FA" w:rsidRPr="00040AA9" w:rsidRDefault="007B55FA" w:rsidP="00040AA9">
            <w:pPr>
              <w:suppressAutoHyphens/>
              <w:jc w:val="center"/>
              <w:rPr>
                <w:rFonts w:ascii="Arial" w:hAnsi="Arial" w:cs="Arial"/>
                <w:sz w:val="20"/>
                <w:szCs w:val="20"/>
              </w:rPr>
            </w:pPr>
          </w:p>
          <w:p w14:paraId="06DD028D"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7B7A254"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ADB58D2" w14:textId="3DCBC758"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Cabinet Secretary to the Bank dated January 6, 2014 certifying compliance with section 2.03(f) of the FISPEG I loan contract by way of confirming receipt of the Concept Paper and provision of a copy of the Concept Paper.</w:t>
            </w:r>
            <w:r w:rsidRPr="00040AA9">
              <w:rPr>
                <w:rStyle w:val="FootnoteReference"/>
                <w:rFonts w:ascii="Arial" w:hAnsi="Arial" w:cs="Arial"/>
                <w:sz w:val="20"/>
                <w:szCs w:val="20"/>
              </w:rPr>
              <w:footnoteReference w:id="129"/>
            </w:r>
          </w:p>
          <w:p w14:paraId="1BEB1DC6" w14:textId="77777777" w:rsidR="007B55FA" w:rsidRPr="00040AA9" w:rsidRDefault="007B55FA" w:rsidP="00040AA9">
            <w:pPr>
              <w:suppressAutoHyphens/>
              <w:rPr>
                <w:rFonts w:ascii="Arial" w:hAnsi="Arial" w:cs="Arial"/>
                <w:sz w:val="20"/>
                <w:szCs w:val="20"/>
              </w:rPr>
            </w:pPr>
          </w:p>
        </w:tc>
      </w:tr>
      <w:tr w:rsidR="007B55FA" w:rsidRPr="00CF5903" w14:paraId="4810C20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3868FE3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IV.1.2</w:t>
            </w:r>
          </w:p>
          <w:p w14:paraId="2EED103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The Green Paper for the reform of the National Insurance Scheme prepared and submitted to Cabinet. </w:t>
            </w:r>
          </w:p>
          <w:p w14:paraId="579318F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II – product 4.1,</w:t>
            </w:r>
          </w:p>
          <w:p w14:paraId="4130BA0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2.03.III.(a))</w:t>
            </w:r>
          </w:p>
        </w:tc>
        <w:tc>
          <w:tcPr>
            <w:tcW w:w="860" w:type="dxa"/>
            <w:vMerge w:val="restart"/>
            <w:shd w:val="clear" w:color="auto" w:fill="auto"/>
          </w:tcPr>
          <w:p w14:paraId="055D8EA4" w14:textId="77777777" w:rsidR="007B55FA" w:rsidRPr="00040AA9" w:rsidRDefault="007B55FA" w:rsidP="00040AA9">
            <w:pPr>
              <w:suppressAutoHyphens/>
              <w:jc w:val="center"/>
              <w:rPr>
                <w:rFonts w:ascii="Arial" w:hAnsi="Arial" w:cs="Arial"/>
                <w:sz w:val="20"/>
                <w:szCs w:val="20"/>
              </w:rPr>
            </w:pPr>
          </w:p>
          <w:p w14:paraId="7135D2DC" w14:textId="77777777" w:rsidR="007B55FA" w:rsidRPr="00040AA9" w:rsidRDefault="007B55FA" w:rsidP="00040AA9">
            <w:pPr>
              <w:suppressAutoHyphens/>
              <w:jc w:val="center"/>
              <w:rPr>
                <w:rFonts w:ascii="Arial" w:hAnsi="Arial" w:cs="Arial"/>
                <w:sz w:val="20"/>
                <w:szCs w:val="20"/>
              </w:rPr>
            </w:pPr>
          </w:p>
          <w:p w14:paraId="38E7455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Green Paper</w:t>
            </w:r>
          </w:p>
        </w:tc>
        <w:tc>
          <w:tcPr>
            <w:tcW w:w="774" w:type="dxa"/>
            <w:vMerge w:val="restart"/>
            <w:shd w:val="clear" w:color="auto" w:fill="auto"/>
          </w:tcPr>
          <w:p w14:paraId="1B5C31E3" w14:textId="77777777" w:rsidR="007B55FA" w:rsidRPr="00040AA9" w:rsidRDefault="007B55FA" w:rsidP="00040AA9">
            <w:pPr>
              <w:suppressAutoHyphens/>
              <w:jc w:val="center"/>
              <w:rPr>
                <w:rFonts w:ascii="Arial" w:hAnsi="Arial" w:cs="Arial"/>
                <w:sz w:val="20"/>
                <w:szCs w:val="20"/>
              </w:rPr>
            </w:pPr>
          </w:p>
          <w:p w14:paraId="3AF2A10A" w14:textId="77777777" w:rsidR="007B55FA" w:rsidRPr="00040AA9" w:rsidRDefault="007B55FA" w:rsidP="00040AA9">
            <w:pPr>
              <w:suppressAutoHyphens/>
              <w:jc w:val="center"/>
              <w:rPr>
                <w:rFonts w:ascii="Arial" w:hAnsi="Arial" w:cs="Arial"/>
                <w:sz w:val="20"/>
                <w:szCs w:val="20"/>
              </w:rPr>
            </w:pPr>
          </w:p>
          <w:p w14:paraId="0918D2B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1858F819" w14:textId="77777777" w:rsidR="007B55FA" w:rsidRPr="00040AA9" w:rsidRDefault="007B55FA" w:rsidP="00040AA9">
            <w:pPr>
              <w:suppressAutoHyphens/>
              <w:jc w:val="center"/>
              <w:rPr>
                <w:rFonts w:ascii="Arial" w:hAnsi="Arial" w:cs="Arial"/>
                <w:sz w:val="20"/>
                <w:szCs w:val="20"/>
              </w:rPr>
            </w:pPr>
          </w:p>
          <w:p w14:paraId="28329859" w14:textId="77777777" w:rsidR="007B55FA" w:rsidRPr="00040AA9" w:rsidRDefault="007B55FA" w:rsidP="00040AA9">
            <w:pPr>
              <w:suppressAutoHyphens/>
              <w:jc w:val="center"/>
              <w:rPr>
                <w:rFonts w:ascii="Arial" w:hAnsi="Arial" w:cs="Arial"/>
                <w:sz w:val="20"/>
                <w:szCs w:val="20"/>
              </w:rPr>
            </w:pPr>
          </w:p>
          <w:p w14:paraId="380B49D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41C0609" w14:textId="77777777" w:rsidR="007B55FA" w:rsidRPr="00040AA9" w:rsidRDefault="007B55FA" w:rsidP="00040AA9">
            <w:pPr>
              <w:suppressAutoHyphens/>
              <w:rPr>
                <w:rFonts w:ascii="Arial" w:hAnsi="Arial" w:cs="Arial"/>
                <w:sz w:val="20"/>
                <w:szCs w:val="20"/>
              </w:rPr>
            </w:pPr>
          </w:p>
          <w:p w14:paraId="62204DB3" w14:textId="77777777" w:rsidR="007B55FA" w:rsidRPr="00040AA9" w:rsidRDefault="007B55FA" w:rsidP="00040AA9">
            <w:pPr>
              <w:suppressAutoHyphens/>
              <w:rPr>
                <w:rFonts w:ascii="Arial" w:hAnsi="Arial" w:cs="Arial"/>
                <w:sz w:val="20"/>
                <w:szCs w:val="20"/>
              </w:rPr>
            </w:pPr>
          </w:p>
          <w:p w14:paraId="0C51C258" w14:textId="77777777" w:rsidR="007B55FA" w:rsidRPr="00040AA9" w:rsidRDefault="007B55FA" w:rsidP="00040AA9">
            <w:pPr>
              <w:suppressAutoHyphens/>
              <w:rPr>
                <w:rFonts w:ascii="Arial" w:hAnsi="Arial" w:cs="Arial"/>
                <w:sz w:val="20"/>
                <w:szCs w:val="20"/>
              </w:rPr>
            </w:pPr>
          </w:p>
          <w:p w14:paraId="3799562D" w14:textId="77777777" w:rsidR="007B55FA" w:rsidRPr="00040AA9" w:rsidRDefault="007B55FA" w:rsidP="00040AA9">
            <w:pPr>
              <w:suppressAutoHyphens/>
              <w:rPr>
                <w:rFonts w:ascii="Arial" w:hAnsi="Arial" w:cs="Arial"/>
                <w:sz w:val="20"/>
                <w:szCs w:val="20"/>
              </w:rPr>
            </w:pPr>
          </w:p>
          <w:p w14:paraId="108BDCA2" w14:textId="77777777" w:rsidR="007B55FA" w:rsidRPr="00040AA9" w:rsidRDefault="007B55FA" w:rsidP="00040AA9">
            <w:pPr>
              <w:suppressAutoHyphens/>
              <w:rPr>
                <w:rFonts w:ascii="Arial" w:hAnsi="Arial" w:cs="Arial"/>
                <w:sz w:val="20"/>
                <w:szCs w:val="20"/>
              </w:rPr>
            </w:pPr>
          </w:p>
          <w:p w14:paraId="609BF5F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A38BB28" w14:textId="77777777" w:rsidR="007B55FA" w:rsidRPr="00040AA9" w:rsidRDefault="007B55FA" w:rsidP="00040AA9">
            <w:pPr>
              <w:suppressAutoHyphens/>
              <w:jc w:val="center"/>
              <w:rPr>
                <w:rFonts w:ascii="Arial" w:hAnsi="Arial" w:cs="Arial"/>
                <w:sz w:val="20"/>
                <w:szCs w:val="20"/>
              </w:rPr>
            </w:pPr>
          </w:p>
          <w:p w14:paraId="4D70DBFA" w14:textId="77777777" w:rsidR="007B55FA" w:rsidRPr="00040AA9" w:rsidRDefault="007B55FA" w:rsidP="00040AA9">
            <w:pPr>
              <w:suppressAutoHyphens/>
              <w:jc w:val="center"/>
              <w:rPr>
                <w:rFonts w:ascii="Arial" w:hAnsi="Arial" w:cs="Arial"/>
                <w:sz w:val="20"/>
                <w:szCs w:val="20"/>
              </w:rPr>
            </w:pPr>
          </w:p>
          <w:p w14:paraId="7DB3D59E" w14:textId="77777777" w:rsidR="007B55FA" w:rsidRPr="00040AA9" w:rsidRDefault="007B55FA" w:rsidP="00040AA9">
            <w:pPr>
              <w:suppressAutoHyphens/>
              <w:jc w:val="center"/>
              <w:rPr>
                <w:rFonts w:ascii="Arial" w:hAnsi="Arial" w:cs="Arial"/>
                <w:sz w:val="20"/>
                <w:szCs w:val="20"/>
              </w:rPr>
            </w:pPr>
          </w:p>
          <w:p w14:paraId="7716F965" w14:textId="77777777" w:rsidR="007B55FA" w:rsidRPr="00040AA9" w:rsidRDefault="007B55FA" w:rsidP="00040AA9">
            <w:pPr>
              <w:suppressAutoHyphens/>
              <w:jc w:val="center"/>
              <w:rPr>
                <w:rFonts w:ascii="Arial" w:hAnsi="Arial" w:cs="Arial"/>
                <w:sz w:val="20"/>
                <w:szCs w:val="20"/>
              </w:rPr>
            </w:pPr>
          </w:p>
          <w:p w14:paraId="476A8037" w14:textId="77777777" w:rsidR="007B55FA" w:rsidRPr="00040AA9" w:rsidRDefault="007B55FA" w:rsidP="00040AA9">
            <w:pPr>
              <w:suppressAutoHyphens/>
              <w:jc w:val="center"/>
              <w:rPr>
                <w:rFonts w:ascii="Arial" w:hAnsi="Arial" w:cs="Arial"/>
                <w:sz w:val="20"/>
                <w:szCs w:val="20"/>
              </w:rPr>
            </w:pPr>
          </w:p>
          <w:p w14:paraId="5BC5A6C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89D0B1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4BBF84E4" w14:textId="77777777" w:rsidR="007B55FA" w:rsidRPr="00040AA9" w:rsidRDefault="007B55FA" w:rsidP="00040AA9">
            <w:pPr>
              <w:suppressAutoHyphens/>
              <w:rPr>
                <w:rFonts w:ascii="Arial" w:hAnsi="Arial" w:cs="Arial"/>
                <w:sz w:val="20"/>
                <w:szCs w:val="20"/>
              </w:rPr>
            </w:pPr>
          </w:p>
          <w:p w14:paraId="0D59EB42" w14:textId="77777777" w:rsidR="007B55FA" w:rsidRPr="00040AA9" w:rsidRDefault="007B55FA" w:rsidP="00040AA9">
            <w:pPr>
              <w:suppressAutoHyphens/>
              <w:rPr>
                <w:rFonts w:ascii="Arial" w:hAnsi="Arial" w:cs="Arial"/>
                <w:sz w:val="20"/>
                <w:szCs w:val="20"/>
              </w:rPr>
            </w:pPr>
          </w:p>
          <w:p w14:paraId="4DA300F1" w14:textId="77777777" w:rsidR="007B55FA" w:rsidRPr="00040AA9" w:rsidRDefault="007B55FA" w:rsidP="00040AA9">
            <w:pPr>
              <w:suppressAutoHyphens/>
              <w:rPr>
                <w:rFonts w:ascii="Arial" w:hAnsi="Arial" w:cs="Arial"/>
                <w:sz w:val="20"/>
                <w:szCs w:val="20"/>
              </w:rPr>
            </w:pPr>
          </w:p>
          <w:p w14:paraId="0167FFB6" w14:textId="77777777" w:rsidR="007B55FA" w:rsidRPr="00040AA9" w:rsidRDefault="007B55FA" w:rsidP="00040AA9">
            <w:pPr>
              <w:suppressAutoHyphens/>
              <w:rPr>
                <w:rFonts w:ascii="Arial" w:hAnsi="Arial" w:cs="Arial"/>
                <w:sz w:val="20"/>
                <w:szCs w:val="20"/>
              </w:rPr>
            </w:pPr>
          </w:p>
          <w:p w14:paraId="0DC99AA6" w14:textId="77777777" w:rsidR="007B55FA" w:rsidRPr="00040AA9" w:rsidRDefault="007B55FA" w:rsidP="00040AA9">
            <w:pPr>
              <w:suppressAutoHyphens/>
              <w:rPr>
                <w:rFonts w:ascii="Arial" w:hAnsi="Arial" w:cs="Arial"/>
                <w:sz w:val="20"/>
                <w:szCs w:val="20"/>
              </w:rPr>
            </w:pPr>
          </w:p>
          <w:p w14:paraId="0A3E8842" w14:textId="77777777" w:rsidR="007B55FA" w:rsidRPr="00040AA9" w:rsidRDefault="007B55FA" w:rsidP="00040AA9">
            <w:pPr>
              <w:suppressAutoHyphens/>
              <w:rPr>
                <w:rFonts w:ascii="Arial" w:hAnsi="Arial" w:cs="Arial"/>
                <w:sz w:val="20"/>
                <w:szCs w:val="20"/>
              </w:rPr>
            </w:pPr>
          </w:p>
          <w:p w14:paraId="1BFE0290" w14:textId="77777777" w:rsidR="007B55FA" w:rsidRPr="00040AA9" w:rsidRDefault="007B55FA" w:rsidP="00040AA9">
            <w:pPr>
              <w:suppressAutoHyphens/>
              <w:rPr>
                <w:rFonts w:ascii="Arial" w:hAnsi="Arial" w:cs="Arial"/>
                <w:sz w:val="20"/>
                <w:szCs w:val="20"/>
              </w:rPr>
            </w:pPr>
          </w:p>
          <w:p w14:paraId="7AB5217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11D0ED6B" w14:textId="4C81DD86"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Letter from the PS of the Ministry of Labor and Social Security attaching the copy of the letter to Cabinet submitting the Green Paper, </w:t>
            </w:r>
            <w:r w:rsidR="00167DE5" w:rsidRPr="00CF5903">
              <w:rPr>
                <w:rFonts w:ascii="Arial" w:hAnsi="Arial" w:cs="Arial"/>
                <w:sz w:val="20"/>
                <w:szCs w:val="20"/>
              </w:rPr>
              <w:t>with the</w:t>
            </w:r>
            <w:r w:rsidRPr="00040AA9">
              <w:rPr>
                <w:rFonts w:ascii="Arial" w:hAnsi="Arial" w:cs="Arial"/>
                <w:sz w:val="20"/>
                <w:szCs w:val="20"/>
              </w:rPr>
              <w:t xml:space="preserve"> examination of the various options, and their fiscal impact on the Government; Stakeholder consultations; and an action plan that includes timelines</w:t>
            </w:r>
          </w:p>
        </w:tc>
      </w:tr>
      <w:tr w:rsidR="007B55FA" w:rsidRPr="00CF5903" w14:paraId="50A85B59"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45F01AD9"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742D94A"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A96B949"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34EF15A"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68DB64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5969E8F"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E4D827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E937ACF" w14:textId="77777777" w:rsidR="007B55FA" w:rsidRPr="00040AA9" w:rsidRDefault="007B55FA" w:rsidP="00040AA9">
            <w:pPr>
              <w:suppressAutoHyphens/>
              <w:rPr>
                <w:rFonts w:ascii="Arial" w:hAnsi="Arial" w:cs="Arial"/>
                <w:sz w:val="20"/>
                <w:szCs w:val="20"/>
              </w:rPr>
            </w:pPr>
          </w:p>
        </w:tc>
      </w:tr>
      <w:tr w:rsidR="007B55FA" w:rsidRPr="00CF5903" w14:paraId="7F28E5B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65C53355"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94F2117"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BB547B2"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48C576D"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1702A952" w14:textId="77777777" w:rsidR="007B55FA" w:rsidRPr="00040AA9" w:rsidRDefault="007B55FA" w:rsidP="00040AA9">
            <w:pPr>
              <w:suppressAutoHyphens/>
              <w:rPr>
                <w:rFonts w:ascii="Arial" w:hAnsi="Arial" w:cs="Arial"/>
                <w:sz w:val="20"/>
                <w:szCs w:val="20"/>
              </w:rPr>
            </w:pPr>
          </w:p>
          <w:p w14:paraId="5C267585" w14:textId="77777777" w:rsidR="007B55FA" w:rsidRPr="00040AA9" w:rsidRDefault="007B55FA" w:rsidP="00040AA9">
            <w:pPr>
              <w:suppressAutoHyphens/>
              <w:rPr>
                <w:rFonts w:ascii="Arial" w:hAnsi="Arial" w:cs="Arial"/>
                <w:sz w:val="20"/>
                <w:szCs w:val="20"/>
              </w:rPr>
            </w:pPr>
          </w:p>
          <w:p w14:paraId="4A775B23" w14:textId="77777777" w:rsidR="007B55FA" w:rsidRPr="00040AA9" w:rsidRDefault="007B55FA" w:rsidP="00040AA9">
            <w:pPr>
              <w:suppressAutoHyphens/>
              <w:rPr>
                <w:rFonts w:ascii="Arial" w:hAnsi="Arial" w:cs="Arial"/>
                <w:sz w:val="20"/>
                <w:szCs w:val="20"/>
              </w:rPr>
            </w:pPr>
          </w:p>
          <w:p w14:paraId="5FF0362A" w14:textId="77777777" w:rsidR="007B55FA" w:rsidRPr="00040AA9" w:rsidRDefault="007B55FA" w:rsidP="00040AA9">
            <w:pPr>
              <w:suppressAutoHyphens/>
              <w:rPr>
                <w:rFonts w:ascii="Arial" w:hAnsi="Arial" w:cs="Arial"/>
                <w:sz w:val="20"/>
                <w:szCs w:val="20"/>
              </w:rPr>
            </w:pPr>
          </w:p>
          <w:p w14:paraId="1D5ACB0B" w14:textId="77777777" w:rsidR="007B55FA" w:rsidRPr="00040AA9" w:rsidRDefault="007B55FA" w:rsidP="00040AA9">
            <w:pPr>
              <w:suppressAutoHyphens/>
              <w:rPr>
                <w:rFonts w:ascii="Arial" w:hAnsi="Arial" w:cs="Arial"/>
                <w:sz w:val="20"/>
                <w:szCs w:val="20"/>
              </w:rPr>
            </w:pPr>
          </w:p>
          <w:p w14:paraId="3F2C1A0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19F008EA" w14:textId="77777777" w:rsidR="007B55FA" w:rsidRPr="00040AA9" w:rsidRDefault="007B55FA" w:rsidP="00040AA9">
            <w:pPr>
              <w:suppressAutoHyphens/>
              <w:rPr>
                <w:rFonts w:ascii="Arial" w:hAnsi="Arial" w:cs="Arial"/>
                <w:sz w:val="20"/>
                <w:szCs w:val="20"/>
              </w:rPr>
            </w:pPr>
          </w:p>
          <w:p w14:paraId="2892C895" w14:textId="77777777" w:rsidR="007B55FA" w:rsidRPr="00040AA9" w:rsidRDefault="007B55FA" w:rsidP="00040AA9">
            <w:pPr>
              <w:suppressAutoHyphens/>
              <w:rPr>
                <w:rFonts w:ascii="Arial" w:hAnsi="Arial" w:cs="Arial"/>
                <w:sz w:val="20"/>
                <w:szCs w:val="20"/>
              </w:rPr>
            </w:pPr>
          </w:p>
          <w:p w14:paraId="2225D239" w14:textId="77777777" w:rsidR="007B55FA" w:rsidRPr="00040AA9" w:rsidRDefault="007B55FA" w:rsidP="00040AA9">
            <w:pPr>
              <w:suppressAutoHyphens/>
              <w:rPr>
                <w:rFonts w:ascii="Arial" w:hAnsi="Arial" w:cs="Arial"/>
                <w:sz w:val="20"/>
                <w:szCs w:val="20"/>
              </w:rPr>
            </w:pPr>
          </w:p>
          <w:p w14:paraId="1FFEA33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6C8F61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tc>
        <w:tc>
          <w:tcPr>
            <w:tcW w:w="1106" w:type="dxa"/>
            <w:vMerge/>
            <w:shd w:val="clear" w:color="auto" w:fill="auto"/>
            <w:hideMark/>
          </w:tcPr>
          <w:p w14:paraId="66947F4E"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9E4B5B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 Official letter from FS to Bank dated May 27, 2015 (part IV.1.b) providing evidence of compliance with section 2.03.III.(a) of the FISPEG II loan contract by way of transmitting a letter from the PS MLSS dated March 26, 2015 certifying submission of Green Paper on NIS reform to Cabinet </w:t>
            </w:r>
          </w:p>
        </w:tc>
      </w:tr>
      <w:tr w:rsidR="007B55FA" w:rsidRPr="00CF5903" w14:paraId="739619D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jc w:val="center"/>
        </w:trPr>
        <w:tc>
          <w:tcPr>
            <w:tcW w:w="2556" w:type="dxa"/>
            <w:vMerge w:val="restart"/>
            <w:shd w:val="clear" w:color="auto" w:fill="auto"/>
            <w:hideMark/>
          </w:tcPr>
          <w:p w14:paraId="5F027C9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Indicator IV.1.3 </w:t>
            </w:r>
          </w:p>
          <w:p w14:paraId="7D72B3A6"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Position Paper for reform of the National Insurance Scheme approved </w:t>
            </w:r>
          </w:p>
          <w:p w14:paraId="3462DEBE"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III – </w:t>
            </w:r>
            <w:r w:rsidRPr="00040AA9">
              <w:rPr>
                <w:rFonts w:ascii="Arial" w:hAnsi="Arial" w:cs="Arial"/>
                <w:sz w:val="20"/>
                <w:szCs w:val="20"/>
              </w:rPr>
              <w:t>product</w:t>
            </w:r>
            <w:r w:rsidRPr="00040AA9">
              <w:rPr>
                <w:rFonts w:ascii="Arial" w:hAnsi="Arial" w:cs="Arial"/>
                <w:sz w:val="20"/>
                <w:szCs w:val="20"/>
                <w:lang w:val="en-GB"/>
              </w:rPr>
              <w:t xml:space="preserve"> 4.1,</w:t>
            </w:r>
          </w:p>
          <w:p w14:paraId="5007E72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contract section 2.03.III.(a))</w:t>
            </w:r>
          </w:p>
        </w:tc>
        <w:tc>
          <w:tcPr>
            <w:tcW w:w="860" w:type="dxa"/>
            <w:vMerge w:val="restart"/>
            <w:shd w:val="clear" w:color="auto" w:fill="auto"/>
          </w:tcPr>
          <w:p w14:paraId="5A3CA67A" w14:textId="77777777" w:rsidR="007B55FA" w:rsidRPr="00040AA9" w:rsidRDefault="007B55FA" w:rsidP="00040AA9">
            <w:pPr>
              <w:suppressAutoHyphens/>
              <w:jc w:val="center"/>
              <w:rPr>
                <w:rFonts w:ascii="Arial" w:hAnsi="Arial" w:cs="Arial"/>
                <w:sz w:val="20"/>
                <w:szCs w:val="20"/>
              </w:rPr>
            </w:pPr>
          </w:p>
          <w:p w14:paraId="63CB7D3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Position Paper</w:t>
            </w:r>
          </w:p>
        </w:tc>
        <w:tc>
          <w:tcPr>
            <w:tcW w:w="774" w:type="dxa"/>
            <w:vMerge w:val="restart"/>
            <w:shd w:val="clear" w:color="auto" w:fill="auto"/>
          </w:tcPr>
          <w:p w14:paraId="108ED011" w14:textId="77777777" w:rsidR="007B55FA" w:rsidRPr="00040AA9" w:rsidRDefault="007B55FA" w:rsidP="00040AA9">
            <w:pPr>
              <w:suppressAutoHyphens/>
              <w:jc w:val="center"/>
              <w:rPr>
                <w:rFonts w:ascii="Arial" w:hAnsi="Arial" w:cs="Arial"/>
                <w:sz w:val="20"/>
                <w:szCs w:val="20"/>
              </w:rPr>
            </w:pPr>
          </w:p>
          <w:p w14:paraId="51D0DB0A" w14:textId="77777777" w:rsidR="007B55FA" w:rsidRPr="00040AA9" w:rsidRDefault="007B55FA" w:rsidP="00040AA9">
            <w:pPr>
              <w:suppressAutoHyphens/>
              <w:rPr>
                <w:rFonts w:ascii="Arial" w:hAnsi="Arial" w:cs="Arial"/>
                <w:sz w:val="20"/>
                <w:szCs w:val="20"/>
              </w:rPr>
            </w:pPr>
          </w:p>
          <w:p w14:paraId="546FF7A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667DC160" w14:textId="77777777" w:rsidR="007B55FA" w:rsidRPr="00040AA9" w:rsidRDefault="007B55FA" w:rsidP="00040AA9">
            <w:pPr>
              <w:suppressAutoHyphens/>
              <w:jc w:val="center"/>
              <w:rPr>
                <w:rFonts w:ascii="Arial" w:hAnsi="Arial" w:cs="Arial"/>
                <w:sz w:val="20"/>
                <w:szCs w:val="20"/>
              </w:rPr>
            </w:pPr>
          </w:p>
          <w:p w14:paraId="017060B0" w14:textId="77777777" w:rsidR="007B55FA" w:rsidRPr="00040AA9" w:rsidRDefault="007B55FA" w:rsidP="00040AA9">
            <w:pPr>
              <w:suppressAutoHyphens/>
              <w:jc w:val="center"/>
              <w:rPr>
                <w:rFonts w:ascii="Arial" w:hAnsi="Arial" w:cs="Arial"/>
                <w:sz w:val="20"/>
                <w:szCs w:val="20"/>
              </w:rPr>
            </w:pPr>
          </w:p>
          <w:p w14:paraId="4F39E72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7B649063" w14:textId="77777777" w:rsidR="007B55FA" w:rsidRPr="00040AA9" w:rsidRDefault="007B55FA" w:rsidP="00040AA9">
            <w:pPr>
              <w:suppressAutoHyphens/>
              <w:rPr>
                <w:rFonts w:ascii="Arial" w:hAnsi="Arial" w:cs="Arial"/>
                <w:sz w:val="20"/>
                <w:szCs w:val="20"/>
              </w:rPr>
            </w:pPr>
          </w:p>
          <w:p w14:paraId="5C04227F" w14:textId="77777777" w:rsidR="007B55FA" w:rsidRPr="00040AA9" w:rsidRDefault="007B55FA" w:rsidP="00040AA9">
            <w:pPr>
              <w:suppressAutoHyphens/>
              <w:rPr>
                <w:rFonts w:ascii="Arial" w:hAnsi="Arial" w:cs="Arial"/>
                <w:sz w:val="20"/>
                <w:szCs w:val="20"/>
              </w:rPr>
            </w:pPr>
          </w:p>
          <w:p w14:paraId="25AC37C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AE4BEBC" w14:textId="77777777" w:rsidR="007B55FA" w:rsidRPr="00040AA9" w:rsidRDefault="007B55FA" w:rsidP="00040AA9">
            <w:pPr>
              <w:suppressAutoHyphens/>
              <w:jc w:val="center"/>
              <w:rPr>
                <w:rFonts w:ascii="Arial" w:hAnsi="Arial" w:cs="Arial"/>
                <w:sz w:val="20"/>
                <w:szCs w:val="20"/>
              </w:rPr>
            </w:pPr>
          </w:p>
          <w:p w14:paraId="14760C4A" w14:textId="77777777" w:rsidR="007B55FA" w:rsidRPr="00040AA9" w:rsidRDefault="007B55FA" w:rsidP="00040AA9">
            <w:pPr>
              <w:suppressAutoHyphens/>
              <w:jc w:val="center"/>
              <w:rPr>
                <w:rFonts w:ascii="Arial" w:hAnsi="Arial" w:cs="Arial"/>
                <w:sz w:val="20"/>
                <w:szCs w:val="20"/>
              </w:rPr>
            </w:pPr>
          </w:p>
          <w:p w14:paraId="0FC22C2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723BF2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216870B1" w14:textId="77777777" w:rsidR="007B55FA" w:rsidRPr="00040AA9" w:rsidRDefault="007B55FA" w:rsidP="00040AA9">
            <w:pPr>
              <w:suppressAutoHyphens/>
              <w:rPr>
                <w:rFonts w:ascii="Arial" w:hAnsi="Arial" w:cs="Arial"/>
                <w:sz w:val="20"/>
                <w:szCs w:val="20"/>
              </w:rPr>
            </w:pPr>
          </w:p>
          <w:p w14:paraId="3EB7FB03" w14:textId="77777777" w:rsidR="007B55FA" w:rsidRPr="00040AA9" w:rsidRDefault="007B55FA" w:rsidP="00040AA9">
            <w:pPr>
              <w:suppressAutoHyphens/>
              <w:rPr>
                <w:rFonts w:ascii="Arial" w:hAnsi="Arial" w:cs="Arial"/>
                <w:sz w:val="20"/>
                <w:szCs w:val="20"/>
              </w:rPr>
            </w:pPr>
          </w:p>
          <w:p w14:paraId="33256B39" w14:textId="77777777" w:rsidR="007B55FA" w:rsidRPr="00040AA9" w:rsidRDefault="007B55FA" w:rsidP="00040AA9">
            <w:pPr>
              <w:suppressAutoHyphens/>
              <w:rPr>
                <w:rFonts w:ascii="Arial" w:hAnsi="Arial" w:cs="Arial"/>
                <w:sz w:val="20"/>
                <w:szCs w:val="20"/>
              </w:rPr>
            </w:pPr>
          </w:p>
          <w:p w14:paraId="3D8F27F9" w14:textId="77777777" w:rsidR="007B55FA" w:rsidRPr="00040AA9" w:rsidRDefault="007B55FA" w:rsidP="00040AA9">
            <w:pPr>
              <w:suppressAutoHyphens/>
              <w:rPr>
                <w:rFonts w:ascii="Arial" w:hAnsi="Arial" w:cs="Arial"/>
                <w:sz w:val="20"/>
                <w:szCs w:val="20"/>
              </w:rPr>
            </w:pPr>
          </w:p>
          <w:p w14:paraId="37FD5320" w14:textId="77777777" w:rsidR="007B55FA" w:rsidRPr="00040AA9" w:rsidRDefault="007B55FA" w:rsidP="00040AA9">
            <w:pPr>
              <w:suppressAutoHyphens/>
              <w:rPr>
                <w:rFonts w:ascii="Arial" w:hAnsi="Arial" w:cs="Arial"/>
                <w:sz w:val="20"/>
                <w:szCs w:val="20"/>
              </w:rPr>
            </w:pPr>
          </w:p>
          <w:p w14:paraId="0C6ABA09" w14:textId="77777777" w:rsidR="007B55FA" w:rsidRPr="00040AA9" w:rsidRDefault="007B55FA" w:rsidP="00040AA9">
            <w:pPr>
              <w:suppressAutoHyphens/>
              <w:rPr>
                <w:rFonts w:ascii="Arial" w:hAnsi="Arial" w:cs="Arial"/>
                <w:sz w:val="20"/>
                <w:szCs w:val="20"/>
              </w:rPr>
            </w:pPr>
          </w:p>
          <w:p w14:paraId="756FA2B7" w14:textId="77777777" w:rsidR="007B55FA" w:rsidRPr="00040AA9" w:rsidRDefault="007B55FA" w:rsidP="00040AA9">
            <w:pPr>
              <w:suppressAutoHyphens/>
              <w:rPr>
                <w:rFonts w:ascii="Arial" w:hAnsi="Arial" w:cs="Arial"/>
                <w:sz w:val="20"/>
                <w:szCs w:val="20"/>
              </w:rPr>
            </w:pPr>
          </w:p>
          <w:p w14:paraId="56C23034" w14:textId="77777777" w:rsidR="007B55FA" w:rsidRPr="00040AA9" w:rsidRDefault="007B55FA" w:rsidP="00040AA9">
            <w:pPr>
              <w:suppressAutoHyphens/>
              <w:rPr>
                <w:rFonts w:ascii="Arial" w:hAnsi="Arial" w:cs="Arial"/>
                <w:sz w:val="20"/>
                <w:szCs w:val="20"/>
              </w:rPr>
            </w:pPr>
          </w:p>
          <w:p w14:paraId="72C0201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4F9D07F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 xml:space="preserve">Letter from the PS of the Ministry of Labour and Social Security </w:t>
            </w:r>
            <w:r w:rsidRPr="00040AA9">
              <w:rPr>
                <w:rFonts w:ascii="Arial" w:hAnsi="Arial" w:cs="Arial"/>
                <w:sz w:val="20"/>
                <w:szCs w:val="20"/>
              </w:rPr>
              <w:t>informing that the Position Paper has been approved.</w:t>
            </w:r>
          </w:p>
        </w:tc>
      </w:tr>
      <w:tr w:rsidR="007B55FA" w:rsidRPr="00CF5903" w14:paraId="07131E9A"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60692C3C"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DD2D463"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C2AA498"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AF931C2"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4F6D7C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3CC2159D"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7CC3F3C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46C585D" w14:textId="77777777" w:rsidR="007B55FA" w:rsidRPr="00040AA9" w:rsidRDefault="007B55FA" w:rsidP="00040AA9">
            <w:pPr>
              <w:suppressAutoHyphens/>
              <w:rPr>
                <w:rFonts w:ascii="Arial" w:hAnsi="Arial" w:cs="Arial"/>
                <w:sz w:val="20"/>
                <w:szCs w:val="20"/>
              </w:rPr>
            </w:pPr>
          </w:p>
        </w:tc>
      </w:tr>
      <w:tr w:rsidR="007B55FA" w:rsidRPr="00CF5903" w14:paraId="67ED4ED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tcBorders>
              <w:bottom w:val="single" w:sz="4" w:space="0" w:color="auto"/>
            </w:tcBorders>
            <w:shd w:val="clear" w:color="auto" w:fill="auto"/>
            <w:hideMark/>
          </w:tcPr>
          <w:p w14:paraId="0389A0FD"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51F1AF60"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3FE1C8D2"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53E1FD0D"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1FB5B09E" w14:textId="77777777" w:rsidR="007B55FA" w:rsidRPr="00040AA9" w:rsidRDefault="007B55FA" w:rsidP="00040AA9">
            <w:pPr>
              <w:suppressAutoHyphens/>
              <w:rPr>
                <w:rFonts w:ascii="Arial" w:hAnsi="Arial" w:cs="Arial"/>
                <w:sz w:val="20"/>
                <w:szCs w:val="20"/>
              </w:rPr>
            </w:pPr>
          </w:p>
          <w:p w14:paraId="18456F86" w14:textId="77777777" w:rsidR="007B55FA" w:rsidRPr="00040AA9" w:rsidRDefault="007B55FA" w:rsidP="00040AA9">
            <w:pPr>
              <w:suppressAutoHyphens/>
              <w:rPr>
                <w:rFonts w:ascii="Arial" w:hAnsi="Arial" w:cs="Arial"/>
                <w:sz w:val="20"/>
                <w:szCs w:val="20"/>
              </w:rPr>
            </w:pPr>
          </w:p>
          <w:p w14:paraId="3AD41E27" w14:textId="77777777" w:rsidR="007B55FA" w:rsidRPr="00040AA9" w:rsidRDefault="007B55FA" w:rsidP="00040AA9">
            <w:pPr>
              <w:suppressAutoHyphens/>
              <w:rPr>
                <w:rFonts w:ascii="Arial" w:hAnsi="Arial" w:cs="Arial"/>
                <w:sz w:val="20"/>
                <w:szCs w:val="20"/>
              </w:rPr>
            </w:pPr>
          </w:p>
          <w:p w14:paraId="76959A0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6442F2E8" w14:textId="77777777" w:rsidR="007B55FA" w:rsidRPr="00040AA9" w:rsidRDefault="007B55FA" w:rsidP="00040AA9">
            <w:pPr>
              <w:suppressAutoHyphens/>
              <w:rPr>
                <w:rFonts w:ascii="Arial" w:hAnsi="Arial" w:cs="Arial"/>
                <w:sz w:val="20"/>
                <w:szCs w:val="20"/>
              </w:rPr>
            </w:pPr>
          </w:p>
          <w:p w14:paraId="776D8B90" w14:textId="77777777" w:rsidR="007B55FA" w:rsidRPr="00040AA9" w:rsidRDefault="007B55FA" w:rsidP="00040AA9">
            <w:pPr>
              <w:suppressAutoHyphens/>
              <w:rPr>
                <w:rFonts w:ascii="Arial" w:hAnsi="Arial" w:cs="Arial"/>
                <w:sz w:val="20"/>
                <w:szCs w:val="20"/>
              </w:rPr>
            </w:pPr>
          </w:p>
          <w:p w14:paraId="409018F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31B572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bottom w:val="single" w:sz="4" w:space="0" w:color="auto"/>
            </w:tcBorders>
            <w:shd w:val="clear" w:color="auto" w:fill="auto"/>
            <w:hideMark/>
          </w:tcPr>
          <w:p w14:paraId="7AEC8588"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5ECB9C21" w14:textId="55B1FDFC"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IV.1.c) providing evidence of compliance with section 2.03.III.(a) of the FISPEG III loan contract by way of informing of “Cabinet approval of Position Paper on the preferred option for the NIS Reform and its fiscal impact…:</w:t>
            </w:r>
            <w:r w:rsidRPr="00040AA9">
              <w:rPr>
                <w:rStyle w:val="FootnoteReference"/>
                <w:rFonts w:ascii="Arial" w:hAnsi="Arial" w:cs="Arial"/>
                <w:sz w:val="20"/>
                <w:szCs w:val="20"/>
              </w:rPr>
              <w:footnoteReference w:id="130"/>
            </w:r>
          </w:p>
        </w:tc>
      </w:tr>
      <w:tr w:rsidR="007B55FA" w:rsidRPr="00CF5903" w14:paraId="4E5DD76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7"/>
          <w:jc w:val="center"/>
        </w:trPr>
        <w:tc>
          <w:tcPr>
            <w:tcW w:w="2556" w:type="dxa"/>
            <w:vMerge w:val="restart"/>
            <w:shd w:val="clear" w:color="auto" w:fill="auto"/>
          </w:tcPr>
          <w:p w14:paraId="15F74E2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IV.1.4</w:t>
            </w:r>
          </w:p>
          <w:p w14:paraId="4B7CF34C"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Stakeholder working group on the reform of the NIS established.</w:t>
            </w:r>
          </w:p>
          <w:p w14:paraId="138E8400"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III – </w:t>
            </w:r>
            <w:r w:rsidRPr="00040AA9">
              <w:rPr>
                <w:rFonts w:ascii="Arial" w:hAnsi="Arial" w:cs="Arial"/>
                <w:sz w:val="20"/>
                <w:szCs w:val="20"/>
              </w:rPr>
              <w:t>product</w:t>
            </w:r>
            <w:r w:rsidRPr="00040AA9">
              <w:rPr>
                <w:rFonts w:ascii="Arial" w:hAnsi="Arial" w:cs="Arial"/>
                <w:sz w:val="20"/>
                <w:szCs w:val="20"/>
                <w:lang w:val="en-GB"/>
              </w:rPr>
              <w:t xml:space="preserve"> 4.2</w:t>
            </w:r>
          </w:p>
          <w:p w14:paraId="5D6AC23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There is NO contractual requirement directly related to this indicator)</w:t>
            </w:r>
          </w:p>
        </w:tc>
        <w:tc>
          <w:tcPr>
            <w:tcW w:w="860" w:type="dxa"/>
            <w:vMerge w:val="restart"/>
            <w:shd w:val="clear" w:color="auto" w:fill="auto"/>
          </w:tcPr>
          <w:p w14:paraId="63A9F6D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Working Group</w:t>
            </w:r>
          </w:p>
        </w:tc>
        <w:tc>
          <w:tcPr>
            <w:tcW w:w="774" w:type="dxa"/>
            <w:vMerge w:val="restart"/>
            <w:shd w:val="clear" w:color="auto" w:fill="auto"/>
          </w:tcPr>
          <w:p w14:paraId="0A6EC8A2" w14:textId="77777777" w:rsidR="007B55FA" w:rsidRPr="00040AA9" w:rsidRDefault="007B55FA" w:rsidP="00040AA9">
            <w:pPr>
              <w:suppressAutoHyphens/>
              <w:rPr>
                <w:rFonts w:ascii="Arial" w:hAnsi="Arial" w:cs="Arial"/>
                <w:sz w:val="20"/>
                <w:szCs w:val="20"/>
              </w:rPr>
            </w:pPr>
          </w:p>
        </w:tc>
        <w:tc>
          <w:tcPr>
            <w:tcW w:w="939" w:type="dxa"/>
            <w:vMerge w:val="restart"/>
            <w:shd w:val="clear" w:color="auto" w:fill="auto"/>
            <w:vAlign w:val="center"/>
          </w:tcPr>
          <w:p w14:paraId="5713A95F" w14:textId="34A60BEA" w:rsidR="007B55FA" w:rsidRPr="00040AA9" w:rsidRDefault="007B55FA" w:rsidP="00040AA9">
            <w:pPr>
              <w:suppressAutoHyphens/>
              <w:rPr>
                <w:rFonts w:ascii="Arial" w:hAnsi="Arial" w:cs="Arial"/>
                <w:sz w:val="20"/>
                <w:szCs w:val="20"/>
              </w:rPr>
            </w:pPr>
            <w:r w:rsidRPr="00040AA9">
              <w:rPr>
                <w:rFonts w:ascii="Arial" w:hAnsi="Arial" w:cs="Arial"/>
                <w:sz w:val="20"/>
                <w:szCs w:val="20"/>
              </w:rPr>
              <w:t>2012/13</w:t>
            </w:r>
          </w:p>
        </w:tc>
        <w:tc>
          <w:tcPr>
            <w:tcW w:w="594" w:type="dxa"/>
            <w:tcBorders>
              <w:bottom w:val="single" w:sz="4" w:space="0" w:color="auto"/>
            </w:tcBorders>
            <w:shd w:val="clear" w:color="auto" w:fill="auto"/>
            <w:vAlign w:val="center"/>
          </w:tcPr>
          <w:p w14:paraId="719DE68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tcBorders>
              <w:bottom w:val="single" w:sz="4" w:space="0" w:color="auto"/>
            </w:tcBorders>
            <w:shd w:val="clear" w:color="auto" w:fill="auto"/>
            <w:vAlign w:val="center"/>
          </w:tcPr>
          <w:p w14:paraId="613AB61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4693DB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tc>
        <w:tc>
          <w:tcPr>
            <w:tcW w:w="1106" w:type="dxa"/>
            <w:vMerge w:val="restart"/>
            <w:shd w:val="clear" w:color="auto" w:fill="auto"/>
            <w:vAlign w:val="center"/>
          </w:tcPr>
          <w:p w14:paraId="6A215AC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tcBorders>
              <w:bottom w:val="single" w:sz="4" w:space="0" w:color="auto"/>
            </w:tcBorders>
            <w:shd w:val="clear" w:color="auto" w:fill="auto"/>
          </w:tcPr>
          <w:p w14:paraId="1CA4BE3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Stakeholder working group on the reform of the NIS established.</w:t>
            </w:r>
          </w:p>
        </w:tc>
      </w:tr>
      <w:tr w:rsidR="007B55FA" w:rsidRPr="00CF5903" w14:paraId="674FB23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shd w:val="clear" w:color="auto" w:fill="auto"/>
          </w:tcPr>
          <w:p w14:paraId="011D464A"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5B1E3D61" w14:textId="77777777" w:rsidR="007B55FA" w:rsidRPr="00040AA9" w:rsidRDefault="007B55FA" w:rsidP="00040AA9">
            <w:pPr>
              <w:suppressAutoHyphens/>
              <w:rPr>
                <w:rFonts w:ascii="Arial" w:hAnsi="Arial" w:cs="Arial"/>
                <w:sz w:val="20"/>
                <w:szCs w:val="20"/>
              </w:rPr>
            </w:pPr>
          </w:p>
        </w:tc>
        <w:tc>
          <w:tcPr>
            <w:tcW w:w="774" w:type="dxa"/>
            <w:vMerge/>
            <w:shd w:val="clear" w:color="auto" w:fill="auto"/>
          </w:tcPr>
          <w:p w14:paraId="32258A6E" w14:textId="77777777" w:rsidR="007B55FA" w:rsidRPr="00040AA9" w:rsidRDefault="007B55FA" w:rsidP="00040AA9">
            <w:pPr>
              <w:suppressAutoHyphens/>
              <w:rPr>
                <w:rFonts w:ascii="Arial" w:hAnsi="Arial" w:cs="Arial"/>
                <w:sz w:val="20"/>
                <w:szCs w:val="20"/>
              </w:rPr>
            </w:pPr>
          </w:p>
        </w:tc>
        <w:tc>
          <w:tcPr>
            <w:tcW w:w="939" w:type="dxa"/>
            <w:vMerge/>
            <w:shd w:val="clear" w:color="auto" w:fill="auto"/>
            <w:vAlign w:val="center"/>
          </w:tcPr>
          <w:p w14:paraId="653C7B3F"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vAlign w:val="center"/>
          </w:tcPr>
          <w:p w14:paraId="5C50FF3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tcBorders>
              <w:bottom w:val="single" w:sz="4" w:space="0" w:color="auto"/>
            </w:tcBorders>
            <w:shd w:val="clear" w:color="auto" w:fill="auto"/>
            <w:vAlign w:val="center"/>
          </w:tcPr>
          <w:p w14:paraId="2A5AFCCE"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vAlign w:val="center"/>
          </w:tcPr>
          <w:p w14:paraId="7FA123EE" w14:textId="77777777" w:rsidR="007B55FA" w:rsidRPr="00040AA9" w:rsidRDefault="007B55FA" w:rsidP="00040AA9">
            <w:pPr>
              <w:suppressAutoHyphens/>
              <w:jc w:val="center"/>
              <w:rPr>
                <w:rFonts w:ascii="Arial" w:hAnsi="Arial" w:cs="Arial"/>
                <w:sz w:val="20"/>
                <w:szCs w:val="20"/>
              </w:rPr>
            </w:pPr>
          </w:p>
        </w:tc>
        <w:tc>
          <w:tcPr>
            <w:tcW w:w="5027" w:type="dxa"/>
            <w:tcBorders>
              <w:bottom w:val="single" w:sz="4" w:space="0" w:color="auto"/>
            </w:tcBorders>
            <w:shd w:val="clear" w:color="auto" w:fill="auto"/>
          </w:tcPr>
          <w:p w14:paraId="63EC4B08" w14:textId="77777777" w:rsidR="007B55FA" w:rsidRPr="00040AA9" w:rsidRDefault="007B55FA" w:rsidP="00040AA9">
            <w:pPr>
              <w:suppressAutoHyphens/>
              <w:rPr>
                <w:rFonts w:ascii="Arial" w:hAnsi="Arial" w:cs="Arial"/>
                <w:sz w:val="20"/>
                <w:szCs w:val="20"/>
              </w:rPr>
            </w:pPr>
          </w:p>
        </w:tc>
      </w:tr>
      <w:tr w:rsidR="007B55FA" w:rsidRPr="00CF5903" w14:paraId="2763629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7"/>
          <w:jc w:val="center"/>
        </w:trPr>
        <w:tc>
          <w:tcPr>
            <w:tcW w:w="2556" w:type="dxa"/>
            <w:vMerge/>
            <w:tcBorders>
              <w:bottom w:val="single" w:sz="4" w:space="0" w:color="auto"/>
            </w:tcBorders>
            <w:shd w:val="clear" w:color="auto" w:fill="auto"/>
          </w:tcPr>
          <w:p w14:paraId="7775C093"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tcPr>
          <w:p w14:paraId="7B69AF40"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tcPr>
          <w:p w14:paraId="2075212A"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vAlign w:val="center"/>
          </w:tcPr>
          <w:p w14:paraId="488605EC"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vAlign w:val="center"/>
          </w:tcPr>
          <w:p w14:paraId="589E1B61" w14:textId="77777777" w:rsidR="007B55FA" w:rsidRPr="00040AA9" w:rsidRDefault="007B55FA" w:rsidP="00040AA9">
            <w:pPr>
              <w:suppressAutoHyphens/>
              <w:jc w:val="center"/>
              <w:rPr>
                <w:rFonts w:ascii="Arial" w:hAnsi="Arial" w:cs="Arial"/>
                <w:sz w:val="20"/>
                <w:szCs w:val="20"/>
              </w:rPr>
            </w:pPr>
          </w:p>
          <w:p w14:paraId="448D409D" w14:textId="77777777" w:rsidR="007B55FA" w:rsidRPr="00040AA9" w:rsidRDefault="007B55FA" w:rsidP="00040AA9">
            <w:pPr>
              <w:suppressAutoHyphens/>
              <w:jc w:val="center"/>
              <w:rPr>
                <w:rFonts w:ascii="Arial" w:hAnsi="Arial" w:cs="Arial"/>
                <w:sz w:val="20"/>
                <w:szCs w:val="20"/>
              </w:rPr>
            </w:pPr>
          </w:p>
          <w:p w14:paraId="79F4A1D8" w14:textId="77777777" w:rsidR="007B55FA" w:rsidRPr="00040AA9" w:rsidRDefault="007B55FA" w:rsidP="00040AA9">
            <w:pPr>
              <w:suppressAutoHyphens/>
              <w:jc w:val="center"/>
              <w:rPr>
                <w:rFonts w:ascii="Arial" w:hAnsi="Arial" w:cs="Arial"/>
                <w:sz w:val="20"/>
                <w:szCs w:val="20"/>
              </w:rPr>
            </w:pPr>
          </w:p>
          <w:p w14:paraId="327B578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vAlign w:val="center"/>
          </w:tcPr>
          <w:p w14:paraId="713CFC8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BB145F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bottom w:val="single" w:sz="4" w:space="0" w:color="auto"/>
            </w:tcBorders>
            <w:shd w:val="clear" w:color="auto" w:fill="auto"/>
            <w:vAlign w:val="center"/>
          </w:tcPr>
          <w:p w14:paraId="6AD55304" w14:textId="77777777" w:rsidR="007B55FA" w:rsidRPr="00040AA9" w:rsidRDefault="007B55FA" w:rsidP="00040AA9">
            <w:pPr>
              <w:suppressAutoHyphens/>
              <w:jc w:val="center"/>
              <w:rPr>
                <w:rFonts w:ascii="Arial" w:hAnsi="Arial" w:cs="Arial"/>
                <w:sz w:val="20"/>
                <w:szCs w:val="20"/>
              </w:rPr>
            </w:pPr>
          </w:p>
        </w:tc>
        <w:tc>
          <w:tcPr>
            <w:tcW w:w="5027" w:type="dxa"/>
            <w:tcBorders>
              <w:bottom w:val="single" w:sz="4" w:space="0" w:color="auto"/>
            </w:tcBorders>
            <w:shd w:val="clear" w:color="auto" w:fill="auto"/>
          </w:tcPr>
          <w:p w14:paraId="14DEB532" w14:textId="2FA18E72" w:rsidR="007B55FA" w:rsidRPr="003606E2" w:rsidRDefault="007B55FA" w:rsidP="00040AA9">
            <w:pPr>
              <w:suppressAutoHyphens/>
              <w:rPr>
                <w:rFonts w:ascii="Arial" w:hAnsi="Arial" w:cs="Arial"/>
                <w:sz w:val="20"/>
                <w:szCs w:val="20"/>
              </w:rPr>
            </w:pPr>
            <w:r w:rsidRPr="003606E2">
              <w:rPr>
                <w:rFonts w:ascii="Arial" w:hAnsi="Arial" w:cs="Arial"/>
                <w:sz w:val="20"/>
                <w:szCs w:val="20"/>
              </w:rPr>
              <w:t xml:space="preserve">FISPEG III </w:t>
            </w:r>
            <w:r w:rsidR="00167DE5" w:rsidRPr="003606E2">
              <w:rPr>
                <w:rFonts w:ascii="Arial" w:hAnsi="Arial" w:cs="Arial"/>
                <w:sz w:val="20"/>
                <w:szCs w:val="20"/>
              </w:rPr>
              <w:t>l</w:t>
            </w:r>
            <w:r w:rsidRPr="003606E2">
              <w:rPr>
                <w:rFonts w:ascii="Arial" w:hAnsi="Arial" w:cs="Arial"/>
                <w:sz w:val="20"/>
                <w:szCs w:val="20"/>
              </w:rPr>
              <w:t xml:space="preserve">oan </w:t>
            </w:r>
            <w:r w:rsidR="00167DE5" w:rsidRPr="003606E2">
              <w:rPr>
                <w:rFonts w:ascii="Arial" w:hAnsi="Arial" w:cs="Arial"/>
                <w:sz w:val="20"/>
                <w:szCs w:val="20"/>
              </w:rPr>
              <w:t>p</w:t>
            </w:r>
            <w:r w:rsidRPr="003606E2">
              <w:rPr>
                <w:rFonts w:ascii="Arial" w:hAnsi="Arial" w:cs="Arial"/>
                <w:sz w:val="20"/>
                <w:szCs w:val="20"/>
              </w:rPr>
              <w:t>roposal, (PR-4469, 29 Nov. 2016)</w:t>
            </w:r>
          </w:p>
          <w:p w14:paraId="537323A3" w14:textId="273CAC6B" w:rsidR="007B55FA" w:rsidRPr="00040AA9" w:rsidRDefault="007B55FA" w:rsidP="00040AA9">
            <w:pPr>
              <w:suppressAutoHyphens/>
              <w:rPr>
                <w:rFonts w:ascii="Arial" w:hAnsi="Arial" w:cs="Arial"/>
                <w:sz w:val="20"/>
                <w:szCs w:val="20"/>
              </w:rPr>
            </w:pPr>
            <w:r w:rsidRPr="00040AA9">
              <w:rPr>
                <w:rFonts w:ascii="Arial" w:hAnsi="Arial" w:cs="Arial"/>
                <w:sz w:val="20"/>
                <w:szCs w:val="20"/>
              </w:rPr>
              <w:t>paragraph. 3.3 “Coordination between government entities”</w:t>
            </w:r>
            <w:r w:rsidRPr="00040AA9">
              <w:rPr>
                <w:rStyle w:val="FootnoteReference"/>
                <w:rFonts w:ascii="Arial" w:hAnsi="Arial" w:cs="Arial"/>
                <w:sz w:val="20"/>
                <w:szCs w:val="20"/>
              </w:rPr>
              <w:footnoteReference w:id="131"/>
            </w:r>
          </w:p>
        </w:tc>
      </w:tr>
      <w:tr w:rsidR="007B55FA" w:rsidRPr="00CF5903" w14:paraId="5D24292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jc w:val="center"/>
        </w:trPr>
        <w:tc>
          <w:tcPr>
            <w:tcW w:w="12859" w:type="dxa"/>
            <w:gridSpan w:val="8"/>
            <w:shd w:val="clear" w:color="auto" w:fill="F2F2F2" w:themeFill="background1" w:themeFillShade="F2"/>
            <w:vAlign w:val="center"/>
          </w:tcPr>
          <w:p w14:paraId="2ACA06D6" w14:textId="77777777" w:rsidR="007B55FA" w:rsidRPr="00040AA9" w:rsidRDefault="007B55FA" w:rsidP="00040AA9">
            <w:pPr>
              <w:suppressAutoHyphens/>
              <w:rPr>
                <w:rFonts w:ascii="Arial" w:hAnsi="Arial" w:cs="Arial"/>
                <w:b/>
                <w:sz w:val="20"/>
                <w:szCs w:val="20"/>
              </w:rPr>
            </w:pPr>
            <w:r w:rsidRPr="00040AA9">
              <w:rPr>
                <w:rFonts w:ascii="Arial" w:hAnsi="Arial" w:cs="Arial"/>
                <w:b/>
                <w:sz w:val="20"/>
                <w:szCs w:val="20"/>
              </w:rPr>
              <w:t>Output IV.2 Actuarial Analysis</w:t>
            </w:r>
          </w:p>
        </w:tc>
      </w:tr>
      <w:tr w:rsidR="007B55FA" w:rsidRPr="00CF5903" w14:paraId="4BCC6B4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4F4BB9F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IV.2.1</w:t>
            </w:r>
          </w:p>
          <w:p w14:paraId="272B5D0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Updated actuarial Analysis of the NIS that is displayed for public consultation and updated regularly</w:t>
            </w:r>
          </w:p>
          <w:p w14:paraId="459BC26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 – product 4.2,</w:t>
            </w:r>
          </w:p>
          <w:p w14:paraId="037D0D5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2.03(g) calls for MLSS to submit an actuarial analysis of the NIS to Cabinet)</w:t>
            </w:r>
          </w:p>
        </w:tc>
        <w:tc>
          <w:tcPr>
            <w:tcW w:w="860" w:type="dxa"/>
            <w:vMerge w:val="restart"/>
            <w:shd w:val="clear" w:color="auto" w:fill="auto"/>
          </w:tcPr>
          <w:p w14:paraId="6F7546A6" w14:textId="77777777" w:rsidR="007B55FA" w:rsidRPr="00040AA9" w:rsidRDefault="007B55FA" w:rsidP="00040AA9">
            <w:pPr>
              <w:suppressAutoHyphens/>
              <w:rPr>
                <w:rFonts w:ascii="Arial" w:hAnsi="Arial" w:cs="Arial"/>
                <w:sz w:val="20"/>
                <w:szCs w:val="20"/>
              </w:rPr>
            </w:pPr>
          </w:p>
          <w:p w14:paraId="0124472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Actuarial Analysis</w:t>
            </w:r>
          </w:p>
        </w:tc>
        <w:tc>
          <w:tcPr>
            <w:tcW w:w="774" w:type="dxa"/>
            <w:vMerge w:val="restart"/>
            <w:shd w:val="clear" w:color="auto" w:fill="auto"/>
          </w:tcPr>
          <w:p w14:paraId="67CAEFA5" w14:textId="77777777" w:rsidR="007B55FA" w:rsidRPr="00040AA9" w:rsidRDefault="007B55FA" w:rsidP="00040AA9">
            <w:pPr>
              <w:suppressAutoHyphens/>
              <w:jc w:val="center"/>
              <w:rPr>
                <w:rFonts w:ascii="Arial" w:hAnsi="Arial" w:cs="Arial"/>
                <w:sz w:val="20"/>
                <w:szCs w:val="20"/>
              </w:rPr>
            </w:pPr>
          </w:p>
          <w:p w14:paraId="6F588187" w14:textId="77777777" w:rsidR="007B55FA" w:rsidRPr="00040AA9" w:rsidRDefault="007B55FA" w:rsidP="00040AA9">
            <w:pPr>
              <w:suppressAutoHyphens/>
              <w:jc w:val="center"/>
              <w:rPr>
                <w:rFonts w:ascii="Arial" w:hAnsi="Arial" w:cs="Arial"/>
                <w:sz w:val="20"/>
                <w:szCs w:val="20"/>
              </w:rPr>
            </w:pPr>
          </w:p>
          <w:p w14:paraId="316E15A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vAlign w:val="center"/>
          </w:tcPr>
          <w:p w14:paraId="67405F15" w14:textId="77777777" w:rsidR="007B55FA" w:rsidRPr="00040AA9" w:rsidRDefault="007B55FA" w:rsidP="00040AA9">
            <w:pPr>
              <w:suppressAutoHyphens/>
              <w:jc w:val="center"/>
              <w:rPr>
                <w:rFonts w:ascii="Arial" w:hAnsi="Arial" w:cs="Arial"/>
                <w:sz w:val="20"/>
                <w:szCs w:val="20"/>
              </w:rPr>
            </w:pPr>
          </w:p>
          <w:p w14:paraId="2B8C9F2B" w14:textId="77777777" w:rsidR="007B55FA" w:rsidRPr="00040AA9" w:rsidRDefault="007B55FA" w:rsidP="00040AA9">
            <w:pPr>
              <w:suppressAutoHyphens/>
              <w:jc w:val="center"/>
              <w:rPr>
                <w:rFonts w:ascii="Arial" w:hAnsi="Arial" w:cs="Arial"/>
                <w:sz w:val="20"/>
                <w:szCs w:val="20"/>
              </w:rPr>
            </w:pPr>
          </w:p>
          <w:p w14:paraId="4CC2F5B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vAlign w:val="center"/>
            <w:hideMark/>
          </w:tcPr>
          <w:p w14:paraId="6E5A013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vAlign w:val="center"/>
          </w:tcPr>
          <w:p w14:paraId="0DED859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6C2B511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vAlign w:val="center"/>
          </w:tcPr>
          <w:p w14:paraId="54D1D723" w14:textId="77777777" w:rsidR="007B55FA" w:rsidRPr="00040AA9" w:rsidRDefault="007B55FA" w:rsidP="00040AA9">
            <w:pPr>
              <w:suppressAutoHyphens/>
              <w:rPr>
                <w:rFonts w:ascii="Arial" w:hAnsi="Arial" w:cs="Arial"/>
                <w:sz w:val="20"/>
                <w:szCs w:val="20"/>
              </w:rPr>
            </w:pPr>
          </w:p>
          <w:p w14:paraId="11372B2A" w14:textId="77777777" w:rsidR="007B55FA" w:rsidRPr="00040AA9" w:rsidRDefault="007B55FA" w:rsidP="00040AA9">
            <w:pPr>
              <w:suppressAutoHyphens/>
              <w:rPr>
                <w:rFonts w:ascii="Arial" w:hAnsi="Arial" w:cs="Arial"/>
                <w:sz w:val="20"/>
                <w:szCs w:val="20"/>
              </w:rPr>
            </w:pPr>
          </w:p>
          <w:p w14:paraId="0C7FAEBF" w14:textId="77777777" w:rsidR="007B55FA" w:rsidRPr="00040AA9" w:rsidRDefault="007B55FA" w:rsidP="00040AA9">
            <w:pPr>
              <w:suppressAutoHyphens/>
              <w:rPr>
                <w:rFonts w:ascii="Arial" w:hAnsi="Arial" w:cs="Arial"/>
                <w:sz w:val="20"/>
                <w:szCs w:val="20"/>
              </w:rPr>
            </w:pPr>
          </w:p>
          <w:p w14:paraId="012F16AB" w14:textId="2B41B750" w:rsidR="007B55FA" w:rsidRPr="00040AA9" w:rsidRDefault="007B47AC"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06854E4E" w14:textId="63E274B1"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Actuarial Analysis of the NIS sent by the Ministry of </w:t>
            </w:r>
            <w:r w:rsidR="00167DE5" w:rsidRPr="00CF5903">
              <w:rPr>
                <w:rFonts w:ascii="Arial" w:hAnsi="Arial" w:cs="Arial"/>
                <w:sz w:val="20"/>
                <w:szCs w:val="20"/>
              </w:rPr>
              <w:t>Labor</w:t>
            </w:r>
            <w:r w:rsidRPr="00040AA9">
              <w:rPr>
                <w:rFonts w:ascii="Arial" w:hAnsi="Arial" w:cs="Arial"/>
                <w:sz w:val="20"/>
                <w:szCs w:val="20"/>
              </w:rPr>
              <w:t xml:space="preserve"> and Social Security (MLSS) to Cabinet</w:t>
            </w:r>
          </w:p>
        </w:tc>
      </w:tr>
      <w:tr w:rsidR="007B55FA" w:rsidRPr="00CF5903" w14:paraId="183A89E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7C3DA0D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635074EE"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0A2AF0C"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C221802"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62FFC47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0921DF5B"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738267C5"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6CD3D5DE" w14:textId="77777777" w:rsidR="007B55FA" w:rsidRPr="00040AA9" w:rsidRDefault="007B55FA" w:rsidP="00040AA9">
            <w:pPr>
              <w:suppressAutoHyphens/>
              <w:rPr>
                <w:rFonts w:ascii="Arial" w:hAnsi="Arial" w:cs="Arial"/>
                <w:sz w:val="20"/>
                <w:szCs w:val="20"/>
              </w:rPr>
            </w:pPr>
          </w:p>
        </w:tc>
      </w:tr>
      <w:tr w:rsidR="007B55FA" w:rsidRPr="00CF5903" w14:paraId="0E44164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jc w:val="center"/>
        </w:trPr>
        <w:tc>
          <w:tcPr>
            <w:tcW w:w="2556" w:type="dxa"/>
            <w:vMerge/>
            <w:shd w:val="clear" w:color="auto" w:fill="auto"/>
            <w:hideMark/>
          </w:tcPr>
          <w:p w14:paraId="18C83E87"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51386F3"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92D042C"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F05FB66"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238A7C1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707615BD" w14:textId="77777777" w:rsidR="007B55FA" w:rsidRPr="00040AA9" w:rsidRDefault="007B55FA" w:rsidP="00040AA9">
            <w:pPr>
              <w:suppressAutoHyphens/>
              <w:rPr>
                <w:rFonts w:ascii="Arial" w:hAnsi="Arial" w:cs="Arial"/>
                <w:sz w:val="20"/>
                <w:szCs w:val="20"/>
              </w:rPr>
            </w:pPr>
          </w:p>
          <w:p w14:paraId="7D2CDD15" w14:textId="77777777" w:rsidR="004F21B3" w:rsidRPr="00040AA9" w:rsidRDefault="004F21B3" w:rsidP="00040AA9">
            <w:pPr>
              <w:suppressAutoHyphens/>
              <w:jc w:val="center"/>
              <w:rPr>
                <w:rFonts w:ascii="Arial" w:hAnsi="Arial" w:cs="Arial"/>
                <w:sz w:val="20"/>
                <w:szCs w:val="20"/>
              </w:rPr>
            </w:pPr>
            <w:r w:rsidRPr="00040AA9">
              <w:rPr>
                <w:rFonts w:ascii="Arial" w:hAnsi="Arial" w:cs="Arial"/>
                <w:sz w:val="20"/>
                <w:szCs w:val="20"/>
              </w:rPr>
              <w:t>1</w:t>
            </w:r>
          </w:p>
          <w:p w14:paraId="12C6E735" w14:textId="2762AA48" w:rsidR="004F21B3" w:rsidRPr="00040AA9" w:rsidRDefault="004F21B3" w:rsidP="00040AA9">
            <w:pPr>
              <w:suppressAutoHyphens/>
              <w:jc w:val="center"/>
              <w:rPr>
                <w:rFonts w:ascii="Arial" w:hAnsi="Arial" w:cs="Arial"/>
                <w:sz w:val="20"/>
                <w:szCs w:val="20"/>
              </w:rPr>
            </w:pPr>
            <w:r w:rsidRPr="00040AA9">
              <w:rPr>
                <w:rFonts w:ascii="Arial" w:hAnsi="Arial" w:cs="Arial"/>
                <w:sz w:val="20"/>
                <w:szCs w:val="20"/>
              </w:rPr>
              <w:t>(</w:t>
            </w:r>
            <w:r w:rsidR="00571523" w:rsidRPr="00040AA9">
              <w:rPr>
                <w:rFonts w:ascii="Arial" w:hAnsi="Arial" w:cs="Arial"/>
                <w:sz w:val="20"/>
                <w:szCs w:val="20"/>
              </w:rPr>
              <w:t>2013/14)</w:t>
            </w:r>
          </w:p>
        </w:tc>
        <w:tc>
          <w:tcPr>
            <w:tcW w:w="1106" w:type="dxa"/>
            <w:vMerge/>
            <w:shd w:val="clear" w:color="auto" w:fill="auto"/>
            <w:hideMark/>
          </w:tcPr>
          <w:p w14:paraId="73A08AD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EC9C7D3" w14:textId="74AEC2C6" w:rsidR="00386694" w:rsidRPr="00040AA9" w:rsidRDefault="00757985" w:rsidP="00040AA9">
            <w:pPr>
              <w:pStyle w:val="p1"/>
              <w:suppressAutoHyphens/>
              <w:rPr>
                <w:rFonts w:ascii="Arial" w:hAnsi="Arial" w:cs="Arial"/>
                <w:sz w:val="20"/>
                <w:szCs w:val="20"/>
              </w:rPr>
            </w:pPr>
            <w:r w:rsidRPr="00040AA9">
              <w:rPr>
                <w:rFonts w:ascii="Arial" w:hAnsi="Arial" w:cs="Arial"/>
                <w:sz w:val="20"/>
                <w:szCs w:val="20"/>
              </w:rPr>
              <w:t xml:space="preserve">The borrower complied with section 2.03(g) of the loan contract by </w:t>
            </w:r>
            <w:r w:rsidR="00830DCF" w:rsidRPr="00040AA9">
              <w:rPr>
                <w:rFonts w:ascii="Arial" w:hAnsi="Arial" w:cs="Arial"/>
                <w:sz w:val="20"/>
                <w:szCs w:val="20"/>
              </w:rPr>
              <w:t xml:space="preserve">“confirming receipt of the actuarial analysis and provision of a copy of the actuarial analysis of the NIS” </w:t>
            </w:r>
            <w:r w:rsidR="004621AE" w:rsidRPr="00040AA9">
              <w:rPr>
                <w:rFonts w:ascii="Arial" w:hAnsi="Arial" w:cs="Arial"/>
                <w:sz w:val="20"/>
                <w:szCs w:val="20"/>
              </w:rPr>
              <w:t xml:space="preserve">(memo PO-JA-L1038 </w:t>
            </w:r>
            <w:proofErr w:type="spellStart"/>
            <w:r w:rsidR="004621AE" w:rsidRPr="00040AA9">
              <w:rPr>
                <w:rFonts w:ascii="Arial" w:hAnsi="Arial" w:cs="Arial"/>
                <w:sz w:val="20"/>
                <w:szCs w:val="20"/>
              </w:rPr>
              <w:t>Disb</w:t>
            </w:r>
            <w:proofErr w:type="spellEnd"/>
            <w:r w:rsidR="004621AE" w:rsidRPr="00040AA9">
              <w:rPr>
                <w:rFonts w:ascii="Arial" w:hAnsi="Arial" w:cs="Arial"/>
                <w:sz w:val="20"/>
                <w:szCs w:val="20"/>
              </w:rPr>
              <w:t xml:space="preserve">, Feb. 4, 2014, </w:t>
            </w:r>
            <w:r w:rsidR="00830DCF" w:rsidRPr="00040AA9">
              <w:rPr>
                <w:rFonts w:ascii="Arial" w:hAnsi="Arial" w:cs="Arial"/>
                <w:sz w:val="20"/>
                <w:szCs w:val="20"/>
              </w:rPr>
              <w:t>¶3.26</w:t>
            </w:r>
            <w:r w:rsidR="004621AE" w:rsidRPr="00040AA9">
              <w:rPr>
                <w:rFonts w:ascii="Arial" w:hAnsi="Arial" w:cs="Arial"/>
                <w:sz w:val="20"/>
                <w:szCs w:val="20"/>
              </w:rPr>
              <w:t>)</w:t>
            </w:r>
          </w:p>
          <w:p w14:paraId="70FBF302" w14:textId="06193B72" w:rsidR="007B55FA" w:rsidRPr="00040AA9" w:rsidRDefault="007B55FA" w:rsidP="00040AA9">
            <w:pPr>
              <w:suppressAutoHyphens/>
              <w:rPr>
                <w:rFonts w:ascii="Arial" w:hAnsi="Arial" w:cs="Arial"/>
                <w:sz w:val="20"/>
                <w:szCs w:val="20"/>
              </w:rPr>
            </w:pPr>
          </w:p>
        </w:tc>
      </w:tr>
      <w:tr w:rsidR="007B55FA" w:rsidRPr="00CF5903" w14:paraId="21BEFCE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65185F0A" w14:textId="3D2A5E59"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Indicator IV.2.2</w:t>
            </w:r>
          </w:p>
          <w:p w14:paraId="7302DF04" w14:textId="01A39CDF"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Document from the Permanent Secretary (PS) of the Ministry of </w:t>
            </w:r>
            <w:r w:rsidR="00167DE5" w:rsidRPr="00CF5903">
              <w:rPr>
                <w:rFonts w:ascii="Arial" w:hAnsi="Arial" w:cs="Arial"/>
                <w:sz w:val="20"/>
                <w:szCs w:val="20"/>
              </w:rPr>
              <w:t>Labor</w:t>
            </w:r>
            <w:r w:rsidRPr="00040AA9">
              <w:rPr>
                <w:rFonts w:ascii="Arial" w:hAnsi="Arial" w:cs="Arial"/>
                <w:sz w:val="20"/>
                <w:szCs w:val="20"/>
              </w:rPr>
              <w:t xml:space="preserve"> and Social Security, regarding the preparation of a Bill mandating that an actuarial analysis of the NIS is required every three years, reviewed and approved by the government. </w:t>
            </w:r>
          </w:p>
          <w:p w14:paraId="50329B3B" w14:textId="77777777" w:rsidR="007B55FA" w:rsidRPr="00040AA9" w:rsidRDefault="007B55FA" w:rsidP="00040AA9">
            <w:pPr>
              <w:keepNext/>
              <w:keepLines/>
              <w:tabs>
                <w:tab w:val="right" w:pos="3109"/>
              </w:tabs>
              <w:suppressAutoHyphens/>
              <w:rPr>
                <w:rFonts w:ascii="Arial" w:hAnsi="Arial" w:cs="Arial"/>
                <w:sz w:val="20"/>
                <w:szCs w:val="20"/>
              </w:rPr>
            </w:pPr>
            <w:r w:rsidRPr="00040AA9">
              <w:rPr>
                <w:rFonts w:ascii="Arial" w:hAnsi="Arial" w:cs="Arial"/>
                <w:sz w:val="20"/>
                <w:szCs w:val="20"/>
              </w:rPr>
              <w:t>(FSPG II – product 4.2,</w:t>
            </w:r>
          </w:p>
          <w:p w14:paraId="407A0D29" w14:textId="77777777" w:rsidR="007B55FA" w:rsidRPr="00040AA9" w:rsidRDefault="007B55FA" w:rsidP="00040AA9">
            <w:pPr>
              <w:keepNext/>
              <w:keepLines/>
              <w:tabs>
                <w:tab w:val="right" w:pos="3109"/>
              </w:tabs>
              <w:suppressAutoHyphens/>
              <w:rPr>
                <w:rFonts w:ascii="Arial" w:hAnsi="Arial" w:cs="Arial"/>
                <w:sz w:val="20"/>
                <w:szCs w:val="20"/>
              </w:rPr>
            </w:pPr>
            <w:r w:rsidRPr="00040AA9">
              <w:rPr>
                <w:rFonts w:ascii="Arial" w:hAnsi="Arial" w:cs="Arial"/>
                <w:sz w:val="20"/>
                <w:szCs w:val="20"/>
              </w:rPr>
              <w:t>contract section 2.03.III(d))</w:t>
            </w:r>
            <w:r w:rsidRPr="00040AA9">
              <w:rPr>
                <w:rFonts w:ascii="Arial" w:hAnsi="Arial" w:cs="Arial"/>
                <w:sz w:val="20"/>
                <w:szCs w:val="20"/>
              </w:rPr>
              <w:tab/>
            </w:r>
          </w:p>
        </w:tc>
        <w:tc>
          <w:tcPr>
            <w:tcW w:w="860" w:type="dxa"/>
            <w:vMerge w:val="restart"/>
            <w:shd w:val="clear" w:color="auto" w:fill="auto"/>
          </w:tcPr>
          <w:p w14:paraId="2557B8DC" w14:textId="77777777" w:rsidR="007B55FA" w:rsidRPr="00040AA9" w:rsidRDefault="007B55FA" w:rsidP="00040AA9">
            <w:pPr>
              <w:keepNext/>
              <w:keepLines/>
              <w:suppressAutoHyphens/>
              <w:jc w:val="center"/>
              <w:rPr>
                <w:rFonts w:ascii="Arial" w:hAnsi="Arial" w:cs="Arial"/>
                <w:sz w:val="20"/>
                <w:szCs w:val="20"/>
              </w:rPr>
            </w:pPr>
          </w:p>
          <w:p w14:paraId="315B9708" w14:textId="77777777" w:rsidR="007B55FA" w:rsidRPr="00040AA9" w:rsidRDefault="007B55FA" w:rsidP="00040AA9">
            <w:pPr>
              <w:keepNext/>
              <w:keepLines/>
              <w:suppressAutoHyphens/>
              <w:jc w:val="center"/>
              <w:rPr>
                <w:rFonts w:ascii="Arial" w:hAnsi="Arial" w:cs="Arial"/>
                <w:sz w:val="20"/>
                <w:szCs w:val="20"/>
              </w:rPr>
            </w:pPr>
          </w:p>
          <w:p w14:paraId="21BDCFD8" w14:textId="77777777" w:rsidR="007B55FA" w:rsidRPr="00040AA9" w:rsidRDefault="007B55FA" w:rsidP="00040AA9">
            <w:pPr>
              <w:keepNext/>
              <w:keepLines/>
              <w:suppressAutoHyphens/>
              <w:jc w:val="center"/>
              <w:rPr>
                <w:rFonts w:ascii="Arial" w:hAnsi="Arial" w:cs="Arial"/>
                <w:sz w:val="20"/>
                <w:szCs w:val="20"/>
              </w:rPr>
            </w:pPr>
          </w:p>
          <w:p w14:paraId="09DB6551" w14:textId="77777777" w:rsidR="007B55FA" w:rsidRPr="00040AA9" w:rsidRDefault="007B55FA" w:rsidP="00040AA9">
            <w:pPr>
              <w:keepNext/>
              <w:keepLines/>
              <w:suppressAutoHyphens/>
              <w:jc w:val="center"/>
              <w:rPr>
                <w:rFonts w:ascii="Arial" w:hAnsi="Arial" w:cs="Arial"/>
                <w:sz w:val="20"/>
                <w:szCs w:val="20"/>
              </w:rPr>
            </w:pPr>
          </w:p>
          <w:p w14:paraId="40CA91B8" w14:textId="77777777" w:rsidR="007B55FA" w:rsidRPr="00040AA9" w:rsidRDefault="007B55FA" w:rsidP="00040AA9">
            <w:pPr>
              <w:keepNext/>
              <w:keepLines/>
              <w:suppressAutoHyphens/>
              <w:jc w:val="center"/>
              <w:rPr>
                <w:rFonts w:ascii="Arial" w:hAnsi="Arial" w:cs="Arial"/>
                <w:sz w:val="20"/>
                <w:szCs w:val="20"/>
              </w:rPr>
            </w:pPr>
          </w:p>
          <w:p w14:paraId="364509A6" w14:textId="77777777" w:rsidR="007B55FA" w:rsidRPr="00040AA9" w:rsidRDefault="007B55FA" w:rsidP="00040AA9">
            <w:pPr>
              <w:keepNext/>
              <w:keepLines/>
              <w:suppressAutoHyphens/>
              <w:jc w:val="center"/>
              <w:rPr>
                <w:rFonts w:ascii="Arial" w:hAnsi="Arial" w:cs="Arial"/>
                <w:sz w:val="20"/>
                <w:szCs w:val="20"/>
              </w:rPr>
            </w:pPr>
          </w:p>
          <w:p w14:paraId="118FFBED"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Document</w:t>
            </w:r>
          </w:p>
        </w:tc>
        <w:tc>
          <w:tcPr>
            <w:tcW w:w="774" w:type="dxa"/>
            <w:vMerge w:val="restart"/>
            <w:shd w:val="clear" w:color="auto" w:fill="auto"/>
          </w:tcPr>
          <w:p w14:paraId="5BC065AC" w14:textId="77777777" w:rsidR="007B55FA" w:rsidRPr="00040AA9" w:rsidRDefault="007B55FA" w:rsidP="00040AA9">
            <w:pPr>
              <w:keepNext/>
              <w:keepLines/>
              <w:suppressAutoHyphens/>
              <w:jc w:val="center"/>
              <w:rPr>
                <w:rFonts w:ascii="Arial" w:hAnsi="Arial" w:cs="Arial"/>
                <w:sz w:val="20"/>
                <w:szCs w:val="20"/>
              </w:rPr>
            </w:pPr>
          </w:p>
          <w:p w14:paraId="7F09689F" w14:textId="77777777" w:rsidR="007B55FA" w:rsidRPr="00040AA9" w:rsidRDefault="007B55FA" w:rsidP="00040AA9">
            <w:pPr>
              <w:keepNext/>
              <w:keepLines/>
              <w:suppressAutoHyphens/>
              <w:jc w:val="center"/>
              <w:rPr>
                <w:rFonts w:ascii="Arial" w:hAnsi="Arial" w:cs="Arial"/>
                <w:sz w:val="20"/>
                <w:szCs w:val="20"/>
              </w:rPr>
            </w:pPr>
          </w:p>
          <w:p w14:paraId="26FFA69B" w14:textId="77777777" w:rsidR="007B55FA" w:rsidRPr="00040AA9" w:rsidRDefault="007B55FA" w:rsidP="00040AA9">
            <w:pPr>
              <w:keepNext/>
              <w:keepLines/>
              <w:suppressAutoHyphens/>
              <w:jc w:val="center"/>
              <w:rPr>
                <w:rFonts w:ascii="Arial" w:hAnsi="Arial" w:cs="Arial"/>
                <w:sz w:val="20"/>
                <w:szCs w:val="20"/>
              </w:rPr>
            </w:pPr>
          </w:p>
          <w:p w14:paraId="38A7521D" w14:textId="77777777" w:rsidR="007B55FA" w:rsidRPr="00040AA9" w:rsidRDefault="007B55FA" w:rsidP="00040AA9">
            <w:pPr>
              <w:keepNext/>
              <w:keepLines/>
              <w:suppressAutoHyphens/>
              <w:jc w:val="center"/>
              <w:rPr>
                <w:rFonts w:ascii="Arial" w:hAnsi="Arial" w:cs="Arial"/>
                <w:sz w:val="20"/>
                <w:szCs w:val="20"/>
              </w:rPr>
            </w:pPr>
          </w:p>
          <w:p w14:paraId="0605F928" w14:textId="77777777" w:rsidR="007B55FA" w:rsidRPr="00040AA9" w:rsidRDefault="007B55FA" w:rsidP="00040AA9">
            <w:pPr>
              <w:keepNext/>
              <w:keepLines/>
              <w:suppressAutoHyphens/>
              <w:jc w:val="center"/>
              <w:rPr>
                <w:rFonts w:ascii="Arial" w:hAnsi="Arial" w:cs="Arial"/>
                <w:sz w:val="20"/>
                <w:szCs w:val="20"/>
              </w:rPr>
            </w:pPr>
          </w:p>
          <w:p w14:paraId="2E34261C" w14:textId="77777777" w:rsidR="007B55FA" w:rsidRPr="00040AA9" w:rsidRDefault="007B55FA" w:rsidP="00040AA9">
            <w:pPr>
              <w:keepNext/>
              <w:keepLines/>
              <w:suppressAutoHyphens/>
              <w:jc w:val="center"/>
              <w:rPr>
                <w:rFonts w:ascii="Arial" w:hAnsi="Arial" w:cs="Arial"/>
                <w:sz w:val="20"/>
                <w:szCs w:val="20"/>
              </w:rPr>
            </w:pPr>
          </w:p>
          <w:p w14:paraId="21A6CAF4"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0</w:t>
            </w:r>
          </w:p>
          <w:p w14:paraId="16C4B0C2" w14:textId="77777777" w:rsidR="007B55FA" w:rsidRPr="00040AA9" w:rsidRDefault="007B55FA" w:rsidP="00040AA9">
            <w:pPr>
              <w:keepNext/>
              <w:keepLines/>
              <w:suppressAutoHyphens/>
              <w:jc w:val="center"/>
              <w:rPr>
                <w:rFonts w:ascii="Arial" w:hAnsi="Arial" w:cs="Arial"/>
                <w:sz w:val="20"/>
                <w:szCs w:val="20"/>
              </w:rPr>
            </w:pPr>
          </w:p>
        </w:tc>
        <w:tc>
          <w:tcPr>
            <w:tcW w:w="939" w:type="dxa"/>
            <w:vMerge w:val="restart"/>
            <w:shd w:val="clear" w:color="auto" w:fill="auto"/>
          </w:tcPr>
          <w:p w14:paraId="12BDCC36" w14:textId="77777777" w:rsidR="007B55FA" w:rsidRPr="00040AA9" w:rsidRDefault="007B55FA" w:rsidP="00040AA9">
            <w:pPr>
              <w:keepNext/>
              <w:keepLines/>
              <w:suppressAutoHyphens/>
              <w:jc w:val="center"/>
              <w:rPr>
                <w:rFonts w:ascii="Arial" w:hAnsi="Arial" w:cs="Arial"/>
                <w:sz w:val="20"/>
                <w:szCs w:val="20"/>
              </w:rPr>
            </w:pPr>
          </w:p>
          <w:p w14:paraId="164FDCE8" w14:textId="77777777" w:rsidR="007B55FA" w:rsidRPr="00040AA9" w:rsidRDefault="007B55FA" w:rsidP="00040AA9">
            <w:pPr>
              <w:keepNext/>
              <w:keepLines/>
              <w:suppressAutoHyphens/>
              <w:jc w:val="center"/>
              <w:rPr>
                <w:rFonts w:ascii="Arial" w:hAnsi="Arial" w:cs="Arial"/>
                <w:sz w:val="20"/>
                <w:szCs w:val="20"/>
              </w:rPr>
            </w:pPr>
          </w:p>
          <w:p w14:paraId="10DA66FB" w14:textId="77777777" w:rsidR="007B55FA" w:rsidRPr="00040AA9" w:rsidRDefault="007B55FA" w:rsidP="00040AA9">
            <w:pPr>
              <w:keepNext/>
              <w:keepLines/>
              <w:suppressAutoHyphens/>
              <w:jc w:val="center"/>
              <w:rPr>
                <w:rFonts w:ascii="Arial" w:hAnsi="Arial" w:cs="Arial"/>
                <w:sz w:val="20"/>
                <w:szCs w:val="20"/>
              </w:rPr>
            </w:pPr>
          </w:p>
          <w:p w14:paraId="25AD7597" w14:textId="77777777" w:rsidR="007B55FA" w:rsidRPr="00040AA9" w:rsidRDefault="007B55FA" w:rsidP="00040AA9">
            <w:pPr>
              <w:keepNext/>
              <w:keepLines/>
              <w:suppressAutoHyphens/>
              <w:jc w:val="center"/>
              <w:rPr>
                <w:rFonts w:ascii="Arial" w:hAnsi="Arial" w:cs="Arial"/>
                <w:sz w:val="20"/>
                <w:szCs w:val="20"/>
              </w:rPr>
            </w:pPr>
          </w:p>
          <w:p w14:paraId="0A84E37F" w14:textId="77777777" w:rsidR="007B55FA" w:rsidRPr="00040AA9" w:rsidRDefault="007B55FA" w:rsidP="00040AA9">
            <w:pPr>
              <w:keepNext/>
              <w:keepLines/>
              <w:suppressAutoHyphens/>
              <w:jc w:val="center"/>
              <w:rPr>
                <w:rFonts w:ascii="Arial" w:hAnsi="Arial" w:cs="Arial"/>
                <w:sz w:val="20"/>
                <w:szCs w:val="20"/>
              </w:rPr>
            </w:pPr>
          </w:p>
          <w:p w14:paraId="2718371C" w14:textId="77777777" w:rsidR="007B55FA" w:rsidRPr="00040AA9" w:rsidRDefault="007B55FA" w:rsidP="00040AA9">
            <w:pPr>
              <w:keepNext/>
              <w:keepLines/>
              <w:suppressAutoHyphens/>
              <w:jc w:val="center"/>
              <w:rPr>
                <w:rFonts w:ascii="Arial" w:hAnsi="Arial" w:cs="Arial"/>
                <w:sz w:val="20"/>
                <w:szCs w:val="20"/>
              </w:rPr>
            </w:pPr>
          </w:p>
          <w:p w14:paraId="6706FAF2"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11D60496" w14:textId="77777777" w:rsidR="007B55FA" w:rsidRPr="00040AA9" w:rsidRDefault="007B55FA" w:rsidP="00040AA9">
            <w:pPr>
              <w:keepNext/>
              <w:keepLines/>
              <w:suppressAutoHyphens/>
              <w:rPr>
                <w:rFonts w:ascii="Arial" w:hAnsi="Arial" w:cs="Arial"/>
                <w:sz w:val="20"/>
                <w:szCs w:val="20"/>
              </w:rPr>
            </w:pPr>
          </w:p>
          <w:p w14:paraId="5A7AACD5" w14:textId="77777777" w:rsidR="007B55FA" w:rsidRPr="00040AA9" w:rsidRDefault="007B55FA" w:rsidP="00040AA9">
            <w:pPr>
              <w:keepNext/>
              <w:keepLines/>
              <w:suppressAutoHyphens/>
              <w:rPr>
                <w:rFonts w:ascii="Arial" w:hAnsi="Arial" w:cs="Arial"/>
                <w:sz w:val="20"/>
                <w:szCs w:val="20"/>
              </w:rPr>
            </w:pPr>
          </w:p>
          <w:p w14:paraId="2F454604" w14:textId="77777777" w:rsidR="007B55FA" w:rsidRPr="00040AA9" w:rsidRDefault="007B55FA" w:rsidP="00040AA9">
            <w:pPr>
              <w:keepNext/>
              <w:keepLines/>
              <w:suppressAutoHyphens/>
              <w:rPr>
                <w:rFonts w:ascii="Arial" w:hAnsi="Arial" w:cs="Arial"/>
                <w:sz w:val="20"/>
                <w:szCs w:val="20"/>
              </w:rPr>
            </w:pPr>
          </w:p>
          <w:p w14:paraId="0F9BCABE"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66BD92D8" w14:textId="77777777" w:rsidR="007B55FA" w:rsidRPr="00040AA9" w:rsidRDefault="007B55FA" w:rsidP="00040AA9">
            <w:pPr>
              <w:keepNext/>
              <w:keepLines/>
              <w:suppressAutoHyphens/>
              <w:jc w:val="center"/>
              <w:rPr>
                <w:rFonts w:ascii="Arial" w:hAnsi="Arial" w:cs="Arial"/>
                <w:sz w:val="20"/>
                <w:szCs w:val="20"/>
              </w:rPr>
            </w:pPr>
          </w:p>
          <w:p w14:paraId="11B74EAD" w14:textId="77777777" w:rsidR="007B55FA" w:rsidRPr="00040AA9" w:rsidRDefault="007B55FA" w:rsidP="00040AA9">
            <w:pPr>
              <w:keepNext/>
              <w:keepLines/>
              <w:suppressAutoHyphens/>
              <w:jc w:val="center"/>
              <w:rPr>
                <w:rFonts w:ascii="Arial" w:hAnsi="Arial" w:cs="Arial"/>
                <w:sz w:val="20"/>
                <w:szCs w:val="20"/>
              </w:rPr>
            </w:pPr>
          </w:p>
          <w:p w14:paraId="4051ED08" w14:textId="77777777" w:rsidR="007B55FA" w:rsidRPr="00040AA9" w:rsidRDefault="007B55FA" w:rsidP="00040AA9">
            <w:pPr>
              <w:keepNext/>
              <w:keepLines/>
              <w:suppressAutoHyphens/>
              <w:jc w:val="center"/>
              <w:rPr>
                <w:rFonts w:ascii="Arial" w:hAnsi="Arial" w:cs="Arial"/>
                <w:sz w:val="20"/>
                <w:szCs w:val="20"/>
              </w:rPr>
            </w:pPr>
          </w:p>
          <w:p w14:paraId="21FF2FDD"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w:t>
            </w:r>
          </w:p>
          <w:p w14:paraId="55DBF099"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(2014/15)</w:t>
            </w:r>
          </w:p>
        </w:tc>
        <w:tc>
          <w:tcPr>
            <w:tcW w:w="1106" w:type="dxa"/>
            <w:vMerge w:val="restart"/>
            <w:shd w:val="clear" w:color="auto" w:fill="auto"/>
          </w:tcPr>
          <w:p w14:paraId="71AA0A13" w14:textId="77777777" w:rsidR="007B55FA" w:rsidRPr="00040AA9" w:rsidRDefault="007B55FA" w:rsidP="00040AA9">
            <w:pPr>
              <w:keepNext/>
              <w:keepLines/>
              <w:suppressAutoHyphens/>
              <w:rPr>
                <w:rFonts w:ascii="Arial" w:hAnsi="Arial" w:cs="Arial"/>
                <w:sz w:val="20"/>
                <w:szCs w:val="20"/>
              </w:rPr>
            </w:pPr>
          </w:p>
          <w:p w14:paraId="23517BB5" w14:textId="77777777" w:rsidR="007B55FA" w:rsidRPr="00040AA9" w:rsidRDefault="007B55FA" w:rsidP="00040AA9">
            <w:pPr>
              <w:keepNext/>
              <w:keepLines/>
              <w:suppressAutoHyphens/>
              <w:rPr>
                <w:rFonts w:ascii="Arial" w:hAnsi="Arial" w:cs="Arial"/>
                <w:sz w:val="20"/>
                <w:szCs w:val="20"/>
              </w:rPr>
            </w:pPr>
          </w:p>
          <w:p w14:paraId="08038B86" w14:textId="77777777" w:rsidR="007B55FA" w:rsidRPr="00040AA9" w:rsidRDefault="007B55FA" w:rsidP="00040AA9">
            <w:pPr>
              <w:keepNext/>
              <w:keepLines/>
              <w:suppressAutoHyphens/>
              <w:rPr>
                <w:rFonts w:ascii="Arial" w:hAnsi="Arial" w:cs="Arial"/>
                <w:sz w:val="20"/>
                <w:szCs w:val="20"/>
              </w:rPr>
            </w:pPr>
          </w:p>
          <w:p w14:paraId="0B0C5313" w14:textId="77777777" w:rsidR="007B55FA" w:rsidRPr="00040AA9" w:rsidRDefault="007B55FA" w:rsidP="00040AA9">
            <w:pPr>
              <w:keepNext/>
              <w:keepLines/>
              <w:suppressAutoHyphens/>
              <w:rPr>
                <w:rFonts w:ascii="Arial" w:hAnsi="Arial" w:cs="Arial"/>
                <w:sz w:val="20"/>
                <w:szCs w:val="20"/>
              </w:rPr>
            </w:pPr>
          </w:p>
          <w:p w14:paraId="72DBA6A3" w14:textId="77777777" w:rsidR="007B55FA" w:rsidRPr="00040AA9" w:rsidRDefault="007B55FA" w:rsidP="00040AA9">
            <w:pPr>
              <w:keepNext/>
              <w:keepLines/>
              <w:suppressAutoHyphens/>
              <w:rPr>
                <w:rFonts w:ascii="Arial" w:hAnsi="Arial" w:cs="Arial"/>
                <w:sz w:val="20"/>
                <w:szCs w:val="20"/>
              </w:rPr>
            </w:pPr>
          </w:p>
          <w:p w14:paraId="71C83DC0" w14:textId="77777777" w:rsidR="007B55FA" w:rsidRPr="00040AA9" w:rsidRDefault="007B55FA" w:rsidP="00040AA9">
            <w:pPr>
              <w:keepNext/>
              <w:keepLines/>
              <w:suppressAutoHyphens/>
              <w:jc w:val="center"/>
              <w:rPr>
                <w:rFonts w:ascii="Arial" w:hAnsi="Arial" w:cs="Arial"/>
                <w:sz w:val="20"/>
                <w:szCs w:val="20"/>
              </w:rPr>
            </w:pPr>
          </w:p>
          <w:p w14:paraId="29F5D268" w14:textId="77777777" w:rsidR="007B55FA" w:rsidRPr="00040AA9" w:rsidRDefault="007B55FA" w:rsidP="00040AA9">
            <w:pPr>
              <w:keepNext/>
              <w:keepLines/>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5695A9BC" w14:textId="77777777" w:rsidR="007B55FA" w:rsidRPr="00040AA9" w:rsidRDefault="007B55FA" w:rsidP="00040AA9">
            <w:pPr>
              <w:keepNext/>
              <w:keepLines/>
              <w:suppressAutoHyphens/>
              <w:rPr>
                <w:rFonts w:ascii="Arial" w:hAnsi="Arial" w:cs="Arial"/>
                <w:sz w:val="20"/>
                <w:szCs w:val="20"/>
              </w:rPr>
            </w:pPr>
            <w:r w:rsidRPr="00040AA9">
              <w:rPr>
                <w:rFonts w:ascii="Arial" w:hAnsi="Arial" w:cs="Arial"/>
                <w:sz w:val="20"/>
                <w:szCs w:val="20"/>
              </w:rPr>
              <w:t xml:space="preserve">Letter from the PS of the Ministry of </w:t>
            </w:r>
            <w:proofErr w:type="spellStart"/>
            <w:r w:rsidRPr="00040AA9">
              <w:rPr>
                <w:rFonts w:ascii="Arial" w:hAnsi="Arial" w:cs="Arial"/>
                <w:sz w:val="20"/>
                <w:szCs w:val="20"/>
              </w:rPr>
              <w:t>Labour</w:t>
            </w:r>
            <w:proofErr w:type="spellEnd"/>
            <w:r w:rsidRPr="00040AA9">
              <w:rPr>
                <w:rFonts w:ascii="Arial" w:hAnsi="Arial" w:cs="Arial"/>
                <w:sz w:val="20"/>
                <w:szCs w:val="20"/>
              </w:rPr>
              <w:t xml:space="preserve"> and Social Security attaching the copy of a Letter from the Cabinet secretary to the PS of MLSS approving instructions.</w:t>
            </w:r>
          </w:p>
        </w:tc>
      </w:tr>
      <w:tr w:rsidR="007B55FA" w:rsidRPr="00CF5903" w14:paraId="600213D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36F8A8B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C6D7847"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EAC290B"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DAF382D"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60B047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2FB83037"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481E6AAC"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1EF2745" w14:textId="77777777" w:rsidR="007B55FA" w:rsidRPr="00040AA9" w:rsidRDefault="007B55FA" w:rsidP="00040AA9">
            <w:pPr>
              <w:suppressAutoHyphens/>
              <w:rPr>
                <w:rFonts w:ascii="Arial" w:hAnsi="Arial" w:cs="Arial"/>
                <w:sz w:val="20"/>
                <w:szCs w:val="20"/>
              </w:rPr>
            </w:pPr>
          </w:p>
        </w:tc>
      </w:tr>
      <w:tr w:rsidR="007B55FA" w:rsidRPr="00CF5903" w14:paraId="28E5D31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6"/>
          <w:jc w:val="center"/>
        </w:trPr>
        <w:tc>
          <w:tcPr>
            <w:tcW w:w="2556" w:type="dxa"/>
            <w:vMerge/>
            <w:shd w:val="clear" w:color="auto" w:fill="auto"/>
            <w:hideMark/>
          </w:tcPr>
          <w:p w14:paraId="4ABF6C9A"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CB63FD1"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6BAEFAB"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C895C8C"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2CB03024" w14:textId="77777777" w:rsidR="007B55FA" w:rsidRPr="00040AA9" w:rsidRDefault="007B55FA" w:rsidP="00040AA9">
            <w:pPr>
              <w:suppressAutoHyphens/>
              <w:rPr>
                <w:rFonts w:ascii="Arial" w:hAnsi="Arial" w:cs="Arial"/>
                <w:sz w:val="20"/>
                <w:szCs w:val="20"/>
              </w:rPr>
            </w:pPr>
          </w:p>
          <w:p w14:paraId="7E33A147" w14:textId="77777777" w:rsidR="007B55FA" w:rsidRPr="00040AA9" w:rsidRDefault="007B55FA" w:rsidP="00040AA9">
            <w:pPr>
              <w:suppressAutoHyphens/>
              <w:rPr>
                <w:rFonts w:ascii="Arial" w:hAnsi="Arial" w:cs="Arial"/>
                <w:sz w:val="20"/>
                <w:szCs w:val="20"/>
              </w:rPr>
            </w:pPr>
          </w:p>
          <w:p w14:paraId="1DBF1695" w14:textId="77777777" w:rsidR="007B55FA" w:rsidRPr="00040AA9" w:rsidRDefault="007B55FA" w:rsidP="00040AA9">
            <w:pPr>
              <w:suppressAutoHyphens/>
              <w:rPr>
                <w:rFonts w:ascii="Arial" w:hAnsi="Arial" w:cs="Arial"/>
                <w:sz w:val="20"/>
                <w:szCs w:val="20"/>
              </w:rPr>
            </w:pPr>
          </w:p>
          <w:p w14:paraId="46D21A4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0547394A" w14:textId="77777777" w:rsidR="007B55FA" w:rsidRPr="00040AA9" w:rsidRDefault="007B55FA" w:rsidP="00040AA9">
            <w:pPr>
              <w:suppressAutoHyphens/>
              <w:rPr>
                <w:rFonts w:ascii="Arial" w:hAnsi="Arial" w:cs="Arial"/>
                <w:sz w:val="20"/>
                <w:szCs w:val="20"/>
              </w:rPr>
            </w:pPr>
          </w:p>
          <w:p w14:paraId="186D8C66" w14:textId="77777777" w:rsidR="007B55FA" w:rsidRPr="00040AA9" w:rsidRDefault="007B55FA" w:rsidP="00040AA9">
            <w:pPr>
              <w:suppressAutoHyphens/>
              <w:rPr>
                <w:rFonts w:ascii="Arial" w:hAnsi="Arial" w:cs="Arial"/>
                <w:sz w:val="20"/>
                <w:szCs w:val="20"/>
              </w:rPr>
            </w:pPr>
          </w:p>
          <w:p w14:paraId="3DAFE79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054711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(March 2015)</w:t>
            </w:r>
          </w:p>
        </w:tc>
        <w:tc>
          <w:tcPr>
            <w:tcW w:w="1106" w:type="dxa"/>
            <w:vMerge/>
            <w:shd w:val="clear" w:color="auto" w:fill="auto"/>
            <w:hideMark/>
          </w:tcPr>
          <w:p w14:paraId="62831BAD"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AC9AF03" w14:textId="50C32591"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PS/MLSS to Bank dated March 26, 2015 transmitting a copy of the letter from the Cabinet Secretary confirming that the Bill was in preparation.</w:t>
            </w:r>
            <w:r w:rsidRPr="00040AA9">
              <w:rPr>
                <w:rStyle w:val="FootnoteReference"/>
                <w:rFonts w:ascii="Arial" w:hAnsi="Arial" w:cs="Arial"/>
                <w:sz w:val="20"/>
                <w:szCs w:val="20"/>
              </w:rPr>
              <w:footnoteReference w:id="132"/>
            </w:r>
          </w:p>
        </w:tc>
      </w:tr>
      <w:tr w:rsidR="007B55FA" w:rsidRPr="00CF5903" w14:paraId="3344F0B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9"/>
          <w:jc w:val="center"/>
        </w:trPr>
        <w:tc>
          <w:tcPr>
            <w:tcW w:w="2556" w:type="dxa"/>
            <w:vMerge w:val="restart"/>
            <w:shd w:val="clear" w:color="auto" w:fill="auto"/>
          </w:tcPr>
          <w:p w14:paraId="13E08C9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IV.2.3</w:t>
            </w:r>
          </w:p>
          <w:p w14:paraId="287DAE1C"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Actuarial analysis of the NIS published. </w:t>
            </w:r>
          </w:p>
          <w:p w14:paraId="788D1F51"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III – </w:t>
            </w:r>
            <w:r w:rsidRPr="00040AA9">
              <w:rPr>
                <w:rFonts w:ascii="Arial" w:hAnsi="Arial" w:cs="Arial"/>
                <w:sz w:val="20"/>
                <w:szCs w:val="20"/>
              </w:rPr>
              <w:t>product</w:t>
            </w:r>
            <w:r w:rsidRPr="00040AA9">
              <w:rPr>
                <w:rFonts w:ascii="Arial" w:hAnsi="Arial" w:cs="Arial"/>
                <w:sz w:val="20"/>
                <w:szCs w:val="20"/>
                <w:lang w:val="en-GB"/>
              </w:rPr>
              <w:t xml:space="preserve"> 4.3,</w:t>
            </w:r>
          </w:p>
          <w:p w14:paraId="58F75AA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There is NO contractual requirement directly related to this indicator)</w:t>
            </w:r>
          </w:p>
        </w:tc>
        <w:tc>
          <w:tcPr>
            <w:tcW w:w="860" w:type="dxa"/>
            <w:vMerge w:val="restart"/>
            <w:shd w:val="clear" w:color="auto" w:fill="auto"/>
          </w:tcPr>
          <w:p w14:paraId="245D14EE" w14:textId="77777777" w:rsidR="007B55FA" w:rsidRPr="00040AA9" w:rsidRDefault="007B55FA" w:rsidP="00040AA9">
            <w:pPr>
              <w:suppressAutoHyphens/>
              <w:jc w:val="center"/>
              <w:rPr>
                <w:rFonts w:ascii="Arial" w:hAnsi="Arial" w:cs="Arial"/>
                <w:sz w:val="20"/>
                <w:szCs w:val="20"/>
              </w:rPr>
            </w:pPr>
          </w:p>
          <w:p w14:paraId="21F8AFA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Report</w:t>
            </w:r>
          </w:p>
        </w:tc>
        <w:tc>
          <w:tcPr>
            <w:tcW w:w="774" w:type="dxa"/>
            <w:shd w:val="clear" w:color="auto" w:fill="auto"/>
          </w:tcPr>
          <w:p w14:paraId="5C774E31" w14:textId="77777777" w:rsidR="007B55FA" w:rsidRPr="00040AA9" w:rsidRDefault="007B55FA" w:rsidP="00040AA9">
            <w:pPr>
              <w:suppressAutoHyphens/>
              <w:jc w:val="center"/>
              <w:rPr>
                <w:rFonts w:ascii="Arial" w:hAnsi="Arial" w:cs="Arial"/>
                <w:sz w:val="20"/>
                <w:szCs w:val="20"/>
              </w:rPr>
            </w:pPr>
          </w:p>
          <w:p w14:paraId="67FF944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0</w:t>
            </w:r>
          </w:p>
        </w:tc>
        <w:tc>
          <w:tcPr>
            <w:tcW w:w="939" w:type="dxa"/>
            <w:shd w:val="clear" w:color="auto" w:fill="auto"/>
          </w:tcPr>
          <w:p w14:paraId="52E93A65" w14:textId="77777777" w:rsidR="007B55FA" w:rsidRPr="00040AA9" w:rsidRDefault="007B55FA" w:rsidP="00040AA9">
            <w:pPr>
              <w:suppressAutoHyphens/>
              <w:rPr>
                <w:rFonts w:ascii="Arial" w:hAnsi="Arial" w:cs="Arial"/>
                <w:sz w:val="20"/>
                <w:szCs w:val="20"/>
              </w:rPr>
            </w:pPr>
          </w:p>
          <w:p w14:paraId="5872082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tcPr>
          <w:p w14:paraId="29AFF413" w14:textId="77777777" w:rsidR="007B55FA" w:rsidRPr="00040AA9" w:rsidRDefault="007B55FA" w:rsidP="00040AA9">
            <w:pPr>
              <w:suppressAutoHyphens/>
              <w:rPr>
                <w:rFonts w:ascii="Arial" w:hAnsi="Arial" w:cs="Arial"/>
                <w:sz w:val="20"/>
                <w:szCs w:val="20"/>
              </w:rPr>
            </w:pPr>
          </w:p>
          <w:p w14:paraId="5E3334F2" w14:textId="77777777" w:rsidR="007B55FA" w:rsidRPr="00040AA9" w:rsidRDefault="007B55FA" w:rsidP="00040AA9">
            <w:pPr>
              <w:suppressAutoHyphens/>
              <w:rPr>
                <w:rFonts w:ascii="Arial" w:hAnsi="Arial" w:cs="Arial"/>
                <w:sz w:val="20"/>
                <w:szCs w:val="20"/>
              </w:rPr>
            </w:pPr>
          </w:p>
          <w:p w14:paraId="6D83230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AE3615D" w14:textId="77777777" w:rsidR="007B55FA" w:rsidRPr="00040AA9" w:rsidRDefault="007B55FA" w:rsidP="00040AA9">
            <w:pPr>
              <w:suppressAutoHyphens/>
              <w:jc w:val="center"/>
              <w:rPr>
                <w:rFonts w:ascii="Arial" w:hAnsi="Arial" w:cs="Arial"/>
                <w:sz w:val="20"/>
                <w:szCs w:val="20"/>
              </w:rPr>
            </w:pPr>
          </w:p>
          <w:p w14:paraId="601B1203" w14:textId="77777777" w:rsidR="007B55FA" w:rsidRPr="00040AA9" w:rsidRDefault="007B55FA" w:rsidP="00040AA9">
            <w:pPr>
              <w:suppressAutoHyphens/>
              <w:jc w:val="center"/>
              <w:rPr>
                <w:rFonts w:ascii="Arial" w:hAnsi="Arial" w:cs="Arial"/>
                <w:sz w:val="20"/>
                <w:szCs w:val="20"/>
              </w:rPr>
            </w:pPr>
          </w:p>
          <w:p w14:paraId="098EE62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A1FBFE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tc>
        <w:tc>
          <w:tcPr>
            <w:tcW w:w="1106" w:type="dxa"/>
            <w:vMerge w:val="restart"/>
            <w:shd w:val="clear" w:color="auto" w:fill="auto"/>
          </w:tcPr>
          <w:p w14:paraId="3F10FB8C" w14:textId="77777777" w:rsidR="007B55FA" w:rsidRPr="00040AA9" w:rsidRDefault="007B55FA" w:rsidP="00040AA9">
            <w:pPr>
              <w:suppressAutoHyphens/>
              <w:rPr>
                <w:rFonts w:ascii="Arial" w:hAnsi="Arial" w:cs="Arial"/>
                <w:sz w:val="20"/>
                <w:szCs w:val="20"/>
              </w:rPr>
            </w:pPr>
          </w:p>
          <w:p w14:paraId="098EF76A" w14:textId="77777777" w:rsidR="007B55FA" w:rsidRPr="00040AA9" w:rsidRDefault="007B55FA" w:rsidP="00040AA9">
            <w:pPr>
              <w:suppressAutoHyphens/>
              <w:rPr>
                <w:rFonts w:ascii="Arial" w:hAnsi="Arial" w:cs="Arial"/>
                <w:sz w:val="20"/>
                <w:szCs w:val="20"/>
              </w:rPr>
            </w:pPr>
          </w:p>
          <w:p w14:paraId="4CB650E8" w14:textId="77777777" w:rsidR="007B55FA" w:rsidRPr="00040AA9" w:rsidRDefault="007B55FA" w:rsidP="00040AA9">
            <w:pPr>
              <w:suppressAutoHyphens/>
              <w:rPr>
                <w:rFonts w:ascii="Arial" w:hAnsi="Arial" w:cs="Arial"/>
                <w:sz w:val="20"/>
                <w:szCs w:val="20"/>
              </w:rPr>
            </w:pPr>
          </w:p>
          <w:p w14:paraId="51696052" w14:textId="2F45278D" w:rsidR="007B55FA" w:rsidRPr="00040AA9" w:rsidRDefault="000249D0" w:rsidP="00040AA9">
            <w:pPr>
              <w:suppressAutoHyphens/>
              <w:jc w:val="center"/>
              <w:rPr>
                <w:rFonts w:ascii="Arial" w:hAnsi="Arial" w:cs="Arial"/>
                <w:sz w:val="20"/>
                <w:szCs w:val="20"/>
              </w:rPr>
            </w:pPr>
            <w:r w:rsidRPr="00040AA9">
              <w:rPr>
                <w:rFonts w:ascii="Arial" w:hAnsi="Arial" w:cs="Arial"/>
                <w:sz w:val="20"/>
                <w:szCs w:val="20"/>
              </w:rPr>
              <w:t>100</w:t>
            </w:r>
            <w:r w:rsidR="007B55FA" w:rsidRPr="00040AA9">
              <w:rPr>
                <w:rFonts w:ascii="Arial" w:hAnsi="Arial" w:cs="Arial"/>
                <w:sz w:val="20"/>
                <w:szCs w:val="20"/>
              </w:rPr>
              <w:t>%</w:t>
            </w:r>
          </w:p>
        </w:tc>
        <w:tc>
          <w:tcPr>
            <w:tcW w:w="5027" w:type="dxa"/>
            <w:shd w:val="clear" w:color="auto" w:fill="auto"/>
          </w:tcPr>
          <w:p w14:paraId="52A0F91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Letter from the PS of the Ministry of Labour and Social Security (MLSS) informing that NIS actuarial analysis has been published and remains publicly displayed.</w:t>
            </w:r>
          </w:p>
        </w:tc>
      </w:tr>
      <w:tr w:rsidR="007B55FA" w:rsidRPr="00CF5903" w14:paraId="111D7C7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
          <w:jc w:val="center"/>
        </w:trPr>
        <w:tc>
          <w:tcPr>
            <w:tcW w:w="2556" w:type="dxa"/>
            <w:vMerge/>
            <w:shd w:val="clear" w:color="auto" w:fill="auto"/>
          </w:tcPr>
          <w:p w14:paraId="76D2E927"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14476D1D" w14:textId="77777777" w:rsidR="007B55FA" w:rsidRPr="00040AA9" w:rsidRDefault="007B55FA" w:rsidP="00040AA9">
            <w:pPr>
              <w:suppressAutoHyphens/>
              <w:rPr>
                <w:rFonts w:ascii="Arial" w:hAnsi="Arial" w:cs="Arial"/>
                <w:sz w:val="20"/>
                <w:szCs w:val="20"/>
              </w:rPr>
            </w:pPr>
          </w:p>
        </w:tc>
        <w:tc>
          <w:tcPr>
            <w:tcW w:w="774" w:type="dxa"/>
            <w:shd w:val="clear" w:color="auto" w:fill="auto"/>
          </w:tcPr>
          <w:p w14:paraId="1331B366" w14:textId="77777777" w:rsidR="007B55FA" w:rsidRPr="00040AA9" w:rsidRDefault="007B55FA" w:rsidP="00040AA9">
            <w:pPr>
              <w:suppressAutoHyphens/>
              <w:rPr>
                <w:rFonts w:ascii="Arial" w:hAnsi="Arial" w:cs="Arial"/>
                <w:sz w:val="20"/>
                <w:szCs w:val="20"/>
              </w:rPr>
            </w:pPr>
          </w:p>
        </w:tc>
        <w:tc>
          <w:tcPr>
            <w:tcW w:w="939" w:type="dxa"/>
            <w:shd w:val="clear" w:color="auto" w:fill="auto"/>
          </w:tcPr>
          <w:p w14:paraId="74BC1CEE" w14:textId="77777777" w:rsidR="007B55FA" w:rsidRPr="00040AA9" w:rsidRDefault="007B55FA" w:rsidP="00040AA9">
            <w:pPr>
              <w:suppressAutoHyphens/>
              <w:rPr>
                <w:rFonts w:ascii="Arial" w:hAnsi="Arial" w:cs="Arial"/>
                <w:sz w:val="20"/>
                <w:szCs w:val="20"/>
              </w:rPr>
            </w:pPr>
          </w:p>
        </w:tc>
        <w:tc>
          <w:tcPr>
            <w:tcW w:w="594" w:type="dxa"/>
            <w:shd w:val="clear" w:color="auto" w:fill="auto"/>
          </w:tcPr>
          <w:p w14:paraId="6FAEBE3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1DC4F3AB" w14:textId="77777777" w:rsidR="007B55FA" w:rsidRPr="00040AA9" w:rsidRDefault="007B55FA" w:rsidP="00040AA9">
            <w:pPr>
              <w:suppressAutoHyphens/>
              <w:rPr>
                <w:rFonts w:ascii="Arial" w:hAnsi="Arial" w:cs="Arial"/>
                <w:sz w:val="20"/>
                <w:szCs w:val="20"/>
              </w:rPr>
            </w:pPr>
          </w:p>
        </w:tc>
        <w:tc>
          <w:tcPr>
            <w:tcW w:w="1106" w:type="dxa"/>
            <w:vMerge/>
            <w:shd w:val="clear" w:color="auto" w:fill="auto"/>
          </w:tcPr>
          <w:p w14:paraId="27C4A1F1"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D856495" w14:textId="77777777" w:rsidR="007B55FA" w:rsidRPr="00040AA9" w:rsidRDefault="007B55FA" w:rsidP="00040AA9">
            <w:pPr>
              <w:suppressAutoHyphens/>
              <w:rPr>
                <w:rFonts w:ascii="Arial" w:hAnsi="Arial" w:cs="Arial"/>
                <w:sz w:val="20"/>
                <w:szCs w:val="20"/>
              </w:rPr>
            </w:pPr>
          </w:p>
        </w:tc>
      </w:tr>
      <w:tr w:rsidR="007B55FA" w:rsidRPr="00CF5903" w14:paraId="715A40B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
          <w:jc w:val="center"/>
        </w:trPr>
        <w:tc>
          <w:tcPr>
            <w:tcW w:w="2556" w:type="dxa"/>
            <w:vMerge/>
            <w:shd w:val="clear" w:color="auto" w:fill="auto"/>
          </w:tcPr>
          <w:p w14:paraId="333C86C5" w14:textId="77777777" w:rsidR="007B55FA" w:rsidRPr="00040AA9" w:rsidRDefault="007B55FA" w:rsidP="00040AA9">
            <w:pPr>
              <w:suppressAutoHyphens/>
              <w:rPr>
                <w:rFonts w:ascii="Arial" w:hAnsi="Arial" w:cs="Arial"/>
                <w:sz w:val="20"/>
                <w:szCs w:val="20"/>
              </w:rPr>
            </w:pPr>
          </w:p>
        </w:tc>
        <w:tc>
          <w:tcPr>
            <w:tcW w:w="860" w:type="dxa"/>
            <w:vMerge/>
            <w:shd w:val="clear" w:color="auto" w:fill="auto"/>
          </w:tcPr>
          <w:p w14:paraId="340B0D7B" w14:textId="77777777" w:rsidR="007B55FA" w:rsidRPr="00040AA9" w:rsidRDefault="007B55FA" w:rsidP="00040AA9">
            <w:pPr>
              <w:suppressAutoHyphens/>
              <w:rPr>
                <w:rFonts w:ascii="Arial" w:hAnsi="Arial" w:cs="Arial"/>
                <w:sz w:val="20"/>
                <w:szCs w:val="20"/>
              </w:rPr>
            </w:pPr>
          </w:p>
        </w:tc>
        <w:tc>
          <w:tcPr>
            <w:tcW w:w="774" w:type="dxa"/>
            <w:shd w:val="clear" w:color="auto" w:fill="auto"/>
          </w:tcPr>
          <w:p w14:paraId="27110053" w14:textId="77777777" w:rsidR="007B55FA" w:rsidRPr="00040AA9" w:rsidRDefault="007B55FA" w:rsidP="00040AA9">
            <w:pPr>
              <w:suppressAutoHyphens/>
              <w:rPr>
                <w:rFonts w:ascii="Arial" w:hAnsi="Arial" w:cs="Arial"/>
                <w:sz w:val="20"/>
                <w:szCs w:val="20"/>
              </w:rPr>
            </w:pPr>
          </w:p>
        </w:tc>
        <w:tc>
          <w:tcPr>
            <w:tcW w:w="939" w:type="dxa"/>
            <w:shd w:val="clear" w:color="auto" w:fill="auto"/>
          </w:tcPr>
          <w:p w14:paraId="5246456C" w14:textId="77777777" w:rsidR="007B55FA" w:rsidRPr="00040AA9" w:rsidRDefault="007B55FA" w:rsidP="00040AA9">
            <w:pPr>
              <w:suppressAutoHyphens/>
              <w:rPr>
                <w:rFonts w:ascii="Arial" w:hAnsi="Arial" w:cs="Arial"/>
                <w:sz w:val="20"/>
                <w:szCs w:val="20"/>
              </w:rPr>
            </w:pPr>
          </w:p>
        </w:tc>
        <w:tc>
          <w:tcPr>
            <w:tcW w:w="594" w:type="dxa"/>
            <w:shd w:val="clear" w:color="auto" w:fill="auto"/>
          </w:tcPr>
          <w:p w14:paraId="6CE20ED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476F28D4" w14:textId="77777777" w:rsidR="007B55FA" w:rsidRPr="00040AA9" w:rsidRDefault="000249D0" w:rsidP="00040AA9">
            <w:pPr>
              <w:suppressAutoHyphens/>
              <w:jc w:val="center"/>
              <w:rPr>
                <w:rFonts w:ascii="Arial" w:hAnsi="Arial" w:cs="Arial"/>
                <w:sz w:val="20"/>
                <w:szCs w:val="20"/>
              </w:rPr>
            </w:pPr>
            <w:r w:rsidRPr="00040AA9">
              <w:rPr>
                <w:rFonts w:ascii="Arial" w:hAnsi="Arial" w:cs="Arial"/>
                <w:sz w:val="20"/>
                <w:szCs w:val="20"/>
              </w:rPr>
              <w:t>1</w:t>
            </w:r>
          </w:p>
          <w:p w14:paraId="375FEFF9" w14:textId="6C96C39F" w:rsidR="005111C8" w:rsidRPr="00040AA9" w:rsidRDefault="005111C8" w:rsidP="00040AA9">
            <w:pPr>
              <w:suppressAutoHyphens/>
              <w:jc w:val="center"/>
              <w:rPr>
                <w:rFonts w:ascii="Arial" w:hAnsi="Arial" w:cs="Arial"/>
                <w:sz w:val="20"/>
                <w:szCs w:val="20"/>
              </w:rPr>
            </w:pPr>
            <w:r w:rsidRPr="00040AA9">
              <w:rPr>
                <w:rFonts w:ascii="Arial" w:hAnsi="Arial" w:cs="Arial"/>
                <w:sz w:val="20"/>
                <w:szCs w:val="20"/>
              </w:rPr>
              <w:t>(2014/15)</w:t>
            </w:r>
          </w:p>
        </w:tc>
        <w:tc>
          <w:tcPr>
            <w:tcW w:w="1106" w:type="dxa"/>
            <w:vMerge/>
            <w:shd w:val="clear" w:color="auto" w:fill="auto"/>
          </w:tcPr>
          <w:p w14:paraId="76860130"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F0B0C03" w14:textId="1CC000B4" w:rsidR="007B55FA" w:rsidRPr="00040AA9" w:rsidRDefault="000249D0" w:rsidP="00040AA9">
            <w:pPr>
              <w:suppressAutoHyphens/>
              <w:rPr>
                <w:rFonts w:ascii="Arial" w:hAnsi="Arial" w:cs="Arial"/>
                <w:sz w:val="20"/>
                <w:szCs w:val="20"/>
              </w:rPr>
            </w:pPr>
            <w:r w:rsidRPr="00040AA9">
              <w:rPr>
                <w:rFonts w:ascii="Arial" w:hAnsi="Arial" w:cs="Arial"/>
                <w:sz w:val="20"/>
                <w:szCs w:val="20"/>
              </w:rPr>
              <w:t xml:space="preserve">The original </w:t>
            </w:r>
            <w:r w:rsidR="007B55FA" w:rsidRPr="00040AA9">
              <w:rPr>
                <w:rFonts w:ascii="Arial" w:hAnsi="Arial" w:cs="Arial"/>
                <w:sz w:val="20"/>
                <w:szCs w:val="20"/>
              </w:rPr>
              <w:t>actuarial analysis is available</w:t>
            </w:r>
            <w:r w:rsidR="004F71F4" w:rsidRPr="00040AA9">
              <w:rPr>
                <w:rStyle w:val="FootnoteReference"/>
                <w:rFonts w:ascii="Arial" w:hAnsi="Arial" w:cs="Arial"/>
                <w:sz w:val="20"/>
                <w:szCs w:val="20"/>
              </w:rPr>
              <w:footnoteReference w:id="133"/>
            </w:r>
          </w:p>
        </w:tc>
      </w:tr>
      <w:tr w:rsidR="007B55FA" w:rsidRPr="00CF5903" w14:paraId="37BF4CD7"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jc w:val="center"/>
        </w:trPr>
        <w:tc>
          <w:tcPr>
            <w:tcW w:w="2556" w:type="dxa"/>
            <w:vMerge w:val="restart"/>
            <w:shd w:val="clear" w:color="auto" w:fill="auto"/>
            <w:hideMark/>
          </w:tcPr>
          <w:p w14:paraId="2E717BE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IV.2.4</w:t>
            </w:r>
          </w:p>
          <w:p w14:paraId="52AB3B70"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Bill to require an actuarial analysis of the NIS every three years tabled. </w:t>
            </w:r>
          </w:p>
          <w:p w14:paraId="0E140E75"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III – </w:t>
            </w:r>
            <w:r w:rsidRPr="00040AA9">
              <w:rPr>
                <w:rFonts w:ascii="Arial" w:hAnsi="Arial" w:cs="Arial"/>
                <w:sz w:val="20"/>
                <w:szCs w:val="20"/>
              </w:rPr>
              <w:t>product</w:t>
            </w:r>
            <w:r w:rsidRPr="00040AA9">
              <w:rPr>
                <w:rFonts w:ascii="Arial" w:hAnsi="Arial" w:cs="Arial"/>
                <w:sz w:val="20"/>
                <w:szCs w:val="20"/>
                <w:lang w:val="en-GB"/>
              </w:rPr>
              <w:t xml:space="preserve"> 4.4,</w:t>
            </w:r>
          </w:p>
          <w:p w14:paraId="327B5F0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contract section 2.03.III.(b))</w:t>
            </w:r>
          </w:p>
        </w:tc>
        <w:tc>
          <w:tcPr>
            <w:tcW w:w="860" w:type="dxa"/>
            <w:vMerge w:val="restart"/>
            <w:shd w:val="clear" w:color="auto" w:fill="auto"/>
          </w:tcPr>
          <w:p w14:paraId="41F9055A" w14:textId="77777777" w:rsidR="007B55FA" w:rsidRPr="00040AA9" w:rsidRDefault="007B55FA" w:rsidP="00040AA9">
            <w:pPr>
              <w:suppressAutoHyphens/>
              <w:jc w:val="center"/>
              <w:rPr>
                <w:rFonts w:ascii="Arial" w:hAnsi="Arial" w:cs="Arial"/>
                <w:sz w:val="20"/>
                <w:szCs w:val="20"/>
              </w:rPr>
            </w:pPr>
          </w:p>
          <w:p w14:paraId="094F32ED" w14:textId="77777777" w:rsidR="007B55FA" w:rsidRPr="00040AA9" w:rsidRDefault="007B55FA" w:rsidP="00040AA9">
            <w:pPr>
              <w:suppressAutoHyphens/>
              <w:rPr>
                <w:rFonts w:ascii="Arial" w:hAnsi="Arial" w:cs="Arial"/>
                <w:sz w:val="20"/>
                <w:szCs w:val="20"/>
              </w:rPr>
            </w:pPr>
          </w:p>
          <w:p w14:paraId="3E6170C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Bill</w:t>
            </w:r>
          </w:p>
        </w:tc>
        <w:tc>
          <w:tcPr>
            <w:tcW w:w="774" w:type="dxa"/>
            <w:vMerge w:val="restart"/>
            <w:shd w:val="clear" w:color="auto" w:fill="auto"/>
          </w:tcPr>
          <w:p w14:paraId="3B309BD2" w14:textId="77777777" w:rsidR="007B55FA" w:rsidRPr="00040AA9" w:rsidRDefault="007B55FA" w:rsidP="00040AA9">
            <w:pPr>
              <w:suppressAutoHyphens/>
              <w:jc w:val="center"/>
              <w:rPr>
                <w:rFonts w:ascii="Arial" w:hAnsi="Arial" w:cs="Arial"/>
                <w:sz w:val="20"/>
                <w:szCs w:val="20"/>
              </w:rPr>
            </w:pPr>
          </w:p>
          <w:p w14:paraId="52D6A81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0FFB94A3" w14:textId="77777777" w:rsidR="007B55FA" w:rsidRPr="00040AA9" w:rsidRDefault="007B55FA" w:rsidP="00040AA9">
            <w:pPr>
              <w:suppressAutoHyphens/>
              <w:jc w:val="center"/>
              <w:rPr>
                <w:rFonts w:ascii="Arial" w:hAnsi="Arial" w:cs="Arial"/>
                <w:sz w:val="20"/>
                <w:szCs w:val="20"/>
              </w:rPr>
            </w:pPr>
          </w:p>
          <w:p w14:paraId="4181E49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F2C4C1A" w14:textId="77777777" w:rsidR="007B55FA" w:rsidRPr="00040AA9" w:rsidRDefault="007B55FA" w:rsidP="00040AA9">
            <w:pPr>
              <w:suppressAutoHyphens/>
              <w:rPr>
                <w:rFonts w:ascii="Arial" w:hAnsi="Arial" w:cs="Arial"/>
                <w:sz w:val="20"/>
                <w:szCs w:val="20"/>
              </w:rPr>
            </w:pPr>
          </w:p>
          <w:p w14:paraId="51705EF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5EF7AADA" w14:textId="77777777" w:rsidR="007B55FA" w:rsidRPr="00040AA9" w:rsidRDefault="007B55FA" w:rsidP="00040AA9">
            <w:pPr>
              <w:suppressAutoHyphens/>
              <w:jc w:val="center"/>
              <w:rPr>
                <w:rFonts w:ascii="Arial" w:hAnsi="Arial" w:cs="Arial"/>
                <w:sz w:val="20"/>
                <w:szCs w:val="20"/>
              </w:rPr>
            </w:pPr>
          </w:p>
          <w:p w14:paraId="5E6262D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F7665F5" w14:textId="77777777" w:rsidR="007B55FA" w:rsidRPr="00040AA9" w:rsidRDefault="007B55FA" w:rsidP="00040AA9">
            <w:pPr>
              <w:tabs>
                <w:tab w:val="center" w:pos="461"/>
              </w:tabs>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7C326D5F" w14:textId="77777777" w:rsidR="007B55FA" w:rsidRPr="00040AA9" w:rsidRDefault="007B55FA" w:rsidP="00040AA9">
            <w:pPr>
              <w:suppressAutoHyphens/>
              <w:rPr>
                <w:rFonts w:ascii="Arial" w:hAnsi="Arial" w:cs="Arial"/>
                <w:sz w:val="20"/>
                <w:szCs w:val="20"/>
              </w:rPr>
            </w:pPr>
          </w:p>
          <w:p w14:paraId="359AE201" w14:textId="77777777" w:rsidR="007B55FA" w:rsidRPr="00040AA9" w:rsidRDefault="007B55FA" w:rsidP="00040AA9">
            <w:pPr>
              <w:suppressAutoHyphens/>
              <w:rPr>
                <w:rFonts w:ascii="Arial" w:hAnsi="Arial" w:cs="Arial"/>
                <w:sz w:val="20"/>
                <w:szCs w:val="20"/>
              </w:rPr>
            </w:pPr>
          </w:p>
          <w:p w14:paraId="11DD0A05" w14:textId="77777777" w:rsidR="007B55FA" w:rsidRPr="00040AA9" w:rsidRDefault="007B55FA" w:rsidP="00040AA9">
            <w:pPr>
              <w:suppressAutoHyphens/>
              <w:rPr>
                <w:rFonts w:ascii="Arial" w:hAnsi="Arial" w:cs="Arial"/>
                <w:sz w:val="20"/>
                <w:szCs w:val="20"/>
              </w:rPr>
            </w:pPr>
          </w:p>
          <w:p w14:paraId="67D62A7F" w14:textId="77777777" w:rsidR="007B55FA" w:rsidRPr="00040AA9" w:rsidRDefault="007B55FA" w:rsidP="00040AA9">
            <w:pPr>
              <w:suppressAutoHyphens/>
              <w:rPr>
                <w:rFonts w:ascii="Arial" w:hAnsi="Arial" w:cs="Arial"/>
                <w:sz w:val="20"/>
                <w:szCs w:val="20"/>
              </w:rPr>
            </w:pPr>
          </w:p>
          <w:p w14:paraId="1E292B52" w14:textId="77777777" w:rsidR="007B55FA" w:rsidRPr="00040AA9" w:rsidRDefault="007B55FA" w:rsidP="00040AA9">
            <w:pPr>
              <w:suppressAutoHyphens/>
              <w:rPr>
                <w:rFonts w:ascii="Arial" w:hAnsi="Arial" w:cs="Arial"/>
                <w:sz w:val="20"/>
                <w:szCs w:val="20"/>
              </w:rPr>
            </w:pPr>
          </w:p>
          <w:p w14:paraId="2C6FB2D2" w14:textId="77777777" w:rsidR="007B55FA" w:rsidRPr="00040AA9" w:rsidRDefault="007B55FA" w:rsidP="00040AA9">
            <w:pPr>
              <w:suppressAutoHyphens/>
              <w:rPr>
                <w:rFonts w:ascii="Arial" w:hAnsi="Arial" w:cs="Arial"/>
                <w:sz w:val="20"/>
                <w:szCs w:val="20"/>
              </w:rPr>
            </w:pPr>
          </w:p>
          <w:p w14:paraId="542BE772" w14:textId="77777777" w:rsidR="007B55FA" w:rsidRPr="00040AA9" w:rsidRDefault="007B55FA" w:rsidP="00040AA9">
            <w:pPr>
              <w:suppressAutoHyphens/>
              <w:rPr>
                <w:rFonts w:ascii="Arial" w:hAnsi="Arial" w:cs="Arial"/>
                <w:sz w:val="20"/>
                <w:szCs w:val="20"/>
              </w:rPr>
            </w:pPr>
          </w:p>
          <w:p w14:paraId="335AF35B" w14:textId="77777777" w:rsidR="007B55FA" w:rsidRPr="00040AA9" w:rsidRDefault="007B55FA" w:rsidP="00040AA9">
            <w:pPr>
              <w:suppressAutoHyphens/>
              <w:rPr>
                <w:rFonts w:ascii="Arial" w:hAnsi="Arial" w:cs="Arial"/>
                <w:sz w:val="20"/>
                <w:szCs w:val="20"/>
              </w:rPr>
            </w:pPr>
          </w:p>
          <w:p w14:paraId="4336B5F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p w14:paraId="24EF7848"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11E63ACD" w14:textId="7CC5C012"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 xml:space="preserve">Letter from the PS of the Ministry of Labour and Social Security informing that the Bill has been tabled in </w:t>
            </w:r>
            <w:r w:rsidR="00167DE5">
              <w:rPr>
                <w:rFonts w:ascii="Arial" w:hAnsi="Arial" w:cs="Arial"/>
                <w:sz w:val="20"/>
                <w:szCs w:val="20"/>
                <w:lang w:val="en-GB"/>
              </w:rPr>
              <w:t>p</w:t>
            </w:r>
            <w:r w:rsidR="00167DE5" w:rsidRPr="00CF5903">
              <w:rPr>
                <w:rFonts w:ascii="Arial" w:hAnsi="Arial" w:cs="Arial"/>
                <w:sz w:val="20"/>
                <w:szCs w:val="20"/>
                <w:lang w:val="en-GB"/>
              </w:rPr>
              <w:t>arliament.</w:t>
            </w:r>
          </w:p>
        </w:tc>
      </w:tr>
      <w:tr w:rsidR="007B55FA" w:rsidRPr="00CF5903" w14:paraId="7A83401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40F39C56"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5CC16CFA"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37E959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A3D11AE"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03DBFB8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294E4B08"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3BA14095"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4376354" w14:textId="77777777" w:rsidR="007B55FA" w:rsidRPr="00040AA9" w:rsidRDefault="007B55FA" w:rsidP="00040AA9">
            <w:pPr>
              <w:suppressAutoHyphens/>
              <w:rPr>
                <w:rFonts w:ascii="Arial" w:hAnsi="Arial" w:cs="Arial"/>
                <w:sz w:val="20"/>
                <w:szCs w:val="20"/>
              </w:rPr>
            </w:pPr>
          </w:p>
        </w:tc>
      </w:tr>
      <w:tr w:rsidR="007B55FA" w:rsidRPr="00CF5903" w14:paraId="13F111C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1"/>
          <w:jc w:val="center"/>
        </w:trPr>
        <w:tc>
          <w:tcPr>
            <w:tcW w:w="2556" w:type="dxa"/>
            <w:vMerge/>
            <w:tcBorders>
              <w:bottom w:val="single" w:sz="4" w:space="0" w:color="auto"/>
            </w:tcBorders>
            <w:shd w:val="clear" w:color="auto" w:fill="auto"/>
            <w:hideMark/>
          </w:tcPr>
          <w:p w14:paraId="183FA4A7" w14:textId="77777777" w:rsidR="007B55FA" w:rsidRPr="00040AA9" w:rsidRDefault="007B55FA" w:rsidP="00040AA9">
            <w:pPr>
              <w:suppressAutoHyphens/>
              <w:rPr>
                <w:rFonts w:ascii="Arial" w:hAnsi="Arial" w:cs="Arial"/>
                <w:sz w:val="20"/>
                <w:szCs w:val="20"/>
              </w:rPr>
            </w:pPr>
          </w:p>
        </w:tc>
        <w:tc>
          <w:tcPr>
            <w:tcW w:w="860" w:type="dxa"/>
            <w:vMerge/>
            <w:tcBorders>
              <w:bottom w:val="single" w:sz="4" w:space="0" w:color="auto"/>
            </w:tcBorders>
            <w:shd w:val="clear" w:color="auto" w:fill="auto"/>
            <w:hideMark/>
          </w:tcPr>
          <w:p w14:paraId="5C9C67EB" w14:textId="77777777" w:rsidR="007B55FA" w:rsidRPr="00040AA9" w:rsidRDefault="007B55FA" w:rsidP="00040AA9">
            <w:pPr>
              <w:suppressAutoHyphens/>
              <w:rPr>
                <w:rFonts w:ascii="Arial" w:hAnsi="Arial" w:cs="Arial"/>
                <w:sz w:val="20"/>
                <w:szCs w:val="20"/>
              </w:rPr>
            </w:pPr>
          </w:p>
        </w:tc>
        <w:tc>
          <w:tcPr>
            <w:tcW w:w="774" w:type="dxa"/>
            <w:vMerge/>
            <w:tcBorders>
              <w:bottom w:val="single" w:sz="4" w:space="0" w:color="auto"/>
            </w:tcBorders>
            <w:shd w:val="clear" w:color="auto" w:fill="auto"/>
            <w:hideMark/>
          </w:tcPr>
          <w:p w14:paraId="774B869F" w14:textId="77777777" w:rsidR="007B55FA" w:rsidRPr="00040AA9" w:rsidRDefault="007B55FA" w:rsidP="00040AA9">
            <w:pPr>
              <w:suppressAutoHyphens/>
              <w:rPr>
                <w:rFonts w:ascii="Arial" w:hAnsi="Arial" w:cs="Arial"/>
                <w:sz w:val="20"/>
                <w:szCs w:val="20"/>
              </w:rPr>
            </w:pPr>
          </w:p>
        </w:tc>
        <w:tc>
          <w:tcPr>
            <w:tcW w:w="939" w:type="dxa"/>
            <w:vMerge/>
            <w:tcBorders>
              <w:bottom w:val="single" w:sz="4" w:space="0" w:color="auto"/>
            </w:tcBorders>
            <w:shd w:val="clear" w:color="auto" w:fill="auto"/>
            <w:hideMark/>
          </w:tcPr>
          <w:p w14:paraId="27788351" w14:textId="77777777" w:rsidR="007B55FA" w:rsidRPr="00040AA9" w:rsidRDefault="007B55FA" w:rsidP="00040AA9">
            <w:pPr>
              <w:suppressAutoHyphens/>
              <w:rPr>
                <w:rFonts w:ascii="Arial" w:hAnsi="Arial" w:cs="Arial"/>
                <w:sz w:val="20"/>
                <w:szCs w:val="20"/>
              </w:rPr>
            </w:pPr>
          </w:p>
        </w:tc>
        <w:tc>
          <w:tcPr>
            <w:tcW w:w="594" w:type="dxa"/>
            <w:tcBorders>
              <w:bottom w:val="single" w:sz="4" w:space="0" w:color="auto"/>
            </w:tcBorders>
            <w:shd w:val="clear" w:color="auto" w:fill="auto"/>
            <w:hideMark/>
          </w:tcPr>
          <w:p w14:paraId="55527026"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tcBorders>
              <w:bottom w:val="single" w:sz="4" w:space="0" w:color="auto"/>
            </w:tcBorders>
            <w:shd w:val="clear" w:color="auto" w:fill="auto"/>
          </w:tcPr>
          <w:p w14:paraId="56A544B5" w14:textId="77777777" w:rsidR="007B55FA" w:rsidRPr="00040AA9" w:rsidRDefault="007B55FA" w:rsidP="00040AA9">
            <w:pPr>
              <w:suppressAutoHyphens/>
              <w:jc w:val="center"/>
              <w:rPr>
                <w:rFonts w:ascii="Arial" w:hAnsi="Arial" w:cs="Arial"/>
                <w:sz w:val="20"/>
                <w:szCs w:val="20"/>
              </w:rPr>
            </w:pPr>
          </w:p>
          <w:p w14:paraId="1D49CAF8" w14:textId="77777777" w:rsidR="007B55FA" w:rsidRPr="00040AA9" w:rsidRDefault="007B55FA" w:rsidP="00040AA9">
            <w:pPr>
              <w:suppressAutoHyphens/>
              <w:jc w:val="center"/>
              <w:rPr>
                <w:rFonts w:ascii="Arial" w:hAnsi="Arial" w:cs="Arial"/>
                <w:sz w:val="20"/>
                <w:szCs w:val="20"/>
              </w:rPr>
            </w:pPr>
          </w:p>
          <w:p w14:paraId="32FC3F3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1211365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tcBorders>
              <w:bottom w:val="single" w:sz="4" w:space="0" w:color="auto"/>
            </w:tcBorders>
            <w:shd w:val="clear" w:color="auto" w:fill="auto"/>
            <w:hideMark/>
          </w:tcPr>
          <w:p w14:paraId="395F2F0E" w14:textId="77777777" w:rsidR="007B55FA" w:rsidRPr="00040AA9" w:rsidRDefault="007B55FA" w:rsidP="00040AA9">
            <w:pPr>
              <w:suppressAutoHyphens/>
              <w:rPr>
                <w:rFonts w:ascii="Arial" w:hAnsi="Arial" w:cs="Arial"/>
                <w:sz w:val="20"/>
                <w:szCs w:val="20"/>
              </w:rPr>
            </w:pPr>
          </w:p>
        </w:tc>
        <w:tc>
          <w:tcPr>
            <w:tcW w:w="5027" w:type="dxa"/>
            <w:tcBorders>
              <w:bottom w:val="single" w:sz="4" w:space="0" w:color="auto"/>
            </w:tcBorders>
            <w:shd w:val="clear" w:color="auto" w:fill="auto"/>
          </w:tcPr>
          <w:p w14:paraId="139CF871" w14:textId="52D972CD"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Financial Secretary (FS) to the Bank dated Nov. 8, 2016 (part IV.4.c) providing evidence of compliance with section 2.03.III.(b) of the FISPEG III loan contract by way of certifying the “Tabling in Parliament of a Bill requiring actuarial analysis of the NIS every three years.”</w:t>
            </w:r>
            <w:r w:rsidRPr="00040AA9">
              <w:rPr>
                <w:rStyle w:val="FootnoteReference"/>
                <w:rFonts w:ascii="Arial" w:hAnsi="Arial" w:cs="Arial"/>
                <w:sz w:val="20"/>
                <w:szCs w:val="20"/>
              </w:rPr>
              <w:footnoteReference w:id="134"/>
            </w:r>
            <w:r w:rsidRPr="00040AA9">
              <w:rPr>
                <w:rFonts w:ascii="Arial" w:hAnsi="Arial" w:cs="Arial"/>
                <w:sz w:val="20"/>
                <w:szCs w:val="20"/>
              </w:rPr>
              <w:t xml:space="preserve"> </w:t>
            </w:r>
          </w:p>
        </w:tc>
      </w:tr>
      <w:tr w:rsidR="007B55FA" w:rsidRPr="00CF5903" w14:paraId="0F2036B1"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12859" w:type="dxa"/>
            <w:gridSpan w:val="8"/>
            <w:shd w:val="clear" w:color="auto" w:fill="F2F2F2" w:themeFill="background1" w:themeFillShade="F2"/>
          </w:tcPr>
          <w:p w14:paraId="22437242" w14:textId="77777777" w:rsidR="007B55FA" w:rsidRPr="00040AA9" w:rsidRDefault="007B55FA" w:rsidP="00040AA9">
            <w:pPr>
              <w:keepNext/>
              <w:keepLines/>
              <w:widowControl w:val="0"/>
              <w:suppressAutoHyphens/>
              <w:rPr>
                <w:rFonts w:ascii="Arial" w:hAnsi="Arial" w:cs="Arial"/>
                <w:b/>
                <w:sz w:val="20"/>
                <w:szCs w:val="20"/>
              </w:rPr>
            </w:pPr>
            <w:r w:rsidRPr="00040AA9">
              <w:rPr>
                <w:rFonts w:ascii="Arial" w:hAnsi="Arial" w:cs="Arial"/>
                <w:b/>
                <w:sz w:val="20"/>
                <w:szCs w:val="20"/>
              </w:rPr>
              <w:t>Output IV.3   Database Management System</w:t>
            </w:r>
          </w:p>
        </w:tc>
      </w:tr>
      <w:tr w:rsidR="007B55FA" w:rsidRPr="00CF5903" w14:paraId="1839501B"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61DEE2D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IV.3.1</w:t>
            </w:r>
          </w:p>
          <w:p w14:paraId="3EB22BD3" w14:textId="7DA0F7E1" w:rsidR="007B55FA" w:rsidRPr="00040AA9" w:rsidRDefault="007B55FA" w:rsidP="00040AA9">
            <w:pPr>
              <w:suppressAutoHyphens/>
              <w:rPr>
                <w:rFonts w:ascii="Arial" w:hAnsi="Arial" w:cs="Arial"/>
                <w:sz w:val="20"/>
                <w:szCs w:val="20"/>
              </w:rPr>
            </w:pPr>
            <w:r w:rsidRPr="00040AA9">
              <w:rPr>
                <w:rFonts w:ascii="Arial" w:hAnsi="Arial" w:cs="Arial"/>
                <w:sz w:val="20"/>
                <w:szCs w:val="20"/>
              </w:rPr>
              <w:t>[Report on current state of and proposal for a] New Database Management Information System that communicates beneficiaries’ information with other Government agencies and that allows timely and accurate processing of claims and payment of benefit.</w:t>
            </w:r>
            <w:r w:rsidRPr="00040AA9">
              <w:rPr>
                <w:rStyle w:val="FootnoteReference"/>
                <w:rFonts w:ascii="Arial" w:hAnsi="Arial" w:cs="Arial"/>
                <w:sz w:val="20"/>
                <w:szCs w:val="20"/>
              </w:rPr>
              <w:footnoteReference w:id="135"/>
            </w:r>
            <w:r w:rsidRPr="00040AA9">
              <w:rPr>
                <w:rFonts w:ascii="Arial" w:hAnsi="Arial" w:cs="Arial"/>
                <w:sz w:val="20"/>
                <w:szCs w:val="20"/>
              </w:rPr>
              <w:t xml:space="preserve"> </w:t>
            </w:r>
          </w:p>
          <w:p w14:paraId="54481AF0"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 – product 4.3,</w:t>
            </w:r>
          </w:p>
          <w:p w14:paraId="6D3E487E"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2.03(h))</w:t>
            </w:r>
          </w:p>
        </w:tc>
        <w:tc>
          <w:tcPr>
            <w:tcW w:w="860" w:type="dxa"/>
            <w:vMerge w:val="restart"/>
            <w:shd w:val="clear" w:color="auto" w:fill="auto"/>
          </w:tcPr>
          <w:p w14:paraId="09700BC7" w14:textId="77777777" w:rsidR="007B55FA" w:rsidRPr="00040AA9" w:rsidRDefault="007B55FA" w:rsidP="00040AA9">
            <w:pPr>
              <w:suppressAutoHyphens/>
              <w:jc w:val="center"/>
              <w:rPr>
                <w:rFonts w:ascii="Arial" w:hAnsi="Arial" w:cs="Arial"/>
                <w:sz w:val="20"/>
                <w:szCs w:val="20"/>
              </w:rPr>
            </w:pPr>
          </w:p>
          <w:p w14:paraId="2A808A77" w14:textId="77777777" w:rsidR="007B55FA" w:rsidRPr="00040AA9" w:rsidRDefault="007B55FA" w:rsidP="00040AA9">
            <w:pPr>
              <w:suppressAutoHyphens/>
              <w:jc w:val="center"/>
              <w:rPr>
                <w:rFonts w:ascii="Arial" w:hAnsi="Arial" w:cs="Arial"/>
                <w:sz w:val="20"/>
                <w:szCs w:val="20"/>
              </w:rPr>
            </w:pPr>
          </w:p>
          <w:p w14:paraId="204CC169" w14:textId="77777777" w:rsidR="007B55FA" w:rsidRPr="00040AA9" w:rsidRDefault="007B55FA" w:rsidP="00040AA9">
            <w:pPr>
              <w:suppressAutoHyphens/>
              <w:jc w:val="center"/>
              <w:rPr>
                <w:rFonts w:ascii="Arial" w:hAnsi="Arial" w:cs="Arial"/>
                <w:sz w:val="20"/>
                <w:szCs w:val="20"/>
              </w:rPr>
            </w:pPr>
          </w:p>
          <w:p w14:paraId="3BA4AC3E" w14:textId="77777777" w:rsidR="007B55FA" w:rsidRPr="00040AA9" w:rsidRDefault="007B55FA" w:rsidP="00040AA9">
            <w:pPr>
              <w:suppressAutoHyphens/>
              <w:jc w:val="center"/>
              <w:rPr>
                <w:rFonts w:ascii="Arial" w:hAnsi="Arial" w:cs="Arial"/>
                <w:sz w:val="20"/>
                <w:szCs w:val="20"/>
              </w:rPr>
            </w:pPr>
          </w:p>
          <w:p w14:paraId="37708AD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w:t>
            </w:r>
          </w:p>
        </w:tc>
        <w:tc>
          <w:tcPr>
            <w:tcW w:w="774" w:type="dxa"/>
            <w:vMerge w:val="restart"/>
            <w:shd w:val="clear" w:color="auto" w:fill="auto"/>
          </w:tcPr>
          <w:p w14:paraId="738BE692" w14:textId="77777777" w:rsidR="007B55FA" w:rsidRPr="00040AA9" w:rsidRDefault="007B55FA" w:rsidP="00040AA9">
            <w:pPr>
              <w:suppressAutoHyphens/>
              <w:jc w:val="center"/>
              <w:rPr>
                <w:rFonts w:ascii="Arial" w:hAnsi="Arial" w:cs="Arial"/>
                <w:sz w:val="20"/>
                <w:szCs w:val="20"/>
              </w:rPr>
            </w:pPr>
          </w:p>
          <w:p w14:paraId="59196846" w14:textId="77777777" w:rsidR="007B55FA" w:rsidRPr="00040AA9" w:rsidRDefault="007B55FA" w:rsidP="00040AA9">
            <w:pPr>
              <w:suppressAutoHyphens/>
              <w:jc w:val="center"/>
              <w:rPr>
                <w:rFonts w:ascii="Arial" w:hAnsi="Arial" w:cs="Arial"/>
                <w:sz w:val="20"/>
                <w:szCs w:val="20"/>
              </w:rPr>
            </w:pPr>
          </w:p>
          <w:p w14:paraId="3EC21B5F" w14:textId="77777777" w:rsidR="007B55FA" w:rsidRPr="00040AA9" w:rsidRDefault="007B55FA" w:rsidP="00040AA9">
            <w:pPr>
              <w:suppressAutoHyphens/>
              <w:jc w:val="center"/>
              <w:rPr>
                <w:rFonts w:ascii="Arial" w:hAnsi="Arial" w:cs="Arial"/>
                <w:sz w:val="20"/>
                <w:szCs w:val="20"/>
              </w:rPr>
            </w:pPr>
          </w:p>
          <w:p w14:paraId="37A0F277" w14:textId="77777777" w:rsidR="007B55FA" w:rsidRPr="00040AA9" w:rsidRDefault="007B55FA" w:rsidP="00040AA9">
            <w:pPr>
              <w:suppressAutoHyphens/>
              <w:jc w:val="center"/>
              <w:rPr>
                <w:rFonts w:ascii="Arial" w:hAnsi="Arial" w:cs="Arial"/>
                <w:sz w:val="20"/>
                <w:szCs w:val="20"/>
              </w:rPr>
            </w:pPr>
          </w:p>
          <w:p w14:paraId="348288B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0EC47568" w14:textId="77777777" w:rsidR="007B55FA" w:rsidRPr="00040AA9" w:rsidRDefault="007B55FA" w:rsidP="00040AA9">
            <w:pPr>
              <w:suppressAutoHyphens/>
              <w:jc w:val="center"/>
              <w:rPr>
                <w:rFonts w:ascii="Arial" w:hAnsi="Arial" w:cs="Arial"/>
                <w:sz w:val="20"/>
                <w:szCs w:val="20"/>
              </w:rPr>
            </w:pPr>
          </w:p>
          <w:p w14:paraId="21D8D9D8" w14:textId="77777777" w:rsidR="007B55FA" w:rsidRPr="00040AA9" w:rsidRDefault="007B55FA" w:rsidP="00040AA9">
            <w:pPr>
              <w:suppressAutoHyphens/>
              <w:jc w:val="center"/>
              <w:rPr>
                <w:rFonts w:ascii="Arial" w:hAnsi="Arial" w:cs="Arial"/>
                <w:sz w:val="20"/>
                <w:szCs w:val="20"/>
              </w:rPr>
            </w:pPr>
          </w:p>
          <w:p w14:paraId="1729FCC0" w14:textId="77777777" w:rsidR="007B55FA" w:rsidRPr="00040AA9" w:rsidRDefault="007B55FA" w:rsidP="00040AA9">
            <w:pPr>
              <w:suppressAutoHyphens/>
              <w:jc w:val="center"/>
              <w:rPr>
                <w:rFonts w:ascii="Arial" w:hAnsi="Arial" w:cs="Arial"/>
                <w:sz w:val="20"/>
                <w:szCs w:val="20"/>
              </w:rPr>
            </w:pPr>
          </w:p>
          <w:p w14:paraId="40D21DF4" w14:textId="77777777" w:rsidR="007B55FA" w:rsidRPr="00040AA9" w:rsidRDefault="007B55FA" w:rsidP="00040AA9">
            <w:pPr>
              <w:suppressAutoHyphens/>
              <w:jc w:val="center"/>
              <w:rPr>
                <w:rFonts w:ascii="Arial" w:hAnsi="Arial" w:cs="Arial"/>
                <w:sz w:val="20"/>
                <w:szCs w:val="20"/>
              </w:rPr>
            </w:pPr>
          </w:p>
          <w:p w14:paraId="57D3E91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77A0F954" w14:textId="77777777" w:rsidR="007B55FA" w:rsidRPr="00040AA9" w:rsidRDefault="007B55FA" w:rsidP="00040AA9">
            <w:pPr>
              <w:suppressAutoHyphens/>
              <w:rPr>
                <w:rFonts w:ascii="Arial" w:hAnsi="Arial" w:cs="Arial"/>
                <w:sz w:val="20"/>
                <w:szCs w:val="20"/>
              </w:rPr>
            </w:pPr>
          </w:p>
          <w:p w14:paraId="758A08A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 xml:space="preserve">P </w:t>
            </w:r>
          </w:p>
        </w:tc>
        <w:tc>
          <w:tcPr>
            <w:tcW w:w="1003" w:type="dxa"/>
            <w:shd w:val="clear" w:color="auto" w:fill="auto"/>
          </w:tcPr>
          <w:p w14:paraId="4B7A88F8" w14:textId="77777777" w:rsidR="007B55FA" w:rsidRPr="00040AA9" w:rsidRDefault="007B55FA" w:rsidP="00040AA9">
            <w:pPr>
              <w:suppressAutoHyphens/>
              <w:jc w:val="center"/>
              <w:rPr>
                <w:rFonts w:ascii="Arial" w:hAnsi="Arial" w:cs="Arial"/>
                <w:sz w:val="20"/>
                <w:szCs w:val="20"/>
              </w:rPr>
            </w:pPr>
          </w:p>
          <w:p w14:paraId="36E562A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1906118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18DB7416" w14:textId="77777777" w:rsidR="007B55FA" w:rsidRPr="00040AA9" w:rsidRDefault="007B55FA" w:rsidP="00040AA9">
            <w:pPr>
              <w:keepNext/>
              <w:keepLines/>
              <w:widowControl w:val="0"/>
              <w:suppressAutoHyphens/>
              <w:jc w:val="center"/>
              <w:rPr>
                <w:rFonts w:ascii="Arial" w:hAnsi="Arial" w:cs="Arial"/>
                <w:sz w:val="20"/>
                <w:szCs w:val="20"/>
              </w:rPr>
            </w:pPr>
          </w:p>
          <w:p w14:paraId="36013620" w14:textId="77777777" w:rsidR="007B55FA" w:rsidRPr="00040AA9" w:rsidRDefault="007B55FA" w:rsidP="00040AA9">
            <w:pPr>
              <w:keepNext/>
              <w:keepLines/>
              <w:widowControl w:val="0"/>
              <w:suppressAutoHyphens/>
              <w:jc w:val="center"/>
              <w:rPr>
                <w:rFonts w:ascii="Arial" w:hAnsi="Arial" w:cs="Arial"/>
                <w:sz w:val="20"/>
                <w:szCs w:val="20"/>
              </w:rPr>
            </w:pPr>
          </w:p>
          <w:p w14:paraId="67864410" w14:textId="77777777" w:rsidR="007B55FA" w:rsidRPr="00040AA9" w:rsidRDefault="007B55FA" w:rsidP="00040AA9">
            <w:pPr>
              <w:keepNext/>
              <w:keepLines/>
              <w:widowControl w:val="0"/>
              <w:suppressAutoHyphens/>
              <w:jc w:val="center"/>
              <w:rPr>
                <w:rFonts w:ascii="Arial" w:hAnsi="Arial" w:cs="Arial"/>
                <w:sz w:val="20"/>
                <w:szCs w:val="20"/>
              </w:rPr>
            </w:pPr>
          </w:p>
          <w:p w14:paraId="24EDFCDF" w14:textId="77777777" w:rsidR="007B55FA" w:rsidRPr="00040AA9" w:rsidRDefault="007B55FA" w:rsidP="00040AA9">
            <w:pPr>
              <w:keepNext/>
              <w:keepLines/>
              <w:widowControl w:val="0"/>
              <w:suppressAutoHyphens/>
              <w:jc w:val="center"/>
              <w:rPr>
                <w:rFonts w:ascii="Arial" w:hAnsi="Arial" w:cs="Arial"/>
                <w:sz w:val="20"/>
                <w:szCs w:val="20"/>
              </w:rPr>
            </w:pPr>
          </w:p>
          <w:p w14:paraId="590AAF6E" w14:textId="77777777" w:rsidR="007B55FA" w:rsidRPr="00040AA9" w:rsidRDefault="007B55FA" w:rsidP="00040AA9">
            <w:pPr>
              <w:keepNext/>
              <w:keepLines/>
              <w:widowControl w:val="0"/>
              <w:suppressAutoHyphens/>
              <w:jc w:val="center"/>
              <w:rPr>
                <w:rFonts w:ascii="Arial" w:hAnsi="Arial" w:cs="Arial"/>
                <w:sz w:val="20"/>
                <w:szCs w:val="20"/>
              </w:rPr>
            </w:pPr>
          </w:p>
          <w:p w14:paraId="09F9068D" w14:textId="77777777" w:rsidR="007B55FA" w:rsidRPr="00040AA9" w:rsidRDefault="007B55FA" w:rsidP="00040AA9">
            <w:pPr>
              <w:keepNext/>
              <w:keepLines/>
              <w:widowControl w:val="0"/>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317CFECE" w14:textId="77777777" w:rsidR="007B55FA" w:rsidRPr="00040AA9" w:rsidRDefault="007B55FA" w:rsidP="00040AA9">
            <w:pPr>
              <w:keepNext/>
              <w:keepLines/>
              <w:widowControl w:val="0"/>
              <w:suppressAutoHyphens/>
              <w:rPr>
                <w:rFonts w:ascii="Arial" w:hAnsi="Arial" w:cs="Arial"/>
                <w:sz w:val="20"/>
                <w:szCs w:val="20"/>
              </w:rPr>
            </w:pPr>
            <w:r w:rsidRPr="00040AA9">
              <w:rPr>
                <w:rFonts w:ascii="Arial" w:hAnsi="Arial" w:cs="Arial"/>
                <w:sz w:val="20"/>
                <w:szCs w:val="20"/>
              </w:rPr>
              <w:t>Report on the current state of the hardware and software of the NIS and a proposal for the creation of an NIS Management Information System</w:t>
            </w:r>
          </w:p>
        </w:tc>
      </w:tr>
      <w:tr w:rsidR="007B55FA" w:rsidRPr="00CF5903" w14:paraId="29A5DDE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69C2D68D"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2ADC8A5"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FF75196"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E01B3D9"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25D42D4"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0ED9A54C"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4EA705C3" w14:textId="77777777" w:rsidR="007B55FA" w:rsidRPr="00040AA9" w:rsidRDefault="007B55FA" w:rsidP="00040AA9">
            <w:pPr>
              <w:keepNext/>
              <w:keepLines/>
              <w:widowControl w:val="0"/>
              <w:suppressAutoHyphens/>
              <w:jc w:val="center"/>
              <w:rPr>
                <w:rFonts w:ascii="Arial" w:hAnsi="Arial" w:cs="Arial"/>
                <w:sz w:val="20"/>
                <w:szCs w:val="20"/>
              </w:rPr>
            </w:pPr>
          </w:p>
        </w:tc>
        <w:tc>
          <w:tcPr>
            <w:tcW w:w="5027" w:type="dxa"/>
            <w:shd w:val="clear" w:color="auto" w:fill="auto"/>
          </w:tcPr>
          <w:p w14:paraId="7894E9AC" w14:textId="77777777" w:rsidR="007B55FA" w:rsidRPr="00040AA9" w:rsidRDefault="007B55FA" w:rsidP="00040AA9">
            <w:pPr>
              <w:keepNext/>
              <w:keepLines/>
              <w:widowControl w:val="0"/>
              <w:suppressAutoHyphens/>
              <w:rPr>
                <w:rFonts w:ascii="Arial" w:hAnsi="Arial" w:cs="Arial"/>
                <w:sz w:val="20"/>
                <w:szCs w:val="20"/>
              </w:rPr>
            </w:pPr>
          </w:p>
        </w:tc>
      </w:tr>
      <w:tr w:rsidR="007B55FA" w:rsidRPr="00CF5903" w14:paraId="7FAD3D4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30"/>
          <w:jc w:val="center"/>
        </w:trPr>
        <w:tc>
          <w:tcPr>
            <w:tcW w:w="2556" w:type="dxa"/>
            <w:vMerge/>
            <w:shd w:val="clear" w:color="auto" w:fill="auto"/>
            <w:hideMark/>
          </w:tcPr>
          <w:p w14:paraId="5B3E6DF6"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050D530F"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B380E02"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07E5F55"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6B1C1C6A" w14:textId="77777777" w:rsidR="007B55FA" w:rsidRPr="00040AA9" w:rsidRDefault="007B55FA" w:rsidP="00040AA9">
            <w:pPr>
              <w:suppressAutoHyphens/>
              <w:rPr>
                <w:rFonts w:ascii="Arial" w:hAnsi="Arial" w:cs="Arial"/>
                <w:sz w:val="20"/>
                <w:szCs w:val="20"/>
              </w:rPr>
            </w:pPr>
          </w:p>
          <w:p w14:paraId="307AF4DC" w14:textId="77777777" w:rsidR="007B55FA" w:rsidRPr="00040AA9" w:rsidRDefault="007B55FA" w:rsidP="00040AA9">
            <w:pPr>
              <w:suppressAutoHyphens/>
              <w:rPr>
                <w:rFonts w:ascii="Arial" w:hAnsi="Arial" w:cs="Arial"/>
                <w:sz w:val="20"/>
                <w:szCs w:val="20"/>
              </w:rPr>
            </w:pPr>
          </w:p>
          <w:p w14:paraId="78107A8E" w14:textId="77777777" w:rsidR="007B55FA" w:rsidRPr="00040AA9" w:rsidRDefault="007B55FA" w:rsidP="00040AA9">
            <w:pPr>
              <w:suppressAutoHyphens/>
              <w:rPr>
                <w:rFonts w:ascii="Arial" w:hAnsi="Arial" w:cs="Arial"/>
                <w:sz w:val="20"/>
                <w:szCs w:val="20"/>
              </w:rPr>
            </w:pPr>
          </w:p>
          <w:p w14:paraId="2B3A833D" w14:textId="77777777" w:rsidR="007B55FA" w:rsidRPr="00040AA9" w:rsidRDefault="007B55FA" w:rsidP="00040AA9">
            <w:pPr>
              <w:suppressAutoHyphens/>
              <w:rPr>
                <w:rFonts w:ascii="Arial" w:hAnsi="Arial" w:cs="Arial"/>
                <w:sz w:val="20"/>
                <w:szCs w:val="20"/>
              </w:rPr>
            </w:pPr>
          </w:p>
          <w:p w14:paraId="7EC9732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A</w:t>
            </w:r>
          </w:p>
        </w:tc>
        <w:tc>
          <w:tcPr>
            <w:tcW w:w="1003" w:type="dxa"/>
            <w:shd w:val="clear" w:color="auto" w:fill="auto"/>
          </w:tcPr>
          <w:p w14:paraId="1152AD21" w14:textId="77777777" w:rsidR="007B55FA" w:rsidRPr="00040AA9" w:rsidRDefault="007B55FA" w:rsidP="00040AA9">
            <w:pPr>
              <w:suppressAutoHyphens/>
              <w:jc w:val="center"/>
              <w:rPr>
                <w:rFonts w:ascii="Arial" w:hAnsi="Arial" w:cs="Arial"/>
                <w:sz w:val="20"/>
                <w:szCs w:val="20"/>
              </w:rPr>
            </w:pPr>
          </w:p>
          <w:p w14:paraId="2BC89372" w14:textId="77777777" w:rsidR="007B55FA" w:rsidRPr="00040AA9" w:rsidRDefault="007B55FA" w:rsidP="00040AA9">
            <w:pPr>
              <w:suppressAutoHyphens/>
              <w:jc w:val="center"/>
              <w:rPr>
                <w:rFonts w:ascii="Arial" w:hAnsi="Arial" w:cs="Arial"/>
                <w:sz w:val="20"/>
                <w:szCs w:val="20"/>
              </w:rPr>
            </w:pPr>
          </w:p>
          <w:p w14:paraId="48CD48B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66A84B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(Jan. 2014)</w:t>
            </w:r>
          </w:p>
        </w:tc>
        <w:tc>
          <w:tcPr>
            <w:tcW w:w="1106" w:type="dxa"/>
            <w:vMerge/>
            <w:shd w:val="clear" w:color="auto" w:fill="auto"/>
            <w:hideMark/>
          </w:tcPr>
          <w:p w14:paraId="3F7164B3" w14:textId="77777777" w:rsidR="007B55FA" w:rsidRPr="00040AA9" w:rsidRDefault="007B55FA" w:rsidP="00040AA9">
            <w:pPr>
              <w:keepNext/>
              <w:keepLines/>
              <w:widowControl w:val="0"/>
              <w:suppressAutoHyphens/>
              <w:jc w:val="center"/>
              <w:rPr>
                <w:rFonts w:ascii="Arial" w:hAnsi="Arial" w:cs="Arial"/>
                <w:sz w:val="20"/>
                <w:szCs w:val="20"/>
              </w:rPr>
            </w:pPr>
          </w:p>
        </w:tc>
        <w:tc>
          <w:tcPr>
            <w:tcW w:w="5027" w:type="dxa"/>
            <w:shd w:val="clear" w:color="auto" w:fill="auto"/>
          </w:tcPr>
          <w:p w14:paraId="7C30FE2A" w14:textId="2B3076B0" w:rsidR="007B55FA" w:rsidRPr="00CF5903" w:rsidRDefault="007B55FA" w:rsidP="00040AA9">
            <w:pPr>
              <w:pStyle w:val="p1"/>
              <w:keepNext/>
              <w:keepLines/>
              <w:widowControl w:val="0"/>
              <w:suppressAutoHyphens/>
              <w:rPr>
                <w:rFonts w:ascii="Arial" w:hAnsi="Arial" w:cs="Arial"/>
                <w:sz w:val="20"/>
                <w:szCs w:val="20"/>
              </w:rPr>
            </w:pPr>
            <w:r w:rsidRPr="00CF5903">
              <w:rPr>
                <w:rFonts w:ascii="Arial" w:hAnsi="Arial" w:cs="Arial"/>
                <w:sz w:val="20"/>
                <w:szCs w:val="20"/>
              </w:rPr>
              <w:t>Official letter from PS / MLSS to Bank dated Jan. 3, 2014 certifying compliance with section 2.03(h) of the FISPEG I loan contract by way of transmitting copy of the assessment of the NIS hardware and software and the proposal for a DMIS.</w:t>
            </w:r>
            <w:r w:rsidRPr="00CF5903">
              <w:rPr>
                <w:rStyle w:val="FootnoteReference"/>
                <w:rFonts w:ascii="Arial" w:hAnsi="Arial" w:cs="Arial"/>
                <w:sz w:val="20"/>
                <w:szCs w:val="20"/>
              </w:rPr>
              <w:footnoteReference w:id="136"/>
            </w:r>
          </w:p>
        </w:tc>
      </w:tr>
      <w:tr w:rsidR="007B55FA" w:rsidRPr="00CF5903" w14:paraId="75795273"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34142874"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IV.3.2</w:t>
            </w:r>
          </w:p>
          <w:p w14:paraId="0460C06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Report assessing the progress of the implementation of the hardware and software for the creation of the specified NIS-MIS prepared, reviewed and approved by the government.</w:t>
            </w:r>
          </w:p>
          <w:p w14:paraId="0EC14C11"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(FSPG II – product 4.3,</w:t>
            </w:r>
          </w:p>
          <w:p w14:paraId="288FE13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contract section 2.03.III.(e))</w:t>
            </w:r>
          </w:p>
        </w:tc>
        <w:tc>
          <w:tcPr>
            <w:tcW w:w="860" w:type="dxa"/>
            <w:vMerge w:val="restart"/>
            <w:shd w:val="clear" w:color="auto" w:fill="auto"/>
          </w:tcPr>
          <w:p w14:paraId="32BF1DC5" w14:textId="77777777" w:rsidR="007B55FA" w:rsidRPr="00040AA9" w:rsidRDefault="007B55FA" w:rsidP="00040AA9">
            <w:pPr>
              <w:suppressAutoHyphens/>
              <w:jc w:val="center"/>
              <w:rPr>
                <w:rFonts w:ascii="Arial" w:hAnsi="Arial" w:cs="Arial"/>
                <w:sz w:val="20"/>
                <w:szCs w:val="20"/>
              </w:rPr>
            </w:pPr>
          </w:p>
          <w:p w14:paraId="68E5E9E7" w14:textId="77777777" w:rsidR="007B55FA" w:rsidRPr="00040AA9" w:rsidRDefault="007B55FA" w:rsidP="00040AA9">
            <w:pPr>
              <w:suppressAutoHyphens/>
              <w:jc w:val="center"/>
              <w:rPr>
                <w:rFonts w:ascii="Arial" w:hAnsi="Arial" w:cs="Arial"/>
                <w:sz w:val="20"/>
                <w:szCs w:val="20"/>
              </w:rPr>
            </w:pPr>
          </w:p>
          <w:p w14:paraId="574B2CDE" w14:textId="77777777" w:rsidR="007B55FA" w:rsidRPr="00040AA9" w:rsidRDefault="007B55FA" w:rsidP="00040AA9">
            <w:pPr>
              <w:suppressAutoHyphens/>
              <w:jc w:val="center"/>
              <w:rPr>
                <w:rFonts w:ascii="Arial" w:hAnsi="Arial" w:cs="Arial"/>
                <w:sz w:val="20"/>
                <w:szCs w:val="20"/>
              </w:rPr>
            </w:pPr>
          </w:p>
          <w:p w14:paraId="7A05145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Report</w:t>
            </w:r>
          </w:p>
        </w:tc>
        <w:tc>
          <w:tcPr>
            <w:tcW w:w="774" w:type="dxa"/>
            <w:vMerge w:val="restart"/>
            <w:shd w:val="clear" w:color="auto" w:fill="auto"/>
          </w:tcPr>
          <w:p w14:paraId="2FEA49B0" w14:textId="77777777" w:rsidR="007B55FA" w:rsidRPr="00040AA9" w:rsidRDefault="007B55FA" w:rsidP="00040AA9">
            <w:pPr>
              <w:suppressAutoHyphens/>
              <w:jc w:val="center"/>
              <w:rPr>
                <w:rFonts w:ascii="Arial" w:hAnsi="Arial" w:cs="Arial"/>
                <w:sz w:val="20"/>
                <w:szCs w:val="20"/>
              </w:rPr>
            </w:pPr>
          </w:p>
          <w:p w14:paraId="4A19B6FC" w14:textId="77777777" w:rsidR="007B55FA" w:rsidRPr="00040AA9" w:rsidRDefault="007B55FA" w:rsidP="00040AA9">
            <w:pPr>
              <w:suppressAutoHyphens/>
              <w:jc w:val="center"/>
              <w:rPr>
                <w:rFonts w:ascii="Arial" w:hAnsi="Arial" w:cs="Arial"/>
                <w:sz w:val="20"/>
                <w:szCs w:val="20"/>
              </w:rPr>
            </w:pPr>
          </w:p>
          <w:p w14:paraId="578DB76A" w14:textId="77777777" w:rsidR="007B55FA" w:rsidRPr="00040AA9" w:rsidRDefault="007B55FA" w:rsidP="00040AA9">
            <w:pPr>
              <w:suppressAutoHyphens/>
              <w:jc w:val="center"/>
              <w:rPr>
                <w:rFonts w:ascii="Arial" w:hAnsi="Arial" w:cs="Arial"/>
                <w:sz w:val="20"/>
                <w:szCs w:val="20"/>
              </w:rPr>
            </w:pPr>
          </w:p>
          <w:p w14:paraId="72C23D7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0BDD867" w14:textId="77777777" w:rsidR="007B55FA" w:rsidRPr="00040AA9" w:rsidRDefault="007B55FA" w:rsidP="00040AA9">
            <w:pPr>
              <w:suppressAutoHyphens/>
              <w:jc w:val="center"/>
              <w:rPr>
                <w:rFonts w:ascii="Arial" w:hAnsi="Arial" w:cs="Arial"/>
                <w:sz w:val="20"/>
                <w:szCs w:val="20"/>
              </w:rPr>
            </w:pPr>
          </w:p>
          <w:p w14:paraId="2E23A1CA" w14:textId="77777777" w:rsidR="007B55FA" w:rsidRPr="00040AA9" w:rsidRDefault="007B55FA" w:rsidP="00040AA9">
            <w:pPr>
              <w:suppressAutoHyphens/>
              <w:jc w:val="center"/>
              <w:rPr>
                <w:rFonts w:ascii="Arial" w:hAnsi="Arial" w:cs="Arial"/>
                <w:sz w:val="20"/>
                <w:szCs w:val="20"/>
              </w:rPr>
            </w:pPr>
          </w:p>
          <w:p w14:paraId="280288F8" w14:textId="77777777" w:rsidR="007B55FA" w:rsidRPr="00040AA9" w:rsidRDefault="007B55FA" w:rsidP="00040AA9">
            <w:pPr>
              <w:suppressAutoHyphens/>
              <w:jc w:val="center"/>
              <w:rPr>
                <w:rFonts w:ascii="Arial" w:hAnsi="Arial" w:cs="Arial"/>
                <w:sz w:val="20"/>
                <w:szCs w:val="20"/>
              </w:rPr>
            </w:pPr>
          </w:p>
          <w:p w14:paraId="044D499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40DFCBB" w14:textId="77777777" w:rsidR="007B55FA" w:rsidRPr="00040AA9" w:rsidRDefault="007B55FA" w:rsidP="00040AA9">
            <w:pPr>
              <w:suppressAutoHyphens/>
              <w:rPr>
                <w:rFonts w:ascii="Arial" w:hAnsi="Arial" w:cs="Arial"/>
                <w:sz w:val="20"/>
                <w:szCs w:val="20"/>
              </w:rPr>
            </w:pPr>
          </w:p>
          <w:p w14:paraId="47A54C9A" w14:textId="77777777" w:rsidR="007B55FA" w:rsidRPr="00040AA9" w:rsidRDefault="007B55FA" w:rsidP="00040AA9">
            <w:pPr>
              <w:suppressAutoHyphens/>
              <w:rPr>
                <w:rFonts w:ascii="Arial" w:hAnsi="Arial" w:cs="Arial"/>
                <w:sz w:val="20"/>
                <w:szCs w:val="20"/>
              </w:rPr>
            </w:pPr>
          </w:p>
          <w:p w14:paraId="2B789267" w14:textId="77777777" w:rsidR="007B55FA" w:rsidRPr="00040AA9" w:rsidRDefault="007B55FA" w:rsidP="00040AA9">
            <w:pPr>
              <w:suppressAutoHyphens/>
              <w:rPr>
                <w:rFonts w:ascii="Arial" w:hAnsi="Arial" w:cs="Arial"/>
                <w:sz w:val="20"/>
                <w:szCs w:val="20"/>
              </w:rPr>
            </w:pPr>
          </w:p>
          <w:p w14:paraId="4B9546D2"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w:t>
            </w:r>
          </w:p>
        </w:tc>
        <w:tc>
          <w:tcPr>
            <w:tcW w:w="1003" w:type="dxa"/>
            <w:shd w:val="clear" w:color="auto" w:fill="auto"/>
          </w:tcPr>
          <w:p w14:paraId="38CAB21E" w14:textId="77777777" w:rsidR="007B55FA" w:rsidRPr="00040AA9" w:rsidRDefault="007B55FA" w:rsidP="00040AA9">
            <w:pPr>
              <w:suppressAutoHyphens/>
              <w:jc w:val="center"/>
              <w:rPr>
                <w:rFonts w:ascii="Arial" w:hAnsi="Arial" w:cs="Arial"/>
                <w:sz w:val="20"/>
                <w:szCs w:val="20"/>
              </w:rPr>
            </w:pPr>
          </w:p>
          <w:p w14:paraId="531FFBD8" w14:textId="77777777" w:rsidR="007B55FA" w:rsidRPr="00040AA9" w:rsidRDefault="007B55FA" w:rsidP="00040AA9">
            <w:pPr>
              <w:suppressAutoHyphens/>
              <w:jc w:val="center"/>
              <w:rPr>
                <w:rFonts w:ascii="Arial" w:hAnsi="Arial" w:cs="Arial"/>
                <w:sz w:val="20"/>
                <w:szCs w:val="20"/>
              </w:rPr>
            </w:pPr>
          </w:p>
          <w:p w14:paraId="0D0D6A3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56B12E5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tc>
        <w:tc>
          <w:tcPr>
            <w:tcW w:w="1106" w:type="dxa"/>
            <w:vMerge w:val="restart"/>
            <w:shd w:val="clear" w:color="auto" w:fill="auto"/>
          </w:tcPr>
          <w:p w14:paraId="664B1EA3" w14:textId="77777777" w:rsidR="007B55FA" w:rsidRPr="00040AA9" w:rsidRDefault="007B55FA" w:rsidP="00040AA9">
            <w:pPr>
              <w:suppressAutoHyphens/>
              <w:rPr>
                <w:rFonts w:ascii="Arial" w:hAnsi="Arial" w:cs="Arial"/>
                <w:sz w:val="20"/>
                <w:szCs w:val="20"/>
              </w:rPr>
            </w:pPr>
          </w:p>
          <w:p w14:paraId="6AE3300C" w14:textId="77777777" w:rsidR="007B55FA" w:rsidRPr="00040AA9" w:rsidRDefault="007B55FA" w:rsidP="00040AA9">
            <w:pPr>
              <w:suppressAutoHyphens/>
              <w:rPr>
                <w:rFonts w:ascii="Arial" w:hAnsi="Arial" w:cs="Arial"/>
                <w:sz w:val="20"/>
                <w:szCs w:val="20"/>
              </w:rPr>
            </w:pPr>
          </w:p>
          <w:p w14:paraId="28B73E96" w14:textId="77777777" w:rsidR="007B55FA" w:rsidRPr="00040AA9" w:rsidRDefault="007B55FA" w:rsidP="00040AA9">
            <w:pPr>
              <w:suppressAutoHyphens/>
              <w:rPr>
                <w:rFonts w:ascii="Arial" w:hAnsi="Arial" w:cs="Arial"/>
                <w:sz w:val="20"/>
                <w:szCs w:val="20"/>
              </w:rPr>
            </w:pPr>
          </w:p>
          <w:p w14:paraId="18E8CEA5" w14:textId="77777777" w:rsidR="007B55FA" w:rsidRPr="00040AA9" w:rsidRDefault="007B55FA" w:rsidP="00040AA9">
            <w:pPr>
              <w:suppressAutoHyphens/>
              <w:rPr>
                <w:rFonts w:ascii="Arial" w:hAnsi="Arial" w:cs="Arial"/>
                <w:sz w:val="20"/>
                <w:szCs w:val="20"/>
              </w:rPr>
            </w:pPr>
          </w:p>
          <w:p w14:paraId="364C54BA" w14:textId="77777777" w:rsidR="007B55FA" w:rsidRPr="00040AA9" w:rsidRDefault="007B55FA" w:rsidP="00040AA9">
            <w:pPr>
              <w:suppressAutoHyphens/>
              <w:rPr>
                <w:rFonts w:ascii="Arial" w:hAnsi="Arial" w:cs="Arial"/>
                <w:sz w:val="20"/>
                <w:szCs w:val="20"/>
              </w:rPr>
            </w:pPr>
          </w:p>
          <w:p w14:paraId="295B33AC" w14:textId="77777777" w:rsidR="007B55FA" w:rsidRPr="00040AA9" w:rsidRDefault="007B55FA" w:rsidP="00040AA9">
            <w:pPr>
              <w:suppressAutoHyphens/>
              <w:rPr>
                <w:rFonts w:ascii="Arial" w:hAnsi="Arial" w:cs="Arial"/>
                <w:sz w:val="20"/>
                <w:szCs w:val="20"/>
              </w:rPr>
            </w:pPr>
          </w:p>
          <w:p w14:paraId="2ADA07A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0963838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PS of the Ministry of Labor and Social Security (MLSS) attaching the copy the approved proposal for the creation of an NIS Management Information System (MIS).</w:t>
            </w:r>
          </w:p>
        </w:tc>
      </w:tr>
      <w:tr w:rsidR="007B55FA" w:rsidRPr="00CF5903" w14:paraId="5506815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4A5CF160"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6AA4C36B"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4DE9CE0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1D9149BF"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69C6D324"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P(a)</w:t>
            </w:r>
          </w:p>
        </w:tc>
        <w:tc>
          <w:tcPr>
            <w:tcW w:w="1003" w:type="dxa"/>
            <w:shd w:val="clear" w:color="auto" w:fill="auto"/>
          </w:tcPr>
          <w:p w14:paraId="0B9EF31C"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BE12347"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37135E25" w14:textId="77777777" w:rsidR="007B55FA" w:rsidRPr="00040AA9" w:rsidRDefault="007B55FA" w:rsidP="00040AA9">
            <w:pPr>
              <w:suppressAutoHyphens/>
              <w:rPr>
                <w:rFonts w:ascii="Arial" w:hAnsi="Arial" w:cs="Arial"/>
                <w:sz w:val="20"/>
                <w:szCs w:val="20"/>
              </w:rPr>
            </w:pPr>
          </w:p>
        </w:tc>
      </w:tr>
      <w:tr w:rsidR="007B55FA" w:rsidRPr="00CF5903" w14:paraId="3CBC629F"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759DCCFC"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1CDD795"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10D448AC"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3AF4A449"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64F4807" w14:textId="77777777" w:rsidR="007B55FA" w:rsidRPr="00040AA9" w:rsidRDefault="007B55FA" w:rsidP="00040AA9">
            <w:pPr>
              <w:suppressAutoHyphens/>
              <w:jc w:val="center"/>
              <w:rPr>
                <w:rFonts w:ascii="Arial" w:hAnsi="Arial" w:cs="Arial"/>
                <w:sz w:val="20"/>
                <w:szCs w:val="20"/>
              </w:rPr>
            </w:pPr>
          </w:p>
          <w:p w14:paraId="3A8B27A2" w14:textId="77777777" w:rsidR="007B55FA" w:rsidRPr="00040AA9" w:rsidRDefault="007B55FA" w:rsidP="00040AA9">
            <w:pPr>
              <w:suppressAutoHyphens/>
              <w:jc w:val="center"/>
              <w:rPr>
                <w:rFonts w:ascii="Arial" w:hAnsi="Arial" w:cs="Arial"/>
                <w:sz w:val="20"/>
                <w:szCs w:val="20"/>
              </w:rPr>
            </w:pPr>
          </w:p>
          <w:p w14:paraId="077C4BB2" w14:textId="77777777" w:rsidR="007B55FA" w:rsidRPr="00040AA9" w:rsidRDefault="007B55FA" w:rsidP="00040AA9">
            <w:pPr>
              <w:suppressAutoHyphens/>
              <w:jc w:val="center"/>
              <w:rPr>
                <w:rFonts w:ascii="Arial" w:hAnsi="Arial" w:cs="Arial"/>
                <w:sz w:val="20"/>
                <w:szCs w:val="20"/>
              </w:rPr>
            </w:pPr>
          </w:p>
          <w:p w14:paraId="467096F9" w14:textId="77777777" w:rsidR="007B55FA" w:rsidRPr="00040AA9" w:rsidRDefault="007B55FA" w:rsidP="00040AA9">
            <w:pPr>
              <w:suppressAutoHyphens/>
              <w:jc w:val="center"/>
              <w:rPr>
                <w:rFonts w:ascii="Arial" w:hAnsi="Arial" w:cs="Arial"/>
                <w:sz w:val="20"/>
                <w:szCs w:val="20"/>
              </w:rPr>
            </w:pPr>
          </w:p>
          <w:p w14:paraId="685CA7D8"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459FFE0F" w14:textId="77777777" w:rsidR="007B55FA" w:rsidRPr="00040AA9" w:rsidRDefault="007B55FA" w:rsidP="00040AA9">
            <w:pPr>
              <w:suppressAutoHyphens/>
              <w:jc w:val="center"/>
              <w:rPr>
                <w:rFonts w:ascii="Arial" w:hAnsi="Arial" w:cs="Arial"/>
                <w:sz w:val="20"/>
                <w:szCs w:val="20"/>
              </w:rPr>
            </w:pPr>
          </w:p>
          <w:p w14:paraId="25E25134" w14:textId="77777777" w:rsidR="007B55FA" w:rsidRPr="00040AA9" w:rsidRDefault="007B55FA" w:rsidP="00040AA9">
            <w:pPr>
              <w:suppressAutoHyphens/>
              <w:jc w:val="center"/>
              <w:rPr>
                <w:rFonts w:ascii="Arial" w:hAnsi="Arial" w:cs="Arial"/>
                <w:sz w:val="20"/>
                <w:szCs w:val="20"/>
              </w:rPr>
            </w:pPr>
          </w:p>
          <w:p w14:paraId="765203DD" w14:textId="77777777" w:rsidR="007B55FA" w:rsidRPr="00040AA9" w:rsidRDefault="007B55FA" w:rsidP="00040AA9">
            <w:pPr>
              <w:suppressAutoHyphens/>
              <w:jc w:val="center"/>
              <w:rPr>
                <w:rFonts w:ascii="Arial" w:hAnsi="Arial" w:cs="Arial"/>
                <w:sz w:val="20"/>
                <w:szCs w:val="20"/>
              </w:rPr>
            </w:pPr>
          </w:p>
          <w:p w14:paraId="436B3C88" w14:textId="77777777" w:rsidR="007B55FA" w:rsidRPr="00040AA9" w:rsidRDefault="007B55FA" w:rsidP="00040AA9">
            <w:pPr>
              <w:suppressAutoHyphens/>
              <w:jc w:val="center"/>
              <w:rPr>
                <w:rFonts w:ascii="Arial" w:hAnsi="Arial" w:cs="Arial"/>
                <w:sz w:val="20"/>
                <w:szCs w:val="20"/>
              </w:rPr>
            </w:pPr>
          </w:p>
          <w:p w14:paraId="03FE020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29F969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(March 2015)</w:t>
            </w:r>
          </w:p>
        </w:tc>
        <w:tc>
          <w:tcPr>
            <w:tcW w:w="1106" w:type="dxa"/>
            <w:vMerge/>
            <w:shd w:val="clear" w:color="auto" w:fill="auto"/>
            <w:hideMark/>
          </w:tcPr>
          <w:p w14:paraId="7F61CBFD" w14:textId="77777777" w:rsidR="007B55FA" w:rsidRPr="00040AA9" w:rsidRDefault="007B55FA" w:rsidP="00040AA9">
            <w:pPr>
              <w:suppressAutoHyphens/>
              <w:jc w:val="center"/>
              <w:rPr>
                <w:rFonts w:ascii="Arial" w:hAnsi="Arial" w:cs="Arial"/>
                <w:sz w:val="20"/>
                <w:szCs w:val="20"/>
              </w:rPr>
            </w:pPr>
          </w:p>
        </w:tc>
        <w:tc>
          <w:tcPr>
            <w:tcW w:w="5027" w:type="dxa"/>
            <w:shd w:val="clear" w:color="auto" w:fill="auto"/>
          </w:tcPr>
          <w:p w14:paraId="65DBA9A3" w14:textId="4966610F"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PS/MLSS to bank dated March 26, 2015 certifying compliance with section 2.03.III.(e) of the FISPEG II loan contract by way of attaching a copy of the approved T</w:t>
            </w:r>
            <w:r w:rsidR="00E12728">
              <w:rPr>
                <w:rFonts w:ascii="Arial" w:hAnsi="Arial" w:cs="Arial"/>
                <w:sz w:val="20"/>
                <w:szCs w:val="20"/>
              </w:rPr>
              <w:t xml:space="preserve">erms of Reference </w:t>
            </w:r>
            <w:r w:rsidRPr="00040AA9">
              <w:rPr>
                <w:rFonts w:ascii="Arial" w:hAnsi="Arial" w:cs="Arial"/>
                <w:sz w:val="20"/>
                <w:szCs w:val="20"/>
              </w:rPr>
              <w:t>for the Jamaica National Insurance Software System.</w:t>
            </w:r>
            <w:r w:rsidRPr="00040AA9">
              <w:rPr>
                <w:rStyle w:val="FootnoteReference"/>
                <w:rFonts w:ascii="Arial" w:hAnsi="Arial" w:cs="Arial"/>
                <w:sz w:val="20"/>
                <w:szCs w:val="20"/>
              </w:rPr>
              <w:footnoteReference w:id="137"/>
            </w:r>
            <w:r w:rsidRPr="00040AA9">
              <w:rPr>
                <w:rFonts w:ascii="Arial" w:hAnsi="Arial" w:cs="Arial"/>
                <w:sz w:val="20"/>
                <w:szCs w:val="20"/>
              </w:rPr>
              <w:t xml:space="preserve"> </w:t>
            </w:r>
          </w:p>
        </w:tc>
      </w:tr>
      <w:tr w:rsidR="007B55FA" w:rsidRPr="00CF5903" w14:paraId="509A974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220365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IV.3.3</w:t>
            </w:r>
          </w:p>
          <w:p w14:paraId="48D28E5D" w14:textId="77A65ED4"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Key modules of the NIS</w:t>
            </w:r>
            <w:r w:rsidRPr="00040AA9">
              <w:rPr>
                <w:rFonts w:ascii="Arial" w:hAnsi="Arial" w:cs="Arial"/>
                <w:sz w:val="20"/>
                <w:szCs w:val="20"/>
                <w:lang w:val="en-GB"/>
              </w:rPr>
              <w:noBreakHyphen/>
              <w:t xml:space="preserve">MIS system </w:t>
            </w:r>
            <w:r w:rsidR="00167DE5" w:rsidRPr="00CF5903">
              <w:rPr>
                <w:rFonts w:ascii="Arial" w:hAnsi="Arial" w:cs="Arial"/>
                <w:sz w:val="20"/>
                <w:szCs w:val="20"/>
                <w:lang w:val="en-GB"/>
              </w:rPr>
              <w:t>is</w:t>
            </w:r>
            <w:r w:rsidRPr="00040AA9">
              <w:rPr>
                <w:rFonts w:ascii="Arial" w:hAnsi="Arial" w:cs="Arial"/>
                <w:sz w:val="20"/>
                <w:szCs w:val="20"/>
                <w:lang w:val="en-GB"/>
              </w:rPr>
              <w:t xml:space="preserve"> operational </w:t>
            </w:r>
          </w:p>
          <w:p w14:paraId="50AC53EF"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III – </w:t>
            </w:r>
            <w:r w:rsidRPr="00040AA9">
              <w:rPr>
                <w:rFonts w:ascii="Arial" w:hAnsi="Arial" w:cs="Arial"/>
                <w:sz w:val="20"/>
                <w:szCs w:val="20"/>
              </w:rPr>
              <w:t>product</w:t>
            </w:r>
            <w:r w:rsidRPr="00040AA9">
              <w:rPr>
                <w:rFonts w:ascii="Arial" w:hAnsi="Arial" w:cs="Arial"/>
                <w:sz w:val="20"/>
                <w:szCs w:val="20"/>
                <w:lang w:val="en-GB"/>
              </w:rPr>
              <w:t xml:space="preserve"> 4.5,</w:t>
            </w:r>
          </w:p>
          <w:p w14:paraId="7E1CE2F8"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contract section 2.03.III.(c))</w:t>
            </w:r>
          </w:p>
        </w:tc>
        <w:tc>
          <w:tcPr>
            <w:tcW w:w="860" w:type="dxa"/>
            <w:vMerge w:val="restart"/>
            <w:shd w:val="clear" w:color="auto" w:fill="auto"/>
          </w:tcPr>
          <w:p w14:paraId="353C3A8E" w14:textId="77777777" w:rsidR="007B55FA" w:rsidRPr="00040AA9" w:rsidRDefault="007B55FA" w:rsidP="00040AA9">
            <w:pPr>
              <w:suppressAutoHyphens/>
              <w:jc w:val="center"/>
              <w:rPr>
                <w:rFonts w:ascii="Arial" w:hAnsi="Arial" w:cs="Arial"/>
                <w:sz w:val="20"/>
                <w:szCs w:val="20"/>
              </w:rPr>
            </w:pPr>
          </w:p>
          <w:p w14:paraId="629F3A2B" w14:textId="77777777" w:rsidR="007B55FA" w:rsidRPr="00040AA9" w:rsidRDefault="007B55FA" w:rsidP="00040AA9">
            <w:pPr>
              <w:suppressAutoHyphens/>
              <w:jc w:val="center"/>
              <w:rPr>
                <w:rFonts w:ascii="Arial" w:hAnsi="Arial" w:cs="Arial"/>
                <w:sz w:val="20"/>
                <w:szCs w:val="20"/>
              </w:rPr>
            </w:pPr>
          </w:p>
          <w:p w14:paraId="118762A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System</w:t>
            </w:r>
          </w:p>
        </w:tc>
        <w:tc>
          <w:tcPr>
            <w:tcW w:w="774" w:type="dxa"/>
            <w:vMerge w:val="restart"/>
            <w:shd w:val="clear" w:color="auto" w:fill="auto"/>
          </w:tcPr>
          <w:p w14:paraId="11DFA09E" w14:textId="77777777" w:rsidR="007B55FA" w:rsidRPr="00040AA9" w:rsidRDefault="007B55FA" w:rsidP="00040AA9">
            <w:pPr>
              <w:suppressAutoHyphens/>
              <w:jc w:val="center"/>
              <w:rPr>
                <w:rFonts w:ascii="Arial" w:hAnsi="Arial" w:cs="Arial"/>
                <w:sz w:val="20"/>
                <w:szCs w:val="20"/>
              </w:rPr>
            </w:pPr>
          </w:p>
          <w:p w14:paraId="4B2196FA" w14:textId="77777777" w:rsidR="007B55FA" w:rsidRPr="00040AA9" w:rsidRDefault="007B55FA" w:rsidP="00040AA9">
            <w:pPr>
              <w:suppressAutoHyphens/>
              <w:jc w:val="center"/>
              <w:rPr>
                <w:rFonts w:ascii="Arial" w:hAnsi="Arial" w:cs="Arial"/>
                <w:sz w:val="20"/>
                <w:szCs w:val="20"/>
              </w:rPr>
            </w:pPr>
          </w:p>
          <w:p w14:paraId="62A9DCE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98C227F" w14:textId="77777777" w:rsidR="007B55FA" w:rsidRPr="00040AA9" w:rsidRDefault="007B55FA" w:rsidP="00040AA9">
            <w:pPr>
              <w:suppressAutoHyphens/>
              <w:jc w:val="center"/>
              <w:rPr>
                <w:rFonts w:ascii="Arial" w:hAnsi="Arial" w:cs="Arial"/>
                <w:sz w:val="20"/>
                <w:szCs w:val="20"/>
              </w:rPr>
            </w:pPr>
          </w:p>
          <w:p w14:paraId="00142BCC" w14:textId="77777777" w:rsidR="007B55FA" w:rsidRPr="00040AA9" w:rsidRDefault="007B55FA" w:rsidP="00040AA9">
            <w:pPr>
              <w:suppressAutoHyphens/>
              <w:jc w:val="center"/>
              <w:rPr>
                <w:rFonts w:ascii="Arial" w:hAnsi="Arial" w:cs="Arial"/>
                <w:sz w:val="20"/>
                <w:szCs w:val="20"/>
              </w:rPr>
            </w:pPr>
          </w:p>
          <w:p w14:paraId="20E0D36E"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6C1BDDC7" w14:textId="77777777" w:rsidR="007B55FA" w:rsidRPr="00040AA9" w:rsidRDefault="007B55FA" w:rsidP="00040AA9">
            <w:pPr>
              <w:suppressAutoHyphens/>
              <w:jc w:val="center"/>
              <w:rPr>
                <w:rFonts w:ascii="Arial" w:hAnsi="Arial" w:cs="Arial"/>
                <w:sz w:val="20"/>
                <w:szCs w:val="20"/>
              </w:rPr>
            </w:pPr>
          </w:p>
          <w:p w14:paraId="04181954" w14:textId="77777777" w:rsidR="007B55FA" w:rsidRPr="00040AA9" w:rsidRDefault="007B55FA" w:rsidP="00040AA9">
            <w:pPr>
              <w:suppressAutoHyphens/>
              <w:jc w:val="center"/>
              <w:rPr>
                <w:rFonts w:ascii="Arial" w:hAnsi="Arial" w:cs="Arial"/>
                <w:sz w:val="20"/>
                <w:szCs w:val="20"/>
              </w:rPr>
            </w:pPr>
          </w:p>
          <w:p w14:paraId="2B904CB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9DBA780" w14:textId="77777777" w:rsidR="007B55FA" w:rsidRPr="00040AA9" w:rsidRDefault="007B55FA" w:rsidP="00040AA9">
            <w:pPr>
              <w:suppressAutoHyphens/>
              <w:jc w:val="center"/>
              <w:rPr>
                <w:rFonts w:ascii="Arial" w:hAnsi="Arial" w:cs="Arial"/>
                <w:sz w:val="20"/>
                <w:szCs w:val="20"/>
              </w:rPr>
            </w:pPr>
          </w:p>
          <w:p w14:paraId="5AB5BAF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8D3151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24DCC808" w14:textId="77777777" w:rsidR="007B55FA" w:rsidRPr="00040AA9" w:rsidRDefault="007B55FA" w:rsidP="00040AA9">
            <w:pPr>
              <w:suppressAutoHyphens/>
              <w:jc w:val="center"/>
              <w:rPr>
                <w:rFonts w:ascii="Arial" w:hAnsi="Arial" w:cs="Arial"/>
                <w:sz w:val="20"/>
                <w:szCs w:val="20"/>
              </w:rPr>
            </w:pPr>
          </w:p>
          <w:p w14:paraId="44F2A8FB" w14:textId="77777777" w:rsidR="007B55FA" w:rsidRPr="00040AA9" w:rsidRDefault="007B55FA" w:rsidP="00040AA9">
            <w:pPr>
              <w:suppressAutoHyphens/>
              <w:jc w:val="center"/>
              <w:rPr>
                <w:rFonts w:ascii="Arial" w:hAnsi="Arial" w:cs="Arial"/>
                <w:sz w:val="20"/>
                <w:szCs w:val="20"/>
              </w:rPr>
            </w:pPr>
          </w:p>
          <w:p w14:paraId="2C49895D" w14:textId="77777777" w:rsidR="007B55FA" w:rsidRPr="00040AA9" w:rsidRDefault="007B55FA" w:rsidP="00040AA9">
            <w:pPr>
              <w:suppressAutoHyphens/>
              <w:jc w:val="center"/>
              <w:rPr>
                <w:rFonts w:ascii="Arial" w:hAnsi="Arial" w:cs="Arial"/>
                <w:sz w:val="20"/>
                <w:szCs w:val="20"/>
              </w:rPr>
            </w:pPr>
          </w:p>
          <w:p w14:paraId="1C278902" w14:textId="77777777" w:rsidR="007B55FA" w:rsidRPr="00040AA9" w:rsidRDefault="007B55FA" w:rsidP="00040AA9">
            <w:pPr>
              <w:suppressAutoHyphens/>
              <w:jc w:val="center"/>
              <w:rPr>
                <w:rFonts w:ascii="Arial" w:hAnsi="Arial" w:cs="Arial"/>
                <w:sz w:val="20"/>
                <w:szCs w:val="20"/>
              </w:rPr>
            </w:pPr>
          </w:p>
          <w:p w14:paraId="33BFCB7F" w14:textId="77777777" w:rsidR="007B55FA" w:rsidRPr="00040AA9" w:rsidRDefault="007B55FA" w:rsidP="00040AA9">
            <w:pPr>
              <w:suppressAutoHyphens/>
              <w:jc w:val="center"/>
              <w:rPr>
                <w:rFonts w:ascii="Arial" w:hAnsi="Arial" w:cs="Arial"/>
                <w:sz w:val="20"/>
                <w:szCs w:val="20"/>
              </w:rPr>
            </w:pPr>
          </w:p>
          <w:p w14:paraId="5FEEA2B3" w14:textId="77777777" w:rsidR="007B55FA" w:rsidRPr="00040AA9" w:rsidRDefault="007B55FA" w:rsidP="00040AA9">
            <w:pPr>
              <w:suppressAutoHyphens/>
              <w:jc w:val="center"/>
              <w:rPr>
                <w:rFonts w:ascii="Arial" w:hAnsi="Arial" w:cs="Arial"/>
                <w:sz w:val="20"/>
                <w:szCs w:val="20"/>
              </w:rPr>
            </w:pPr>
          </w:p>
          <w:p w14:paraId="60E48584" w14:textId="77777777" w:rsidR="007B55FA" w:rsidRPr="00040AA9" w:rsidRDefault="007B55FA" w:rsidP="00040AA9">
            <w:pPr>
              <w:suppressAutoHyphens/>
              <w:jc w:val="center"/>
              <w:rPr>
                <w:rFonts w:ascii="Arial" w:hAnsi="Arial" w:cs="Arial"/>
                <w:sz w:val="20"/>
                <w:szCs w:val="20"/>
              </w:rPr>
            </w:pPr>
          </w:p>
          <w:p w14:paraId="39E306A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5582E525" w14:textId="4490D7D0"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Letter from the PS of the Ministry of Labour and Social Security informing that the key modules of the NIS-MIS system are operational.</w:t>
            </w:r>
          </w:p>
        </w:tc>
      </w:tr>
      <w:tr w:rsidR="007B55FA" w:rsidRPr="00CF5903" w14:paraId="152AF378"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55AB2436"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1991126"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08339701"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3E34BDAE"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085D9E8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0A9713C9"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0DEB3B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AA1B8C4" w14:textId="77777777" w:rsidR="007B55FA" w:rsidRPr="00040AA9" w:rsidRDefault="007B55FA" w:rsidP="00040AA9">
            <w:pPr>
              <w:suppressAutoHyphens/>
              <w:rPr>
                <w:rFonts w:ascii="Arial" w:hAnsi="Arial" w:cs="Arial"/>
                <w:sz w:val="20"/>
                <w:szCs w:val="20"/>
              </w:rPr>
            </w:pPr>
          </w:p>
        </w:tc>
      </w:tr>
      <w:tr w:rsidR="007B55FA" w:rsidRPr="00CF5903" w14:paraId="611CED6C"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jc w:val="center"/>
        </w:trPr>
        <w:tc>
          <w:tcPr>
            <w:tcW w:w="2556" w:type="dxa"/>
            <w:vMerge/>
            <w:shd w:val="clear" w:color="auto" w:fill="auto"/>
            <w:hideMark/>
          </w:tcPr>
          <w:p w14:paraId="2BCB10F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856D3C9"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60789C2"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A3C92C0"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0D676D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4E9ACF15" w14:textId="77777777" w:rsidR="007B55FA" w:rsidRPr="00040AA9" w:rsidRDefault="007B55FA" w:rsidP="00040AA9">
            <w:pPr>
              <w:suppressAutoHyphens/>
              <w:jc w:val="center"/>
              <w:rPr>
                <w:rFonts w:ascii="Arial" w:hAnsi="Arial" w:cs="Arial"/>
                <w:sz w:val="20"/>
                <w:szCs w:val="20"/>
              </w:rPr>
            </w:pPr>
          </w:p>
          <w:p w14:paraId="2407277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1816A4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shd w:val="clear" w:color="auto" w:fill="auto"/>
            <w:hideMark/>
          </w:tcPr>
          <w:p w14:paraId="1CD6F72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DD4EA22" w14:textId="03B41684"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E12728">
              <w:rPr>
                <w:rFonts w:ascii="Arial" w:hAnsi="Arial" w:cs="Arial"/>
                <w:sz w:val="20"/>
                <w:szCs w:val="20"/>
              </w:rPr>
              <w:t>S</w:t>
            </w:r>
            <w:r w:rsidRPr="00040AA9">
              <w:rPr>
                <w:rFonts w:ascii="Arial" w:hAnsi="Arial" w:cs="Arial"/>
                <w:sz w:val="20"/>
                <w:szCs w:val="20"/>
              </w:rPr>
              <w:t xml:space="preserve"> to the Bank dated Nov. 8, 2016 (part IV.4.c) providing evidence of compliance with section 2.03.III.(c) of the FISPEG III loan contract by way of certifying “Operationalization of key modules of the specified NIS Management Information System (MIS)” and referencing the letter from PS</w:t>
            </w:r>
            <w:r w:rsidR="00E143C7" w:rsidRPr="00040AA9">
              <w:rPr>
                <w:rFonts w:ascii="Arial" w:hAnsi="Arial" w:cs="Arial"/>
                <w:sz w:val="20"/>
                <w:szCs w:val="20"/>
              </w:rPr>
              <w:t>/</w:t>
            </w:r>
            <w:r w:rsidRPr="00040AA9">
              <w:rPr>
                <w:rFonts w:ascii="Arial" w:hAnsi="Arial" w:cs="Arial"/>
                <w:sz w:val="20"/>
                <w:szCs w:val="20"/>
              </w:rPr>
              <w:t>MLSS</w:t>
            </w:r>
          </w:p>
        </w:tc>
      </w:tr>
      <w:tr w:rsidR="007B55FA" w:rsidRPr="00CF5903" w14:paraId="3BE3A18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2859" w:type="dxa"/>
            <w:gridSpan w:val="8"/>
            <w:tcBorders>
              <w:bottom w:val="single" w:sz="4" w:space="0" w:color="auto"/>
            </w:tcBorders>
            <w:shd w:val="clear" w:color="auto" w:fill="auto"/>
          </w:tcPr>
          <w:p w14:paraId="2DCD3781" w14:textId="77777777" w:rsidR="007B55FA" w:rsidRPr="00040AA9" w:rsidRDefault="007B55FA" w:rsidP="00040AA9">
            <w:pPr>
              <w:suppressAutoHyphens/>
              <w:rPr>
                <w:rFonts w:ascii="Arial" w:hAnsi="Arial" w:cs="Arial"/>
                <w:sz w:val="20"/>
                <w:szCs w:val="20"/>
              </w:rPr>
            </w:pPr>
          </w:p>
        </w:tc>
      </w:tr>
      <w:tr w:rsidR="007B55FA" w:rsidRPr="00CF5903" w14:paraId="477333D6"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jc w:val="center"/>
        </w:trPr>
        <w:tc>
          <w:tcPr>
            <w:tcW w:w="12859" w:type="dxa"/>
            <w:gridSpan w:val="8"/>
            <w:tcBorders>
              <w:bottom w:val="single" w:sz="4" w:space="0" w:color="auto"/>
            </w:tcBorders>
            <w:shd w:val="clear" w:color="auto" w:fill="E5DFEC" w:themeFill="accent4" w:themeFillTint="33"/>
          </w:tcPr>
          <w:p w14:paraId="26B857F7" w14:textId="77777777" w:rsidR="007B55FA" w:rsidRPr="00D60FB9" w:rsidRDefault="007B55FA" w:rsidP="00040AA9">
            <w:pPr>
              <w:suppressAutoHyphens/>
              <w:rPr>
                <w:rFonts w:ascii="Arial" w:hAnsi="Arial" w:cs="Arial"/>
                <w:sz w:val="20"/>
                <w:szCs w:val="20"/>
              </w:rPr>
            </w:pPr>
            <w:r w:rsidRPr="00D60FB9">
              <w:rPr>
                <w:rFonts w:ascii="Arial" w:hAnsi="Arial" w:cs="Arial"/>
                <w:b/>
                <w:sz w:val="20"/>
                <w:szCs w:val="20"/>
              </w:rPr>
              <w:t xml:space="preserve">OUTPUTS (Products) for COMPONENT V - </w:t>
            </w:r>
            <w:r w:rsidRPr="00D60FB9">
              <w:rPr>
                <w:rFonts w:ascii="Arial" w:hAnsi="Arial" w:cs="Arial"/>
                <w:b/>
                <w:sz w:val="20"/>
                <w:szCs w:val="20"/>
                <w:lang w:val="en-GB"/>
              </w:rPr>
              <w:t>Strengthening the Fiscal Responsibility Framework</w:t>
            </w:r>
          </w:p>
        </w:tc>
      </w:tr>
      <w:tr w:rsidR="007B55FA" w:rsidRPr="00CF5903" w14:paraId="2E30F48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jc w:val="center"/>
        </w:trPr>
        <w:tc>
          <w:tcPr>
            <w:tcW w:w="12859" w:type="dxa"/>
            <w:gridSpan w:val="8"/>
            <w:shd w:val="clear" w:color="auto" w:fill="F2F2F2" w:themeFill="background1" w:themeFillShade="F2"/>
          </w:tcPr>
          <w:p w14:paraId="29987847" w14:textId="2ED0722A" w:rsidR="007B55FA" w:rsidRPr="00040AA9" w:rsidRDefault="007B55FA" w:rsidP="00040AA9">
            <w:pPr>
              <w:suppressAutoHyphens/>
              <w:rPr>
                <w:rFonts w:ascii="Arial" w:hAnsi="Arial" w:cs="Arial"/>
                <w:b/>
                <w:sz w:val="20"/>
                <w:szCs w:val="20"/>
              </w:rPr>
            </w:pPr>
            <w:r w:rsidRPr="00040AA9">
              <w:rPr>
                <w:rFonts w:ascii="Arial" w:hAnsi="Arial" w:cs="Arial"/>
                <w:b/>
                <w:sz w:val="20"/>
                <w:szCs w:val="20"/>
              </w:rPr>
              <w:t xml:space="preserve">Output </w:t>
            </w:r>
            <w:r w:rsidR="00F863A4" w:rsidRPr="00CF5903">
              <w:rPr>
                <w:rFonts w:ascii="Arial" w:hAnsi="Arial" w:cs="Arial"/>
                <w:b/>
                <w:sz w:val="20"/>
                <w:szCs w:val="20"/>
              </w:rPr>
              <w:t>V.1 Fiscal</w:t>
            </w:r>
            <w:r w:rsidRPr="00040AA9">
              <w:rPr>
                <w:rFonts w:ascii="Arial" w:hAnsi="Arial" w:cs="Arial"/>
                <w:b/>
                <w:sz w:val="20"/>
                <w:szCs w:val="20"/>
              </w:rPr>
              <w:t xml:space="preserve"> Rules</w:t>
            </w:r>
          </w:p>
        </w:tc>
      </w:tr>
      <w:tr w:rsidR="007B55FA" w:rsidRPr="00CF5903" w14:paraId="2A722FF2"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722AFEC"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V.1.1</w:t>
            </w:r>
          </w:p>
          <w:p w14:paraId="78C3BD62"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Legal Framework and Regulations drafted for the Fiscal Rule </w:t>
            </w:r>
          </w:p>
          <w:p w14:paraId="084551D7"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 – </w:t>
            </w:r>
            <w:r w:rsidRPr="00040AA9">
              <w:rPr>
                <w:rFonts w:ascii="Arial" w:hAnsi="Arial" w:cs="Arial"/>
                <w:sz w:val="20"/>
                <w:szCs w:val="20"/>
              </w:rPr>
              <w:t>product</w:t>
            </w:r>
            <w:r w:rsidRPr="00040AA9">
              <w:rPr>
                <w:rFonts w:ascii="Arial" w:hAnsi="Arial" w:cs="Arial"/>
                <w:sz w:val="20"/>
                <w:szCs w:val="20"/>
                <w:lang w:val="en-GB"/>
              </w:rPr>
              <w:t xml:space="preserve"> 5.1,</w:t>
            </w:r>
          </w:p>
          <w:p w14:paraId="666154A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contract section 2.03(</w:t>
            </w:r>
            <w:proofErr w:type="spellStart"/>
            <w:r w:rsidRPr="00040AA9">
              <w:rPr>
                <w:rFonts w:ascii="Arial" w:hAnsi="Arial" w:cs="Arial"/>
                <w:sz w:val="20"/>
                <w:szCs w:val="20"/>
                <w:lang w:val="en-GB"/>
              </w:rPr>
              <w:t>i</w:t>
            </w:r>
            <w:proofErr w:type="spellEnd"/>
            <w:r w:rsidRPr="00040AA9">
              <w:rPr>
                <w:rFonts w:ascii="Arial" w:hAnsi="Arial" w:cs="Arial"/>
                <w:sz w:val="20"/>
                <w:szCs w:val="20"/>
                <w:lang w:val="en-GB"/>
              </w:rPr>
              <w:t>))</w:t>
            </w:r>
          </w:p>
        </w:tc>
        <w:tc>
          <w:tcPr>
            <w:tcW w:w="860" w:type="dxa"/>
            <w:vMerge w:val="restart"/>
            <w:shd w:val="clear" w:color="auto" w:fill="auto"/>
          </w:tcPr>
          <w:p w14:paraId="3EFAA487" w14:textId="77777777" w:rsidR="007B55FA" w:rsidRPr="00040AA9" w:rsidRDefault="007B55FA" w:rsidP="00040AA9">
            <w:pPr>
              <w:suppressAutoHyphens/>
              <w:jc w:val="center"/>
              <w:rPr>
                <w:rFonts w:ascii="Arial" w:hAnsi="Arial" w:cs="Arial"/>
                <w:sz w:val="20"/>
                <w:szCs w:val="20"/>
              </w:rPr>
            </w:pPr>
          </w:p>
          <w:p w14:paraId="3086988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Legislation</w:t>
            </w:r>
          </w:p>
        </w:tc>
        <w:tc>
          <w:tcPr>
            <w:tcW w:w="774" w:type="dxa"/>
            <w:vMerge w:val="restart"/>
            <w:shd w:val="clear" w:color="auto" w:fill="auto"/>
          </w:tcPr>
          <w:p w14:paraId="369713F8" w14:textId="77777777" w:rsidR="007B55FA" w:rsidRPr="00040AA9" w:rsidRDefault="007B55FA" w:rsidP="00040AA9">
            <w:pPr>
              <w:suppressAutoHyphens/>
              <w:jc w:val="center"/>
              <w:rPr>
                <w:rFonts w:ascii="Arial" w:hAnsi="Arial" w:cs="Arial"/>
                <w:sz w:val="20"/>
                <w:szCs w:val="20"/>
              </w:rPr>
            </w:pPr>
          </w:p>
          <w:p w14:paraId="5CE5D42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7808CBCF" w14:textId="77777777" w:rsidR="007B55FA" w:rsidRPr="00040AA9" w:rsidRDefault="007B55FA" w:rsidP="00040AA9">
            <w:pPr>
              <w:suppressAutoHyphens/>
              <w:jc w:val="center"/>
              <w:rPr>
                <w:rFonts w:ascii="Arial" w:hAnsi="Arial" w:cs="Arial"/>
                <w:sz w:val="20"/>
                <w:szCs w:val="20"/>
              </w:rPr>
            </w:pPr>
          </w:p>
          <w:p w14:paraId="047FB6C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32934CB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57F26484"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906EE9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(2015/16)</w:t>
            </w:r>
          </w:p>
        </w:tc>
        <w:tc>
          <w:tcPr>
            <w:tcW w:w="1106" w:type="dxa"/>
            <w:vMerge w:val="restart"/>
            <w:shd w:val="clear" w:color="auto" w:fill="auto"/>
          </w:tcPr>
          <w:p w14:paraId="69FC4AD5" w14:textId="77777777" w:rsidR="007B55FA" w:rsidRPr="00040AA9" w:rsidRDefault="007B55FA" w:rsidP="00040AA9">
            <w:pPr>
              <w:suppressAutoHyphens/>
              <w:rPr>
                <w:rFonts w:ascii="Arial" w:hAnsi="Arial" w:cs="Arial"/>
                <w:sz w:val="20"/>
                <w:szCs w:val="20"/>
              </w:rPr>
            </w:pPr>
          </w:p>
          <w:p w14:paraId="0ECFB2C3" w14:textId="77777777" w:rsidR="007B55FA" w:rsidRPr="00040AA9" w:rsidRDefault="007B55FA" w:rsidP="00040AA9">
            <w:pPr>
              <w:suppressAutoHyphens/>
              <w:rPr>
                <w:rFonts w:ascii="Arial" w:hAnsi="Arial" w:cs="Arial"/>
                <w:sz w:val="20"/>
                <w:szCs w:val="20"/>
              </w:rPr>
            </w:pPr>
          </w:p>
          <w:p w14:paraId="51098D19" w14:textId="77777777" w:rsidR="007B55FA" w:rsidRPr="00040AA9" w:rsidRDefault="007B55FA" w:rsidP="00040AA9">
            <w:pPr>
              <w:suppressAutoHyphens/>
              <w:rPr>
                <w:rFonts w:ascii="Arial" w:hAnsi="Arial" w:cs="Arial"/>
                <w:sz w:val="20"/>
                <w:szCs w:val="20"/>
              </w:rPr>
            </w:pPr>
          </w:p>
          <w:p w14:paraId="7676E300" w14:textId="77777777" w:rsidR="007B55FA" w:rsidRPr="00040AA9" w:rsidRDefault="007B55FA" w:rsidP="00040AA9">
            <w:pPr>
              <w:suppressAutoHyphens/>
              <w:rPr>
                <w:rFonts w:ascii="Arial" w:hAnsi="Arial" w:cs="Arial"/>
                <w:sz w:val="20"/>
                <w:szCs w:val="20"/>
              </w:rPr>
            </w:pPr>
          </w:p>
          <w:p w14:paraId="49EF7EEB" w14:textId="77777777" w:rsidR="007B55FA" w:rsidRPr="00040AA9" w:rsidRDefault="007B55FA" w:rsidP="00040AA9">
            <w:pPr>
              <w:suppressAutoHyphens/>
              <w:rPr>
                <w:rFonts w:ascii="Arial" w:hAnsi="Arial" w:cs="Arial"/>
                <w:sz w:val="20"/>
                <w:szCs w:val="20"/>
              </w:rPr>
            </w:pPr>
          </w:p>
          <w:p w14:paraId="03E4EA65" w14:textId="77777777" w:rsidR="007B55FA" w:rsidRPr="00040AA9" w:rsidRDefault="007B55FA" w:rsidP="00040AA9">
            <w:pPr>
              <w:suppressAutoHyphens/>
              <w:rPr>
                <w:rFonts w:ascii="Arial" w:hAnsi="Arial" w:cs="Arial"/>
                <w:sz w:val="20"/>
                <w:szCs w:val="20"/>
              </w:rPr>
            </w:pPr>
          </w:p>
          <w:p w14:paraId="0000E330" w14:textId="77777777" w:rsidR="007B55FA" w:rsidRPr="00040AA9" w:rsidRDefault="007B55FA" w:rsidP="00040AA9">
            <w:pPr>
              <w:suppressAutoHyphens/>
              <w:rPr>
                <w:rFonts w:ascii="Arial" w:hAnsi="Arial" w:cs="Arial"/>
                <w:sz w:val="20"/>
                <w:szCs w:val="20"/>
              </w:rPr>
            </w:pPr>
          </w:p>
          <w:p w14:paraId="3D184848" w14:textId="77777777" w:rsidR="007B55FA" w:rsidRPr="00040AA9" w:rsidRDefault="007B55FA" w:rsidP="00040AA9">
            <w:pPr>
              <w:suppressAutoHyphens/>
              <w:rPr>
                <w:rFonts w:ascii="Arial" w:hAnsi="Arial" w:cs="Arial"/>
                <w:sz w:val="20"/>
                <w:szCs w:val="20"/>
              </w:rPr>
            </w:pPr>
          </w:p>
          <w:p w14:paraId="6799D39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1356280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Fiscal Rule Framework legislation</w:t>
            </w:r>
          </w:p>
        </w:tc>
      </w:tr>
      <w:tr w:rsidR="007B55FA" w:rsidRPr="00CF5903" w14:paraId="59D1B370"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79A6108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2D52564"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7608746C"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3D674041"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3D18E28B"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7EB7BBAB"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9A792C5"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5CB66EF3" w14:textId="77777777" w:rsidR="007B55FA" w:rsidRPr="00040AA9" w:rsidRDefault="007B55FA" w:rsidP="00040AA9">
            <w:pPr>
              <w:suppressAutoHyphens/>
              <w:rPr>
                <w:rFonts w:ascii="Arial" w:hAnsi="Arial" w:cs="Arial"/>
                <w:sz w:val="20"/>
                <w:szCs w:val="20"/>
              </w:rPr>
            </w:pPr>
          </w:p>
        </w:tc>
      </w:tr>
      <w:tr w:rsidR="007B55FA" w:rsidRPr="00CF5903" w14:paraId="46ABE98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3"/>
          <w:jc w:val="center"/>
        </w:trPr>
        <w:tc>
          <w:tcPr>
            <w:tcW w:w="2556" w:type="dxa"/>
            <w:vMerge/>
            <w:shd w:val="clear" w:color="auto" w:fill="auto"/>
            <w:hideMark/>
          </w:tcPr>
          <w:p w14:paraId="5CDDB9A2"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412775E9"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1E3415D"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264F5ED5"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DF5E73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6DB53BDE" w14:textId="77777777" w:rsidR="007B55FA" w:rsidRPr="00040AA9" w:rsidRDefault="007B55FA" w:rsidP="00040AA9">
            <w:pPr>
              <w:suppressAutoHyphens/>
              <w:jc w:val="center"/>
              <w:rPr>
                <w:rFonts w:ascii="Arial" w:hAnsi="Arial" w:cs="Arial"/>
                <w:sz w:val="20"/>
                <w:szCs w:val="20"/>
              </w:rPr>
            </w:pPr>
          </w:p>
          <w:p w14:paraId="5CC6A7A3" w14:textId="77777777" w:rsidR="007B55FA" w:rsidRPr="00040AA9" w:rsidRDefault="007B55FA" w:rsidP="00040AA9">
            <w:pPr>
              <w:suppressAutoHyphens/>
              <w:jc w:val="center"/>
              <w:rPr>
                <w:rFonts w:ascii="Arial" w:hAnsi="Arial" w:cs="Arial"/>
                <w:sz w:val="20"/>
                <w:szCs w:val="20"/>
              </w:rPr>
            </w:pPr>
          </w:p>
          <w:p w14:paraId="4C19F8F2" w14:textId="77777777" w:rsidR="007B55FA" w:rsidRPr="00040AA9" w:rsidRDefault="007B55FA" w:rsidP="00040AA9">
            <w:pPr>
              <w:suppressAutoHyphens/>
              <w:jc w:val="center"/>
              <w:rPr>
                <w:rFonts w:ascii="Arial" w:hAnsi="Arial" w:cs="Arial"/>
                <w:sz w:val="20"/>
                <w:szCs w:val="20"/>
              </w:rPr>
            </w:pPr>
          </w:p>
          <w:p w14:paraId="1B7048DD" w14:textId="77777777" w:rsidR="007B55FA" w:rsidRPr="00040AA9" w:rsidRDefault="007B55FA" w:rsidP="00040AA9">
            <w:pPr>
              <w:suppressAutoHyphens/>
              <w:jc w:val="center"/>
              <w:rPr>
                <w:rFonts w:ascii="Arial" w:hAnsi="Arial" w:cs="Arial"/>
                <w:sz w:val="20"/>
                <w:szCs w:val="20"/>
              </w:rPr>
            </w:pPr>
          </w:p>
          <w:p w14:paraId="3DA7FDC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70C0B88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(Jan. 2014)</w:t>
            </w:r>
          </w:p>
        </w:tc>
        <w:tc>
          <w:tcPr>
            <w:tcW w:w="1106" w:type="dxa"/>
            <w:vMerge/>
            <w:shd w:val="clear" w:color="auto" w:fill="auto"/>
            <w:hideMark/>
          </w:tcPr>
          <w:p w14:paraId="2C73F414"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77675F6E" w14:textId="3F0596AD" w:rsidR="007B55FA" w:rsidRPr="00040AA9" w:rsidRDefault="007B55FA" w:rsidP="00040AA9">
            <w:pPr>
              <w:suppressAutoHyphens/>
              <w:rPr>
                <w:rFonts w:ascii="Arial" w:hAnsi="Arial" w:cs="Arial"/>
                <w:sz w:val="20"/>
                <w:szCs w:val="20"/>
              </w:rPr>
            </w:pPr>
            <w:r w:rsidRPr="00040AA9">
              <w:rPr>
                <w:rFonts w:ascii="Arial" w:hAnsi="Arial" w:cs="Arial"/>
                <w:sz w:val="20"/>
                <w:szCs w:val="20"/>
              </w:rPr>
              <w:t>Letter from the Cabinet Secretary to the Bank dated January 6, 2014 certifying compliance with section 2.03(</w:t>
            </w:r>
            <w:proofErr w:type="spellStart"/>
            <w:r w:rsidRPr="00040AA9">
              <w:rPr>
                <w:rFonts w:ascii="Arial" w:hAnsi="Arial" w:cs="Arial"/>
                <w:sz w:val="20"/>
                <w:szCs w:val="20"/>
              </w:rPr>
              <w:t>i</w:t>
            </w:r>
            <w:proofErr w:type="spellEnd"/>
            <w:r w:rsidRPr="00040AA9">
              <w:rPr>
                <w:rFonts w:ascii="Arial" w:hAnsi="Arial" w:cs="Arial"/>
                <w:sz w:val="20"/>
                <w:szCs w:val="20"/>
              </w:rPr>
              <w:t>) of the FISPEG I loan contract by way of confirming Cabinet Approval of: (</w:t>
            </w:r>
            <w:proofErr w:type="spellStart"/>
            <w:r w:rsidRPr="00040AA9">
              <w:rPr>
                <w:rFonts w:ascii="Arial" w:hAnsi="Arial" w:cs="Arial"/>
                <w:sz w:val="20"/>
                <w:szCs w:val="20"/>
              </w:rPr>
              <w:t>i</w:t>
            </w:r>
            <w:proofErr w:type="spellEnd"/>
            <w:r w:rsidRPr="00040AA9">
              <w:rPr>
                <w:rFonts w:ascii="Arial" w:hAnsi="Arial" w:cs="Arial"/>
                <w:sz w:val="20"/>
                <w:szCs w:val="20"/>
              </w:rPr>
              <w:t>) the Concept Paper; and (ii) the issue of drafting instructions.</w:t>
            </w:r>
            <w:r w:rsidRPr="00040AA9">
              <w:rPr>
                <w:rStyle w:val="FootnoteReference"/>
                <w:rFonts w:ascii="Arial" w:hAnsi="Arial" w:cs="Arial"/>
                <w:sz w:val="20"/>
                <w:szCs w:val="20"/>
              </w:rPr>
              <w:footnoteReference w:id="138"/>
            </w:r>
          </w:p>
        </w:tc>
      </w:tr>
      <w:tr w:rsidR="007B55FA" w:rsidRPr="00CF5903" w14:paraId="5835EA8D"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4C2A7493"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V.1.2</w:t>
            </w:r>
          </w:p>
          <w:p w14:paraId="13C6FC67"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Document drafting the Legal Framework and Regulation for the Fiscal Rule reviewed and approved by the government.</w:t>
            </w:r>
          </w:p>
          <w:p w14:paraId="53CDBC74"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 - </w:t>
            </w:r>
            <w:r w:rsidRPr="00040AA9">
              <w:rPr>
                <w:rFonts w:ascii="Arial" w:hAnsi="Arial" w:cs="Arial"/>
                <w:sz w:val="20"/>
                <w:szCs w:val="20"/>
              </w:rPr>
              <w:t>product</w:t>
            </w:r>
            <w:r w:rsidRPr="00040AA9">
              <w:rPr>
                <w:rFonts w:ascii="Arial" w:hAnsi="Arial" w:cs="Arial"/>
                <w:sz w:val="20"/>
                <w:szCs w:val="20"/>
                <w:lang w:val="en-GB"/>
              </w:rPr>
              <w:t xml:space="preserve"> 5.1,</w:t>
            </w:r>
          </w:p>
          <w:p w14:paraId="16C3A175"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contract section 2.03.IV.(a))</w:t>
            </w:r>
          </w:p>
        </w:tc>
        <w:tc>
          <w:tcPr>
            <w:tcW w:w="860" w:type="dxa"/>
            <w:vMerge w:val="restart"/>
            <w:shd w:val="clear" w:color="auto" w:fill="auto"/>
          </w:tcPr>
          <w:p w14:paraId="6A15CDE2" w14:textId="77777777" w:rsidR="007B55FA" w:rsidRPr="00040AA9" w:rsidRDefault="007B55FA" w:rsidP="00040AA9">
            <w:pPr>
              <w:suppressAutoHyphens/>
              <w:jc w:val="center"/>
              <w:rPr>
                <w:rFonts w:ascii="Arial" w:hAnsi="Arial" w:cs="Arial"/>
                <w:sz w:val="20"/>
                <w:szCs w:val="20"/>
              </w:rPr>
            </w:pPr>
          </w:p>
          <w:p w14:paraId="618842C6" w14:textId="77777777" w:rsidR="007B55FA" w:rsidRPr="00040AA9" w:rsidRDefault="007B55FA" w:rsidP="00040AA9">
            <w:pPr>
              <w:suppressAutoHyphens/>
              <w:jc w:val="center"/>
              <w:rPr>
                <w:rFonts w:ascii="Arial" w:hAnsi="Arial" w:cs="Arial"/>
                <w:sz w:val="20"/>
                <w:szCs w:val="20"/>
              </w:rPr>
            </w:pPr>
          </w:p>
          <w:p w14:paraId="4376807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Document</w:t>
            </w:r>
          </w:p>
        </w:tc>
        <w:tc>
          <w:tcPr>
            <w:tcW w:w="774" w:type="dxa"/>
            <w:vMerge w:val="restart"/>
            <w:shd w:val="clear" w:color="auto" w:fill="auto"/>
          </w:tcPr>
          <w:p w14:paraId="342A5913" w14:textId="77777777" w:rsidR="007B55FA" w:rsidRPr="00040AA9" w:rsidRDefault="007B55FA" w:rsidP="00040AA9">
            <w:pPr>
              <w:suppressAutoHyphens/>
              <w:jc w:val="center"/>
              <w:rPr>
                <w:rFonts w:ascii="Arial" w:hAnsi="Arial" w:cs="Arial"/>
                <w:sz w:val="20"/>
                <w:szCs w:val="20"/>
              </w:rPr>
            </w:pPr>
          </w:p>
          <w:p w14:paraId="57A80891" w14:textId="77777777" w:rsidR="007B55FA" w:rsidRPr="00040AA9" w:rsidRDefault="007B55FA" w:rsidP="00040AA9">
            <w:pPr>
              <w:suppressAutoHyphens/>
              <w:rPr>
                <w:rFonts w:ascii="Arial" w:hAnsi="Arial" w:cs="Arial"/>
                <w:sz w:val="20"/>
                <w:szCs w:val="20"/>
              </w:rPr>
            </w:pPr>
          </w:p>
          <w:p w14:paraId="645D744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704273D9" w14:textId="77777777" w:rsidR="007B55FA" w:rsidRPr="00040AA9" w:rsidRDefault="007B55FA" w:rsidP="00040AA9">
            <w:pPr>
              <w:suppressAutoHyphens/>
              <w:jc w:val="center"/>
              <w:rPr>
                <w:rFonts w:ascii="Arial" w:hAnsi="Arial" w:cs="Arial"/>
                <w:sz w:val="20"/>
                <w:szCs w:val="20"/>
              </w:rPr>
            </w:pPr>
          </w:p>
          <w:p w14:paraId="4063448B" w14:textId="77777777" w:rsidR="007B55FA" w:rsidRPr="00040AA9" w:rsidRDefault="007B55FA" w:rsidP="00040AA9">
            <w:pPr>
              <w:suppressAutoHyphens/>
              <w:jc w:val="center"/>
              <w:rPr>
                <w:rFonts w:ascii="Arial" w:hAnsi="Arial" w:cs="Arial"/>
                <w:sz w:val="20"/>
                <w:szCs w:val="20"/>
              </w:rPr>
            </w:pPr>
          </w:p>
          <w:p w14:paraId="3B4953F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072667C0" w14:textId="77777777" w:rsidR="007B55FA" w:rsidRPr="00040AA9" w:rsidRDefault="007B55FA" w:rsidP="00040AA9">
            <w:pPr>
              <w:suppressAutoHyphens/>
              <w:jc w:val="center"/>
              <w:rPr>
                <w:rFonts w:ascii="Arial" w:hAnsi="Arial" w:cs="Arial"/>
                <w:sz w:val="20"/>
                <w:szCs w:val="20"/>
              </w:rPr>
            </w:pPr>
          </w:p>
          <w:p w14:paraId="6766D56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6F153059" w14:textId="77777777" w:rsidR="007B55FA" w:rsidRPr="00040AA9" w:rsidRDefault="007B55FA" w:rsidP="00040AA9">
            <w:pPr>
              <w:suppressAutoHyphens/>
              <w:jc w:val="center"/>
              <w:rPr>
                <w:rFonts w:ascii="Arial" w:hAnsi="Arial" w:cs="Arial"/>
                <w:sz w:val="20"/>
                <w:szCs w:val="20"/>
              </w:rPr>
            </w:pPr>
          </w:p>
          <w:p w14:paraId="1AECAA1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0444F8A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tc>
        <w:tc>
          <w:tcPr>
            <w:tcW w:w="1106" w:type="dxa"/>
            <w:vMerge w:val="restart"/>
            <w:shd w:val="clear" w:color="auto" w:fill="auto"/>
          </w:tcPr>
          <w:p w14:paraId="650444DB" w14:textId="77777777" w:rsidR="007B55FA" w:rsidRPr="00040AA9" w:rsidRDefault="007B55FA" w:rsidP="00040AA9">
            <w:pPr>
              <w:suppressAutoHyphens/>
              <w:rPr>
                <w:rFonts w:ascii="Arial" w:hAnsi="Arial" w:cs="Arial"/>
                <w:sz w:val="20"/>
                <w:szCs w:val="20"/>
              </w:rPr>
            </w:pPr>
          </w:p>
          <w:p w14:paraId="6FD2811D" w14:textId="77777777" w:rsidR="007B55FA" w:rsidRPr="00040AA9" w:rsidRDefault="007B55FA" w:rsidP="00040AA9">
            <w:pPr>
              <w:suppressAutoHyphens/>
              <w:rPr>
                <w:rFonts w:ascii="Arial" w:hAnsi="Arial" w:cs="Arial"/>
                <w:sz w:val="20"/>
                <w:szCs w:val="20"/>
              </w:rPr>
            </w:pPr>
          </w:p>
          <w:p w14:paraId="79B02387" w14:textId="77777777" w:rsidR="007B55FA" w:rsidRPr="00040AA9" w:rsidRDefault="007B55FA" w:rsidP="00040AA9">
            <w:pPr>
              <w:suppressAutoHyphens/>
              <w:rPr>
                <w:rFonts w:ascii="Arial" w:hAnsi="Arial" w:cs="Arial"/>
                <w:sz w:val="20"/>
                <w:szCs w:val="20"/>
              </w:rPr>
            </w:pPr>
          </w:p>
          <w:p w14:paraId="754FE4C1" w14:textId="77777777" w:rsidR="007B55FA" w:rsidRPr="00040AA9" w:rsidRDefault="007B55FA" w:rsidP="00040AA9">
            <w:pPr>
              <w:suppressAutoHyphens/>
              <w:rPr>
                <w:rFonts w:ascii="Arial" w:hAnsi="Arial" w:cs="Arial"/>
                <w:sz w:val="20"/>
                <w:szCs w:val="20"/>
              </w:rPr>
            </w:pPr>
          </w:p>
          <w:p w14:paraId="1507C3EA" w14:textId="77777777" w:rsidR="007B55FA" w:rsidRPr="00040AA9" w:rsidRDefault="007B55FA" w:rsidP="00040AA9">
            <w:pPr>
              <w:suppressAutoHyphens/>
              <w:rPr>
                <w:rFonts w:ascii="Arial" w:hAnsi="Arial" w:cs="Arial"/>
                <w:sz w:val="20"/>
                <w:szCs w:val="20"/>
              </w:rPr>
            </w:pPr>
          </w:p>
          <w:p w14:paraId="65F3AEF7" w14:textId="77777777" w:rsidR="007B55FA" w:rsidRPr="00040AA9" w:rsidRDefault="007B55FA" w:rsidP="00040AA9">
            <w:pPr>
              <w:suppressAutoHyphens/>
              <w:rPr>
                <w:rFonts w:ascii="Arial" w:hAnsi="Arial" w:cs="Arial"/>
                <w:sz w:val="20"/>
                <w:szCs w:val="20"/>
              </w:rPr>
            </w:pPr>
          </w:p>
          <w:p w14:paraId="508C1418" w14:textId="77777777" w:rsidR="007B55FA" w:rsidRPr="00040AA9" w:rsidRDefault="007B55FA" w:rsidP="00040AA9">
            <w:pPr>
              <w:suppressAutoHyphens/>
              <w:rPr>
                <w:rFonts w:ascii="Arial" w:hAnsi="Arial" w:cs="Arial"/>
                <w:sz w:val="20"/>
                <w:szCs w:val="20"/>
              </w:rPr>
            </w:pPr>
          </w:p>
          <w:p w14:paraId="28EBB8C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761D99BD"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Letter from the FS indicating that the Fiscal Rules are effective for FY 2014/15</w:t>
            </w:r>
          </w:p>
        </w:tc>
      </w:tr>
      <w:tr w:rsidR="007B55FA" w:rsidRPr="00CF5903" w14:paraId="35A392B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
          <w:jc w:val="center"/>
        </w:trPr>
        <w:tc>
          <w:tcPr>
            <w:tcW w:w="2556" w:type="dxa"/>
            <w:vMerge/>
            <w:shd w:val="clear" w:color="auto" w:fill="auto"/>
            <w:hideMark/>
          </w:tcPr>
          <w:p w14:paraId="2773FF63"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28193C7A"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6B31E10B"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73936332"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78516D45"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66D9F6DC" w14:textId="77777777" w:rsidR="007B55FA" w:rsidRPr="00040AA9" w:rsidRDefault="007B55FA" w:rsidP="00040AA9">
            <w:pPr>
              <w:suppressAutoHyphens/>
              <w:rPr>
                <w:rFonts w:ascii="Arial" w:hAnsi="Arial" w:cs="Arial"/>
                <w:sz w:val="20"/>
                <w:szCs w:val="20"/>
              </w:rPr>
            </w:pPr>
          </w:p>
        </w:tc>
        <w:tc>
          <w:tcPr>
            <w:tcW w:w="1106" w:type="dxa"/>
            <w:vMerge/>
            <w:shd w:val="clear" w:color="auto" w:fill="auto"/>
            <w:hideMark/>
          </w:tcPr>
          <w:p w14:paraId="52E04D6F"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02076A4E" w14:textId="77777777" w:rsidR="007B55FA" w:rsidRPr="00040AA9" w:rsidRDefault="007B55FA" w:rsidP="00040AA9">
            <w:pPr>
              <w:suppressAutoHyphens/>
              <w:rPr>
                <w:rFonts w:ascii="Arial" w:hAnsi="Arial" w:cs="Arial"/>
                <w:sz w:val="20"/>
                <w:szCs w:val="20"/>
              </w:rPr>
            </w:pPr>
          </w:p>
        </w:tc>
      </w:tr>
      <w:tr w:rsidR="007B55FA" w:rsidRPr="00CF5903" w14:paraId="70C0B025"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shd w:val="clear" w:color="auto" w:fill="auto"/>
            <w:hideMark/>
          </w:tcPr>
          <w:p w14:paraId="5F3FFF18"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52A37A7"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FA5C5C7"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05A14168"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1656EBA8" w14:textId="77777777" w:rsidR="007B55FA" w:rsidRPr="00040AA9" w:rsidRDefault="007B55FA" w:rsidP="00040AA9">
            <w:pPr>
              <w:suppressAutoHyphens/>
              <w:jc w:val="center"/>
              <w:rPr>
                <w:rFonts w:ascii="Arial" w:hAnsi="Arial" w:cs="Arial"/>
                <w:sz w:val="20"/>
                <w:szCs w:val="20"/>
              </w:rPr>
            </w:pPr>
          </w:p>
          <w:p w14:paraId="1F9B3A57" w14:textId="77777777" w:rsidR="007B55FA" w:rsidRPr="00040AA9" w:rsidRDefault="007B55FA" w:rsidP="00040AA9">
            <w:pPr>
              <w:suppressAutoHyphens/>
              <w:jc w:val="center"/>
              <w:rPr>
                <w:rFonts w:ascii="Arial" w:hAnsi="Arial" w:cs="Arial"/>
                <w:sz w:val="20"/>
                <w:szCs w:val="20"/>
              </w:rPr>
            </w:pPr>
          </w:p>
          <w:p w14:paraId="2119D8D3" w14:textId="77777777" w:rsidR="007B55FA" w:rsidRPr="00040AA9" w:rsidRDefault="007B55FA" w:rsidP="00040AA9">
            <w:pPr>
              <w:suppressAutoHyphens/>
              <w:jc w:val="center"/>
              <w:rPr>
                <w:rFonts w:ascii="Arial" w:hAnsi="Arial" w:cs="Arial"/>
                <w:sz w:val="20"/>
                <w:szCs w:val="20"/>
              </w:rPr>
            </w:pPr>
          </w:p>
          <w:p w14:paraId="779FD97C" w14:textId="77777777" w:rsidR="007B55FA" w:rsidRPr="00040AA9" w:rsidRDefault="007B55FA" w:rsidP="00040AA9">
            <w:pPr>
              <w:suppressAutoHyphens/>
              <w:jc w:val="center"/>
              <w:rPr>
                <w:rFonts w:ascii="Arial" w:hAnsi="Arial" w:cs="Arial"/>
                <w:sz w:val="20"/>
                <w:szCs w:val="20"/>
              </w:rPr>
            </w:pPr>
          </w:p>
          <w:p w14:paraId="4A676B26" w14:textId="77777777" w:rsidR="007B55FA" w:rsidRPr="00040AA9" w:rsidRDefault="007B55FA" w:rsidP="00040AA9">
            <w:pPr>
              <w:suppressAutoHyphens/>
              <w:jc w:val="center"/>
              <w:rPr>
                <w:rFonts w:ascii="Arial" w:hAnsi="Arial" w:cs="Arial"/>
                <w:sz w:val="20"/>
                <w:szCs w:val="20"/>
              </w:rPr>
            </w:pPr>
          </w:p>
          <w:p w14:paraId="7C866971"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4B880FAF" w14:textId="77777777" w:rsidR="007B55FA" w:rsidRPr="00040AA9" w:rsidRDefault="007B55FA" w:rsidP="00040AA9">
            <w:pPr>
              <w:suppressAutoHyphens/>
              <w:rPr>
                <w:rFonts w:ascii="Arial" w:hAnsi="Arial" w:cs="Arial"/>
                <w:sz w:val="20"/>
                <w:szCs w:val="20"/>
              </w:rPr>
            </w:pPr>
          </w:p>
          <w:p w14:paraId="3DCE7B53" w14:textId="77777777" w:rsidR="007B55FA" w:rsidRPr="00040AA9" w:rsidRDefault="007B55FA" w:rsidP="00040AA9">
            <w:pPr>
              <w:suppressAutoHyphens/>
              <w:rPr>
                <w:rFonts w:ascii="Arial" w:hAnsi="Arial" w:cs="Arial"/>
                <w:sz w:val="20"/>
                <w:szCs w:val="20"/>
              </w:rPr>
            </w:pPr>
          </w:p>
          <w:p w14:paraId="355DF552" w14:textId="77777777" w:rsidR="007B55FA" w:rsidRPr="00040AA9" w:rsidRDefault="007B55FA" w:rsidP="00040AA9">
            <w:pPr>
              <w:suppressAutoHyphens/>
              <w:rPr>
                <w:rFonts w:ascii="Arial" w:hAnsi="Arial" w:cs="Arial"/>
                <w:sz w:val="20"/>
                <w:szCs w:val="20"/>
              </w:rPr>
            </w:pPr>
          </w:p>
          <w:p w14:paraId="70992048" w14:textId="77777777" w:rsidR="007B55FA" w:rsidRPr="00040AA9" w:rsidRDefault="007B55FA" w:rsidP="00040AA9">
            <w:pPr>
              <w:suppressAutoHyphens/>
              <w:rPr>
                <w:rFonts w:ascii="Arial" w:hAnsi="Arial" w:cs="Arial"/>
                <w:sz w:val="20"/>
                <w:szCs w:val="20"/>
              </w:rPr>
            </w:pPr>
          </w:p>
          <w:p w14:paraId="3D784DA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4B482EA0"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(May 2015)</w:t>
            </w:r>
          </w:p>
        </w:tc>
        <w:tc>
          <w:tcPr>
            <w:tcW w:w="1106" w:type="dxa"/>
            <w:vMerge/>
            <w:shd w:val="clear" w:color="auto" w:fill="auto"/>
            <w:hideMark/>
          </w:tcPr>
          <w:p w14:paraId="2B318EFC"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274731BD" w14:textId="0DB86F2E" w:rsidR="007B55FA" w:rsidRPr="00040AA9" w:rsidRDefault="007B55FA" w:rsidP="00040AA9">
            <w:pPr>
              <w:suppressAutoHyphens/>
              <w:rPr>
                <w:rFonts w:ascii="Arial" w:hAnsi="Arial" w:cs="Arial"/>
                <w:sz w:val="20"/>
                <w:szCs w:val="20"/>
              </w:rPr>
            </w:pPr>
            <w:r w:rsidRPr="00040AA9">
              <w:rPr>
                <w:rFonts w:ascii="Arial" w:hAnsi="Arial" w:cs="Arial"/>
                <w:sz w:val="20"/>
                <w:szCs w:val="20"/>
              </w:rPr>
              <w:t>- Official letter from FS to Bank dated May 27, 2015 (part V.1.b) providing evidence of compliance with section 2.03.IV.(a) of the FISPEG II loan contract by way of certifying passage of the P</w:t>
            </w:r>
            <w:r w:rsidR="00800210">
              <w:rPr>
                <w:rFonts w:ascii="Arial" w:hAnsi="Arial" w:cs="Arial"/>
                <w:sz w:val="20"/>
                <w:szCs w:val="20"/>
              </w:rPr>
              <w:t>Bs</w:t>
            </w:r>
            <w:r w:rsidRPr="00040AA9">
              <w:rPr>
                <w:rFonts w:ascii="Arial" w:hAnsi="Arial" w:cs="Arial"/>
                <w:sz w:val="20"/>
                <w:szCs w:val="20"/>
              </w:rPr>
              <w:t xml:space="preserve"> Management  and Accountability (Amendment) Act, 2014 and the Financial Administration and Audit Act (FAA), 2014</w:t>
            </w:r>
            <w:r w:rsidRPr="00040AA9">
              <w:rPr>
                <w:rStyle w:val="FootnoteReference"/>
                <w:rFonts w:ascii="Arial" w:hAnsi="Arial" w:cs="Arial"/>
                <w:sz w:val="20"/>
                <w:szCs w:val="20"/>
              </w:rPr>
              <w:footnoteReference w:id="139"/>
            </w:r>
          </w:p>
        </w:tc>
      </w:tr>
      <w:tr w:rsidR="007B55FA" w:rsidRPr="00CF5903" w14:paraId="4760C5A4"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556" w:type="dxa"/>
            <w:vMerge w:val="restart"/>
            <w:shd w:val="clear" w:color="auto" w:fill="auto"/>
            <w:hideMark/>
          </w:tcPr>
          <w:p w14:paraId="2B327547"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rPr>
              <w:t>Indicator V.1.3</w:t>
            </w:r>
          </w:p>
          <w:p w14:paraId="49C9E5C1"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Enhanced Fiscal Rules implemented </w:t>
            </w:r>
          </w:p>
          <w:p w14:paraId="61800975" w14:textId="77777777" w:rsidR="007B55FA" w:rsidRPr="00040AA9" w:rsidRDefault="007B55FA" w:rsidP="00040AA9">
            <w:pPr>
              <w:suppressAutoHyphens/>
              <w:rPr>
                <w:rFonts w:ascii="Arial" w:hAnsi="Arial" w:cs="Arial"/>
                <w:sz w:val="20"/>
                <w:szCs w:val="20"/>
                <w:lang w:val="en-GB"/>
              </w:rPr>
            </w:pPr>
            <w:r w:rsidRPr="00040AA9">
              <w:rPr>
                <w:rFonts w:ascii="Arial" w:hAnsi="Arial" w:cs="Arial"/>
                <w:sz w:val="20"/>
                <w:szCs w:val="20"/>
                <w:lang w:val="en-GB"/>
              </w:rPr>
              <w:t xml:space="preserve">(FSPG III – </w:t>
            </w:r>
            <w:r w:rsidRPr="00040AA9">
              <w:rPr>
                <w:rFonts w:ascii="Arial" w:hAnsi="Arial" w:cs="Arial"/>
                <w:sz w:val="20"/>
                <w:szCs w:val="20"/>
              </w:rPr>
              <w:t>product</w:t>
            </w:r>
            <w:r w:rsidRPr="00040AA9">
              <w:rPr>
                <w:rFonts w:ascii="Arial" w:hAnsi="Arial" w:cs="Arial"/>
                <w:sz w:val="20"/>
                <w:szCs w:val="20"/>
                <w:lang w:val="en-GB"/>
              </w:rPr>
              <w:t xml:space="preserve"> 5.1</w:t>
            </w:r>
          </w:p>
          <w:p w14:paraId="07F7C05F"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contract section 2.03.IV.(a))</w:t>
            </w:r>
          </w:p>
        </w:tc>
        <w:tc>
          <w:tcPr>
            <w:tcW w:w="860" w:type="dxa"/>
            <w:vMerge w:val="restart"/>
            <w:shd w:val="clear" w:color="auto" w:fill="auto"/>
          </w:tcPr>
          <w:p w14:paraId="469BC172" w14:textId="77777777" w:rsidR="007B55FA" w:rsidRPr="00040AA9" w:rsidRDefault="007B55FA" w:rsidP="00040AA9">
            <w:pPr>
              <w:suppressAutoHyphens/>
              <w:jc w:val="center"/>
              <w:rPr>
                <w:rFonts w:ascii="Arial" w:hAnsi="Arial" w:cs="Arial"/>
                <w:sz w:val="20"/>
                <w:szCs w:val="20"/>
              </w:rPr>
            </w:pPr>
          </w:p>
          <w:p w14:paraId="60591073"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Rules</w:t>
            </w:r>
          </w:p>
        </w:tc>
        <w:tc>
          <w:tcPr>
            <w:tcW w:w="774" w:type="dxa"/>
            <w:vMerge w:val="restart"/>
            <w:shd w:val="clear" w:color="auto" w:fill="auto"/>
          </w:tcPr>
          <w:p w14:paraId="53D8E40B" w14:textId="77777777" w:rsidR="007B55FA" w:rsidRPr="00040AA9" w:rsidRDefault="007B55FA" w:rsidP="00040AA9">
            <w:pPr>
              <w:suppressAutoHyphens/>
              <w:jc w:val="center"/>
              <w:rPr>
                <w:rFonts w:ascii="Arial" w:hAnsi="Arial" w:cs="Arial"/>
                <w:sz w:val="20"/>
                <w:szCs w:val="20"/>
              </w:rPr>
            </w:pPr>
          </w:p>
          <w:p w14:paraId="42B152C9"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0</w:t>
            </w:r>
          </w:p>
        </w:tc>
        <w:tc>
          <w:tcPr>
            <w:tcW w:w="939" w:type="dxa"/>
            <w:vMerge w:val="restart"/>
            <w:shd w:val="clear" w:color="auto" w:fill="auto"/>
          </w:tcPr>
          <w:p w14:paraId="27C1CC3A" w14:textId="77777777" w:rsidR="007B55FA" w:rsidRPr="00040AA9" w:rsidRDefault="007B55FA" w:rsidP="00040AA9">
            <w:pPr>
              <w:suppressAutoHyphens/>
              <w:jc w:val="center"/>
              <w:rPr>
                <w:rFonts w:ascii="Arial" w:hAnsi="Arial" w:cs="Arial"/>
                <w:sz w:val="20"/>
                <w:szCs w:val="20"/>
              </w:rPr>
            </w:pPr>
          </w:p>
          <w:p w14:paraId="50C4936D"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2012/13</w:t>
            </w:r>
          </w:p>
        </w:tc>
        <w:tc>
          <w:tcPr>
            <w:tcW w:w="594" w:type="dxa"/>
            <w:shd w:val="clear" w:color="auto" w:fill="auto"/>
            <w:hideMark/>
          </w:tcPr>
          <w:p w14:paraId="2058ABF1" w14:textId="77777777" w:rsidR="007B55FA" w:rsidRPr="00040AA9" w:rsidRDefault="007B55FA" w:rsidP="00040AA9">
            <w:pPr>
              <w:suppressAutoHyphens/>
              <w:jc w:val="center"/>
              <w:rPr>
                <w:rFonts w:ascii="Arial" w:hAnsi="Arial" w:cs="Arial"/>
                <w:sz w:val="20"/>
                <w:szCs w:val="20"/>
              </w:rPr>
            </w:pPr>
          </w:p>
          <w:p w14:paraId="04C9133F"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w:t>
            </w:r>
          </w:p>
        </w:tc>
        <w:tc>
          <w:tcPr>
            <w:tcW w:w="1003" w:type="dxa"/>
            <w:shd w:val="clear" w:color="auto" w:fill="auto"/>
          </w:tcPr>
          <w:p w14:paraId="30F4116F" w14:textId="77777777" w:rsidR="007B55FA" w:rsidRPr="00040AA9" w:rsidRDefault="007B55FA" w:rsidP="00040AA9">
            <w:pPr>
              <w:suppressAutoHyphens/>
              <w:jc w:val="center"/>
              <w:rPr>
                <w:rFonts w:ascii="Arial" w:hAnsi="Arial" w:cs="Arial"/>
                <w:sz w:val="20"/>
                <w:szCs w:val="20"/>
              </w:rPr>
            </w:pPr>
          </w:p>
          <w:p w14:paraId="1E4D95FC"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217FA30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(2014/15)</w:t>
            </w:r>
          </w:p>
        </w:tc>
        <w:tc>
          <w:tcPr>
            <w:tcW w:w="1106" w:type="dxa"/>
            <w:vMerge w:val="restart"/>
            <w:shd w:val="clear" w:color="auto" w:fill="auto"/>
          </w:tcPr>
          <w:p w14:paraId="389E7CD7" w14:textId="77777777" w:rsidR="007B55FA" w:rsidRPr="00040AA9" w:rsidRDefault="007B55FA" w:rsidP="00040AA9">
            <w:pPr>
              <w:suppressAutoHyphens/>
              <w:rPr>
                <w:rFonts w:ascii="Arial" w:hAnsi="Arial" w:cs="Arial"/>
                <w:sz w:val="20"/>
                <w:szCs w:val="20"/>
              </w:rPr>
            </w:pPr>
          </w:p>
          <w:p w14:paraId="33282583" w14:textId="77777777" w:rsidR="007B55FA" w:rsidRPr="00040AA9" w:rsidRDefault="007B55FA" w:rsidP="00040AA9">
            <w:pPr>
              <w:suppressAutoHyphens/>
              <w:rPr>
                <w:rFonts w:ascii="Arial" w:hAnsi="Arial" w:cs="Arial"/>
                <w:sz w:val="20"/>
                <w:szCs w:val="20"/>
              </w:rPr>
            </w:pPr>
          </w:p>
          <w:p w14:paraId="2633F187" w14:textId="77777777" w:rsidR="007B55FA" w:rsidRPr="00040AA9" w:rsidRDefault="007B55FA" w:rsidP="00040AA9">
            <w:pPr>
              <w:suppressAutoHyphens/>
              <w:rPr>
                <w:rFonts w:ascii="Arial" w:hAnsi="Arial" w:cs="Arial"/>
                <w:sz w:val="20"/>
                <w:szCs w:val="20"/>
              </w:rPr>
            </w:pPr>
          </w:p>
          <w:p w14:paraId="31C580D7" w14:textId="77777777" w:rsidR="007B55FA" w:rsidRPr="00040AA9" w:rsidRDefault="007B55FA" w:rsidP="00040AA9">
            <w:pPr>
              <w:suppressAutoHyphens/>
              <w:rPr>
                <w:rFonts w:ascii="Arial" w:hAnsi="Arial" w:cs="Arial"/>
                <w:sz w:val="20"/>
                <w:szCs w:val="20"/>
              </w:rPr>
            </w:pPr>
          </w:p>
          <w:p w14:paraId="00EC85CF" w14:textId="77777777" w:rsidR="007B55FA" w:rsidRPr="00040AA9" w:rsidRDefault="007B55FA" w:rsidP="00040AA9">
            <w:pPr>
              <w:suppressAutoHyphens/>
              <w:rPr>
                <w:rFonts w:ascii="Arial" w:hAnsi="Arial" w:cs="Arial"/>
                <w:sz w:val="20"/>
                <w:szCs w:val="20"/>
              </w:rPr>
            </w:pPr>
          </w:p>
          <w:p w14:paraId="0CD6178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100%</w:t>
            </w:r>
          </w:p>
        </w:tc>
        <w:tc>
          <w:tcPr>
            <w:tcW w:w="5027" w:type="dxa"/>
            <w:shd w:val="clear" w:color="auto" w:fill="auto"/>
          </w:tcPr>
          <w:p w14:paraId="0C51CB99" w14:textId="77777777" w:rsidR="007B55FA" w:rsidRPr="00040AA9" w:rsidRDefault="007B55FA" w:rsidP="00040AA9">
            <w:pPr>
              <w:suppressAutoHyphens/>
              <w:rPr>
                <w:rFonts w:ascii="Arial" w:hAnsi="Arial" w:cs="Arial"/>
                <w:sz w:val="20"/>
                <w:szCs w:val="20"/>
              </w:rPr>
            </w:pPr>
            <w:r w:rsidRPr="00040AA9">
              <w:rPr>
                <w:rFonts w:ascii="Arial" w:hAnsi="Arial" w:cs="Arial"/>
                <w:sz w:val="20"/>
                <w:szCs w:val="20"/>
                <w:lang w:val="en-GB"/>
              </w:rPr>
              <w:t>Letter from the FS informing that the enhanced Fiscal Rules are being implemented.</w:t>
            </w:r>
          </w:p>
        </w:tc>
      </w:tr>
      <w:tr w:rsidR="007B55FA" w:rsidRPr="00CF5903" w14:paraId="1D5BE8A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5"/>
          <w:jc w:val="center"/>
        </w:trPr>
        <w:tc>
          <w:tcPr>
            <w:tcW w:w="2556" w:type="dxa"/>
            <w:vMerge/>
            <w:shd w:val="clear" w:color="auto" w:fill="auto"/>
            <w:hideMark/>
          </w:tcPr>
          <w:p w14:paraId="668AF174"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7B5DD6EA"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5A0ABECD"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6946989C"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54598637"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P(a)</w:t>
            </w:r>
          </w:p>
        </w:tc>
        <w:tc>
          <w:tcPr>
            <w:tcW w:w="1003" w:type="dxa"/>
            <w:shd w:val="clear" w:color="auto" w:fill="auto"/>
          </w:tcPr>
          <w:p w14:paraId="097EDB41" w14:textId="77777777" w:rsidR="007B55FA" w:rsidRPr="00040AA9" w:rsidRDefault="007B55FA" w:rsidP="00040AA9">
            <w:pPr>
              <w:suppressAutoHyphens/>
              <w:jc w:val="center"/>
              <w:rPr>
                <w:rFonts w:ascii="Arial" w:hAnsi="Arial" w:cs="Arial"/>
                <w:sz w:val="20"/>
                <w:szCs w:val="20"/>
              </w:rPr>
            </w:pPr>
          </w:p>
        </w:tc>
        <w:tc>
          <w:tcPr>
            <w:tcW w:w="1106" w:type="dxa"/>
            <w:vMerge/>
            <w:shd w:val="clear" w:color="auto" w:fill="auto"/>
            <w:hideMark/>
          </w:tcPr>
          <w:p w14:paraId="62ADF5F9"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6C2357C" w14:textId="77777777" w:rsidR="007B55FA" w:rsidRPr="00040AA9" w:rsidRDefault="007B55FA" w:rsidP="00040AA9">
            <w:pPr>
              <w:suppressAutoHyphens/>
              <w:rPr>
                <w:rFonts w:ascii="Arial" w:hAnsi="Arial" w:cs="Arial"/>
                <w:sz w:val="20"/>
                <w:szCs w:val="20"/>
              </w:rPr>
            </w:pPr>
          </w:p>
        </w:tc>
      </w:tr>
      <w:tr w:rsidR="007B55FA" w:rsidRPr="00CF5903" w14:paraId="0B7C0EDE" w14:textId="77777777" w:rsidTr="005D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82"/>
          <w:jc w:val="center"/>
        </w:trPr>
        <w:tc>
          <w:tcPr>
            <w:tcW w:w="2556" w:type="dxa"/>
            <w:vMerge/>
            <w:shd w:val="clear" w:color="auto" w:fill="auto"/>
            <w:hideMark/>
          </w:tcPr>
          <w:p w14:paraId="69FA0FA9" w14:textId="77777777" w:rsidR="007B55FA" w:rsidRPr="00040AA9" w:rsidRDefault="007B55FA" w:rsidP="00040AA9">
            <w:pPr>
              <w:suppressAutoHyphens/>
              <w:rPr>
                <w:rFonts w:ascii="Arial" w:hAnsi="Arial" w:cs="Arial"/>
                <w:sz w:val="20"/>
                <w:szCs w:val="20"/>
              </w:rPr>
            </w:pPr>
          </w:p>
        </w:tc>
        <w:tc>
          <w:tcPr>
            <w:tcW w:w="860" w:type="dxa"/>
            <w:vMerge/>
            <w:shd w:val="clear" w:color="auto" w:fill="auto"/>
            <w:hideMark/>
          </w:tcPr>
          <w:p w14:paraId="3937A5EE" w14:textId="77777777" w:rsidR="007B55FA" w:rsidRPr="00040AA9" w:rsidRDefault="007B55FA" w:rsidP="00040AA9">
            <w:pPr>
              <w:suppressAutoHyphens/>
              <w:rPr>
                <w:rFonts w:ascii="Arial" w:hAnsi="Arial" w:cs="Arial"/>
                <w:sz w:val="20"/>
                <w:szCs w:val="20"/>
              </w:rPr>
            </w:pPr>
          </w:p>
        </w:tc>
        <w:tc>
          <w:tcPr>
            <w:tcW w:w="774" w:type="dxa"/>
            <w:vMerge/>
            <w:shd w:val="clear" w:color="auto" w:fill="auto"/>
            <w:hideMark/>
          </w:tcPr>
          <w:p w14:paraId="26E565A4" w14:textId="77777777" w:rsidR="007B55FA" w:rsidRPr="00040AA9" w:rsidRDefault="007B55FA" w:rsidP="00040AA9">
            <w:pPr>
              <w:suppressAutoHyphens/>
              <w:rPr>
                <w:rFonts w:ascii="Arial" w:hAnsi="Arial" w:cs="Arial"/>
                <w:sz w:val="20"/>
                <w:szCs w:val="20"/>
              </w:rPr>
            </w:pPr>
          </w:p>
        </w:tc>
        <w:tc>
          <w:tcPr>
            <w:tcW w:w="939" w:type="dxa"/>
            <w:vMerge/>
            <w:shd w:val="clear" w:color="auto" w:fill="auto"/>
            <w:hideMark/>
          </w:tcPr>
          <w:p w14:paraId="497917AC" w14:textId="77777777" w:rsidR="007B55FA" w:rsidRPr="00040AA9" w:rsidRDefault="007B55FA" w:rsidP="00040AA9">
            <w:pPr>
              <w:suppressAutoHyphens/>
              <w:rPr>
                <w:rFonts w:ascii="Arial" w:hAnsi="Arial" w:cs="Arial"/>
                <w:sz w:val="20"/>
                <w:szCs w:val="20"/>
              </w:rPr>
            </w:pPr>
          </w:p>
        </w:tc>
        <w:tc>
          <w:tcPr>
            <w:tcW w:w="594" w:type="dxa"/>
            <w:shd w:val="clear" w:color="auto" w:fill="auto"/>
            <w:hideMark/>
          </w:tcPr>
          <w:p w14:paraId="458E0C2F" w14:textId="77777777" w:rsidR="007B55FA" w:rsidRPr="00040AA9" w:rsidRDefault="007B55FA" w:rsidP="00040AA9">
            <w:pPr>
              <w:suppressAutoHyphens/>
              <w:jc w:val="center"/>
              <w:rPr>
                <w:rFonts w:ascii="Arial" w:hAnsi="Arial" w:cs="Arial"/>
                <w:sz w:val="20"/>
                <w:szCs w:val="20"/>
              </w:rPr>
            </w:pPr>
          </w:p>
          <w:p w14:paraId="757633B9" w14:textId="77777777" w:rsidR="007B55FA" w:rsidRPr="00040AA9" w:rsidRDefault="007B55FA" w:rsidP="00040AA9">
            <w:pPr>
              <w:suppressAutoHyphens/>
              <w:jc w:val="center"/>
              <w:rPr>
                <w:rFonts w:ascii="Arial" w:hAnsi="Arial" w:cs="Arial"/>
                <w:sz w:val="20"/>
                <w:szCs w:val="20"/>
              </w:rPr>
            </w:pPr>
          </w:p>
          <w:p w14:paraId="52AB3971" w14:textId="77777777" w:rsidR="007B55FA" w:rsidRPr="00040AA9" w:rsidRDefault="007B55FA" w:rsidP="00040AA9">
            <w:pPr>
              <w:suppressAutoHyphens/>
              <w:jc w:val="center"/>
              <w:rPr>
                <w:rFonts w:ascii="Arial" w:hAnsi="Arial" w:cs="Arial"/>
                <w:sz w:val="20"/>
                <w:szCs w:val="20"/>
              </w:rPr>
            </w:pPr>
          </w:p>
          <w:p w14:paraId="0DC779FF" w14:textId="77777777" w:rsidR="007B55FA" w:rsidRPr="00040AA9" w:rsidRDefault="007B55FA" w:rsidP="00040AA9">
            <w:pPr>
              <w:suppressAutoHyphens/>
              <w:jc w:val="center"/>
              <w:rPr>
                <w:rFonts w:ascii="Arial" w:hAnsi="Arial" w:cs="Arial"/>
                <w:sz w:val="20"/>
                <w:szCs w:val="20"/>
              </w:rPr>
            </w:pPr>
          </w:p>
          <w:p w14:paraId="389FEC3A"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A</w:t>
            </w:r>
          </w:p>
        </w:tc>
        <w:tc>
          <w:tcPr>
            <w:tcW w:w="1003" w:type="dxa"/>
            <w:shd w:val="clear" w:color="auto" w:fill="auto"/>
          </w:tcPr>
          <w:p w14:paraId="6A363693" w14:textId="77777777" w:rsidR="007B55FA" w:rsidRPr="00040AA9" w:rsidRDefault="007B55FA" w:rsidP="00040AA9">
            <w:pPr>
              <w:suppressAutoHyphens/>
              <w:jc w:val="center"/>
              <w:rPr>
                <w:rFonts w:ascii="Arial" w:hAnsi="Arial" w:cs="Arial"/>
                <w:sz w:val="20"/>
                <w:szCs w:val="20"/>
              </w:rPr>
            </w:pPr>
          </w:p>
          <w:p w14:paraId="3CD88683" w14:textId="77777777" w:rsidR="007B55FA" w:rsidRPr="00040AA9" w:rsidRDefault="007B55FA" w:rsidP="00040AA9">
            <w:pPr>
              <w:suppressAutoHyphens/>
              <w:jc w:val="center"/>
              <w:rPr>
                <w:rFonts w:ascii="Arial" w:hAnsi="Arial" w:cs="Arial"/>
                <w:sz w:val="20"/>
                <w:szCs w:val="20"/>
              </w:rPr>
            </w:pPr>
          </w:p>
          <w:p w14:paraId="59AD12A6"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1</w:t>
            </w:r>
          </w:p>
          <w:p w14:paraId="5FB159F2" w14:textId="77777777" w:rsidR="007B55FA" w:rsidRPr="00040AA9" w:rsidRDefault="007B55FA" w:rsidP="00040AA9">
            <w:pPr>
              <w:suppressAutoHyphens/>
              <w:jc w:val="center"/>
              <w:rPr>
                <w:rFonts w:ascii="Arial" w:hAnsi="Arial" w:cs="Arial"/>
                <w:sz w:val="20"/>
                <w:szCs w:val="20"/>
              </w:rPr>
            </w:pPr>
            <w:r w:rsidRPr="00040AA9">
              <w:rPr>
                <w:rFonts w:ascii="Arial" w:hAnsi="Arial" w:cs="Arial"/>
                <w:sz w:val="20"/>
                <w:szCs w:val="20"/>
              </w:rPr>
              <w:t>(Nov. 2016)</w:t>
            </w:r>
          </w:p>
        </w:tc>
        <w:tc>
          <w:tcPr>
            <w:tcW w:w="1106" w:type="dxa"/>
            <w:vMerge/>
            <w:shd w:val="clear" w:color="auto" w:fill="auto"/>
            <w:hideMark/>
          </w:tcPr>
          <w:p w14:paraId="31D48B7B" w14:textId="77777777" w:rsidR="007B55FA" w:rsidRPr="00040AA9" w:rsidRDefault="007B55FA" w:rsidP="00040AA9">
            <w:pPr>
              <w:suppressAutoHyphens/>
              <w:rPr>
                <w:rFonts w:ascii="Arial" w:hAnsi="Arial" w:cs="Arial"/>
                <w:sz w:val="20"/>
                <w:szCs w:val="20"/>
              </w:rPr>
            </w:pPr>
          </w:p>
        </w:tc>
        <w:tc>
          <w:tcPr>
            <w:tcW w:w="5027" w:type="dxa"/>
            <w:shd w:val="clear" w:color="auto" w:fill="auto"/>
          </w:tcPr>
          <w:p w14:paraId="41F7BD1C" w14:textId="778DFAD8" w:rsidR="007B55FA" w:rsidRPr="00040AA9" w:rsidRDefault="007B55FA" w:rsidP="00040AA9">
            <w:pPr>
              <w:suppressAutoHyphens/>
              <w:rPr>
                <w:rFonts w:ascii="Arial" w:hAnsi="Arial" w:cs="Arial"/>
                <w:sz w:val="20"/>
                <w:szCs w:val="20"/>
              </w:rPr>
            </w:pPr>
            <w:r w:rsidRPr="00040AA9">
              <w:rPr>
                <w:rFonts w:ascii="Arial" w:hAnsi="Arial" w:cs="Arial"/>
                <w:sz w:val="20"/>
                <w:szCs w:val="20"/>
              </w:rPr>
              <w:t>Official letter from F</w:t>
            </w:r>
            <w:r w:rsidR="00E12728">
              <w:rPr>
                <w:rFonts w:ascii="Arial" w:hAnsi="Arial" w:cs="Arial"/>
                <w:sz w:val="20"/>
                <w:szCs w:val="20"/>
              </w:rPr>
              <w:t>S</w:t>
            </w:r>
            <w:r w:rsidRPr="00040AA9">
              <w:rPr>
                <w:rFonts w:ascii="Arial" w:hAnsi="Arial" w:cs="Arial"/>
                <w:sz w:val="20"/>
                <w:szCs w:val="20"/>
              </w:rPr>
              <w:t xml:space="preserve"> to the Bank dated Nov. 8, 2016 (part V.1.c) providing evidence of compliance with section 2.03.IV.(a) of the FISPEG III loan contract by way of certifying “The enhanced rules of the Fiscal Responsibility Framework remained in effect for FY 2015/16”</w:t>
            </w:r>
            <w:r w:rsidRPr="00040AA9">
              <w:rPr>
                <w:rStyle w:val="FootnoteReference"/>
                <w:rFonts w:ascii="Arial" w:hAnsi="Arial" w:cs="Arial"/>
                <w:sz w:val="20"/>
                <w:szCs w:val="20"/>
              </w:rPr>
              <w:footnoteReference w:id="140"/>
            </w:r>
          </w:p>
        </w:tc>
      </w:tr>
    </w:tbl>
    <w:p w14:paraId="001E746D" w14:textId="77777777" w:rsidR="00652F88" w:rsidRPr="00040AA9" w:rsidRDefault="00652F88" w:rsidP="00040AA9">
      <w:pPr>
        <w:pStyle w:val="ListParagraph"/>
        <w:suppressAutoHyphens/>
        <w:ind w:left="360"/>
        <w:jc w:val="both"/>
        <w:rPr>
          <w:rFonts w:cs="Arial"/>
          <w:color w:val="808080" w:themeColor="background1" w:themeShade="80"/>
          <w:sz w:val="20"/>
          <w:szCs w:val="20"/>
        </w:rPr>
      </w:pPr>
    </w:p>
    <w:p w14:paraId="4CC7913B" w14:textId="77777777" w:rsidR="009B4D7A" w:rsidRDefault="009B4D7A" w:rsidP="00040AA9">
      <w:pPr>
        <w:suppressAutoHyphens/>
        <w:rPr>
          <w:rFonts w:eastAsiaTheme="majorEastAsia" w:cs="Arial"/>
          <w:b/>
          <w:bCs/>
          <w:szCs w:val="26"/>
        </w:rPr>
        <w:sectPr w:rsidR="009B4D7A">
          <w:pgSz w:w="15840" w:h="12240" w:orient="landscape"/>
          <w:pgMar w:top="1440" w:right="1440" w:bottom="1440" w:left="1440" w:header="720" w:footer="720" w:gutter="0"/>
          <w:cols w:space="720"/>
        </w:sectPr>
      </w:pPr>
    </w:p>
    <w:p w14:paraId="0ABBB987" w14:textId="038BD523" w:rsidR="00802696" w:rsidRPr="00040AA9" w:rsidRDefault="00802696" w:rsidP="00040AA9">
      <w:pPr>
        <w:pStyle w:val="Heading3"/>
        <w:keepNext w:val="0"/>
        <w:keepLines w:val="0"/>
        <w:numPr>
          <w:ilvl w:val="0"/>
          <w:numId w:val="0"/>
        </w:numPr>
        <w:suppressAutoHyphens/>
        <w:spacing w:before="120" w:after="120"/>
        <w:ind w:left="1440"/>
        <w:rPr>
          <w:szCs w:val="22"/>
        </w:rPr>
      </w:pPr>
      <w:r w:rsidRPr="00040AA9">
        <w:rPr>
          <w:szCs w:val="22"/>
        </w:rPr>
        <w:t xml:space="preserve">c. Analysis of the Results </w:t>
      </w:r>
      <w:r w:rsidR="00CC62DB">
        <w:rPr>
          <w:szCs w:val="22"/>
        </w:rPr>
        <w:t>Attribution</w:t>
      </w:r>
    </w:p>
    <w:p w14:paraId="57F54ECA" w14:textId="1B176E42" w:rsidR="00382DCA" w:rsidRPr="00040AA9" w:rsidRDefault="005A3C55" w:rsidP="00040AA9">
      <w:pPr>
        <w:pStyle w:val="p1"/>
        <w:suppressAutoHyphens/>
        <w:spacing w:before="120" w:after="120"/>
        <w:jc w:val="both"/>
        <w:rPr>
          <w:rFonts w:ascii="Arial" w:eastAsia="SimSun" w:hAnsi="Arial" w:cs="Arial"/>
          <w:sz w:val="22"/>
          <w:szCs w:val="22"/>
        </w:rPr>
      </w:pPr>
      <w:r w:rsidRPr="00547221">
        <w:rPr>
          <w:rFonts w:ascii="Arial" w:hAnsi="Arial" w:cs="Arial"/>
          <w:sz w:val="22"/>
          <w:szCs w:val="22"/>
        </w:rPr>
        <w:t>A</w:t>
      </w:r>
      <w:r w:rsidR="00DE71A2" w:rsidRPr="00547221">
        <w:rPr>
          <w:rFonts w:ascii="Arial" w:hAnsi="Arial" w:cs="Arial"/>
          <w:sz w:val="22"/>
          <w:szCs w:val="22"/>
        </w:rPr>
        <w:t xml:space="preserve"> </w:t>
      </w:r>
      <w:r w:rsidR="00F863A4" w:rsidRPr="00547221">
        <w:rPr>
          <w:rFonts w:ascii="Arial" w:hAnsi="Arial" w:cs="Arial"/>
          <w:sz w:val="22"/>
          <w:szCs w:val="22"/>
        </w:rPr>
        <w:t>counterfactual analysis</w:t>
      </w:r>
      <w:r w:rsidR="00950E13" w:rsidRPr="00483004">
        <w:rPr>
          <w:rFonts w:ascii="Arial" w:hAnsi="Arial" w:cs="Arial"/>
          <w:sz w:val="22"/>
          <w:szCs w:val="22"/>
        </w:rPr>
        <w:t xml:space="preserve"> </w:t>
      </w:r>
      <w:r w:rsidR="00C622CE" w:rsidRPr="00483004">
        <w:rPr>
          <w:rFonts w:ascii="Arial" w:hAnsi="Arial" w:cs="Arial"/>
          <w:sz w:val="22"/>
          <w:szCs w:val="22"/>
        </w:rPr>
        <w:t xml:space="preserve">was carried out on the </w:t>
      </w:r>
      <w:r w:rsidR="00A257D3" w:rsidRPr="00483004">
        <w:rPr>
          <w:rFonts w:ascii="Arial" w:hAnsi="Arial" w:cs="Arial"/>
          <w:sz w:val="22"/>
          <w:szCs w:val="22"/>
        </w:rPr>
        <w:t xml:space="preserve">tax policy and administration </w:t>
      </w:r>
      <w:r w:rsidR="00451D69" w:rsidRPr="00483004">
        <w:rPr>
          <w:rFonts w:ascii="Arial" w:hAnsi="Arial" w:cs="Arial"/>
          <w:sz w:val="22"/>
          <w:szCs w:val="22"/>
        </w:rPr>
        <w:t xml:space="preserve">initiatives </w:t>
      </w:r>
      <w:r w:rsidR="009A6607" w:rsidRPr="00483004">
        <w:rPr>
          <w:rFonts w:ascii="Arial" w:hAnsi="Arial" w:cs="Arial"/>
          <w:sz w:val="22"/>
          <w:szCs w:val="22"/>
        </w:rPr>
        <w:t>of the program</w:t>
      </w:r>
      <w:r w:rsidR="00D61B73" w:rsidRPr="00483004">
        <w:rPr>
          <w:rFonts w:ascii="Arial" w:hAnsi="Arial" w:cs="Arial"/>
          <w:sz w:val="22"/>
          <w:szCs w:val="22"/>
        </w:rPr>
        <w:t xml:space="preserve"> as </w:t>
      </w:r>
      <w:r w:rsidR="009A6607" w:rsidRPr="00483004">
        <w:rPr>
          <w:rFonts w:ascii="Arial" w:hAnsi="Arial" w:cs="Arial"/>
          <w:sz w:val="22"/>
          <w:szCs w:val="22"/>
        </w:rPr>
        <w:t>th</w:t>
      </w:r>
      <w:r w:rsidR="00451D69" w:rsidRPr="00483004">
        <w:rPr>
          <w:rFonts w:ascii="Arial" w:hAnsi="Arial" w:cs="Arial"/>
          <w:sz w:val="22"/>
          <w:szCs w:val="22"/>
        </w:rPr>
        <w:t xml:space="preserve">ese constituted </w:t>
      </w:r>
      <w:r w:rsidR="00BC57D9" w:rsidRPr="00483004">
        <w:rPr>
          <w:rFonts w:ascii="Arial" w:hAnsi="Arial" w:cs="Arial"/>
          <w:sz w:val="22"/>
          <w:szCs w:val="22"/>
        </w:rPr>
        <w:t>the most</w:t>
      </w:r>
      <w:r w:rsidR="00D61B73" w:rsidRPr="00483004">
        <w:rPr>
          <w:rFonts w:ascii="Arial" w:hAnsi="Arial" w:cs="Arial"/>
          <w:sz w:val="22"/>
          <w:szCs w:val="22"/>
        </w:rPr>
        <w:t xml:space="preserve"> consequential</w:t>
      </w:r>
      <w:r w:rsidR="00BC57D9" w:rsidRPr="00483004">
        <w:rPr>
          <w:rFonts w:ascii="Arial" w:hAnsi="Arial" w:cs="Arial"/>
          <w:sz w:val="22"/>
          <w:szCs w:val="22"/>
        </w:rPr>
        <w:t xml:space="preserve"> of the five components</w:t>
      </w:r>
      <w:r w:rsidR="00451D69" w:rsidRPr="00483004">
        <w:rPr>
          <w:rFonts w:ascii="Arial" w:hAnsi="Arial" w:cs="Arial"/>
          <w:sz w:val="22"/>
          <w:szCs w:val="22"/>
        </w:rPr>
        <w:t xml:space="preserve"> of the program.</w:t>
      </w:r>
      <w:r w:rsidR="0026724D" w:rsidRPr="00401D3C">
        <w:rPr>
          <w:rFonts w:ascii="Arial" w:hAnsi="Arial" w:cs="Arial"/>
          <w:sz w:val="22"/>
          <w:szCs w:val="22"/>
        </w:rPr>
        <w:t xml:space="preserve"> </w:t>
      </w:r>
      <w:r w:rsidR="00684175" w:rsidRPr="00401D3C">
        <w:rPr>
          <w:rFonts w:ascii="Arial" w:hAnsi="Arial" w:cs="Arial"/>
          <w:sz w:val="22"/>
          <w:szCs w:val="22"/>
        </w:rPr>
        <w:t xml:space="preserve">The estimates of the counterfactual scenarios </w:t>
      </w:r>
      <w:r w:rsidR="008807B4" w:rsidRPr="00401D3C">
        <w:rPr>
          <w:rFonts w:ascii="Arial" w:hAnsi="Arial" w:cs="Arial"/>
          <w:sz w:val="22"/>
          <w:szCs w:val="22"/>
        </w:rPr>
        <w:t xml:space="preserve">were derived utilizing </w:t>
      </w:r>
      <w:r w:rsidR="00F863A4" w:rsidRPr="00401D3C">
        <w:rPr>
          <w:rFonts w:ascii="Arial" w:hAnsi="Arial" w:cs="Arial"/>
          <w:sz w:val="22"/>
          <w:szCs w:val="22"/>
        </w:rPr>
        <w:t>a Dynamic</w:t>
      </w:r>
      <w:r w:rsidR="0026724D" w:rsidRPr="00401D3C">
        <w:rPr>
          <w:rFonts w:ascii="Arial" w:hAnsi="Arial" w:cs="Arial"/>
          <w:sz w:val="22"/>
          <w:szCs w:val="22"/>
        </w:rPr>
        <w:t xml:space="preserve"> Computable General Equilibrium </w:t>
      </w:r>
      <w:r w:rsidR="00684175" w:rsidRPr="00401D3C">
        <w:rPr>
          <w:rFonts w:ascii="Arial" w:hAnsi="Arial" w:cs="Arial"/>
          <w:sz w:val="22"/>
          <w:szCs w:val="22"/>
        </w:rPr>
        <w:t>(DCGE) m</w:t>
      </w:r>
      <w:r w:rsidR="0026724D" w:rsidRPr="00401D3C">
        <w:rPr>
          <w:rFonts w:ascii="Arial" w:hAnsi="Arial" w:cs="Arial"/>
          <w:sz w:val="22"/>
          <w:szCs w:val="22"/>
        </w:rPr>
        <w:t>odel</w:t>
      </w:r>
      <w:r w:rsidR="008807B4" w:rsidRPr="00401D3C">
        <w:rPr>
          <w:rFonts w:ascii="Arial" w:hAnsi="Arial" w:cs="Arial"/>
          <w:sz w:val="22"/>
          <w:szCs w:val="22"/>
        </w:rPr>
        <w:t xml:space="preserve">, </w:t>
      </w:r>
      <w:r w:rsidR="00C05BF1" w:rsidRPr="00401D3C">
        <w:rPr>
          <w:rFonts w:ascii="Arial" w:hAnsi="Arial" w:cs="Arial"/>
          <w:sz w:val="22"/>
          <w:szCs w:val="22"/>
        </w:rPr>
        <w:t xml:space="preserve">and are </w:t>
      </w:r>
      <w:r w:rsidR="008807B4" w:rsidRPr="00401D3C">
        <w:rPr>
          <w:rFonts w:ascii="Arial" w:hAnsi="Arial" w:cs="Arial"/>
          <w:sz w:val="22"/>
          <w:szCs w:val="22"/>
        </w:rPr>
        <w:t>presented in Annex III</w:t>
      </w:r>
      <w:r w:rsidR="00C05BF1" w:rsidRPr="00401D3C">
        <w:rPr>
          <w:rFonts w:ascii="Arial" w:hAnsi="Arial" w:cs="Arial"/>
          <w:sz w:val="22"/>
          <w:szCs w:val="22"/>
        </w:rPr>
        <w:t>, Jamaica Tax Reform Assessment. A</w:t>
      </w:r>
      <w:r w:rsidR="00CF3CE8" w:rsidRPr="00401D3C">
        <w:rPr>
          <w:rFonts w:ascii="Arial" w:hAnsi="Arial" w:cs="Arial"/>
          <w:sz w:val="22"/>
          <w:szCs w:val="22"/>
        </w:rPr>
        <w:t xml:space="preserve">s noted </w:t>
      </w:r>
      <w:r w:rsidR="00C05BF1" w:rsidRPr="00401D3C">
        <w:rPr>
          <w:rFonts w:ascii="Arial" w:hAnsi="Arial" w:cs="Arial"/>
          <w:sz w:val="22"/>
          <w:szCs w:val="22"/>
        </w:rPr>
        <w:t xml:space="preserve">in the </w:t>
      </w:r>
      <w:r w:rsidR="00F863A4" w:rsidRPr="00401D3C">
        <w:rPr>
          <w:rFonts w:ascii="Arial" w:hAnsi="Arial" w:cs="Arial"/>
          <w:sz w:val="22"/>
          <w:szCs w:val="22"/>
        </w:rPr>
        <w:t>introduction, “</w:t>
      </w:r>
      <w:r w:rsidR="00CF3CE8" w:rsidRPr="00401D3C">
        <w:rPr>
          <w:rFonts w:ascii="Arial" w:eastAsia="SimSun" w:hAnsi="Arial" w:cs="Arial"/>
          <w:sz w:val="22"/>
          <w:szCs w:val="22"/>
        </w:rPr>
        <w:t>The objective of this report is to present an assessment of the comprehensive tax reform performed by the Government of Jamaica (GOJ) through 2011 – 2017.” (p. 9)</w:t>
      </w:r>
      <w:r w:rsidR="00CF3CE8" w:rsidRPr="00401D3C">
        <w:rPr>
          <w:rFonts w:ascii="Arial" w:hAnsi="Arial" w:cs="Arial"/>
          <w:sz w:val="22"/>
          <w:szCs w:val="22"/>
        </w:rPr>
        <w:t xml:space="preserve">. </w:t>
      </w:r>
      <w:r w:rsidR="00E12728" w:rsidRPr="00401D3C">
        <w:rPr>
          <w:rFonts w:ascii="Arial" w:hAnsi="Arial" w:cs="Arial"/>
          <w:sz w:val="22"/>
          <w:szCs w:val="22"/>
        </w:rPr>
        <w:t>Specifically,</w:t>
      </w:r>
      <w:r w:rsidR="00CF3CE8" w:rsidRPr="00401D3C">
        <w:rPr>
          <w:rFonts w:ascii="Arial" w:hAnsi="Arial" w:cs="Arial"/>
          <w:sz w:val="22"/>
          <w:szCs w:val="22"/>
        </w:rPr>
        <w:t xml:space="preserve"> </w:t>
      </w:r>
      <w:r w:rsidR="0093314D" w:rsidRPr="00401D3C">
        <w:rPr>
          <w:rFonts w:ascii="Arial" w:hAnsi="Arial" w:cs="Arial"/>
          <w:sz w:val="22"/>
          <w:szCs w:val="22"/>
        </w:rPr>
        <w:t xml:space="preserve">the analysis </w:t>
      </w:r>
      <w:r w:rsidR="00237B38" w:rsidRPr="00401D3C">
        <w:rPr>
          <w:rFonts w:ascii="Arial" w:hAnsi="Arial" w:cs="Arial"/>
          <w:sz w:val="22"/>
          <w:szCs w:val="22"/>
        </w:rPr>
        <w:t xml:space="preserve">was carried out fully cognizant </w:t>
      </w:r>
      <w:r w:rsidR="00DB1968" w:rsidRPr="00401D3C">
        <w:rPr>
          <w:rFonts w:ascii="Arial" w:hAnsi="Arial" w:cs="Arial"/>
          <w:sz w:val="22"/>
          <w:szCs w:val="22"/>
        </w:rPr>
        <w:t xml:space="preserve">that </w:t>
      </w:r>
      <w:r w:rsidR="00237B38" w:rsidRPr="00401D3C">
        <w:rPr>
          <w:rFonts w:ascii="Arial" w:hAnsi="Arial" w:cs="Arial"/>
          <w:sz w:val="22"/>
          <w:szCs w:val="22"/>
        </w:rPr>
        <w:t xml:space="preserve">these reforms had been supported </w:t>
      </w:r>
      <w:r w:rsidR="00EE77C9" w:rsidRPr="00401D3C">
        <w:rPr>
          <w:rFonts w:ascii="Arial" w:hAnsi="Arial" w:cs="Arial"/>
          <w:sz w:val="22"/>
          <w:szCs w:val="22"/>
        </w:rPr>
        <w:t xml:space="preserve">not only </w:t>
      </w:r>
      <w:r w:rsidR="00237B38" w:rsidRPr="00401D3C">
        <w:rPr>
          <w:rFonts w:ascii="Arial" w:hAnsi="Arial" w:cs="Arial"/>
          <w:sz w:val="22"/>
          <w:szCs w:val="22"/>
        </w:rPr>
        <w:t xml:space="preserve">by </w:t>
      </w:r>
      <w:r w:rsidR="00E51C1B" w:rsidRPr="00401D3C">
        <w:rPr>
          <w:rFonts w:ascii="Arial" w:hAnsi="Arial" w:cs="Arial"/>
          <w:sz w:val="22"/>
          <w:szCs w:val="22"/>
        </w:rPr>
        <w:t xml:space="preserve">the three FISPEG operations, </w:t>
      </w:r>
      <w:r w:rsidR="00EE77C9" w:rsidRPr="00401D3C">
        <w:rPr>
          <w:rFonts w:ascii="Arial" w:hAnsi="Arial" w:cs="Arial"/>
          <w:sz w:val="22"/>
          <w:szCs w:val="22"/>
        </w:rPr>
        <w:t xml:space="preserve">but also </w:t>
      </w:r>
      <w:r w:rsidR="00237B38" w:rsidRPr="00401D3C">
        <w:rPr>
          <w:rFonts w:ascii="Arial" w:hAnsi="Arial" w:cs="Arial"/>
          <w:sz w:val="22"/>
          <w:szCs w:val="22"/>
        </w:rPr>
        <w:t xml:space="preserve">the </w:t>
      </w:r>
      <w:r w:rsidR="00EE77C9" w:rsidRPr="00401D3C">
        <w:rPr>
          <w:rFonts w:ascii="Arial" w:hAnsi="Arial" w:cs="Arial"/>
          <w:sz w:val="22"/>
          <w:szCs w:val="22"/>
        </w:rPr>
        <w:t>predecessor (</w:t>
      </w:r>
      <w:r w:rsidR="00237B38" w:rsidRPr="00401D3C">
        <w:rPr>
          <w:rFonts w:ascii="Arial" w:hAnsi="Arial" w:cs="Arial"/>
          <w:sz w:val="22"/>
          <w:szCs w:val="22"/>
        </w:rPr>
        <w:t>truncated</w:t>
      </w:r>
      <w:r w:rsidR="00EE77C9" w:rsidRPr="00401D3C">
        <w:rPr>
          <w:rFonts w:ascii="Arial" w:hAnsi="Arial" w:cs="Arial"/>
          <w:sz w:val="22"/>
          <w:szCs w:val="22"/>
        </w:rPr>
        <w:t>)</w:t>
      </w:r>
      <w:r w:rsidR="00237B38" w:rsidRPr="00401D3C">
        <w:rPr>
          <w:rFonts w:ascii="Arial" w:hAnsi="Arial" w:cs="Arial"/>
          <w:sz w:val="22"/>
          <w:szCs w:val="22"/>
        </w:rPr>
        <w:t xml:space="preserve"> F</w:t>
      </w:r>
      <w:r w:rsidR="00E12728" w:rsidRPr="00401D3C">
        <w:rPr>
          <w:rFonts w:ascii="Arial" w:hAnsi="Arial" w:cs="Arial"/>
          <w:sz w:val="22"/>
          <w:szCs w:val="22"/>
        </w:rPr>
        <w:t>CP (</w:t>
      </w:r>
      <w:r w:rsidR="00237B38" w:rsidRPr="00401D3C">
        <w:rPr>
          <w:rFonts w:ascii="Arial" w:hAnsi="Arial" w:cs="Arial"/>
          <w:sz w:val="22"/>
          <w:szCs w:val="22"/>
        </w:rPr>
        <w:t>JA-L1032 &amp; JA-L1034), the O</w:t>
      </w:r>
      <w:r w:rsidR="00E12728" w:rsidRPr="00401D3C">
        <w:rPr>
          <w:rFonts w:ascii="Arial" w:hAnsi="Arial" w:cs="Arial"/>
          <w:sz w:val="22"/>
          <w:szCs w:val="22"/>
        </w:rPr>
        <w:t>I of the TC</w:t>
      </w:r>
      <w:r w:rsidR="00237B38" w:rsidRPr="00401D3C">
        <w:rPr>
          <w:rFonts w:ascii="Arial" w:hAnsi="Arial" w:cs="Arial"/>
          <w:sz w:val="22"/>
          <w:szCs w:val="22"/>
        </w:rPr>
        <w:t xml:space="preserve"> agreement (JA-T1066</w:t>
      </w:r>
      <w:r w:rsidR="00F863A4" w:rsidRPr="00401D3C">
        <w:rPr>
          <w:rFonts w:ascii="Arial" w:hAnsi="Arial" w:cs="Arial"/>
          <w:sz w:val="22"/>
          <w:szCs w:val="22"/>
        </w:rPr>
        <w:t>), the</w:t>
      </w:r>
      <w:r w:rsidR="00237B38" w:rsidRPr="00401D3C">
        <w:rPr>
          <w:rFonts w:ascii="Arial" w:hAnsi="Arial" w:cs="Arial"/>
          <w:sz w:val="22"/>
          <w:szCs w:val="22"/>
        </w:rPr>
        <w:t xml:space="preserve"> investment-</w:t>
      </w:r>
      <w:r w:rsidR="00CE221D" w:rsidRPr="00401D3C">
        <w:rPr>
          <w:rFonts w:ascii="Arial" w:hAnsi="Arial" w:cs="Arial"/>
          <w:sz w:val="22"/>
          <w:szCs w:val="22"/>
        </w:rPr>
        <w:t>loan-</w:t>
      </w:r>
      <w:r w:rsidR="00237B38" w:rsidRPr="00401D3C">
        <w:rPr>
          <w:rFonts w:ascii="Arial" w:hAnsi="Arial" w:cs="Arial"/>
          <w:sz w:val="22"/>
          <w:szCs w:val="22"/>
        </w:rPr>
        <w:t xml:space="preserve">funded tax administration program (FAMP – JA-L1039), </w:t>
      </w:r>
      <w:r w:rsidR="00E51C1B" w:rsidRPr="00401D3C">
        <w:rPr>
          <w:rFonts w:ascii="Arial" w:hAnsi="Arial" w:cs="Arial"/>
          <w:sz w:val="22"/>
          <w:szCs w:val="22"/>
        </w:rPr>
        <w:t xml:space="preserve">and the parallel IMF </w:t>
      </w:r>
      <w:r w:rsidR="00405617" w:rsidRPr="00401D3C">
        <w:rPr>
          <w:rFonts w:ascii="Arial" w:hAnsi="Arial" w:cs="Arial"/>
          <w:sz w:val="22"/>
          <w:szCs w:val="22"/>
        </w:rPr>
        <w:t xml:space="preserve">SBA and </w:t>
      </w:r>
      <w:r w:rsidR="00EE77C9" w:rsidRPr="00401D3C">
        <w:rPr>
          <w:rFonts w:ascii="Arial" w:hAnsi="Arial" w:cs="Arial"/>
          <w:sz w:val="22"/>
          <w:szCs w:val="22"/>
        </w:rPr>
        <w:t>EFF program</w:t>
      </w:r>
      <w:r w:rsidR="00405617" w:rsidRPr="00401D3C">
        <w:rPr>
          <w:rFonts w:ascii="Arial" w:hAnsi="Arial" w:cs="Arial"/>
          <w:sz w:val="22"/>
          <w:szCs w:val="22"/>
        </w:rPr>
        <w:t>s</w:t>
      </w:r>
      <w:r w:rsidR="00237B38" w:rsidRPr="00401D3C">
        <w:rPr>
          <w:rFonts w:ascii="Arial" w:hAnsi="Arial" w:cs="Arial"/>
          <w:sz w:val="22"/>
          <w:szCs w:val="22"/>
        </w:rPr>
        <w:t>.</w:t>
      </w:r>
      <w:r w:rsidR="00DB1968" w:rsidRPr="00040AA9">
        <w:rPr>
          <w:rFonts w:ascii="Arial" w:hAnsi="Arial" w:cs="Arial"/>
          <w:sz w:val="22"/>
          <w:szCs w:val="22"/>
        </w:rPr>
        <w:t xml:space="preserve"> Because </w:t>
      </w:r>
      <w:r w:rsidR="00060EE0" w:rsidRPr="00040AA9">
        <w:rPr>
          <w:rFonts w:ascii="Arial" w:hAnsi="Arial" w:cs="Arial"/>
          <w:sz w:val="22"/>
          <w:szCs w:val="22"/>
        </w:rPr>
        <w:t xml:space="preserve">these programs were interrelated and mutually supportive, as discussed elsewhere in this report, the </w:t>
      </w:r>
      <w:r w:rsidR="008B006F" w:rsidRPr="00040AA9">
        <w:rPr>
          <w:rFonts w:ascii="Arial" w:hAnsi="Arial" w:cs="Arial"/>
          <w:sz w:val="22"/>
          <w:szCs w:val="22"/>
        </w:rPr>
        <w:t>counterfactual analysis perforce is of their combined impact vs their collective absence</w:t>
      </w:r>
      <w:r w:rsidR="00F90DE6" w:rsidRPr="00040AA9">
        <w:rPr>
          <w:rFonts w:ascii="Arial" w:hAnsi="Arial" w:cs="Arial"/>
          <w:sz w:val="22"/>
          <w:szCs w:val="22"/>
        </w:rPr>
        <w:t>.</w:t>
      </w:r>
      <w:r w:rsidR="00F90DE6" w:rsidRPr="00040AA9">
        <w:rPr>
          <w:rStyle w:val="FootnoteReference"/>
          <w:rFonts w:ascii="Arial" w:hAnsi="Arial" w:cs="Arial"/>
          <w:sz w:val="22"/>
          <w:szCs w:val="22"/>
        </w:rPr>
        <w:footnoteReference w:id="141"/>
      </w:r>
      <w:r w:rsidR="008B006F" w:rsidRPr="00040AA9">
        <w:rPr>
          <w:rFonts w:ascii="Arial" w:hAnsi="Arial" w:cs="Arial"/>
          <w:sz w:val="22"/>
          <w:szCs w:val="22"/>
        </w:rPr>
        <w:t xml:space="preserve"> </w:t>
      </w:r>
      <w:r w:rsidR="00172399" w:rsidRPr="00040AA9">
        <w:rPr>
          <w:rFonts w:ascii="Arial" w:eastAsia="SimSun" w:hAnsi="Arial" w:cs="Arial"/>
          <w:sz w:val="22"/>
          <w:szCs w:val="22"/>
        </w:rPr>
        <w:t xml:space="preserve">Following are the </w:t>
      </w:r>
      <w:r w:rsidR="00D20BD3" w:rsidRPr="00040AA9">
        <w:rPr>
          <w:rFonts w:ascii="Arial" w:eastAsia="SimSun" w:hAnsi="Arial" w:cs="Arial"/>
          <w:sz w:val="22"/>
          <w:szCs w:val="22"/>
        </w:rPr>
        <w:t xml:space="preserve">general </w:t>
      </w:r>
      <w:r w:rsidR="00172399" w:rsidRPr="00040AA9">
        <w:rPr>
          <w:rFonts w:ascii="Arial" w:eastAsia="SimSun" w:hAnsi="Arial" w:cs="Arial"/>
          <w:sz w:val="22"/>
          <w:szCs w:val="22"/>
        </w:rPr>
        <w:t>findings of the report</w:t>
      </w:r>
      <w:r w:rsidR="00B66BFC" w:rsidRPr="00040AA9">
        <w:rPr>
          <w:rFonts w:ascii="Arial" w:eastAsia="SimSun" w:hAnsi="Arial" w:cs="Arial"/>
          <w:sz w:val="22"/>
          <w:szCs w:val="22"/>
        </w:rPr>
        <w:t xml:space="preserve"> </w:t>
      </w:r>
      <w:r w:rsidR="00D20BD3" w:rsidRPr="00040AA9">
        <w:rPr>
          <w:rFonts w:ascii="Arial" w:eastAsia="SimSun" w:hAnsi="Arial" w:cs="Arial"/>
          <w:sz w:val="22"/>
          <w:szCs w:val="22"/>
        </w:rPr>
        <w:t>followed by the finding</w:t>
      </w:r>
      <w:r w:rsidR="002B4B1D" w:rsidRPr="00040AA9">
        <w:rPr>
          <w:rFonts w:ascii="Arial" w:eastAsia="SimSun" w:hAnsi="Arial" w:cs="Arial"/>
          <w:sz w:val="22"/>
          <w:szCs w:val="22"/>
        </w:rPr>
        <w:t>s</w:t>
      </w:r>
      <w:r w:rsidR="00D20BD3" w:rsidRPr="00040AA9">
        <w:rPr>
          <w:rFonts w:ascii="Arial" w:eastAsia="SimSun" w:hAnsi="Arial" w:cs="Arial"/>
          <w:sz w:val="22"/>
          <w:szCs w:val="22"/>
        </w:rPr>
        <w:t xml:space="preserve"> of the counterfactual analysis. </w:t>
      </w:r>
      <w:r w:rsidR="00B66BFC" w:rsidRPr="00040AA9">
        <w:rPr>
          <w:rFonts w:ascii="Arial" w:eastAsia="SimSun" w:hAnsi="Arial" w:cs="Arial"/>
          <w:sz w:val="22"/>
          <w:szCs w:val="22"/>
        </w:rPr>
        <w:t>(with references to the page numbers in the report)</w:t>
      </w:r>
      <w:r w:rsidR="00172399" w:rsidRPr="00040AA9">
        <w:rPr>
          <w:rFonts w:ascii="Arial" w:eastAsia="SimSun" w:hAnsi="Arial" w:cs="Arial"/>
          <w:sz w:val="22"/>
          <w:szCs w:val="22"/>
        </w:rPr>
        <w:t>:</w:t>
      </w:r>
    </w:p>
    <w:p w14:paraId="7FCF26A1" w14:textId="753026BD" w:rsidR="00172399" w:rsidRPr="00F863A4" w:rsidRDefault="00172399" w:rsidP="00040AA9">
      <w:pPr>
        <w:pStyle w:val="p1"/>
        <w:suppressAutoHyphens/>
        <w:spacing w:before="120" w:after="120"/>
        <w:jc w:val="both"/>
        <w:rPr>
          <w:rFonts w:ascii="Arial" w:hAnsi="Arial" w:cs="Arial"/>
          <w:sz w:val="22"/>
          <w:szCs w:val="22"/>
        </w:rPr>
      </w:pPr>
      <w:r w:rsidRPr="00040AA9">
        <w:rPr>
          <w:rFonts w:ascii="Arial" w:hAnsi="Arial" w:cs="Arial"/>
          <w:b/>
          <w:sz w:val="22"/>
          <w:szCs w:val="22"/>
        </w:rPr>
        <w:t>General findings</w:t>
      </w:r>
      <w:r w:rsidR="00405617" w:rsidRPr="00040AA9">
        <w:rPr>
          <w:rFonts w:ascii="Arial" w:hAnsi="Arial" w:cs="Arial"/>
          <w:b/>
          <w:sz w:val="22"/>
          <w:szCs w:val="22"/>
        </w:rPr>
        <w:t xml:space="preserve"> of the Jamaica Tax Reform Assessment (Annex III)</w:t>
      </w:r>
    </w:p>
    <w:p w14:paraId="3EFBD67F" w14:textId="38242841" w:rsidR="00382DCA" w:rsidRPr="00040AA9" w:rsidRDefault="00382DCA" w:rsidP="00040AA9">
      <w:pPr>
        <w:pStyle w:val="p1"/>
        <w:numPr>
          <w:ilvl w:val="0"/>
          <w:numId w:val="8"/>
        </w:numPr>
        <w:suppressAutoHyphens/>
        <w:spacing w:before="120" w:after="120"/>
        <w:ind w:left="360"/>
        <w:jc w:val="both"/>
        <w:rPr>
          <w:rFonts w:ascii="Arial" w:hAnsi="Arial" w:cs="Arial"/>
          <w:sz w:val="22"/>
          <w:szCs w:val="22"/>
        </w:rPr>
      </w:pPr>
      <w:r w:rsidRPr="00040AA9">
        <w:rPr>
          <w:rFonts w:ascii="Arial" w:eastAsia="Times New Roman" w:hAnsi="Arial" w:cs="Arial"/>
          <w:sz w:val="22"/>
          <w:szCs w:val="22"/>
        </w:rPr>
        <w:t>The 2013 tax reform eliminated most discretionary waivers and eliminated or rationalized many categories of tax expenditures</w:t>
      </w:r>
      <w:r w:rsidR="00B01701" w:rsidRPr="00040AA9">
        <w:rPr>
          <w:rFonts w:ascii="Arial" w:eastAsia="Times New Roman" w:hAnsi="Arial" w:cs="Arial"/>
          <w:sz w:val="22"/>
          <w:szCs w:val="22"/>
        </w:rPr>
        <w:t xml:space="preserve"> </w:t>
      </w:r>
      <w:r w:rsidR="00B01701" w:rsidRPr="00040AA9">
        <w:rPr>
          <w:rFonts w:ascii="Arial" w:eastAsia="SimSun" w:hAnsi="Arial" w:cs="Arial"/>
          <w:sz w:val="22"/>
          <w:szCs w:val="22"/>
        </w:rPr>
        <w:t>(p. 9)</w:t>
      </w:r>
      <w:r w:rsidR="00E12728">
        <w:rPr>
          <w:rFonts w:ascii="Arial" w:eastAsia="SimSun" w:hAnsi="Arial" w:cs="Arial"/>
          <w:sz w:val="22"/>
          <w:szCs w:val="22"/>
        </w:rPr>
        <w:t>.</w:t>
      </w:r>
    </w:p>
    <w:p w14:paraId="5A6D8D1F" w14:textId="5E290560" w:rsidR="00382DCA" w:rsidRPr="00040AA9" w:rsidRDefault="00382DCA" w:rsidP="00040AA9">
      <w:pPr>
        <w:pStyle w:val="p1"/>
        <w:numPr>
          <w:ilvl w:val="0"/>
          <w:numId w:val="8"/>
        </w:numPr>
        <w:suppressAutoHyphens/>
        <w:spacing w:before="120" w:after="120"/>
        <w:ind w:left="360"/>
        <w:jc w:val="both"/>
        <w:rPr>
          <w:rFonts w:ascii="Arial" w:hAnsi="Arial" w:cs="Arial"/>
          <w:sz w:val="22"/>
          <w:szCs w:val="22"/>
        </w:rPr>
      </w:pPr>
      <w:r w:rsidRPr="00040AA9">
        <w:rPr>
          <w:rFonts w:ascii="Arial" w:eastAsia="Times New Roman" w:hAnsi="Arial" w:cs="Arial"/>
          <w:sz w:val="22"/>
          <w:szCs w:val="22"/>
        </w:rPr>
        <w:t>The tax measures introduced since 2009 have shifted the burden of the tax system from direct to indirect taxes</w:t>
      </w:r>
      <w:r w:rsidR="00B01701" w:rsidRPr="00040AA9">
        <w:rPr>
          <w:rFonts w:ascii="Arial" w:eastAsia="Times New Roman" w:hAnsi="Arial" w:cs="Arial"/>
          <w:sz w:val="22"/>
          <w:szCs w:val="22"/>
        </w:rPr>
        <w:t xml:space="preserve"> </w:t>
      </w:r>
      <w:r w:rsidR="00B01701" w:rsidRPr="00040AA9">
        <w:rPr>
          <w:rFonts w:ascii="Arial" w:eastAsia="SimSun" w:hAnsi="Arial" w:cs="Arial"/>
          <w:sz w:val="22"/>
          <w:szCs w:val="22"/>
        </w:rPr>
        <w:t>(p. 9)</w:t>
      </w:r>
      <w:r w:rsidR="00E12728">
        <w:rPr>
          <w:rFonts w:ascii="Arial" w:eastAsia="SimSun" w:hAnsi="Arial" w:cs="Arial"/>
          <w:sz w:val="22"/>
          <w:szCs w:val="22"/>
        </w:rPr>
        <w:t>.</w:t>
      </w:r>
    </w:p>
    <w:p w14:paraId="0A32B0F0" w14:textId="4FD81A0E" w:rsidR="00382DCA" w:rsidRPr="00040AA9" w:rsidRDefault="00382DCA" w:rsidP="00040AA9">
      <w:pPr>
        <w:pStyle w:val="p1"/>
        <w:numPr>
          <w:ilvl w:val="0"/>
          <w:numId w:val="8"/>
        </w:numPr>
        <w:suppressAutoHyphens/>
        <w:spacing w:before="120" w:after="120"/>
        <w:ind w:left="360"/>
        <w:jc w:val="both"/>
        <w:rPr>
          <w:rFonts w:ascii="Arial" w:hAnsi="Arial" w:cs="Arial"/>
          <w:sz w:val="22"/>
          <w:szCs w:val="22"/>
        </w:rPr>
      </w:pPr>
      <w:r w:rsidRPr="00040AA9">
        <w:rPr>
          <w:rFonts w:ascii="Arial" w:eastAsia="Times New Roman" w:hAnsi="Arial" w:cs="Arial"/>
          <w:sz w:val="22"/>
          <w:szCs w:val="22"/>
        </w:rPr>
        <w:t xml:space="preserve">A key component of the tax reform has been the widening of the tax base. The incorporation of government purchases into the GCT base </w:t>
      </w:r>
      <w:r w:rsidR="00AA193A">
        <w:rPr>
          <w:rFonts w:ascii="Arial" w:eastAsia="Times New Roman" w:hAnsi="Arial" w:cs="Arial"/>
          <w:sz w:val="22"/>
          <w:szCs w:val="22"/>
        </w:rPr>
        <w:t>represents</w:t>
      </w:r>
      <w:r w:rsidRPr="00040AA9">
        <w:rPr>
          <w:rFonts w:ascii="Arial" w:eastAsia="Times New Roman" w:hAnsi="Arial" w:cs="Arial"/>
          <w:sz w:val="22"/>
          <w:szCs w:val="22"/>
        </w:rPr>
        <w:t xml:space="preserve"> a significa</w:t>
      </w:r>
      <w:r w:rsidR="00172399" w:rsidRPr="00040AA9">
        <w:rPr>
          <w:rFonts w:ascii="Arial" w:eastAsia="Times New Roman" w:hAnsi="Arial" w:cs="Arial"/>
          <w:sz w:val="22"/>
          <w:szCs w:val="22"/>
        </w:rPr>
        <w:t>n</w:t>
      </w:r>
      <w:r w:rsidRPr="00040AA9">
        <w:rPr>
          <w:rFonts w:ascii="Arial" w:eastAsia="Times New Roman" w:hAnsi="Arial" w:cs="Arial"/>
          <w:sz w:val="22"/>
          <w:szCs w:val="22"/>
        </w:rPr>
        <w:t>t step in</w:t>
      </w:r>
      <w:r w:rsidR="00AA193A">
        <w:rPr>
          <w:rFonts w:ascii="Arial" w:eastAsia="Times New Roman" w:hAnsi="Arial" w:cs="Arial"/>
          <w:sz w:val="22"/>
          <w:szCs w:val="22"/>
        </w:rPr>
        <w:t xml:space="preserve"> the</w:t>
      </w:r>
      <w:r w:rsidRPr="00040AA9">
        <w:rPr>
          <w:rFonts w:ascii="Arial" w:eastAsia="Times New Roman" w:hAnsi="Arial" w:cs="Arial"/>
          <w:sz w:val="22"/>
          <w:szCs w:val="22"/>
        </w:rPr>
        <w:t xml:space="preserve"> widening </w:t>
      </w:r>
      <w:r w:rsidR="00AA193A">
        <w:rPr>
          <w:rFonts w:ascii="Arial" w:eastAsia="Times New Roman" w:hAnsi="Arial" w:cs="Arial"/>
          <w:sz w:val="22"/>
          <w:szCs w:val="22"/>
        </w:rPr>
        <w:t xml:space="preserve">of </w:t>
      </w:r>
      <w:r w:rsidRPr="00040AA9">
        <w:rPr>
          <w:rFonts w:ascii="Arial" w:eastAsia="Times New Roman" w:hAnsi="Arial" w:cs="Arial"/>
          <w:sz w:val="22"/>
          <w:szCs w:val="22"/>
        </w:rPr>
        <w:t>th</w:t>
      </w:r>
      <w:r w:rsidR="00AA193A">
        <w:rPr>
          <w:rFonts w:ascii="Arial" w:eastAsia="Times New Roman" w:hAnsi="Arial" w:cs="Arial"/>
          <w:sz w:val="22"/>
          <w:szCs w:val="22"/>
        </w:rPr>
        <w:t>is</w:t>
      </w:r>
      <w:r w:rsidRPr="00040AA9">
        <w:rPr>
          <w:rFonts w:ascii="Arial" w:eastAsia="Times New Roman" w:hAnsi="Arial" w:cs="Arial"/>
          <w:sz w:val="22"/>
          <w:szCs w:val="22"/>
        </w:rPr>
        <w:t xml:space="preserve"> base of indirect taxes </w:t>
      </w:r>
      <w:r w:rsidR="00B01701" w:rsidRPr="00040AA9">
        <w:rPr>
          <w:rFonts w:ascii="Arial" w:eastAsia="SimSun" w:hAnsi="Arial" w:cs="Arial"/>
          <w:sz w:val="22"/>
          <w:szCs w:val="22"/>
        </w:rPr>
        <w:t>(p. 9)</w:t>
      </w:r>
      <w:r w:rsidR="00E12728">
        <w:rPr>
          <w:rFonts w:ascii="Arial" w:eastAsia="SimSun" w:hAnsi="Arial" w:cs="Arial"/>
          <w:sz w:val="22"/>
          <w:szCs w:val="22"/>
        </w:rPr>
        <w:t>.</w:t>
      </w:r>
    </w:p>
    <w:p w14:paraId="6D6CA674" w14:textId="1169E3FE" w:rsidR="00172399" w:rsidRPr="00040AA9" w:rsidRDefault="000A7F9E" w:rsidP="00040AA9">
      <w:pPr>
        <w:pStyle w:val="p1"/>
        <w:numPr>
          <w:ilvl w:val="1"/>
          <w:numId w:val="8"/>
        </w:numPr>
        <w:suppressAutoHyphens/>
        <w:spacing w:before="120" w:after="120"/>
        <w:ind w:left="720"/>
        <w:jc w:val="both"/>
        <w:rPr>
          <w:rFonts w:ascii="Arial" w:hAnsi="Arial" w:cs="Arial"/>
          <w:sz w:val="22"/>
          <w:szCs w:val="22"/>
        </w:rPr>
      </w:pPr>
      <w:r w:rsidRPr="00040AA9">
        <w:rPr>
          <w:rFonts w:ascii="Arial" w:hAnsi="Arial" w:cs="Arial"/>
          <w:sz w:val="22"/>
          <w:szCs w:val="22"/>
        </w:rPr>
        <w:t xml:space="preserve"> </w:t>
      </w:r>
      <w:r w:rsidR="00985264" w:rsidRPr="00040AA9">
        <w:rPr>
          <w:rFonts w:ascii="Arial" w:hAnsi="Arial" w:cs="Arial"/>
          <w:sz w:val="22"/>
          <w:szCs w:val="22"/>
        </w:rPr>
        <w:t>[</w:t>
      </w:r>
      <w:r w:rsidR="00172399" w:rsidRPr="00040AA9">
        <w:rPr>
          <w:rFonts w:ascii="Arial" w:hAnsi="Arial" w:cs="Arial"/>
          <w:sz w:val="22"/>
          <w:szCs w:val="22"/>
        </w:rPr>
        <w:t xml:space="preserve">As noted in the discussion on </w:t>
      </w:r>
      <w:r w:rsidR="00E12728">
        <w:rPr>
          <w:rFonts w:ascii="Arial" w:hAnsi="Arial" w:cs="Arial"/>
          <w:sz w:val="22"/>
          <w:szCs w:val="22"/>
        </w:rPr>
        <w:t>o</w:t>
      </w:r>
      <w:r w:rsidR="00172399" w:rsidRPr="00040AA9">
        <w:rPr>
          <w:rFonts w:ascii="Arial" w:hAnsi="Arial" w:cs="Arial"/>
          <w:sz w:val="22"/>
          <w:szCs w:val="22"/>
        </w:rPr>
        <w:t xml:space="preserve">utcomes above (see </w:t>
      </w:r>
      <w:r w:rsidR="00E12728">
        <w:rPr>
          <w:rFonts w:ascii="Arial" w:hAnsi="Arial" w:cs="Arial"/>
          <w:sz w:val="22"/>
          <w:szCs w:val="22"/>
        </w:rPr>
        <w:t>O</w:t>
      </w:r>
      <w:r w:rsidR="00172399" w:rsidRPr="00040AA9">
        <w:rPr>
          <w:rFonts w:ascii="Arial" w:hAnsi="Arial" w:cs="Arial"/>
          <w:sz w:val="22"/>
          <w:szCs w:val="22"/>
        </w:rPr>
        <w:t>utcome indicator 3.1) the revenues associated with this initiative substantially exceeded expectations.</w:t>
      </w:r>
      <w:r w:rsidR="00985264" w:rsidRPr="00040AA9">
        <w:rPr>
          <w:rFonts w:ascii="Arial" w:hAnsi="Arial" w:cs="Arial"/>
          <w:sz w:val="22"/>
          <w:szCs w:val="22"/>
        </w:rPr>
        <w:t>]</w:t>
      </w:r>
      <w:r w:rsidR="009E2A51" w:rsidRPr="00040AA9">
        <w:rPr>
          <w:rFonts w:ascii="Arial" w:hAnsi="Arial" w:cs="Arial"/>
          <w:sz w:val="22"/>
          <w:szCs w:val="22"/>
        </w:rPr>
        <w:t xml:space="preserve"> </w:t>
      </w:r>
    </w:p>
    <w:p w14:paraId="64143261" w14:textId="3E7424D3" w:rsidR="00B01701" w:rsidRPr="00040AA9" w:rsidRDefault="00382DCA" w:rsidP="00040AA9">
      <w:pPr>
        <w:pStyle w:val="p1"/>
        <w:numPr>
          <w:ilvl w:val="0"/>
          <w:numId w:val="8"/>
        </w:numPr>
        <w:suppressAutoHyphens/>
        <w:spacing w:before="120" w:after="120"/>
        <w:ind w:left="360"/>
        <w:jc w:val="both"/>
        <w:rPr>
          <w:rFonts w:ascii="Arial" w:hAnsi="Arial" w:cs="Arial"/>
          <w:sz w:val="22"/>
          <w:szCs w:val="22"/>
        </w:rPr>
      </w:pPr>
      <w:r w:rsidRPr="00040AA9">
        <w:rPr>
          <w:rFonts w:ascii="Arial" w:eastAsia="Times New Roman" w:hAnsi="Arial" w:cs="Arial"/>
          <w:sz w:val="22"/>
          <w:szCs w:val="22"/>
        </w:rPr>
        <w:t xml:space="preserve">Another key component of the tax reform has been the reduction of tax expenditures. Total tax expenditures have decreased from 6.5% of GDP in 2011 to </w:t>
      </w:r>
      <w:r w:rsidR="00215449" w:rsidRPr="00040AA9">
        <w:rPr>
          <w:rFonts w:ascii="Arial" w:eastAsia="Times New Roman" w:hAnsi="Arial" w:cs="Arial"/>
          <w:sz w:val="22"/>
          <w:szCs w:val="22"/>
        </w:rPr>
        <w:t>[</w:t>
      </w:r>
      <w:r w:rsidR="000F5C62" w:rsidRPr="00040AA9">
        <w:rPr>
          <w:rFonts w:ascii="Arial" w:eastAsia="Times New Roman" w:hAnsi="Arial" w:cs="Arial"/>
          <w:sz w:val="22"/>
          <w:szCs w:val="22"/>
        </w:rPr>
        <w:t xml:space="preserve">3.7% in 2015 and] </w:t>
      </w:r>
      <w:r w:rsidRPr="00040AA9">
        <w:rPr>
          <w:rFonts w:ascii="Arial" w:eastAsia="Times New Roman" w:hAnsi="Arial" w:cs="Arial"/>
          <w:sz w:val="22"/>
          <w:szCs w:val="22"/>
        </w:rPr>
        <w:t>3.5% in 2016. Discretionary waivers have decreased from 1.0% of GDP in 2011 to 0.6% in 2016</w:t>
      </w:r>
      <w:r w:rsidR="00B01701" w:rsidRPr="00040AA9">
        <w:rPr>
          <w:rFonts w:ascii="Arial" w:eastAsia="Times New Roman" w:hAnsi="Arial" w:cs="Arial"/>
          <w:sz w:val="22"/>
          <w:szCs w:val="22"/>
        </w:rPr>
        <w:t xml:space="preserve"> </w:t>
      </w:r>
      <w:r w:rsidR="00D616A9" w:rsidRPr="00040AA9">
        <w:rPr>
          <w:rFonts w:ascii="Arial" w:eastAsia="SimSun" w:hAnsi="Arial" w:cs="Arial"/>
          <w:sz w:val="22"/>
          <w:szCs w:val="22"/>
        </w:rPr>
        <w:t>(p.</w:t>
      </w:r>
      <w:r w:rsidR="00E12728">
        <w:rPr>
          <w:rFonts w:ascii="Arial" w:eastAsia="SimSun" w:hAnsi="Arial" w:cs="Arial"/>
          <w:sz w:val="22"/>
          <w:szCs w:val="22"/>
        </w:rPr>
        <w:t> </w:t>
      </w:r>
      <w:r w:rsidR="00D616A9" w:rsidRPr="00040AA9">
        <w:rPr>
          <w:rFonts w:ascii="Arial" w:eastAsia="SimSun" w:hAnsi="Arial" w:cs="Arial"/>
          <w:sz w:val="22"/>
          <w:szCs w:val="22"/>
        </w:rPr>
        <w:t>10</w:t>
      </w:r>
      <w:r w:rsidR="00B01701" w:rsidRPr="00040AA9">
        <w:rPr>
          <w:rFonts w:ascii="Arial" w:eastAsia="SimSun" w:hAnsi="Arial" w:cs="Arial"/>
          <w:sz w:val="22"/>
          <w:szCs w:val="22"/>
        </w:rPr>
        <w:t>)</w:t>
      </w:r>
    </w:p>
    <w:p w14:paraId="05D125FD" w14:textId="4011EBBF" w:rsidR="000A7F9E" w:rsidRPr="00040AA9" w:rsidRDefault="000A7F9E" w:rsidP="00040AA9">
      <w:pPr>
        <w:pStyle w:val="p1"/>
        <w:numPr>
          <w:ilvl w:val="1"/>
          <w:numId w:val="8"/>
        </w:numPr>
        <w:suppressAutoHyphens/>
        <w:spacing w:before="120" w:after="120"/>
        <w:ind w:left="720"/>
        <w:jc w:val="both"/>
        <w:rPr>
          <w:rFonts w:ascii="Arial" w:hAnsi="Arial" w:cs="Arial"/>
          <w:sz w:val="22"/>
          <w:szCs w:val="22"/>
        </w:rPr>
      </w:pPr>
      <w:r w:rsidRPr="00040AA9">
        <w:rPr>
          <w:rFonts w:ascii="Arial" w:eastAsia="Times New Roman" w:hAnsi="Arial" w:cs="Arial"/>
          <w:sz w:val="22"/>
          <w:szCs w:val="22"/>
        </w:rPr>
        <w:t xml:space="preserve">As percentage of GDP, </w:t>
      </w:r>
      <w:r w:rsidR="00E12728">
        <w:rPr>
          <w:rFonts w:ascii="Arial" w:eastAsia="Times New Roman" w:hAnsi="Arial" w:cs="Arial"/>
          <w:sz w:val="22"/>
          <w:szCs w:val="22"/>
        </w:rPr>
        <w:t>s</w:t>
      </w:r>
      <w:r w:rsidRPr="00040AA9">
        <w:rPr>
          <w:rFonts w:ascii="Arial" w:eastAsia="Times New Roman" w:hAnsi="Arial" w:cs="Arial"/>
          <w:sz w:val="22"/>
          <w:szCs w:val="22"/>
        </w:rPr>
        <w:t xml:space="preserve">tatutory tax expenditures have fallen from 4.3% in 2011 to 1.8% in 2015. It is important to notice that efforts to reduce tax expenditures in Jamaica date to years before the 2013 tax reform. They were part of the truncated 2010 IMF’s SBA and </w:t>
      </w:r>
      <w:r w:rsidR="00E12728">
        <w:rPr>
          <w:rFonts w:ascii="Arial" w:eastAsia="Times New Roman" w:hAnsi="Arial" w:cs="Arial"/>
          <w:sz w:val="22"/>
          <w:szCs w:val="22"/>
        </w:rPr>
        <w:t>Bank</w:t>
      </w:r>
      <w:r w:rsidRPr="00040AA9">
        <w:rPr>
          <w:rFonts w:ascii="Arial" w:eastAsia="Times New Roman" w:hAnsi="Arial" w:cs="Arial"/>
          <w:sz w:val="22"/>
          <w:szCs w:val="22"/>
        </w:rPr>
        <w:t xml:space="preserve">’s </w:t>
      </w:r>
      <w:r w:rsidR="00512B74">
        <w:rPr>
          <w:rFonts w:ascii="Arial" w:eastAsia="Times New Roman" w:hAnsi="Arial" w:cs="Arial"/>
          <w:sz w:val="22"/>
          <w:szCs w:val="22"/>
        </w:rPr>
        <w:t>[FCP]</w:t>
      </w:r>
      <w:r w:rsidR="00512B74" w:rsidRPr="00040AA9">
        <w:rPr>
          <w:rFonts w:ascii="Arial" w:eastAsia="Times New Roman" w:hAnsi="Arial" w:cs="Arial"/>
          <w:sz w:val="22"/>
          <w:szCs w:val="22"/>
        </w:rPr>
        <w:t xml:space="preserve"> </w:t>
      </w:r>
      <w:r w:rsidRPr="00040AA9">
        <w:rPr>
          <w:rFonts w:ascii="Arial" w:eastAsia="Times New Roman" w:hAnsi="Arial" w:cs="Arial"/>
          <w:sz w:val="22"/>
          <w:szCs w:val="22"/>
        </w:rPr>
        <w:t>program (p. 56)</w:t>
      </w:r>
    </w:p>
    <w:p w14:paraId="4A38D48E" w14:textId="7E28C0B0" w:rsidR="00B2654F" w:rsidRPr="00040AA9" w:rsidRDefault="0089780F" w:rsidP="00040AA9">
      <w:pPr>
        <w:pStyle w:val="p1"/>
        <w:numPr>
          <w:ilvl w:val="1"/>
          <w:numId w:val="8"/>
        </w:numPr>
        <w:suppressAutoHyphens/>
        <w:spacing w:before="120" w:after="120"/>
        <w:ind w:left="720"/>
        <w:jc w:val="both"/>
        <w:rPr>
          <w:rFonts w:ascii="Arial" w:hAnsi="Arial" w:cs="Arial"/>
          <w:sz w:val="22"/>
          <w:szCs w:val="22"/>
        </w:rPr>
      </w:pPr>
      <w:r w:rsidRPr="00040AA9">
        <w:rPr>
          <w:rFonts w:ascii="Arial" w:eastAsia="Times New Roman" w:hAnsi="Arial" w:cs="Arial"/>
          <w:sz w:val="22"/>
          <w:szCs w:val="22"/>
        </w:rPr>
        <w:t xml:space="preserve">Discretionary waivers are tax expenditures granted by the </w:t>
      </w:r>
      <w:proofErr w:type="spellStart"/>
      <w:r w:rsidRPr="00040AA9">
        <w:rPr>
          <w:rFonts w:ascii="Arial" w:eastAsia="Times New Roman" w:hAnsi="Arial" w:cs="Arial"/>
          <w:sz w:val="22"/>
          <w:szCs w:val="22"/>
        </w:rPr>
        <w:t>MoF</w:t>
      </w:r>
      <w:proofErr w:type="spellEnd"/>
      <w:r w:rsidRPr="00040AA9">
        <w:rPr>
          <w:rFonts w:ascii="Arial" w:eastAsia="Times New Roman" w:hAnsi="Arial" w:cs="Arial"/>
          <w:sz w:val="22"/>
          <w:szCs w:val="22"/>
        </w:rPr>
        <w:t xml:space="preserve"> at the discretion of its </w:t>
      </w:r>
      <w:r w:rsidR="00E12728">
        <w:rPr>
          <w:rFonts w:ascii="Arial" w:eastAsia="Times New Roman" w:hAnsi="Arial" w:cs="Arial"/>
          <w:sz w:val="22"/>
          <w:szCs w:val="22"/>
        </w:rPr>
        <w:t>m</w:t>
      </w:r>
      <w:r w:rsidRPr="00040AA9">
        <w:rPr>
          <w:rFonts w:ascii="Arial" w:eastAsia="Times New Roman" w:hAnsi="Arial" w:cs="Arial"/>
          <w:sz w:val="22"/>
          <w:szCs w:val="22"/>
        </w:rPr>
        <w:t xml:space="preserve">inister. The have decreased from 2.4% of GDP in 2006 to 0.4% in 2013. </w:t>
      </w:r>
      <w:r w:rsidR="00F863A4" w:rsidRPr="00F863A4">
        <w:rPr>
          <w:rFonts w:ascii="Arial" w:eastAsia="Times New Roman" w:hAnsi="Arial" w:cs="Arial"/>
          <w:sz w:val="22"/>
          <w:szCs w:val="22"/>
        </w:rPr>
        <w:t>However,</w:t>
      </w:r>
      <w:r w:rsidRPr="00040AA9">
        <w:rPr>
          <w:rFonts w:ascii="Arial" w:eastAsia="Times New Roman" w:hAnsi="Arial" w:cs="Arial"/>
          <w:sz w:val="22"/>
          <w:szCs w:val="22"/>
        </w:rPr>
        <w:t xml:space="preserve"> in the last two years th</w:t>
      </w:r>
      <w:r w:rsidR="007B40DA" w:rsidRPr="00040AA9">
        <w:rPr>
          <w:rFonts w:ascii="Arial" w:eastAsia="Times New Roman" w:hAnsi="Arial" w:cs="Arial"/>
          <w:sz w:val="22"/>
          <w:szCs w:val="22"/>
        </w:rPr>
        <w:t>ey have started to grow</w:t>
      </w:r>
      <w:r w:rsidRPr="00040AA9">
        <w:rPr>
          <w:rFonts w:ascii="Arial" w:eastAsia="Times New Roman" w:hAnsi="Arial" w:cs="Arial"/>
          <w:sz w:val="22"/>
          <w:szCs w:val="22"/>
        </w:rPr>
        <w:t xml:space="preserve"> again</w:t>
      </w:r>
      <w:r w:rsidR="007B40DA" w:rsidRPr="00040AA9">
        <w:rPr>
          <w:rFonts w:ascii="Arial" w:eastAsia="Times New Roman" w:hAnsi="Arial" w:cs="Arial"/>
          <w:sz w:val="22"/>
          <w:szCs w:val="22"/>
        </w:rPr>
        <w:t xml:space="preserve"> [to roughly 0.9% in 2015]</w:t>
      </w:r>
      <w:r w:rsidRPr="00040AA9">
        <w:rPr>
          <w:rFonts w:ascii="Arial" w:eastAsia="Times New Roman" w:hAnsi="Arial" w:cs="Arial"/>
          <w:sz w:val="22"/>
          <w:szCs w:val="22"/>
        </w:rPr>
        <w:t xml:space="preserve"> as a result of waivers granted to Import Duty and </w:t>
      </w:r>
      <w:r w:rsidRPr="003606E2">
        <w:rPr>
          <w:rFonts w:ascii="Arial" w:eastAsia="Times New Roman" w:hAnsi="Arial" w:cs="Arial"/>
          <w:sz w:val="22"/>
          <w:szCs w:val="22"/>
        </w:rPr>
        <w:t>SCT</w:t>
      </w:r>
      <w:r w:rsidR="0095757A">
        <w:rPr>
          <w:rFonts w:ascii="Arial" w:eastAsia="Times New Roman" w:hAnsi="Arial" w:cs="Arial"/>
          <w:sz w:val="22"/>
          <w:szCs w:val="22"/>
        </w:rPr>
        <w:t xml:space="preserve"> </w:t>
      </w:r>
      <w:r w:rsidRPr="00040AA9">
        <w:rPr>
          <w:rFonts w:ascii="Arial" w:eastAsia="Times New Roman" w:hAnsi="Arial" w:cs="Arial"/>
          <w:sz w:val="22"/>
          <w:szCs w:val="22"/>
        </w:rPr>
        <w:t>on Fuel products.</w:t>
      </w:r>
      <w:r w:rsidRPr="00040AA9">
        <w:rPr>
          <w:rFonts w:ascii="Arial" w:hAnsi="Arial" w:cs="Arial"/>
          <w:sz w:val="22"/>
          <w:szCs w:val="22"/>
        </w:rPr>
        <w:t xml:space="preserve"> (p. 56</w:t>
      </w:r>
      <w:r w:rsidR="007B40DA" w:rsidRPr="00040AA9">
        <w:rPr>
          <w:rFonts w:ascii="Arial" w:hAnsi="Arial" w:cs="Arial"/>
          <w:sz w:val="22"/>
          <w:szCs w:val="22"/>
        </w:rPr>
        <w:t xml:space="preserve"> &amp; graph on p. 57</w:t>
      </w:r>
      <w:r w:rsidRPr="00040AA9">
        <w:rPr>
          <w:rFonts w:ascii="Arial" w:hAnsi="Arial" w:cs="Arial"/>
          <w:sz w:val="22"/>
          <w:szCs w:val="22"/>
        </w:rPr>
        <w:t>)</w:t>
      </w:r>
    </w:p>
    <w:p w14:paraId="1A490F57" w14:textId="254145D5" w:rsidR="00382DCA" w:rsidRPr="00040AA9" w:rsidRDefault="00B01701" w:rsidP="00040AA9">
      <w:pPr>
        <w:pStyle w:val="p1"/>
        <w:numPr>
          <w:ilvl w:val="0"/>
          <w:numId w:val="8"/>
        </w:numPr>
        <w:suppressAutoHyphens/>
        <w:spacing w:before="120" w:after="120"/>
        <w:ind w:left="360"/>
        <w:jc w:val="both"/>
        <w:rPr>
          <w:rFonts w:ascii="Arial" w:hAnsi="Arial" w:cs="Arial"/>
          <w:sz w:val="22"/>
          <w:szCs w:val="22"/>
        </w:rPr>
      </w:pPr>
      <w:r w:rsidRPr="00040AA9">
        <w:rPr>
          <w:rFonts w:ascii="Arial" w:eastAsia="Times New Roman" w:hAnsi="Arial" w:cs="Arial"/>
          <w:sz w:val="22"/>
          <w:szCs w:val="22"/>
        </w:rPr>
        <w:t xml:space="preserve">Implementation delays notwithstanding, the Jamaican tax reform has had a positive impact on mobilizing tax revenue. Measured as percentage of GDP, tax revenue increased from 23.5% at the beginning of 2013 to 25.6% at the end of FY 2016/17. After a false start in 2013, tax revenue </w:t>
      </w:r>
      <w:r w:rsidR="00F863A4" w:rsidRPr="00F863A4">
        <w:rPr>
          <w:rFonts w:ascii="Arial" w:eastAsia="Times New Roman" w:hAnsi="Arial" w:cs="Arial"/>
          <w:sz w:val="22"/>
          <w:szCs w:val="22"/>
        </w:rPr>
        <w:t>has</w:t>
      </w:r>
      <w:r w:rsidRPr="00040AA9">
        <w:rPr>
          <w:rFonts w:ascii="Arial" w:eastAsia="Times New Roman" w:hAnsi="Arial" w:cs="Arial"/>
          <w:sz w:val="22"/>
          <w:szCs w:val="22"/>
        </w:rPr>
        <w:t xml:space="preserve"> continued to increase as a percentage of GDP and estimates for 2017 indicate that this trend should continue.</w:t>
      </w:r>
      <w:r w:rsidR="00653027" w:rsidRPr="00040AA9">
        <w:rPr>
          <w:rFonts w:ascii="Arial" w:eastAsia="Times New Roman" w:hAnsi="Arial" w:cs="Arial"/>
          <w:sz w:val="22"/>
          <w:szCs w:val="22"/>
        </w:rPr>
        <w:t xml:space="preserve"> </w:t>
      </w:r>
      <w:r w:rsidRPr="00040AA9">
        <w:rPr>
          <w:rFonts w:ascii="Arial" w:eastAsia="Times New Roman" w:hAnsi="Arial" w:cs="Arial"/>
          <w:sz w:val="22"/>
          <w:szCs w:val="22"/>
        </w:rPr>
        <w:t>(p. 11)</w:t>
      </w:r>
    </w:p>
    <w:p w14:paraId="78C0AC09" w14:textId="02BD4360" w:rsidR="00B01701" w:rsidRPr="00040AA9" w:rsidRDefault="00B01701" w:rsidP="00040AA9">
      <w:pPr>
        <w:pStyle w:val="p1"/>
        <w:suppressAutoHyphens/>
        <w:spacing w:before="120" w:after="120"/>
        <w:ind w:left="360"/>
        <w:rPr>
          <w:rFonts w:ascii="Arial" w:eastAsia="Times New Roman" w:hAnsi="Arial" w:cs="Arial"/>
          <w:b/>
          <w:sz w:val="22"/>
          <w:szCs w:val="22"/>
        </w:rPr>
      </w:pPr>
      <w:r w:rsidRPr="00040AA9">
        <w:rPr>
          <w:rFonts w:ascii="Arial" w:eastAsia="Times New Roman" w:hAnsi="Arial" w:cs="Arial"/>
          <w:b/>
          <w:sz w:val="22"/>
          <w:szCs w:val="22"/>
        </w:rPr>
        <w:t xml:space="preserve">Findings of </w:t>
      </w:r>
      <w:r w:rsidR="009E2A51" w:rsidRPr="00040AA9">
        <w:rPr>
          <w:rFonts w:ascii="Arial" w:eastAsia="Times New Roman" w:hAnsi="Arial" w:cs="Arial"/>
          <w:b/>
          <w:sz w:val="22"/>
          <w:szCs w:val="22"/>
        </w:rPr>
        <w:t xml:space="preserve">the </w:t>
      </w:r>
      <w:r w:rsidRPr="00040AA9">
        <w:rPr>
          <w:rFonts w:ascii="Arial" w:eastAsia="Times New Roman" w:hAnsi="Arial" w:cs="Arial"/>
          <w:b/>
          <w:sz w:val="22"/>
          <w:szCs w:val="22"/>
        </w:rPr>
        <w:t>counterfactual analysis</w:t>
      </w:r>
      <w:r w:rsidR="00CF47C9" w:rsidRPr="00040AA9">
        <w:rPr>
          <w:rStyle w:val="FootnoteReference"/>
          <w:rFonts w:ascii="Arial" w:eastAsia="Times New Roman" w:hAnsi="Arial" w:cs="Arial"/>
          <w:b/>
          <w:sz w:val="22"/>
          <w:szCs w:val="22"/>
        </w:rPr>
        <w:footnoteReference w:id="142"/>
      </w:r>
    </w:p>
    <w:p w14:paraId="6C5F6584" w14:textId="306C66CD" w:rsidR="00B01701" w:rsidRPr="00040AA9" w:rsidRDefault="00B01701" w:rsidP="00040AA9">
      <w:pPr>
        <w:pStyle w:val="ListParagraph"/>
        <w:numPr>
          <w:ilvl w:val="0"/>
          <w:numId w:val="8"/>
        </w:numPr>
        <w:suppressAutoHyphens/>
        <w:spacing w:before="120" w:after="120"/>
        <w:ind w:left="360"/>
        <w:jc w:val="both"/>
        <w:rPr>
          <w:rFonts w:eastAsia="SimSun" w:cs="Arial"/>
          <w:color w:val="000000"/>
        </w:rPr>
      </w:pPr>
      <w:r w:rsidRPr="00040AA9">
        <w:rPr>
          <w:rFonts w:eastAsia="SimSun" w:cs="Arial"/>
          <w:color w:val="000000"/>
        </w:rPr>
        <w:t xml:space="preserve">The overall indication of the simulation exercise is that GDP real growth would have been lower if no tax policy and tax expenditure measures had taken place. The cumulative </w:t>
      </w:r>
      <w:r w:rsidR="007D1860">
        <w:rPr>
          <w:rFonts w:eastAsia="SimSun" w:cs="Arial"/>
          <w:color w:val="000000"/>
        </w:rPr>
        <w:t xml:space="preserve">percentage </w:t>
      </w:r>
      <w:r w:rsidRPr="00040AA9">
        <w:rPr>
          <w:rFonts w:eastAsia="SimSun" w:cs="Arial"/>
          <w:color w:val="000000"/>
        </w:rPr>
        <w:t>deviation from the baseline solution for the period 2012 – 2018 would have been 4.79%. In other words, in the absence of the tax reform the economy would have experienced 4.79% lower growth. This is equivalent to 0.94% lower r</w:t>
      </w:r>
      <w:r w:rsidR="00347B3A" w:rsidRPr="00040AA9">
        <w:rPr>
          <w:rFonts w:eastAsia="SimSun" w:cs="Arial"/>
          <w:color w:val="000000"/>
        </w:rPr>
        <w:t>eal growth rate per year. (p. 17</w:t>
      </w:r>
      <w:r w:rsidRPr="00040AA9">
        <w:rPr>
          <w:rFonts w:eastAsia="SimSun" w:cs="Arial"/>
          <w:color w:val="000000"/>
        </w:rPr>
        <w:t>)</w:t>
      </w:r>
    </w:p>
    <w:p w14:paraId="48405FEB" w14:textId="0A59B8EF" w:rsidR="00B01701" w:rsidRPr="00040AA9" w:rsidRDefault="00B01701"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 xml:space="preserve">Unemployment levels in the counterfactual </w:t>
      </w:r>
      <w:r w:rsidR="00DB5E55" w:rsidRPr="00040AA9">
        <w:rPr>
          <w:rFonts w:ascii="Arial" w:eastAsia="SimSun" w:hAnsi="Arial" w:cs="Arial"/>
          <w:sz w:val="22"/>
          <w:szCs w:val="22"/>
        </w:rPr>
        <w:t xml:space="preserve">[without program] </w:t>
      </w:r>
      <w:r w:rsidRPr="00040AA9">
        <w:rPr>
          <w:rFonts w:ascii="Arial" w:eastAsia="SimSun" w:hAnsi="Arial" w:cs="Arial"/>
          <w:sz w:val="22"/>
          <w:szCs w:val="22"/>
        </w:rPr>
        <w:t>are higher in relation to the baseline</w:t>
      </w:r>
      <w:r w:rsidR="00DB5E55" w:rsidRPr="00040AA9">
        <w:rPr>
          <w:rFonts w:ascii="Arial" w:eastAsia="SimSun" w:hAnsi="Arial" w:cs="Arial"/>
          <w:sz w:val="22"/>
          <w:szCs w:val="22"/>
        </w:rPr>
        <w:t xml:space="preserve"> [with program] </w:t>
      </w:r>
      <w:r w:rsidRPr="00040AA9">
        <w:rPr>
          <w:rFonts w:ascii="Arial" w:eastAsia="SimSun" w:hAnsi="Arial" w:cs="Arial"/>
          <w:sz w:val="22"/>
          <w:szCs w:val="22"/>
        </w:rPr>
        <w:t>scenario as a consequence of relative lower growth rates in all sectors. Removal of biased structure of tax expenditures tends to favor higher growth rat</w:t>
      </w:r>
      <w:r w:rsidR="000F4E13" w:rsidRPr="00040AA9">
        <w:rPr>
          <w:rFonts w:ascii="Arial" w:eastAsia="SimSun" w:hAnsi="Arial" w:cs="Arial"/>
          <w:sz w:val="22"/>
          <w:szCs w:val="22"/>
        </w:rPr>
        <w:t>es in the primary sector. (p. 17</w:t>
      </w:r>
      <w:r w:rsidRPr="00040AA9">
        <w:rPr>
          <w:rFonts w:ascii="Arial" w:eastAsia="SimSun" w:hAnsi="Arial" w:cs="Arial"/>
          <w:sz w:val="22"/>
          <w:szCs w:val="22"/>
        </w:rPr>
        <w:t>)</w:t>
      </w:r>
    </w:p>
    <w:p w14:paraId="27B6EFC6" w14:textId="2C73C265" w:rsidR="00B01701" w:rsidRPr="00040AA9" w:rsidRDefault="00B01701"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 xml:space="preserve">Total </w:t>
      </w:r>
      <w:r w:rsidR="00262FCE">
        <w:rPr>
          <w:rFonts w:ascii="Arial" w:eastAsia="SimSun" w:hAnsi="Arial" w:cs="Arial"/>
          <w:sz w:val="22"/>
          <w:szCs w:val="22"/>
        </w:rPr>
        <w:t>t</w:t>
      </w:r>
      <w:r w:rsidRPr="00040AA9">
        <w:rPr>
          <w:rFonts w:ascii="Arial" w:eastAsia="SimSun" w:hAnsi="Arial" w:cs="Arial"/>
          <w:sz w:val="22"/>
          <w:szCs w:val="22"/>
        </w:rPr>
        <w:t xml:space="preserve">ax </w:t>
      </w:r>
      <w:r w:rsidR="00262FCE">
        <w:rPr>
          <w:rFonts w:ascii="Arial" w:eastAsia="SimSun" w:hAnsi="Arial" w:cs="Arial"/>
          <w:sz w:val="22"/>
          <w:szCs w:val="22"/>
        </w:rPr>
        <w:t>r</w:t>
      </w:r>
      <w:r w:rsidRPr="00040AA9">
        <w:rPr>
          <w:rFonts w:ascii="Arial" w:eastAsia="SimSun" w:hAnsi="Arial" w:cs="Arial"/>
          <w:sz w:val="22"/>
          <w:szCs w:val="22"/>
        </w:rPr>
        <w:t xml:space="preserve">evenue is lower in the counterfactual scenario relative to the baseline in all year of the simulation exercise. The direct impact on tax revenue of removing tax policy measures and tax expenditures is enhanced by the indirect impact of lower growth rates and higher inflation rates on the </w:t>
      </w:r>
      <w:r w:rsidR="000F4E13" w:rsidRPr="00040AA9">
        <w:rPr>
          <w:rFonts w:ascii="Arial" w:eastAsia="SimSun" w:hAnsi="Arial" w:cs="Arial"/>
          <w:sz w:val="22"/>
          <w:szCs w:val="22"/>
        </w:rPr>
        <w:t>counterfactual scenario. (p. 17)</w:t>
      </w:r>
    </w:p>
    <w:p w14:paraId="389AC6B8" w14:textId="6FF57867" w:rsidR="00B01701" w:rsidRPr="00040AA9" w:rsidRDefault="00B01701"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The ratio Public Debt/GDP increases relative to the baseline along the time horizon of analysis for the counterfactual. Lower tax revenue translates into higher levels of debt. (p. 17)</w:t>
      </w:r>
    </w:p>
    <w:p w14:paraId="593A0D98" w14:textId="7DA063A6" w:rsidR="00B01701" w:rsidRPr="00040AA9" w:rsidRDefault="00B01701"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Poverty levels measured as a percent of population in the counterfactual are initially lower than the baseline</w:t>
      </w:r>
      <w:r w:rsidR="00AA193A">
        <w:rPr>
          <w:rFonts w:ascii="Arial" w:eastAsia="SimSun" w:hAnsi="Arial" w:cs="Arial"/>
          <w:sz w:val="22"/>
          <w:szCs w:val="22"/>
        </w:rPr>
        <w:t>,</w:t>
      </w:r>
      <w:r w:rsidRPr="00040AA9">
        <w:rPr>
          <w:rFonts w:ascii="Arial" w:eastAsia="SimSun" w:hAnsi="Arial" w:cs="Arial"/>
          <w:sz w:val="22"/>
          <w:szCs w:val="22"/>
        </w:rPr>
        <w:t xml:space="preserve"> but they become higher in the out years of the simulation exercise. (p. 17)</w:t>
      </w:r>
    </w:p>
    <w:p w14:paraId="7463835A" w14:textId="01980227" w:rsidR="00BC7A8E" w:rsidRPr="00040AA9" w:rsidRDefault="00BC7A8E"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 xml:space="preserve">Another overarching conclusion from the simulation exercise, is the progressive nature of the negative </w:t>
      </w:r>
      <w:r w:rsidR="007D1860">
        <w:rPr>
          <w:rFonts w:ascii="Arial" w:eastAsia="SimSun" w:hAnsi="Arial" w:cs="Arial"/>
          <w:sz w:val="22"/>
          <w:szCs w:val="22"/>
        </w:rPr>
        <w:t>“</w:t>
      </w:r>
      <w:r w:rsidRPr="00040AA9">
        <w:rPr>
          <w:rFonts w:ascii="Arial" w:eastAsia="SimSun" w:hAnsi="Arial" w:cs="Arial"/>
          <w:sz w:val="22"/>
          <w:szCs w:val="22"/>
        </w:rPr>
        <w:t>inflation tax” effect resulting from the rem</w:t>
      </w:r>
      <w:r w:rsidR="000F4E13" w:rsidRPr="00040AA9">
        <w:rPr>
          <w:rFonts w:ascii="Arial" w:eastAsia="SimSun" w:hAnsi="Arial" w:cs="Arial"/>
          <w:sz w:val="22"/>
          <w:szCs w:val="22"/>
        </w:rPr>
        <w:t>oval of tax expenditures</w:t>
      </w:r>
      <w:r w:rsidR="00262FCE">
        <w:rPr>
          <w:rFonts w:ascii="Arial" w:eastAsia="SimSun" w:hAnsi="Arial" w:cs="Arial"/>
          <w:sz w:val="22"/>
          <w:szCs w:val="22"/>
        </w:rPr>
        <w:t>.</w:t>
      </w:r>
      <w:r w:rsidR="000F4E13" w:rsidRPr="00040AA9">
        <w:rPr>
          <w:rFonts w:ascii="Arial" w:eastAsia="SimSun" w:hAnsi="Arial" w:cs="Arial"/>
          <w:sz w:val="22"/>
          <w:szCs w:val="22"/>
        </w:rPr>
        <w:t xml:space="preserve"> (p. 18</w:t>
      </w:r>
      <w:r w:rsidRPr="00040AA9">
        <w:rPr>
          <w:rFonts w:ascii="Arial" w:eastAsia="SimSun" w:hAnsi="Arial" w:cs="Arial"/>
          <w:sz w:val="22"/>
          <w:szCs w:val="22"/>
        </w:rPr>
        <w:t>)</w:t>
      </w:r>
    </w:p>
    <w:p w14:paraId="2B9309FD" w14:textId="745F69C6" w:rsidR="00E06C7E" w:rsidRPr="00040AA9" w:rsidRDefault="00E06C7E" w:rsidP="00040AA9">
      <w:pPr>
        <w:pStyle w:val="p1"/>
        <w:numPr>
          <w:ilvl w:val="1"/>
          <w:numId w:val="8"/>
        </w:numPr>
        <w:suppressAutoHyphens/>
        <w:spacing w:before="120" w:after="120"/>
        <w:ind w:left="720"/>
        <w:jc w:val="both"/>
        <w:rPr>
          <w:rFonts w:ascii="Arial" w:eastAsia="Times New Roman" w:hAnsi="Arial" w:cs="Arial"/>
          <w:sz w:val="22"/>
          <w:szCs w:val="22"/>
        </w:rPr>
      </w:pPr>
      <w:r w:rsidRPr="00040AA9">
        <w:rPr>
          <w:rFonts w:ascii="Arial" w:eastAsia="SimSun" w:hAnsi="Arial" w:cs="Arial"/>
          <w:sz w:val="22"/>
          <w:szCs w:val="22"/>
        </w:rPr>
        <w:t xml:space="preserve">Notwithstanding initial higher poverty levels and higher inequality, inequality in the counterfactual does not change significantly in relation to the baseline (similar </w:t>
      </w:r>
      <w:r w:rsidRPr="003606E2">
        <w:rPr>
          <w:rFonts w:ascii="Arial" w:eastAsia="SimSun" w:hAnsi="Arial" w:cs="Arial"/>
          <w:sz w:val="22"/>
          <w:szCs w:val="22"/>
        </w:rPr>
        <w:t>GINI</w:t>
      </w:r>
      <w:r w:rsidRPr="00040AA9">
        <w:rPr>
          <w:rFonts w:ascii="Arial" w:eastAsia="SimSun" w:hAnsi="Arial" w:cs="Arial"/>
          <w:sz w:val="22"/>
          <w:szCs w:val="22"/>
        </w:rPr>
        <w:t xml:space="preserve"> values) along the simulation horizon.</w:t>
      </w:r>
      <w:r w:rsidR="00ED2190" w:rsidRPr="00040AA9">
        <w:rPr>
          <w:rFonts w:ascii="Arial" w:eastAsia="SimSun" w:hAnsi="Arial" w:cs="Arial"/>
          <w:sz w:val="22"/>
          <w:szCs w:val="22"/>
        </w:rPr>
        <w:t xml:space="preserve"> (p. 18)</w:t>
      </w:r>
    </w:p>
    <w:p w14:paraId="15A6AB42" w14:textId="0B69B6C3" w:rsidR="00E06C7E" w:rsidRPr="00040AA9" w:rsidRDefault="00E06C7E" w:rsidP="00040AA9">
      <w:pPr>
        <w:pStyle w:val="ListParagraph"/>
        <w:numPr>
          <w:ilvl w:val="1"/>
          <w:numId w:val="8"/>
        </w:numPr>
        <w:suppressAutoHyphens/>
        <w:spacing w:before="120" w:after="120"/>
        <w:ind w:left="720"/>
        <w:jc w:val="both"/>
        <w:rPr>
          <w:rFonts w:eastAsia="SimSun" w:cs="Arial"/>
        </w:rPr>
      </w:pPr>
      <w:r w:rsidRPr="00040AA9">
        <w:rPr>
          <w:rFonts w:eastAsia="SimSun" w:cs="Arial"/>
        </w:rPr>
        <w:t>The beneficial aspects of the tax reform in terms of poverty and inequality have not been instantaneous. At the beginning of the tax reform there was an increase in poverty levels and inequality. With time, compensating measures, an increase in social assistance (PATH and other safety nets programs) together with less inflation, more GDP growth, and less unemployment have factored in and reduced poverty levels and in a lesser degree inequality.</w:t>
      </w:r>
      <w:r w:rsidR="00880D67" w:rsidRPr="00040AA9">
        <w:rPr>
          <w:rFonts w:eastAsia="SimSun" w:cs="Arial"/>
        </w:rPr>
        <w:t xml:space="preserve"> (p. 19)</w:t>
      </w:r>
    </w:p>
    <w:p w14:paraId="6DF8C90B" w14:textId="7195049E" w:rsidR="00BC7A8E" w:rsidRPr="00040AA9" w:rsidRDefault="00E06C7E"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The tax reform and the tax expenditure reduction have represented a significant transfer of resources from the private sector to the government.</w:t>
      </w:r>
      <w:r w:rsidR="003C6CB4" w:rsidRPr="00040AA9">
        <w:rPr>
          <w:rFonts w:ascii="Arial" w:eastAsia="SimSun" w:hAnsi="Arial" w:cs="Arial"/>
          <w:sz w:val="22"/>
          <w:szCs w:val="22"/>
        </w:rPr>
        <w:t xml:space="preserve"> (p. 19</w:t>
      </w:r>
      <w:r w:rsidR="00C200CF" w:rsidRPr="00040AA9">
        <w:rPr>
          <w:rFonts w:ascii="Arial" w:eastAsia="SimSun" w:hAnsi="Arial" w:cs="Arial"/>
          <w:sz w:val="22"/>
          <w:szCs w:val="22"/>
        </w:rPr>
        <w:t>)</w:t>
      </w:r>
    </w:p>
    <w:p w14:paraId="53676D55" w14:textId="5046A796" w:rsidR="00C200CF" w:rsidRPr="00040AA9" w:rsidRDefault="00C200CF" w:rsidP="00040AA9">
      <w:pPr>
        <w:pStyle w:val="p1"/>
        <w:numPr>
          <w:ilvl w:val="0"/>
          <w:numId w:val="8"/>
        </w:numPr>
        <w:suppressAutoHyphens/>
        <w:spacing w:before="120" w:after="120"/>
        <w:ind w:left="360"/>
        <w:jc w:val="both"/>
        <w:rPr>
          <w:rFonts w:ascii="Arial" w:eastAsia="Times New Roman" w:hAnsi="Arial" w:cs="Arial"/>
          <w:sz w:val="22"/>
          <w:szCs w:val="22"/>
        </w:rPr>
      </w:pPr>
      <w:r w:rsidRPr="00040AA9">
        <w:rPr>
          <w:rFonts w:ascii="Arial" w:eastAsia="SimSun" w:hAnsi="Arial" w:cs="Arial"/>
          <w:sz w:val="22"/>
          <w:szCs w:val="22"/>
        </w:rPr>
        <w:t>Consumption expenditure measured net of indirect taxes (</w:t>
      </w:r>
      <w:r w:rsidR="00262FCE">
        <w:rPr>
          <w:rFonts w:ascii="Arial" w:eastAsia="SimSun" w:hAnsi="Arial" w:cs="Arial"/>
          <w:sz w:val="22"/>
          <w:szCs w:val="22"/>
        </w:rPr>
        <w:t>n</w:t>
      </w:r>
      <w:r w:rsidRPr="00040AA9">
        <w:rPr>
          <w:rFonts w:ascii="Arial" w:eastAsia="SimSun" w:hAnsi="Arial" w:cs="Arial"/>
          <w:sz w:val="22"/>
          <w:szCs w:val="22"/>
        </w:rPr>
        <w:t xml:space="preserve">et </w:t>
      </w:r>
      <w:r w:rsidR="00262FCE">
        <w:rPr>
          <w:rFonts w:ascii="Arial" w:eastAsia="SimSun" w:hAnsi="Arial" w:cs="Arial"/>
          <w:sz w:val="22"/>
          <w:szCs w:val="22"/>
        </w:rPr>
        <w:t>e</w:t>
      </w:r>
      <w:r w:rsidRPr="00040AA9">
        <w:rPr>
          <w:rFonts w:ascii="Arial" w:eastAsia="SimSun" w:hAnsi="Arial" w:cs="Arial"/>
          <w:sz w:val="22"/>
          <w:szCs w:val="22"/>
        </w:rPr>
        <w:t>xpenditure) falls less in lower quintiles than in higher ones through the time horizon of the simulation exercise.</w:t>
      </w:r>
      <w:r w:rsidR="003C6CB4" w:rsidRPr="00040AA9">
        <w:rPr>
          <w:rFonts w:ascii="Arial" w:eastAsia="SimSun" w:hAnsi="Arial" w:cs="Arial"/>
          <w:sz w:val="22"/>
          <w:szCs w:val="22"/>
        </w:rPr>
        <w:t xml:space="preserve"> (p. 19</w:t>
      </w:r>
      <w:r w:rsidRPr="00040AA9">
        <w:rPr>
          <w:rFonts w:ascii="Arial" w:eastAsia="SimSun" w:hAnsi="Arial" w:cs="Arial"/>
          <w:sz w:val="22"/>
          <w:szCs w:val="22"/>
        </w:rPr>
        <w:t>)</w:t>
      </w:r>
    </w:p>
    <w:p w14:paraId="6726417D" w14:textId="558D3EFF" w:rsidR="00C200CF" w:rsidRPr="00F863A4" w:rsidRDefault="00C200CF" w:rsidP="00472226">
      <w:pPr>
        <w:pStyle w:val="p1"/>
        <w:suppressAutoHyphens/>
        <w:spacing w:before="120" w:after="120"/>
        <w:ind w:left="360"/>
        <w:jc w:val="both"/>
        <w:rPr>
          <w:rFonts w:ascii="Arial" w:eastAsia="SimSun" w:hAnsi="Arial" w:cs="Arial"/>
          <w:sz w:val="22"/>
          <w:szCs w:val="22"/>
          <w:u w:val="single"/>
        </w:rPr>
      </w:pPr>
      <w:r w:rsidRPr="00040AA9">
        <w:rPr>
          <w:rFonts w:ascii="Arial" w:eastAsia="SimSun" w:hAnsi="Arial" w:cs="Arial"/>
          <w:b/>
          <w:sz w:val="22"/>
          <w:szCs w:val="22"/>
        </w:rPr>
        <w:t>Conclusions from the counterfactual analysis</w:t>
      </w:r>
    </w:p>
    <w:p w14:paraId="26B6A803" w14:textId="027B2B67" w:rsidR="00C200CF" w:rsidRPr="00040AA9" w:rsidRDefault="00C200CF" w:rsidP="00040AA9">
      <w:pPr>
        <w:pStyle w:val="p1"/>
        <w:numPr>
          <w:ilvl w:val="0"/>
          <w:numId w:val="8"/>
        </w:numPr>
        <w:suppressAutoHyphens/>
        <w:spacing w:before="120" w:after="120"/>
        <w:ind w:left="360"/>
        <w:jc w:val="both"/>
        <w:rPr>
          <w:rFonts w:ascii="Arial" w:eastAsia="Times New Roman" w:hAnsi="Arial" w:cs="Arial"/>
          <w:sz w:val="22"/>
          <w:szCs w:val="22"/>
          <w:u w:val="single"/>
        </w:rPr>
      </w:pPr>
      <w:r w:rsidRPr="00040AA9">
        <w:rPr>
          <w:rFonts w:ascii="Arial" w:eastAsia="Times New Roman" w:hAnsi="Arial" w:cs="Arial"/>
          <w:sz w:val="22"/>
          <w:szCs w:val="22"/>
        </w:rPr>
        <w:t xml:space="preserve">The direct and indirect impacts of the tax reform are positive overall. Notwithstanding delays in implementation of tax policy measures and of the action plans on tax and customs administration, the progressive nature of the tax reform </w:t>
      </w:r>
      <w:r w:rsidR="00A419E0" w:rsidRPr="00F863A4">
        <w:rPr>
          <w:rFonts w:ascii="Arial" w:eastAsia="Times New Roman" w:hAnsi="Arial" w:cs="Arial"/>
          <w:sz w:val="22"/>
          <w:szCs w:val="22"/>
        </w:rPr>
        <w:t>has</w:t>
      </w:r>
      <w:r w:rsidRPr="00040AA9">
        <w:rPr>
          <w:rFonts w:ascii="Arial" w:eastAsia="Times New Roman" w:hAnsi="Arial" w:cs="Arial"/>
          <w:sz w:val="22"/>
          <w:szCs w:val="22"/>
        </w:rPr>
        <w:t xml:space="preserve"> resulted in a positive impact on the a</w:t>
      </w:r>
      <w:r w:rsidR="003C6CB4" w:rsidRPr="00040AA9">
        <w:rPr>
          <w:rFonts w:ascii="Arial" w:eastAsia="Times New Roman" w:hAnsi="Arial" w:cs="Arial"/>
          <w:sz w:val="22"/>
          <w:szCs w:val="22"/>
        </w:rPr>
        <w:t>verage Jamaican household. (p.19</w:t>
      </w:r>
      <w:r w:rsidRPr="00040AA9">
        <w:rPr>
          <w:rFonts w:ascii="Arial" w:eastAsia="Times New Roman" w:hAnsi="Arial" w:cs="Arial"/>
          <w:sz w:val="22"/>
          <w:szCs w:val="22"/>
        </w:rPr>
        <w:t>)</w:t>
      </w:r>
    </w:p>
    <w:p w14:paraId="05FF009C" w14:textId="4A3CCD5C" w:rsidR="00C200CF" w:rsidRPr="00040AA9" w:rsidRDefault="00C200CF" w:rsidP="00040AA9">
      <w:pPr>
        <w:pStyle w:val="p1"/>
        <w:numPr>
          <w:ilvl w:val="0"/>
          <w:numId w:val="8"/>
        </w:numPr>
        <w:suppressAutoHyphens/>
        <w:spacing w:before="120" w:after="120"/>
        <w:ind w:left="360"/>
        <w:rPr>
          <w:rFonts w:ascii="Arial" w:eastAsia="Times New Roman" w:hAnsi="Arial" w:cs="Arial"/>
          <w:sz w:val="22"/>
          <w:szCs w:val="22"/>
          <w:u w:val="single"/>
        </w:rPr>
      </w:pPr>
      <w:r w:rsidRPr="00040AA9">
        <w:rPr>
          <w:rFonts w:ascii="Arial" w:eastAsia="Times New Roman" w:hAnsi="Arial" w:cs="Arial"/>
          <w:sz w:val="22"/>
          <w:szCs w:val="22"/>
        </w:rPr>
        <w:t>The strengthening of the tax and customs administrations has contributed to the s</w:t>
      </w:r>
      <w:r w:rsidR="003C6CB4" w:rsidRPr="00040AA9">
        <w:rPr>
          <w:rFonts w:ascii="Arial" w:eastAsia="Times New Roman" w:hAnsi="Arial" w:cs="Arial"/>
          <w:sz w:val="22"/>
          <w:szCs w:val="22"/>
        </w:rPr>
        <w:t>uccess of the tax reform. (p. 19</w:t>
      </w:r>
      <w:r w:rsidRPr="00040AA9">
        <w:rPr>
          <w:rFonts w:ascii="Arial" w:eastAsia="Times New Roman" w:hAnsi="Arial" w:cs="Arial"/>
          <w:sz w:val="22"/>
          <w:szCs w:val="22"/>
        </w:rPr>
        <w:t>)</w:t>
      </w:r>
    </w:p>
    <w:p w14:paraId="7C4CD4B6" w14:textId="199F0C15" w:rsidR="00C200CF" w:rsidRPr="00040AA9" w:rsidRDefault="00C200CF" w:rsidP="00040AA9">
      <w:pPr>
        <w:pStyle w:val="p1"/>
        <w:numPr>
          <w:ilvl w:val="0"/>
          <w:numId w:val="8"/>
        </w:numPr>
        <w:suppressAutoHyphens/>
        <w:spacing w:before="120" w:after="120"/>
        <w:ind w:left="360"/>
        <w:rPr>
          <w:rFonts w:ascii="Arial" w:eastAsia="Times New Roman" w:hAnsi="Arial" w:cs="Arial"/>
          <w:sz w:val="22"/>
          <w:szCs w:val="22"/>
          <w:u w:val="single"/>
        </w:rPr>
      </w:pPr>
      <w:r w:rsidRPr="00040AA9">
        <w:rPr>
          <w:rFonts w:ascii="Arial" w:eastAsia="Times New Roman" w:hAnsi="Arial" w:cs="Arial"/>
          <w:sz w:val="22"/>
          <w:szCs w:val="22"/>
        </w:rPr>
        <w:t>Tax reform has shifted the burden of the tax system from direct to indirect taxes ma</w:t>
      </w:r>
      <w:r w:rsidR="003C6CB4" w:rsidRPr="00040AA9">
        <w:rPr>
          <w:rFonts w:ascii="Arial" w:eastAsia="Times New Roman" w:hAnsi="Arial" w:cs="Arial"/>
          <w:sz w:val="22"/>
          <w:szCs w:val="22"/>
        </w:rPr>
        <w:t>king it less progressive. (p. 19</w:t>
      </w:r>
      <w:r w:rsidRPr="00040AA9">
        <w:rPr>
          <w:rFonts w:ascii="Arial" w:eastAsia="Times New Roman" w:hAnsi="Arial" w:cs="Arial"/>
          <w:sz w:val="22"/>
          <w:szCs w:val="22"/>
        </w:rPr>
        <w:t>)</w:t>
      </w:r>
    </w:p>
    <w:p w14:paraId="7AA2F319" w14:textId="059F3AF4" w:rsidR="00C200CF" w:rsidRPr="00040AA9" w:rsidRDefault="00C200CF" w:rsidP="00040AA9">
      <w:pPr>
        <w:pStyle w:val="p1"/>
        <w:numPr>
          <w:ilvl w:val="0"/>
          <w:numId w:val="8"/>
        </w:numPr>
        <w:suppressAutoHyphens/>
        <w:spacing w:before="120" w:after="120"/>
        <w:ind w:left="360"/>
        <w:rPr>
          <w:rFonts w:ascii="Arial" w:eastAsia="Times New Roman" w:hAnsi="Arial" w:cs="Arial"/>
          <w:sz w:val="22"/>
          <w:szCs w:val="22"/>
          <w:u w:val="single"/>
        </w:rPr>
      </w:pPr>
      <w:r w:rsidRPr="00040AA9">
        <w:rPr>
          <w:rFonts w:ascii="Arial" w:eastAsia="Times New Roman" w:hAnsi="Arial" w:cs="Arial"/>
          <w:sz w:val="22"/>
          <w:szCs w:val="22"/>
        </w:rPr>
        <w:t>The main objectives of the tax reform, reduction of tax expenditures and broadening of the tax base have been achieved. (p. 19)</w:t>
      </w:r>
    </w:p>
    <w:p w14:paraId="62187293" w14:textId="48A55465" w:rsidR="00C200CF" w:rsidRPr="00040AA9" w:rsidRDefault="00C200CF" w:rsidP="00040AA9">
      <w:pPr>
        <w:pStyle w:val="p1"/>
        <w:numPr>
          <w:ilvl w:val="0"/>
          <w:numId w:val="8"/>
        </w:numPr>
        <w:suppressAutoHyphens/>
        <w:spacing w:before="120" w:after="120"/>
        <w:ind w:left="360"/>
        <w:rPr>
          <w:rFonts w:ascii="Arial" w:eastAsia="Times New Roman" w:hAnsi="Arial" w:cs="Arial"/>
          <w:sz w:val="22"/>
          <w:szCs w:val="22"/>
          <w:u w:val="single"/>
        </w:rPr>
      </w:pPr>
      <w:r w:rsidRPr="00040AA9">
        <w:rPr>
          <w:rFonts w:ascii="Arial" w:eastAsia="Times New Roman" w:hAnsi="Arial" w:cs="Arial"/>
          <w:sz w:val="22"/>
          <w:szCs w:val="22"/>
        </w:rPr>
        <w:t xml:space="preserve">The Omnibus Incentive Law has been instrumental in the promotion of new investment and the creation </w:t>
      </w:r>
      <w:r w:rsidR="003C6CB4" w:rsidRPr="00040AA9">
        <w:rPr>
          <w:rFonts w:ascii="Arial" w:eastAsia="Times New Roman" w:hAnsi="Arial" w:cs="Arial"/>
          <w:sz w:val="22"/>
          <w:szCs w:val="22"/>
        </w:rPr>
        <w:t>of new formal employment. (p. 20</w:t>
      </w:r>
      <w:r w:rsidRPr="00040AA9">
        <w:rPr>
          <w:rFonts w:ascii="Arial" w:eastAsia="Times New Roman" w:hAnsi="Arial" w:cs="Arial"/>
          <w:sz w:val="22"/>
          <w:szCs w:val="22"/>
        </w:rPr>
        <w:t>)</w:t>
      </w:r>
    </w:p>
    <w:p w14:paraId="616CFBC7" w14:textId="038E2587" w:rsidR="009B4D7A" w:rsidRDefault="00C200CF" w:rsidP="00040AA9">
      <w:pPr>
        <w:pStyle w:val="ListParagraph"/>
        <w:numPr>
          <w:ilvl w:val="0"/>
          <w:numId w:val="8"/>
        </w:numPr>
        <w:tabs>
          <w:tab w:val="left" w:pos="1080"/>
        </w:tabs>
        <w:suppressAutoHyphens/>
        <w:spacing w:before="120" w:after="120"/>
        <w:ind w:left="360"/>
        <w:jc w:val="both"/>
        <w:outlineLvl w:val="0"/>
        <w:rPr>
          <w:rFonts w:eastAsia="Times New Roman" w:cs="Arial"/>
        </w:rPr>
      </w:pPr>
      <w:r w:rsidRPr="00040AA9">
        <w:rPr>
          <w:rFonts w:eastAsia="Times New Roman" w:cs="Arial"/>
        </w:rPr>
        <w:t xml:space="preserve">The tax reform envisaged restructuring of tariff rates to reduce dispersion and distortion of relative prices. </w:t>
      </w:r>
      <w:r w:rsidR="00262FCE">
        <w:rPr>
          <w:rFonts w:eastAsia="Times New Roman" w:cs="Arial"/>
        </w:rPr>
        <w:t>T</w:t>
      </w:r>
      <w:r w:rsidRPr="00040AA9">
        <w:rPr>
          <w:rFonts w:eastAsia="Times New Roman" w:cs="Arial"/>
        </w:rPr>
        <w:t>he restructuring of tariff rates has been a first step towards an efficient tariff system. The major impediment to reducing dispersion of customs tariffs is the Common External Tariff of CARICOM</w:t>
      </w:r>
      <w:r w:rsidR="00262FCE">
        <w:rPr>
          <w:rFonts w:eastAsia="Times New Roman" w:cs="Arial"/>
        </w:rPr>
        <w:t xml:space="preserve"> (Caribbean Community and Common Market)</w:t>
      </w:r>
      <w:r w:rsidRPr="00040AA9">
        <w:rPr>
          <w:rFonts w:eastAsia="Times New Roman" w:cs="Arial"/>
        </w:rPr>
        <w:t>. There is much to be done in terms of reduction of the di</w:t>
      </w:r>
      <w:r w:rsidR="000B596A" w:rsidRPr="00040AA9">
        <w:rPr>
          <w:rFonts w:eastAsia="Times New Roman" w:cs="Arial"/>
        </w:rPr>
        <w:t>spersion of tariff rates. (p. 20</w:t>
      </w:r>
      <w:r w:rsidRPr="00040AA9">
        <w:rPr>
          <w:rFonts w:eastAsia="Times New Roman" w:cs="Arial"/>
        </w:rPr>
        <w:t>)</w:t>
      </w:r>
    </w:p>
    <w:p w14:paraId="6B85DEBF" w14:textId="77777777" w:rsidR="00E74226" w:rsidRDefault="006E0B53" w:rsidP="00E74226">
      <w:pPr>
        <w:tabs>
          <w:tab w:val="left" w:pos="1080"/>
        </w:tabs>
        <w:suppressAutoHyphens/>
        <w:spacing w:before="120" w:after="120"/>
        <w:jc w:val="both"/>
        <w:outlineLvl w:val="0"/>
        <w:rPr>
          <w:rFonts w:ascii="Arial" w:eastAsia="Times New Roman" w:hAnsi="Arial" w:cs="Arial"/>
          <w:b/>
          <w:sz w:val="22"/>
          <w:szCs w:val="22"/>
        </w:rPr>
      </w:pPr>
      <w:bookmarkStart w:id="23" w:name="_Hlk506377806"/>
      <w:r w:rsidRPr="00512920">
        <w:rPr>
          <w:rFonts w:ascii="Arial" w:eastAsia="Times New Roman" w:hAnsi="Arial" w:cs="Arial"/>
          <w:b/>
          <w:sz w:val="22"/>
          <w:szCs w:val="22"/>
        </w:rPr>
        <w:t xml:space="preserve">Attribution of results </w:t>
      </w:r>
    </w:p>
    <w:p w14:paraId="1D01A6B8" w14:textId="66439B14" w:rsidR="001E1C8B" w:rsidRDefault="001E1C8B" w:rsidP="001E1C8B">
      <w:pPr>
        <w:pStyle w:val="p1"/>
        <w:suppressAutoHyphens/>
        <w:spacing w:before="120" w:after="120"/>
        <w:jc w:val="both"/>
        <w:rPr>
          <w:rFonts w:ascii="Arial" w:hAnsi="Arial" w:cs="Arial"/>
          <w:sz w:val="22"/>
          <w:szCs w:val="22"/>
        </w:rPr>
      </w:pPr>
      <w:r>
        <w:rPr>
          <w:rFonts w:ascii="Arial" w:hAnsi="Arial" w:cs="Arial"/>
          <w:sz w:val="22"/>
          <w:szCs w:val="22"/>
        </w:rPr>
        <w:t xml:space="preserve">There was no impact evaluation for FISPEG. However, there is evidence </w:t>
      </w:r>
      <w:r w:rsidR="00404F07">
        <w:rPr>
          <w:rFonts w:ascii="Arial" w:hAnsi="Arial" w:cs="Arial"/>
          <w:sz w:val="22"/>
          <w:szCs w:val="22"/>
        </w:rPr>
        <w:t>to support</w:t>
      </w:r>
      <w:r>
        <w:rPr>
          <w:rFonts w:ascii="Arial" w:hAnsi="Arial" w:cs="Arial"/>
          <w:sz w:val="22"/>
          <w:szCs w:val="22"/>
        </w:rPr>
        <w:t xml:space="preserve"> changes can be attributed to the program. To keep the discussion </w:t>
      </w:r>
      <w:r w:rsidR="00913CCF">
        <w:rPr>
          <w:rFonts w:ascii="Arial" w:hAnsi="Arial" w:cs="Arial"/>
          <w:sz w:val="22"/>
          <w:szCs w:val="22"/>
        </w:rPr>
        <w:t>tractable,</w:t>
      </w:r>
      <w:r>
        <w:rPr>
          <w:rFonts w:ascii="Arial" w:hAnsi="Arial" w:cs="Arial"/>
          <w:sz w:val="22"/>
          <w:szCs w:val="22"/>
        </w:rPr>
        <w:t xml:space="preserve"> we refer in this section to the relationships between products, outcomes and impacts described in </w:t>
      </w:r>
      <w:r w:rsidR="0094332C" w:rsidRPr="009C086E">
        <w:rPr>
          <w:rFonts w:ascii="Arial" w:hAnsi="Arial" w:cs="Arial"/>
          <w:sz w:val="22"/>
          <w:szCs w:val="22"/>
        </w:rPr>
        <w:t>T</w:t>
      </w:r>
      <w:r w:rsidRPr="009C086E">
        <w:rPr>
          <w:rFonts w:ascii="Arial" w:hAnsi="Arial" w:cs="Arial"/>
          <w:sz w:val="22"/>
          <w:szCs w:val="22"/>
        </w:rPr>
        <w:t xml:space="preserve">able </w:t>
      </w:r>
      <w:r w:rsidR="0094332C" w:rsidRPr="009C086E">
        <w:rPr>
          <w:rFonts w:ascii="Arial" w:hAnsi="Arial" w:cs="Arial"/>
          <w:sz w:val="22"/>
          <w:szCs w:val="22"/>
        </w:rPr>
        <w:t>A</w:t>
      </w:r>
      <w:r>
        <w:rPr>
          <w:rFonts w:ascii="Arial" w:hAnsi="Arial" w:cs="Arial"/>
          <w:sz w:val="22"/>
          <w:szCs w:val="22"/>
        </w:rPr>
        <w:t>.</w:t>
      </w:r>
    </w:p>
    <w:p w14:paraId="6365B37D" w14:textId="5B9647B5" w:rsidR="001E1C8B" w:rsidRDefault="001E1C8B" w:rsidP="001E1C8B">
      <w:pPr>
        <w:pStyle w:val="p1"/>
        <w:suppressAutoHyphens/>
        <w:spacing w:before="120" w:after="120"/>
        <w:jc w:val="both"/>
        <w:rPr>
          <w:rFonts w:ascii="Arial" w:hAnsi="Arial" w:cs="Arial"/>
          <w:sz w:val="22"/>
          <w:szCs w:val="22"/>
        </w:rPr>
      </w:pPr>
      <w:r>
        <w:rPr>
          <w:rFonts w:ascii="Arial" w:hAnsi="Arial" w:cs="Arial"/>
          <w:sz w:val="22"/>
          <w:szCs w:val="22"/>
        </w:rPr>
        <w:t xml:space="preserve">The public sector balance [general objective a] relates to </w:t>
      </w:r>
      <w:r w:rsidRPr="003C0B5B">
        <w:rPr>
          <w:rFonts w:ascii="Arial" w:hAnsi="Arial" w:cs="Arial"/>
          <w:sz w:val="22"/>
          <w:szCs w:val="22"/>
        </w:rPr>
        <w:t>tax revenues and expenditures [outcome indicators (</w:t>
      </w:r>
      <w:proofErr w:type="spellStart"/>
      <w:r w:rsidRPr="003C0B5B">
        <w:rPr>
          <w:rFonts w:ascii="Arial" w:hAnsi="Arial" w:cs="Arial"/>
          <w:sz w:val="22"/>
          <w:szCs w:val="22"/>
        </w:rPr>
        <w:t>i</w:t>
      </w:r>
      <w:proofErr w:type="spellEnd"/>
      <w:r w:rsidRPr="003C0B5B">
        <w:rPr>
          <w:rFonts w:ascii="Arial" w:hAnsi="Arial" w:cs="Arial"/>
          <w:sz w:val="22"/>
          <w:szCs w:val="22"/>
        </w:rPr>
        <w:t xml:space="preserve">).c, (ii).a, (ii).b, </w:t>
      </w:r>
      <w:r>
        <w:rPr>
          <w:rFonts w:ascii="Arial" w:hAnsi="Arial" w:cs="Arial"/>
          <w:sz w:val="22"/>
          <w:szCs w:val="22"/>
        </w:rPr>
        <w:t xml:space="preserve">and </w:t>
      </w:r>
      <w:r w:rsidRPr="003C0B5B">
        <w:rPr>
          <w:rFonts w:ascii="Arial" w:hAnsi="Arial" w:cs="Arial"/>
          <w:sz w:val="22"/>
          <w:szCs w:val="22"/>
        </w:rPr>
        <w:t>(iii).a and associated output indicators]</w:t>
      </w:r>
      <w:r>
        <w:rPr>
          <w:rFonts w:ascii="Arial" w:hAnsi="Arial" w:cs="Arial"/>
          <w:sz w:val="22"/>
          <w:szCs w:val="22"/>
        </w:rPr>
        <w:t xml:space="preserve"> by definition (Romer, 2006; Arenas de Mesa, 2016)</w:t>
      </w:r>
      <w:r w:rsidR="00D14026">
        <w:rPr>
          <w:rStyle w:val="FootnoteReference"/>
          <w:rFonts w:ascii="Arial" w:hAnsi="Arial" w:cs="Arial"/>
          <w:sz w:val="22"/>
          <w:szCs w:val="22"/>
        </w:rPr>
        <w:footnoteReference w:id="143"/>
      </w:r>
      <w:r>
        <w:rPr>
          <w:rFonts w:ascii="Arial" w:hAnsi="Arial" w:cs="Arial"/>
          <w:sz w:val="22"/>
          <w:szCs w:val="22"/>
        </w:rPr>
        <w:t xml:space="preserve">. Evidence </w:t>
      </w:r>
      <w:r w:rsidR="00B5616E">
        <w:rPr>
          <w:rFonts w:ascii="Arial" w:hAnsi="Arial" w:cs="Arial"/>
          <w:sz w:val="22"/>
          <w:szCs w:val="22"/>
        </w:rPr>
        <w:t>from Pakistan and the United States</w:t>
      </w:r>
      <w:r>
        <w:rPr>
          <w:rFonts w:ascii="Arial" w:hAnsi="Arial" w:cs="Arial"/>
          <w:sz w:val="22"/>
          <w:szCs w:val="22"/>
        </w:rPr>
        <w:t xml:space="preserve"> show</w:t>
      </w:r>
      <w:r w:rsidR="00921AF1">
        <w:rPr>
          <w:rFonts w:ascii="Arial" w:hAnsi="Arial" w:cs="Arial"/>
          <w:sz w:val="22"/>
          <w:szCs w:val="22"/>
        </w:rPr>
        <w:t>s that</w:t>
      </w:r>
      <w:r w:rsidR="00BC761F">
        <w:rPr>
          <w:rFonts w:ascii="Arial" w:hAnsi="Arial" w:cs="Arial"/>
          <w:sz w:val="22"/>
          <w:szCs w:val="22"/>
        </w:rPr>
        <w:t xml:space="preserve"> changes in the marginal tax depend on the context (Waseem, 2018, </w:t>
      </w:r>
      <w:proofErr w:type="spellStart"/>
      <w:r w:rsidR="00BC761F">
        <w:rPr>
          <w:rFonts w:ascii="Arial" w:hAnsi="Arial" w:cs="Arial"/>
          <w:sz w:val="22"/>
          <w:szCs w:val="22"/>
        </w:rPr>
        <w:t>Slemrod</w:t>
      </w:r>
      <w:proofErr w:type="spellEnd"/>
      <w:r w:rsidR="00BC761F">
        <w:rPr>
          <w:rFonts w:ascii="Arial" w:hAnsi="Arial" w:cs="Arial"/>
          <w:sz w:val="22"/>
          <w:szCs w:val="22"/>
        </w:rPr>
        <w:t xml:space="preserve"> and </w:t>
      </w:r>
      <w:proofErr w:type="spellStart"/>
      <w:r w:rsidR="00BC761F">
        <w:rPr>
          <w:rFonts w:ascii="Arial" w:hAnsi="Arial" w:cs="Arial"/>
          <w:sz w:val="22"/>
          <w:szCs w:val="22"/>
        </w:rPr>
        <w:t>Kopczuk</w:t>
      </w:r>
      <w:proofErr w:type="spellEnd"/>
      <w:r w:rsidR="00BC761F">
        <w:rPr>
          <w:rFonts w:ascii="Arial" w:hAnsi="Arial" w:cs="Arial"/>
          <w:sz w:val="22"/>
          <w:szCs w:val="22"/>
        </w:rPr>
        <w:t xml:space="preserve">, 2002). However, changes in the marginal tax are likely to result </w:t>
      </w:r>
      <w:r w:rsidR="00D774E4">
        <w:rPr>
          <w:rFonts w:ascii="Arial" w:hAnsi="Arial" w:cs="Arial"/>
          <w:sz w:val="22"/>
          <w:szCs w:val="22"/>
        </w:rPr>
        <w:t>i</w:t>
      </w:r>
      <w:r w:rsidR="00BC761F">
        <w:rPr>
          <w:rFonts w:ascii="Arial" w:hAnsi="Arial" w:cs="Arial"/>
          <w:sz w:val="22"/>
          <w:szCs w:val="22"/>
        </w:rPr>
        <w:t xml:space="preserve">n increases </w:t>
      </w:r>
      <w:r w:rsidR="00921AF1">
        <w:rPr>
          <w:rFonts w:ascii="Arial" w:hAnsi="Arial" w:cs="Arial"/>
          <w:sz w:val="22"/>
          <w:szCs w:val="22"/>
        </w:rPr>
        <w:t>i</w:t>
      </w:r>
      <w:r w:rsidR="00BC761F">
        <w:rPr>
          <w:rFonts w:ascii="Arial" w:hAnsi="Arial" w:cs="Arial"/>
          <w:sz w:val="22"/>
          <w:szCs w:val="22"/>
        </w:rPr>
        <w:t>n firm reported income when enforcement mechanisms are effective (</w:t>
      </w:r>
      <w:proofErr w:type="spellStart"/>
      <w:r w:rsidR="00BC761F">
        <w:rPr>
          <w:rFonts w:ascii="Arial" w:hAnsi="Arial" w:cs="Arial"/>
          <w:sz w:val="22"/>
          <w:szCs w:val="22"/>
        </w:rPr>
        <w:t>Kleven</w:t>
      </w:r>
      <w:proofErr w:type="spellEnd"/>
      <w:r w:rsidR="00BC761F">
        <w:rPr>
          <w:rFonts w:ascii="Arial" w:hAnsi="Arial" w:cs="Arial"/>
          <w:sz w:val="22"/>
          <w:szCs w:val="22"/>
        </w:rPr>
        <w:t xml:space="preserve"> et al., 2011). FISPEG did strengthen audit capacity. This evidence </w:t>
      </w:r>
      <w:r w:rsidR="00854816">
        <w:rPr>
          <w:rFonts w:ascii="Arial" w:hAnsi="Arial" w:cs="Arial"/>
          <w:sz w:val="22"/>
          <w:szCs w:val="22"/>
        </w:rPr>
        <w:t>supports</w:t>
      </w:r>
      <w:r w:rsidR="00BC761F">
        <w:rPr>
          <w:rFonts w:ascii="Arial" w:hAnsi="Arial" w:cs="Arial"/>
          <w:sz w:val="22"/>
          <w:szCs w:val="22"/>
        </w:rPr>
        <w:t xml:space="preserve"> the idea </w:t>
      </w:r>
      <w:r w:rsidR="00854816">
        <w:rPr>
          <w:rFonts w:ascii="Arial" w:hAnsi="Arial" w:cs="Arial"/>
          <w:sz w:val="22"/>
          <w:szCs w:val="22"/>
        </w:rPr>
        <w:t xml:space="preserve">of that </w:t>
      </w:r>
      <w:r w:rsidR="00BC761F">
        <w:rPr>
          <w:rFonts w:ascii="Arial" w:hAnsi="Arial" w:cs="Arial"/>
          <w:sz w:val="22"/>
          <w:szCs w:val="22"/>
        </w:rPr>
        <w:t>the effect of</w:t>
      </w:r>
      <w:r>
        <w:rPr>
          <w:rFonts w:ascii="Arial" w:hAnsi="Arial" w:cs="Arial"/>
          <w:sz w:val="22"/>
          <w:szCs w:val="22"/>
        </w:rPr>
        <w:t xml:space="preserve"> establish</w:t>
      </w:r>
      <w:r w:rsidR="00854816">
        <w:rPr>
          <w:rFonts w:ascii="Arial" w:hAnsi="Arial" w:cs="Arial"/>
          <w:sz w:val="22"/>
          <w:szCs w:val="22"/>
        </w:rPr>
        <w:t>ing</w:t>
      </w:r>
      <w:r>
        <w:rPr>
          <w:rFonts w:ascii="Arial" w:hAnsi="Arial" w:cs="Arial"/>
          <w:sz w:val="22"/>
          <w:szCs w:val="22"/>
        </w:rPr>
        <w:t xml:space="preserve"> the minimum business tax [(ii).a.1] and the caps on deductions [(ii).a.2] on tax</w:t>
      </w:r>
      <w:r w:rsidR="00BC761F">
        <w:rPr>
          <w:rFonts w:ascii="Arial" w:hAnsi="Arial" w:cs="Arial"/>
          <w:sz w:val="22"/>
          <w:szCs w:val="22"/>
        </w:rPr>
        <w:t xml:space="preserve"> </w:t>
      </w:r>
      <w:r>
        <w:rPr>
          <w:rFonts w:ascii="Arial" w:hAnsi="Arial" w:cs="Arial"/>
          <w:sz w:val="22"/>
          <w:szCs w:val="22"/>
        </w:rPr>
        <w:t>revenue [(ii).a]</w:t>
      </w:r>
      <w:r w:rsidR="00BC761F">
        <w:rPr>
          <w:rFonts w:ascii="Arial" w:hAnsi="Arial" w:cs="Arial"/>
          <w:sz w:val="22"/>
          <w:szCs w:val="22"/>
        </w:rPr>
        <w:t xml:space="preserve"> was positive.</w:t>
      </w:r>
      <w:r>
        <w:rPr>
          <w:rFonts w:ascii="Arial" w:hAnsi="Arial" w:cs="Arial"/>
          <w:sz w:val="22"/>
          <w:szCs w:val="22"/>
        </w:rPr>
        <w:t xml:space="preserve"> The introduction of a GCT rate applied to government purchases [(ii).b] is likely to increase revenues unless purchases are underreported. In the simulations we observe a positive relationship between FISPEG and revenue</w:t>
      </w:r>
      <w:r w:rsidR="00854816">
        <w:rPr>
          <w:rFonts w:ascii="Arial" w:hAnsi="Arial" w:cs="Arial"/>
          <w:sz w:val="22"/>
          <w:szCs w:val="22"/>
        </w:rPr>
        <w:t xml:space="preserve"> (See Annex III)</w:t>
      </w:r>
      <w:r>
        <w:rPr>
          <w:rFonts w:ascii="Arial" w:hAnsi="Arial" w:cs="Arial"/>
          <w:sz w:val="22"/>
          <w:szCs w:val="22"/>
        </w:rPr>
        <w:t xml:space="preserve">. </w:t>
      </w:r>
    </w:p>
    <w:p w14:paraId="4FA3C0AA" w14:textId="54A5C7A9" w:rsidR="001E1C8B" w:rsidRDefault="001E1C8B" w:rsidP="001E1C8B">
      <w:pPr>
        <w:pStyle w:val="p1"/>
        <w:suppressAutoHyphens/>
        <w:spacing w:before="120" w:after="120"/>
        <w:jc w:val="both"/>
        <w:rPr>
          <w:rFonts w:ascii="Arial" w:hAnsi="Arial" w:cs="Arial"/>
          <w:sz w:val="22"/>
          <w:szCs w:val="22"/>
        </w:rPr>
      </w:pPr>
      <w:r>
        <w:rPr>
          <w:rFonts w:ascii="Arial" w:hAnsi="Arial" w:cs="Arial"/>
          <w:sz w:val="22"/>
          <w:szCs w:val="22"/>
        </w:rPr>
        <w:t xml:space="preserve">The increase in the number of professional staff in the LTO [(ii).c.1] and </w:t>
      </w:r>
      <w:r w:rsidRPr="009C086E">
        <w:rPr>
          <w:rFonts w:ascii="Arial" w:hAnsi="Arial" w:cs="Arial"/>
          <w:sz w:val="22"/>
          <w:szCs w:val="22"/>
        </w:rPr>
        <w:t>the implementation of systems</w:t>
      </w:r>
      <w:r w:rsidRPr="00E85366">
        <w:rPr>
          <w:rFonts w:ascii="Arial" w:hAnsi="Arial" w:cs="Arial"/>
          <w:sz w:val="22"/>
          <w:szCs w:val="22"/>
        </w:rPr>
        <w:t xml:space="preserve"> [(ii).</w:t>
      </w:r>
      <w:r>
        <w:rPr>
          <w:rFonts w:ascii="Arial" w:hAnsi="Arial" w:cs="Arial"/>
          <w:sz w:val="22"/>
          <w:szCs w:val="22"/>
        </w:rPr>
        <w:t>d.1] should have led to more audits performed [(iii).c] and the audit time to decrease [(iii).d]. These changes should have led to an increase probability of audit for firms. Indeed, we find increases in both outcome indicators which would be hard to justify in the absence of FISPEG. Evidence from Spain shows audits [(ii).c and (ii).d] may have heterogeneous effects on tax revenue [Associated to objective a] (</w:t>
      </w:r>
      <w:proofErr w:type="spellStart"/>
      <w:r>
        <w:rPr>
          <w:rFonts w:ascii="Arial" w:hAnsi="Arial" w:cs="Arial"/>
          <w:sz w:val="22"/>
          <w:szCs w:val="22"/>
        </w:rPr>
        <w:t>Almunia</w:t>
      </w:r>
      <w:proofErr w:type="spellEnd"/>
      <w:r>
        <w:rPr>
          <w:rFonts w:ascii="Arial" w:hAnsi="Arial" w:cs="Arial"/>
          <w:sz w:val="22"/>
          <w:szCs w:val="22"/>
        </w:rPr>
        <w:t xml:space="preserve"> and Lopez-Rodriguez, 2012, Pomeranz, 2015). The Penalty Act for e-filing [(ii).e.1</w:t>
      </w:r>
      <w:r w:rsidR="00F62AD4">
        <w:rPr>
          <w:rFonts w:ascii="Arial" w:hAnsi="Arial" w:cs="Arial"/>
          <w:sz w:val="22"/>
          <w:szCs w:val="22"/>
        </w:rPr>
        <w:t>]</w:t>
      </w:r>
      <w:r>
        <w:rPr>
          <w:rFonts w:ascii="Arial" w:hAnsi="Arial" w:cs="Arial"/>
          <w:sz w:val="22"/>
          <w:szCs w:val="22"/>
        </w:rPr>
        <w:t xml:space="preserve"> increased the probability </w:t>
      </w:r>
      <w:r w:rsidR="00A37B0B">
        <w:rPr>
          <w:rFonts w:ascii="Arial" w:hAnsi="Arial" w:cs="Arial"/>
          <w:sz w:val="22"/>
          <w:szCs w:val="22"/>
        </w:rPr>
        <w:t>that firms will be penalized</w:t>
      </w:r>
      <w:r>
        <w:rPr>
          <w:rFonts w:ascii="Arial" w:hAnsi="Arial" w:cs="Arial"/>
          <w:sz w:val="22"/>
          <w:szCs w:val="22"/>
        </w:rPr>
        <w:t xml:space="preserve">. Traditional models predict the positive correlation we observe </w:t>
      </w:r>
      <w:r w:rsidR="00A37B0B">
        <w:rPr>
          <w:rFonts w:ascii="Arial" w:hAnsi="Arial" w:cs="Arial"/>
          <w:sz w:val="22"/>
          <w:szCs w:val="22"/>
        </w:rPr>
        <w:t>between</w:t>
      </w:r>
      <w:r>
        <w:rPr>
          <w:rFonts w:ascii="Arial" w:hAnsi="Arial" w:cs="Arial"/>
          <w:sz w:val="22"/>
          <w:szCs w:val="22"/>
        </w:rPr>
        <w:t xml:space="preserve"> the implementation of the Act and the number of firms filing [(ii).e</w:t>
      </w:r>
      <w:r w:rsidRPr="00913CCF">
        <w:rPr>
          <w:rFonts w:ascii="Arial" w:hAnsi="Arial" w:cs="Arial"/>
          <w:sz w:val="22"/>
          <w:szCs w:val="22"/>
        </w:rPr>
        <w:t>]</w:t>
      </w:r>
      <w:r w:rsidR="00913CCF">
        <w:rPr>
          <w:rFonts w:ascii="Arial" w:hAnsi="Arial" w:cs="Arial"/>
          <w:sz w:val="22"/>
          <w:szCs w:val="22"/>
        </w:rPr>
        <w:t xml:space="preserve"> </w:t>
      </w:r>
      <w:r w:rsidRPr="00913CCF">
        <w:rPr>
          <w:rFonts w:ascii="Arial" w:hAnsi="Arial" w:cs="Arial"/>
          <w:sz w:val="22"/>
          <w:szCs w:val="22"/>
        </w:rPr>
        <w:t>(</w:t>
      </w:r>
      <w:r w:rsidRPr="009C086E">
        <w:rPr>
          <w:rFonts w:ascii="Arial" w:hAnsi="Arial" w:cs="Arial"/>
          <w:sz w:val="22"/>
          <w:szCs w:val="22"/>
        </w:rPr>
        <w:t xml:space="preserve">Allingham and </w:t>
      </w:r>
      <w:proofErr w:type="spellStart"/>
      <w:r w:rsidRPr="009C086E">
        <w:rPr>
          <w:rFonts w:ascii="Arial" w:hAnsi="Arial" w:cs="Arial"/>
          <w:sz w:val="22"/>
          <w:szCs w:val="22"/>
        </w:rPr>
        <w:t>Sandmo</w:t>
      </w:r>
      <w:proofErr w:type="spellEnd"/>
      <w:r w:rsidRPr="009C086E">
        <w:rPr>
          <w:rFonts w:ascii="Arial" w:hAnsi="Arial" w:cs="Arial"/>
          <w:sz w:val="22"/>
          <w:szCs w:val="22"/>
        </w:rPr>
        <w:t>, 1972</w:t>
      </w:r>
      <w:r>
        <w:rPr>
          <w:rFonts w:ascii="Dcr10" w:hAnsi="Dcr10" w:cs="Dcr10"/>
        </w:rPr>
        <w:t>)</w:t>
      </w:r>
      <w:r>
        <w:rPr>
          <w:rFonts w:ascii="Arial" w:hAnsi="Arial" w:cs="Arial"/>
          <w:sz w:val="22"/>
          <w:szCs w:val="22"/>
        </w:rPr>
        <w:t>. Evidence from the USA shows the effect of e-filing [(ii).e] on tax revenue [associated to objective a] is likely to be heterogenous as well (</w:t>
      </w:r>
      <w:proofErr w:type="spellStart"/>
      <w:r>
        <w:rPr>
          <w:rFonts w:ascii="Arial" w:hAnsi="Arial" w:cs="Arial"/>
          <w:sz w:val="22"/>
          <w:szCs w:val="22"/>
        </w:rPr>
        <w:t>Slemrod</w:t>
      </w:r>
      <w:proofErr w:type="spellEnd"/>
      <w:r>
        <w:rPr>
          <w:rFonts w:ascii="Arial" w:hAnsi="Arial" w:cs="Arial"/>
          <w:sz w:val="22"/>
          <w:szCs w:val="22"/>
        </w:rPr>
        <w:t xml:space="preserve"> et al., 2017). Indeed, firms react strategically depending on the amount of information already available </w:t>
      </w:r>
      <w:r w:rsidR="00F62AD4">
        <w:rPr>
          <w:rFonts w:ascii="Arial" w:hAnsi="Arial" w:cs="Arial"/>
          <w:sz w:val="22"/>
          <w:szCs w:val="22"/>
        </w:rPr>
        <w:t xml:space="preserve">to the state </w:t>
      </w:r>
      <w:r>
        <w:rPr>
          <w:rFonts w:ascii="Arial" w:hAnsi="Arial" w:cs="Arial"/>
          <w:sz w:val="22"/>
          <w:szCs w:val="22"/>
        </w:rPr>
        <w:t>and audit coverage (</w:t>
      </w:r>
      <w:proofErr w:type="spellStart"/>
      <w:r>
        <w:rPr>
          <w:rFonts w:ascii="Arial" w:hAnsi="Arial" w:cs="Arial"/>
          <w:sz w:val="22"/>
          <w:szCs w:val="22"/>
        </w:rPr>
        <w:t>Kuchumova</w:t>
      </w:r>
      <w:proofErr w:type="spellEnd"/>
      <w:r>
        <w:rPr>
          <w:rFonts w:ascii="Arial" w:hAnsi="Arial" w:cs="Arial"/>
          <w:sz w:val="22"/>
          <w:szCs w:val="22"/>
        </w:rPr>
        <w:t>, 2017). Given the low coverage and information in Jamaica before FISPEG</w:t>
      </w:r>
      <w:r w:rsidR="00F62AD4">
        <w:rPr>
          <w:rFonts w:ascii="Arial" w:hAnsi="Arial" w:cs="Arial"/>
          <w:sz w:val="22"/>
          <w:szCs w:val="22"/>
        </w:rPr>
        <w:t>,</w:t>
      </w:r>
      <w:r>
        <w:rPr>
          <w:rFonts w:ascii="Arial" w:hAnsi="Arial" w:cs="Arial"/>
          <w:sz w:val="22"/>
          <w:szCs w:val="22"/>
        </w:rPr>
        <w:t xml:space="preserve"> theory would predict impacts to be positive. </w:t>
      </w:r>
    </w:p>
    <w:p w14:paraId="639AE913" w14:textId="267C5E22" w:rsidR="001E1C8B" w:rsidRDefault="001E1C8B" w:rsidP="009C086E">
      <w:pPr>
        <w:pStyle w:val="p1"/>
        <w:jc w:val="both"/>
        <w:rPr>
          <w:rFonts w:ascii="Arial" w:hAnsi="Arial" w:cs="Arial"/>
          <w:sz w:val="22"/>
          <w:szCs w:val="22"/>
        </w:rPr>
      </w:pPr>
      <w:r>
        <w:rPr>
          <w:rFonts w:ascii="Arial" w:hAnsi="Arial" w:cs="Arial"/>
          <w:sz w:val="22"/>
          <w:szCs w:val="22"/>
        </w:rPr>
        <w:t xml:space="preserve">There is no direct evidence on the effect of compliance systems of the PBs [(iii).b.1] on reporting to the </w:t>
      </w:r>
      <w:proofErr w:type="spellStart"/>
      <w:r>
        <w:rPr>
          <w:rFonts w:ascii="Arial" w:hAnsi="Arial" w:cs="Arial"/>
          <w:sz w:val="22"/>
          <w:szCs w:val="22"/>
        </w:rPr>
        <w:t>MoF</w:t>
      </w:r>
      <w:proofErr w:type="spellEnd"/>
      <w:r w:rsidR="00CC62DB">
        <w:rPr>
          <w:rFonts w:ascii="Arial" w:hAnsi="Arial" w:cs="Arial"/>
          <w:sz w:val="22"/>
          <w:szCs w:val="22"/>
        </w:rPr>
        <w:t xml:space="preserve"> </w:t>
      </w:r>
      <w:r>
        <w:rPr>
          <w:rFonts w:ascii="Arial" w:hAnsi="Arial" w:cs="Arial"/>
          <w:sz w:val="22"/>
          <w:szCs w:val="22"/>
        </w:rPr>
        <w:t xml:space="preserve">[(iii).b] or economic growth  [Associated to general objective b]. However, there is evidence </w:t>
      </w:r>
      <w:r w:rsidR="004706E7">
        <w:rPr>
          <w:rFonts w:ascii="Arial" w:hAnsi="Arial" w:cs="Arial"/>
          <w:sz w:val="22"/>
          <w:szCs w:val="22"/>
        </w:rPr>
        <w:t xml:space="preserve">that </w:t>
      </w:r>
      <w:r>
        <w:rPr>
          <w:rFonts w:ascii="Arial" w:hAnsi="Arial" w:cs="Arial"/>
          <w:sz w:val="22"/>
          <w:szCs w:val="22"/>
        </w:rPr>
        <w:t>the use of systems [such as (iii).b.1] and transparency by GCT reports on purchases [(ii).b] lead to improved public-sector performance through accountability. Evidence from India shows improved information across</w:t>
      </w:r>
      <w:r w:rsidR="004706E7">
        <w:rPr>
          <w:rFonts w:ascii="Arial" w:hAnsi="Arial" w:cs="Arial"/>
          <w:sz w:val="22"/>
          <w:szCs w:val="22"/>
        </w:rPr>
        <w:t xml:space="preserve"> levels of</w:t>
      </w:r>
      <w:r>
        <w:rPr>
          <w:rFonts w:ascii="Arial" w:hAnsi="Arial" w:cs="Arial"/>
          <w:sz w:val="22"/>
          <w:szCs w:val="22"/>
        </w:rPr>
        <w:t xml:space="preserve"> government resulted </w:t>
      </w:r>
      <w:r w:rsidR="004706E7">
        <w:rPr>
          <w:rFonts w:ascii="Arial" w:hAnsi="Arial" w:cs="Arial"/>
          <w:sz w:val="22"/>
          <w:szCs w:val="22"/>
        </w:rPr>
        <w:t>i</w:t>
      </w:r>
      <w:r>
        <w:rPr>
          <w:rFonts w:ascii="Arial" w:hAnsi="Arial" w:cs="Arial"/>
          <w:sz w:val="22"/>
          <w:szCs w:val="22"/>
        </w:rPr>
        <w:t>n</w:t>
      </w:r>
      <w:r w:rsidR="004706E7">
        <w:rPr>
          <w:rFonts w:ascii="Arial" w:hAnsi="Arial" w:cs="Arial"/>
          <w:sz w:val="22"/>
          <w:szCs w:val="22"/>
        </w:rPr>
        <w:t xml:space="preserve"> a</w:t>
      </w:r>
      <w:r>
        <w:rPr>
          <w:rFonts w:ascii="Arial" w:hAnsi="Arial" w:cs="Arial"/>
          <w:sz w:val="22"/>
          <w:szCs w:val="22"/>
        </w:rPr>
        <w:t xml:space="preserve"> more efficient use of </w:t>
      </w:r>
      <w:r w:rsidRPr="00691112">
        <w:rPr>
          <w:rFonts w:ascii="Arial" w:hAnsi="Arial" w:cs="Arial"/>
          <w:sz w:val="22"/>
          <w:szCs w:val="22"/>
        </w:rPr>
        <w:t xml:space="preserve">resources (Banerjee et al., 2017). Accountability has been long known to be a contributor to good governance and economic growth [objective b] (Acemoglu, 2001; </w:t>
      </w:r>
      <w:proofErr w:type="spellStart"/>
      <w:r w:rsidRPr="00691112">
        <w:rPr>
          <w:rFonts w:ascii="Arial" w:hAnsi="Arial" w:cs="Arial"/>
          <w:sz w:val="22"/>
          <w:szCs w:val="22"/>
        </w:rPr>
        <w:t>Besley</w:t>
      </w:r>
      <w:proofErr w:type="spellEnd"/>
      <w:r w:rsidRPr="00691112">
        <w:rPr>
          <w:rFonts w:ascii="Arial" w:hAnsi="Arial" w:cs="Arial"/>
          <w:sz w:val="22"/>
          <w:szCs w:val="22"/>
        </w:rPr>
        <w:t>, 2002).</w:t>
      </w:r>
      <w:r>
        <w:rPr>
          <w:rFonts w:ascii="Arial" w:hAnsi="Arial" w:cs="Arial"/>
          <w:sz w:val="22"/>
          <w:szCs w:val="22"/>
        </w:rPr>
        <w:t xml:space="preserve"> </w:t>
      </w:r>
      <w:r w:rsidR="004706E7">
        <w:rPr>
          <w:rFonts w:ascii="Arial" w:hAnsi="Arial" w:cs="Arial"/>
          <w:sz w:val="22"/>
          <w:szCs w:val="22"/>
        </w:rPr>
        <w:t>Reductions of t</w:t>
      </w:r>
      <w:r>
        <w:rPr>
          <w:rFonts w:ascii="Arial" w:hAnsi="Arial" w:cs="Arial"/>
          <w:sz w:val="22"/>
          <w:szCs w:val="22"/>
        </w:rPr>
        <w:t xml:space="preserve">ax on employment were found to lead to slight increases </w:t>
      </w:r>
      <w:r w:rsidR="004706E7">
        <w:rPr>
          <w:rFonts w:ascii="Arial" w:hAnsi="Arial" w:cs="Arial"/>
          <w:sz w:val="22"/>
          <w:szCs w:val="22"/>
        </w:rPr>
        <w:t>of</w:t>
      </w:r>
      <w:r>
        <w:rPr>
          <w:rFonts w:ascii="Arial" w:hAnsi="Arial" w:cs="Arial"/>
          <w:sz w:val="22"/>
          <w:szCs w:val="22"/>
        </w:rPr>
        <w:t xml:space="preserve"> wage bills and employment in Sweden (</w:t>
      </w:r>
      <w:proofErr w:type="spellStart"/>
      <w:r>
        <w:rPr>
          <w:rFonts w:ascii="Arial" w:hAnsi="Arial" w:cs="Arial"/>
          <w:sz w:val="22"/>
          <w:szCs w:val="22"/>
        </w:rPr>
        <w:t>Bennmarker</w:t>
      </w:r>
      <w:proofErr w:type="spellEnd"/>
      <w:r>
        <w:rPr>
          <w:rFonts w:ascii="Arial" w:hAnsi="Arial" w:cs="Arial"/>
          <w:sz w:val="22"/>
          <w:szCs w:val="22"/>
        </w:rPr>
        <w:t xml:space="preserve"> et al, 2009). Thus, we would expect the association between the </w:t>
      </w:r>
      <w:r w:rsidR="004706E7">
        <w:rPr>
          <w:rFonts w:ascii="Arial" w:hAnsi="Arial" w:cs="Arial"/>
          <w:sz w:val="22"/>
          <w:szCs w:val="22"/>
        </w:rPr>
        <w:t xml:space="preserve">employment </w:t>
      </w:r>
      <w:r>
        <w:rPr>
          <w:rFonts w:ascii="Arial" w:hAnsi="Arial" w:cs="Arial"/>
          <w:sz w:val="22"/>
          <w:szCs w:val="22"/>
        </w:rPr>
        <w:t xml:space="preserve">tax credit </w:t>
      </w:r>
      <w:r w:rsidR="004706E7">
        <w:rPr>
          <w:rFonts w:ascii="Arial" w:hAnsi="Arial" w:cs="Arial"/>
          <w:sz w:val="22"/>
          <w:szCs w:val="22"/>
        </w:rPr>
        <w:t xml:space="preserve">(ETC) </w:t>
      </w: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).b.1] and economic growth to be positive</w:t>
      </w:r>
      <w:r w:rsidR="00F62AD4">
        <w:rPr>
          <w:rFonts w:ascii="Arial" w:hAnsi="Arial" w:cs="Arial"/>
          <w:sz w:val="22"/>
          <w:szCs w:val="22"/>
        </w:rPr>
        <w:t>,</w:t>
      </w:r>
      <w:r>
        <w:rPr>
          <w:rFonts w:ascii="Arial" w:hAnsi="Arial" w:cs="Arial"/>
          <w:sz w:val="22"/>
          <w:szCs w:val="22"/>
        </w:rPr>
        <w:t xml:space="preserve"> </w:t>
      </w:r>
      <w:r w:rsidR="00F62AD4">
        <w:rPr>
          <w:rFonts w:ascii="Arial" w:hAnsi="Arial" w:cs="Arial"/>
          <w:sz w:val="22"/>
          <w:szCs w:val="22"/>
        </w:rPr>
        <w:t>which is what</w:t>
      </w:r>
      <w:r>
        <w:rPr>
          <w:rFonts w:ascii="Arial" w:hAnsi="Arial" w:cs="Arial"/>
          <w:sz w:val="22"/>
          <w:szCs w:val="22"/>
        </w:rPr>
        <w:t xml:space="preserve"> we observe in the results matrix.</w:t>
      </w:r>
    </w:p>
    <w:p w14:paraId="11F06C13" w14:textId="32426336" w:rsidR="00A526D4" w:rsidRPr="00512920" w:rsidRDefault="00A526D4" w:rsidP="009C086E">
      <w:pPr>
        <w:pStyle w:val="p1"/>
        <w:rPr>
          <w:rFonts w:eastAsia="Times New Roman" w:cs="Arial"/>
        </w:rPr>
      </w:pPr>
    </w:p>
    <w:p w14:paraId="79BA71D7" w14:textId="37431769" w:rsidR="004A26E4" w:rsidRDefault="004A26E4" w:rsidP="00631FEA">
      <w:pPr>
        <w:pStyle w:val="p1"/>
        <w:suppressAutoHyphens/>
        <w:jc w:val="both"/>
        <w:rPr>
          <w:rFonts w:ascii="Arial" w:hAnsi="Arial" w:cs="Arial"/>
          <w:sz w:val="22"/>
          <w:szCs w:val="22"/>
        </w:rPr>
      </w:pPr>
      <w:r>
        <w:rPr>
          <w:rFonts w:ascii="Arial" w:eastAsia="Times New Roman" w:hAnsi="Arial" w:cs="Arial"/>
          <w:sz w:val="22"/>
          <w:szCs w:val="22"/>
        </w:rPr>
        <w:t>A</w:t>
      </w:r>
      <w:r w:rsidR="00224508">
        <w:rPr>
          <w:rFonts w:ascii="Arial" w:eastAsia="Times New Roman" w:hAnsi="Arial" w:cs="Arial"/>
          <w:sz w:val="22"/>
          <w:szCs w:val="22"/>
        </w:rPr>
        <w:t>s enunciated by the OECD</w:t>
      </w:r>
      <w:r w:rsidR="007C009E">
        <w:rPr>
          <w:rFonts w:ascii="Arial" w:eastAsia="Times New Roman" w:hAnsi="Arial" w:cs="Arial"/>
          <w:sz w:val="22"/>
          <w:szCs w:val="22"/>
        </w:rPr>
        <w:t>,</w:t>
      </w:r>
      <w:r w:rsidR="00224508">
        <w:rPr>
          <w:rFonts w:ascii="Arial" w:eastAsia="Times New Roman" w:hAnsi="Arial" w:cs="Arial"/>
          <w:sz w:val="22"/>
          <w:szCs w:val="22"/>
        </w:rPr>
        <w:t xml:space="preserve"> a</w:t>
      </w:r>
      <w:r>
        <w:rPr>
          <w:rFonts w:ascii="Arial" w:eastAsia="Times New Roman" w:hAnsi="Arial" w:cs="Arial"/>
          <w:sz w:val="22"/>
          <w:szCs w:val="22"/>
        </w:rPr>
        <w:t xml:space="preserve"> fundamental principle of best international practice in management of state-owned enterprises </w:t>
      </w:r>
      <w:r w:rsidRPr="004A26E4">
        <w:rPr>
          <w:rFonts w:ascii="Arial" w:eastAsia="Times New Roman" w:hAnsi="Arial" w:cs="Arial"/>
          <w:sz w:val="22"/>
          <w:szCs w:val="22"/>
        </w:rPr>
        <w:t>is</w:t>
      </w:r>
      <w:r w:rsidR="00B55D89">
        <w:rPr>
          <w:rFonts w:ascii="Arial" w:eastAsia="Times New Roman" w:hAnsi="Arial" w:cs="Arial"/>
          <w:sz w:val="22"/>
          <w:szCs w:val="22"/>
        </w:rPr>
        <w:t xml:space="preserve"> that</w:t>
      </w:r>
      <w:r w:rsidRPr="004A26E4">
        <w:rPr>
          <w:rFonts w:ascii="Arial" w:eastAsia="Times New Roman" w:hAnsi="Arial" w:cs="Arial"/>
          <w:sz w:val="22"/>
          <w:szCs w:val="22"/>
        </w:rPr>
        <w:t xml:space="preserve"> </w:t>
      </w:r>
      <w:r>
        <w:rPr>
          <w:rFonts w:ascii="Arial" w:eastAsia="Times New Roman" w:hAnsi="Arial" w:cs="Arial"/>
          <w:sz w:val="22"/>
          <w:szCs w:val="22"/>
        </w:rPr>
        <w:t>“</w:t>
      </w:r>
      <w:r w:rsidRPr="00512920">
        <w:rPr>
          <w:rFonts w:ascii="Arial" w:hAnsi="Arial" w:cs="Arial"/>
          <w:sz w:val="22"/>
          <w:szCs w:val="22"/>
        </w:rPr>
        <w:t>The state should act as an informed and active owner, ensuring that the governance</w:t>
      </w:r>
      <w:r>
        <w:rPr>
          <w:rFonts w:ascii="Arial" w:hAnsi="Arial" w:cs="Arial"/>
          <w:sz w:val="22"/>
          <w:szCs w:val="22"/>
        </w:rPr>
        <w:t xml:space="preserve"> </w:t>
      </w:r>
      <w:r w:rsidRPr="00522E3F">
        <w:rPr>
          <w:rFonts w:ascii="Arial" w:hAnsi="Arial" w:cs="Arial"/>
          <w:sz w:val="22"/>
          <w:szCs w:val="22"/>
        </w:rPr>
        <w:t>of SOEs is carried out in a transparent and accountable manner, with a high degree</w:t>
      </w:r>
      <w:r>
        <w:rPr>
          <w:rFonts w:ascii="Arial" w:hAnsi="Arial" w:cs="Arial"/>
          <w:sz w:val="22"/>
          <w:szCs w:val="22"/>
        </w:rPr>
        <w:t xml:space="preserve"> </w:t>
      </w:r>
      <w:r w:rsidRPr="00522E3F">
        <w:rPr>
          <w:rFonts w:ascii="Arial" w:hAnsi="Arial" w:cs="Arial"/>
          <w:sz w:val="22"/>
          <w:szCs w:val="22"/>
        </w:rPr>
        <w:t>of professionalism and effectiveness.</w:t>
      </w:r>
      <w:r>
        <w:rPr>
          <w:rFonts w:ascii="Arial" w:hAnsi="Arial" w:cs="Arial"/>
          <w:sz w:val="22"/>
          <w:szCs w:val="22"/>
        </w:rPr>
        <w:t>”</w:t>
      </w:r>
      <w:r>
        <w:rPr>
          <w:rStyle w:val="FootnoteReference"/>
          <w:rFonts w:ascii="Arial" w:hAnsi="Arial" w:cs="Arial"/>
          <w:sz w:val="22"/>
          <w:szCs w:val="22"/>
        </w:rPr>
        <w:footnoteReference w:id="144"/>
      </w:r>
      <w:r w:rsidR="00B55D89">
        <w:rPr>
          <w:rFonts w:ascii="Arial" w:hAnsi="Arial" w:cs="Arial"/>
          <w:sz w:val="22"/>
          <w:szCs w:val="22"/>
        </w:rPr>
        <w:t xml:space="preserve"> One of the corollaries of this principle is the “</w:t>
      </w:r>
      <w:proofErr w:type="spellStart"/>
      <w:r w:rsidR="00B55D89">
        <w:rPr>
          <w:rFonts w:ascii="Arial" w:hAnsi="Arial" w:cs="Arial"/>
          <w:sz w:val="22"/>
          <w:szCs w:val="22"/>
        </w:rPr>
        <w:t>Seting</w:t>
      </w:r>
      <w:proofErr w:type="spellEnd"/>
      <w:r w:rsidR="00B55D89">
        <w:rPr>
          <w:rFonts w:ascii="Arial" w:hAnsi="Arial" w:cs="Arial"/>
          <w:sz w:val="22"/>
          <w:szCs w:val="22"/>
        </w:rPr>
        <w:t xml:space="preserve"> up [of] reporting systems that allow the ownership entity to regularly monitor, audit and ass</w:t>
      </w:r>
      <w:r w:rsidR="001510D3">
        <w:rPr>
          <w:rFonts w:ascii="Arial" w:hAnsi="Arial" w:cs="Arial"/>
          <w:sz w:val="22"/>
          <w:szCs w:val="22"/>
        </w:rPr>
        <w:t>ess SOE performance</w:t>
      </w:r>
      <w:r w:rsidR="007C009E">
        <w:rPr>
          <w:rFonts w:ascii="Arial" w:hAnsi="Arial" w:cs="Arial"/>
          <w:sz w:val="22"/>
          <w:szCs w:val="22"/>
        </w:rPr>
        <w:t>…”</w:t>
      </w:r>
      <w:r w:rsidR="007C009E">
        <w:rPr>
          <w:rStyle w:val="FootnoteReference"/>
          <w:rFonts w:ascii="Arial" w:hAnsi="Arial" w:cs="Arial"/>
          <w:sz w:val="22"/>
          <w:szCs w:val="22"/>
        </w:rPr>
        <w:footnoteReference w:id="145"/>
      </w:r>
      <w:r w:rsidR="00667B8C">
        <w:rPr>
          <w:rFonts w:ascii="Arial" w:hAnsi="Arial" w:cs="Arial"/>
          <w:sz w:val="22"/>
          <w:szCs w:val="22"/>
        </w:rPr>
        <w:t xml:space="preserve"> Furthermore the ownership entity “…should ensure that it receives all necessary and relevant information in a timely manner…[giving it] </w:t>
      </w:r>
      <w:r w:rsidR="00545214">
        <w:rPr>
          <w:rFonts w:ascii="Arial" w:hAnsi="Arial" w:cs="Arial"/>
          <w:sz w:val="22"/>
          <w:szCs w:val="22"/>
        </w:rPr>
        <w:t>a true picture of the SOE’s performance or financial situation enabling it to react on tome and to be selective in its intervention.”</w:t>
      </w:r>
      <w:r w:rsidR="00395144">
        <w:rPr>
          <w:rStyle w:val="FootnoteReference"/>
          <w:rFonts w:ascii="Arial" w:hAnsi="Arial" w:cs="Arial"/>
          <w:sz w:val="22"/>
          <w:szCs w:val="22"/>
        </w:rPr>
        <w:footnoteReference w:id="146"/>
      </w:r>
      <w:r w:rsidR="00650528">
        <w:rPr>
          <w:rFonts w:ascii="Arial" w:hAnsi="Arial" w:cs="Arial"/>
          <w:sz w:val="22"/>
          <w:szCs w:val="22"/>
        </w:rPr>
        <w:t xml:space="preserve"> Based on this information </w:t>
      </w:r>
      <w:r w:rsidR="00395144">
        <w:rPr>
          <w:rFonts w:ascii="Arial" w:hAnsi="Arial" w:cs="Arial"/>
          <w:sz w:val="22"/>
          <w:szCs w:val="22"/>
        </w:rPr>
        <w:t xml:space="preserve">the ownership entity (the </w:t>
      </w:r>
      <w:proofErr w:type="spellStart"/>
      <w:r w:rsidR="00395144">
        <w:rPr>
          <w:rFonts w:ascii="Arial" w:hAnsi="Arial" w:cs="Arial"/>
          <w:sz w:val="22"/>
          <w:szCs w:val="22"/>
        </w:rPr>
        <w:t>MoF</w:t>
      </w:r>
      <w:proofErr w:type="spellEnd"/>
      <w:r w:rsidR="00395144">
        <w:rPr>
          <w:rFonts w:ascii="Arial" w:hAnsi="Arial" w:cs="Arial"/>
          <w:sz w:val="22"/>
          <w:szCs w:val="22"/>
        </w:rPr>
        <w:t xml:space="preserve"> on behalf of the Government of Jamaica in this case) should “publish annually an aggregate report on SOEs</w:t>
      </w:r>
      <w:r w:rsidR="00E63297">
        <w:rPr>
          <w:rFonts w:ascii="Arial" w:hAnsi="Arial" w:cs="Arial"/>
          <w:sz w:val="22"/>
          <w:szCs w:val="22"/>
        </w:rPr>
        <w:t>.”</w:t>
      </w:r>
      <w:r w:rsidR="00E63297">
        <w:rPr>
          <w:rStyle w:val="FootnoteReference"/>
          <w:rFonts w:ascii="Arial" w:hAnsi="Arial" w:cs="Arial"/>
          <w:sz w:val="22"/>
          <w:szCs w:val="22"/>
        </w:rPr>
        <w:footnoteReference w:id="147"/>
      </w:r>
      <w:r w:rsidR="00395144">
        <w:rPr>
          <w:rFonts w:ascii="Arial" w:hAnsi="Arial" w:cs="Arial"/>
          <w:sz w:val="22"/>
          <w:szCs w:val="22"/>
        </w:rPr>
        <w:t xml:space="preserve"> </w:t>
      </w:r>
      <w:r w:rsidR="00E63702" w:rsidRPr="00127901">
        <w:rPr>
          <w:rFonts w:ascii="Arial" w:hAnsi="Arial" w:cs="Arial"/>
          <w:sz w:val="22"/>
          <w:szCs w:val="22"/>
        </w:rPr>
        <w:t xml:space="preserve">To implement this centralized reporting in Jamaica, the </w:t>
      </w:r>
      <w:r w:rsidR="00E106F6">
        <w:rPr>
          <w:rFonts w:ascii="Arial" w:hAnsi="Arial" w:cs="Arial"/>
          <w:sz w:val="22"/>
          <w:szCs w:val="22"/>
        </w:rPr>
        <w:t xml:space="preserve">current </w:t>
      </w:r>
      <w:r w:rsidR="00E63702" w:rsidRPr="00127901">
        <w:rPr>
          <w:rFonts w:ascii="Arial" w:hAnsi="Arial" w:cs="Arial"/>
          <w:sz w:val="22"/>
          <w:szCs w:val="22"/>
        </w:rPr>
        <w:t xml:space="preserve">dual reporting system, whereby the SOEs report both to their portfolio ministries and to the MOF, would have to be modified, and the “Estimates of Revenue and Expenditure” publication, prepared by the PED would have to be expanded beyond its current coverage of most SFPBs and selected NSFPBs to include all public bodies. </w:t>
      </w:r>
      <w:r w:rsidR="00E63297" w:rsidRPr="00E63702">
        <w:rPr>
          <w:rFonts w:ascii="Arial" w:hAnsi="Arial" w:cs="Arial"/>
          <w:sz w:val="22"/>
          <w:szCs w:val="22"/>
        </w:rPr>
        <w:t xml:space="preserve">Clearly for the </w:t>
      </w:r>
      <w:proofErr w:type="spellStart"/>
      <w:r w:rsidR="00E63297" w:rsidRPr="00E63702">
        <w:rPr>
          <w:rFonts w:ascii="Arial" w:hAnsi="Arial" w:cs="Arial"/>
          <w:sz w:val="22"/>
          <w:szCs w:val="22"/>
        </w:rPr>
        <w:t>MoF</w:t>
      </w:r>
      <w:proofErr w:type="spellEnd"/>
      <w:r w:rsidR="00E63297" w:rsidRPr="00E63702">
        <w:rPr>
          <w:rFonts w:ascii="Arial" w:hAnsi="Arial" w:cs="Arial"/>
          <w:sz w:val="22"/>
          <w:szCs w:val="22"/>
        </w:rPr>
        <w:t xml:space="preserve"> to </w:t>
      </w:r>
      <w:r w:rsidR="000270D0" w:rsidRPr="00E63702">
        <w:rPr>
          <w:rFonts w:ascii="Arial" w:hAnsi="Arial" w:cs="Arial"/>
          <w:sz w:val="22"/>
          <w:szCs w:val="22"/>
        </w:rPr>
        <w:t>prepare a</w:t>
      </w:r>
      <w:r w:rsidR="00E63297" w:rsidRPr="00E63702">
        <w:rPr>
          <w:rFonts w:ascii="Arial" w:hAnsi="Arial" w:cs="Arial"/>
          <w:sz w:val="22"/>
          <w:szCs w:val="22"/>
        </w:rPr>
        <w:t xml:space="preserve"> timely aggregate report it needs to receive the annual reports from</w:t>
      </w:r>
      <w:r w:rsidR="00E63297">
        <w:rPr>
          <w:rFonts w:ascii="Arial" w:hAnsi="Arial" w:cs="Arial"/>
          <w:sz w:val="22"/>
          <w:szCs w:val="22"/>
        </w:rPr>
        <w:t xml:space="preserve"> the </w:t>
      </w:r>
      <w:r w:rsidR="00E63297" w:rsidRPr="003E6B15">
        <w:rPr>
          <w:rFonts w:ascii="Arial" w:hAnsi="Arial" w:cs="Arial"/>
          <w:sz w:val="22"/>
          <w:szCs w:val="22"/>
        </w:rPr>
        <w:t xml:space="preserve">SOEs </w:t>
      </w:r>
      <w:r w:rsidR="003E6B15" w:rsidRPr="00127901">
        <w:rPr>
          <w:rFonts w:ascii="Arial" w:hAnsi="Arial" w:cs="Arial"/>
          <w:sz w:val="22"/>
          <w:szCs w:val="22"/>
        </w:rPr>
        <w:t>(both SFPBs and NSFPBs)</w:t>
      </w:r>
      <w:r w:rsidR="003E6B15">
        <w:t xml:space="preserve"> </w:t>
      </w:r>
      <w:r w:rsidR="00E63297">
        <w:rPr>
          <w:rFonts w:ascii="Arial" w:hAnsi="Arial" w:cs="Arial"/>
          <w:sz w:val="22"/>
          <w:szCs w:val="22"/>
        </w:rPr>
        <w:t xml:space="preserve">within its purview on a prompt </w:t>
      </w:r>
      <w:r w:rsidR="00683DC7">
        <w:rPr>
          <w:rFonts w:ascii="Arial" w:hAnsi="Arial" w:cs="Arial"/>
          <w:sz w:val="22"/>
          <w:szCs w:val="22"/>
        </w:rPr>
        <w:t xml:space="preserve">basis. </w:t>
      </w:r>
      <w:r w:rsidR="00E63297">
        <w:rPr>
          <w:rFonts w:ascii="Arial" w:hAnsi="Arial" w:cs="Arial"/>
          <w:sz w:val="22"/>
          <w:szCs w:val="22"/>
        </w:rPr>
        <w:t xml:space="preserve"> </w:t>
      </w:r>
      <w:r w:rsidR="003E6B15">
        <w:rPr>
          <w:rFonts w:ascii="Arial" w:hAnsi="Arial" w:cs="Arial"/>
          <w:sz w:val="22"/>
          <w:szCs w:val="22"/>
        </w:rPr>
        <w:t>By way of comparison, t</w:t>
      </w:r>
      <w:r w:rsidR="00A93E3B">
        <w:rPr>
          <w:rFonts w:ascii="Arial" w:hAnsi="Arial" w:cs="Arial"/>
          <w:sz w:val="22"/>
          <w:szCs w:val="22"/>
        </w:rPr>
        <w:t xml:space="preserve">he Solomon Islands </w:t>
      </w:r>
      <w:r w:rsidR="0029631A">
        <w:rPr>
          <w:rFonts w:ascii="Arial" w:hAnsi="Arial" w:cs="Arial"/>
          <w:sz w:val="22"/>
          <w:szCs w:val="22"/>
        </w:rPr>
        <w:t xml:space="preserve">is </w:t>
      </w:r>
      <w:r w:rsidR="0018452A">
        <w:rPr>
          <w:rFonts w:ascii="Arial" w:hAnsi="Arial" w:cs="Arial"/>
          <w:sz w:val="22"/>
          <w:szCs w:val="22"/>
        </w:rPr>
        <w:t xml:space="preserve">also </w:t>
      </w:r>
      <w:r w:rsidR="0029631A">
        <w:rPr>
          <w:rFonts w:ascii="Arial" w:hAnsi="Arial" w:cs="Arial"/>
          <w:sz w:val="22"/>
          <w:szCs w:val="22"/>
        </w:rPr>
        <w:t>cognizant of th</w:t>
      </w:r>
      <w:r w:rsidR="00E63702">
        <w:rPr>
          <w:rFonts w:ascii="Arial" w:hAnsi="Arial" w:cs="Arial"/>
          <w:sz w:val="22"/>
          <w:szCs w:val="22"/>
        </w:rPr>
        <w:t>e</w:t>
      </w:r>
      <w:r w:rsidR="0029631A">
        <w:rPr>
          <w:rFonts w:ascii="Arial" w:hAnsi="Arial" w:cs="Arial"/>
          <w:sz w:val="22"/>
          <w:szCs w:val="22"/>
        </w:rPr>
        <w:t xml:space="preserve"> principle</w:t>
      </w:r>
      <w:r w:rsidR="00E63702">
        <w:rPr>
          <w:rFonts w:ascii="Arial" w:hAnsi="Arial" w:cs="Arial"/>
          <w:sz w:val="22"/>
          <w:szCs w:val="22"/>
        </w:rPr>
        <w:t xml:space="preserve"> of prompt reporting;</w:t>
      </w:r>
      <w:r w:rsidR="0029631A">
        <w:rPr>
          <w:rFonts w:ascii="Arial" w:hAnsi="Arial" w:cs="Arial"/>
          <w:sz w:val="22"/>
          <w:szCs w:val="22"/>
        </w:rPr>
        <w:t xml:space="preserve"> however has had limited success in its application, with only the Electric company completing </w:t>
      </w:r>
      <w:r w:rsidR="0018452A">
        <w:rPr>
          <w:rFonts w:ascii="Arial" w:hAnsi="Arial" w:cs="Arial"/>
          <w:sz w:val="22"/>
          <w:szCs w:val="22"/>
        </w:rPr>
        <w:t xml:space="preserve">its </w:t>
      </w:r>
      <w:r w:rsidR="0029631A">
        <w:rPr>
          <w:rFonts w:ascii="Arial" w:hAnsi="Arial" w:cs="Arial"/>
          <w:sz w:val="22"/>
          <w:szCs w:val="22"/>
        </w:rPr>
        <w:t>audited annual accounts within the required time.</w:t>
      </w:r>
      <w:r w:rsidR="00B355A8">
        <w:rPr>
          <w:rStyle w:val="FootnoteReference"/>
          <w:rFonts w:ascii="Arial" w:hAnsi="Arial" w:cs="Arial"/>
          <w:sz w:val="22"/>
          <w:szCs w:val="22"/>
        </w:rPr>
        <w:footnoteReference w:id="148"/>
      </w:r>
      <w:r w:rsidR="0067437C">
        <w:rPr>
          <w:rFonts w:ascii="Arial" w:hAnsi="Arial" w:cs="Arial"/>
          <w:sz w:val="22"/>
          <w:szCs w:val="22"/>
        </w:rPr>
        <w:t xml:space="preserve"> </w:t>
      </w:r>
    </w:p>
    <w:p w14:paraId="0CD02652" w14:textId="21FB97DF" w:rsidR="001E1C8B" w:rsidRDefault="001E1C8B" w:rsidP="00631FEA">
      <w:pPr>
        <w:pStyle w:val="p1"/>
        <w:suppressAutoHyphens/>
        <w:jc w:val="both"/>
        <w:rPr>
          <w:rFonts w:ascii="Arial" w:hAnsi="Arial" w:cs="Arial"/>
          <w:sz w:val="22"/>
          <w:szCs w:val="22"/>
        </w:rPr>
      </w:pPr>
    </w:p>
    <w:p w14:paraId="774E0E5C" w14:textId="68672D09" w:rsidR="00401D3C" w:rsidRDefault="001E1C8B" w:rsidP="00631FEA">
      <w:pPr>
        <w:pStyle w:val="p1"/>
        <w:suppressAutoHyphens/>
        <w:jc w:val="both"/>
        <w:rPr>
          <w:rFonts w:ascii="Arial" w:hAnsi="Arial" w:cs="Arial"/>
          <w:sz w:val="22"/>
          <w:szCs w:val="22"/>
        </w:rPr>
      </w:pPr>
      <w:r w:rsidRPr="001E1C8B">
        <w:rPr>
          <w:rFonts w:ascii="Arial" w:hAnsi="Arial" w:cs="Arial"/>
          <w:sz w:val="22"/>
          <w:szCs w:val="22"/>
        </w:rPr>
        <w:t xml:space="preserve">The relationship between enhanced control over budgetary expenditures (iii) and strengthening the FRF (v) are discussed by </w:t>
      </w:r>
      <w:proofErr w:type="spellStart"/>
      <w:r w:rsidRPr="001E1C8B">
        <w:rPr>
          <w:rFonts w:ascii="Arial" w:hAnsi="Arial" w:cs="Arial"/>
          <w:sz w:val="22"/>
          <w:szCs w:val="22"/>
        </w:rPr>
        <w:t>Alessina</w:t>
      </w:r>
      <w:proofErr w:type="spellEnd"/>
      <w:r w:rsidRPr="001E1C8B">
        <w:rPr>
          <w:rFonts w:ascii="Arial" w:hAnsi="Arial" w:cs="Arial"/>
          <w:sz w:val="22"/>
          <w:szCs w:val="22"/>
        </w:rPr>
        <w:t xml:space="preserve"> y </w:t>
      </w:r>
      <w:proofErr w:type="spellStart"/>
      <w:r w:rsidRPr="001E1C8B">
        <w:rPr>
          <w:rFonts w:ascii="Arial" w:hAnsi="Arial" w:cs="Arial"/>
          <w:sz w:val="22"/>
          <w:szCs w:val="22"/>
        </w:rPr>
        <w:t>Passalacqua</w:t>
      </w:r>
      <w:proofErr w:type="spellEnd"/>
      <w:r w:rsidRPr="001E1C8B">
        <w:rPr>
          <w:rFonts w:ascii="Arial" w:hAnsi="Arial" w:cs="Arial"/>
          <w:sz w:val="22"/>
          <w:szCs w:val="22"/>
        </w:rPr>
        <w:t xml:space="preserve"> (2016) and Arenas de Mesa (2016). There is no causal evidence on the effect of budget rules [(v).a.1] on deviations from budget [(v).a] or economic growth [general objective a]. However, analysis for the USA from 1940 to 2005 shows a budget rule could be costly in the short run and beneficial in the long run to fiscal stability (</w:t>
      </w:r>
      <w:proofErr w:type="spellStart"/>
      <w:r w:rsidRPr="001E1C8B">
        <w:rPr>
          <w:rFonts w:ascii="Arial" w:hAnsi="Arial" w:cs="Arial"/>
          <w:sz w:val="22"/>
          <w:szCs w:val="22"/>
        </w:rPr>
        <w:t>Azzimonti</w:t>
      </w:r>
      <w:proofErr w:type="spellEnd"/>
      <w:r w:rsidRPr="001E1C8B">
        <w:rPr>
          <w:rFonts w:ascii="Arial" w:hAnsi="Arial" w:cs="Arial"/>
          <w:sz w:val="22"/>
          <w:szCs w:val="22"/>
        </w:rPr>
        <w:t xml:space="preserve">, </w:t>
      </w:r>
      <w:proofErr w:type="spellStart"/>
      <w:r w:rsidRPr="001E1C8B">
        <w:rPr>
          <w:rFonts w:ascii="Arial" w:hAnsi="Arial" w:cs="Arial"/>
          <w:sz w:val="22"/>
          <w:szCs w:val="22"/>
        </w:rPr>
        <w:t>Battaglini</w:t>
      </w:r>
      <w:proofErr w:type="spellEnd"/>
      <w:r w:rsidRPr="001E1C8B">
        <w:rPr>
          <w:rFonts w:ascii="Arial" w:hAnsi="Arial" w:cs="Arial"/>
          <w:sz w:val="22"/>
          <w:szCs w:val="22"/>
        </w:rPr>
        <w:t xml:space="preserve"> and </w:t>
      </w:r>
      <w:proofErr w:type="spellStart"/>
      <w:r w:rsidRPr="001E1C8B">
        <w:rPr>
          <w:rFonts w:ascii="Arial" w:hAnsi="Arial" w:cs="Arial"/>
          <w:sz w:val="22"/>
          <w:szCs w:val="22"/>
        </w:rPr>
        <w:t>Coate</w:t>
      </w:r>
      <w:proofErr w:type="spellEnd"/>
      <w:r w:rsidRPr="001E1C8B">
        <w:rPr>
          <w:rFonts w:ascii="Arial" w:hAnsi="Arial" w:cs="Arial"/>
          <w:sz w:val="22"/>
          <w:szCs w:val="22"/>
        </w:rPr>
        <w:t xml:space="preserve">, 2010). Fiscal stability is associated </w:t>
      </w:r>
      <w:r w:rsidR="004706E7">
        <w:rPr>
          <w:rFonts w:ascii="Arial" w:hAnsi="Arial" w:cs="Arial"/>
          <w:sz w:val="22"/>
          <w:szCs w:val="22"/>
        </w:rPr>
        <w:t>with</w:t>
      </w:r>
      <w:r w:rsidRPr="001E1C8B">
        <w:rPr>
          <w:rFonts w:ascii="Arial" w:hAnsi="Arial" w:cs="Arial"/>
          <w:sz w:val="22"/>
          <w:szCs w:val="22"/>
        </w:rPr>
        <w:t xml:space="preserve"> economic growth. A country with weak financial stability is forced to limit public goods and services, increase taxes, faces higher cost of capital, and may depreciate currency. These factors cur</w:t>
      </w:r>
      <w:r w:rsidR="00F51AE2">
        <w:rPr>
          <w:rFonts w:ascii="Arial" w:hAnsi="Arial" w:cs="Arial"/>
          <w:sz w:val="22"/>
          <w:szCs w:val="22"/>
        </w:rPr>
        <w:t>b</w:t>
      </w:r>
      <w:r w:rsidRPr="001E1C8B">
        <w:rPr>
          <w:rFonts w:ascii="Arial" w:hAnsi="Arial" w:cs="Arial"/>
          <w:sz w:val="22"/>
          <w:szCs w:val="22"/>
        </w:rPr>
        <w:t xml:space="preserve"> local investment and crowd out investment </w:t>
      </w:r>
      <w:r w:rsidR="00F51AE2">
        <w:rPr>
          <w:rFonts w:ascii="Arial" w:hAnsi="Arial" w:cs="Arial"/>
          <w:sz w:val="22"/>
          <w:szCs w:val="22"/>
        </w:rPr>
        <w:t>in</w:t>
      </w:r>
      <w:r w:rsidRPr="001E1C8B">
        <w:rPr>
          <w:rFonts w:ascii="Arial" w:hAnsi="Arial" w:cs="Arial"/>
          <w:sz w:val="22"/>
          <w:szCs w:val="22"/>
        </w:rPr>
        <w:t xml:space="preserve"> other countries. These factors inhibit economic growth (Romer, 2006; Arenas de Mesa, 2016).</w:t>
      </w:r>
    </w:p>
    <w:p w14:paraId="1E3CC5D4" w14:textId="77777777" w:rsidR="008D5298" w:rsidRPr="00B05255" w:rsidRDefault="008D5298" w:rsidP="009C086E">
      <w:pPr>
        <w:pStyle w:val="p1"/>
      </w:pPr>
    </w:p>
    <w:p w14:paraId="6A89E6E7" w14:textId="2ABC4D2B" w:rsidR="009544B5" w:rsidRPr="009C086E" w:rsidRDefault="00401D3C" w:rsidP="00512920">
      <w:pPr>
        <w:tabs>
          <w:tab w:val="left" w:pos="1080"/>
        </w:tabs>
        <w:suppressAutoHyphens/>
        <w:spacing w:before="120" w:after="120"/>
        <w:jc w:val="both"/>
        <w:outlineLvl w:val="0"/>
        <w:rPr>
          <w:rFonts w:ascii="Arial" w:eastAsia="Times New Roman" w:hAnsi="Arial" w:cs="Arial"/>
          <w:sz w:val="22"/>
          <w:szCs w:val="22"/>
        </w:rPr>
      </w:pPr>
      <w:r w:rsidRPr="009C086E">
        <w:rPr>
          <w:rFonts w:ascii="Arial" w:eastAsia="Times New Roman" w:hAnsi="Arial" w:cs="Arial"/>
          <w:sz w:val="22"/>
          <w:szCs w:val="22"/>
        </w:rPr>
        <w:t xml:space="preserve">Much of the evidence </w:t>
      </w:r>
      <w:r w:rsidR="00F62AD4">
        <w:rPr>
          <w:rFonts w:ascii="Arial" w:eastAsia="Times New Roman" w:hAnsi="Arial" w:cs="Arial"/>
          <w:sz w:val="22"/>
          <w:szCs w:val="22"/>
        </w:rPr>
        <w:t>from</w:t>
      </w:r>
      <w:r w:rsidRPr="009C086E">
        <w:rPr>
          <w:rFonts w:ascii="Arial" w:eastAsia="Times New Roman" w:hAnsi="Arial" w:cs="Arial"/>
          <w:sz w:val="22"/>
          <w:szCs w:val="22"/>
        </w:rPr>
        <w:t xml:space="preserve"> other countries is not conclusive. A before </w:t>
      </w:r>
      <w:r w:rsidR="00F51AE2">
        <w:rPr>
          <w:rFonts w:ascii="Arial" w:eastAsia="Times New Roman" w:hAnsi="Arial" w:cs="Arial"/>
          <w:sz w:val="22"/>
          <w:szCs w:val="22"/>
        </w:rPr>
        <w:t>vs.</w:t>
      </w:r>
      <w:r w:rsidRPr="009C086E">
        <w:rPr>
          <w:rFonts w:ascii="Arial" w:eastAsia="Times New Roman" w:hAnsi="Arial" w:cs="Arial"/>
          <w:sz w:val="22"/>
          <w:szCs w:val="22"/>
        </w:rPr>
        <w:t xml:space="preserve"> after comparison (</w:t>
      </w:r>
      <w:r w:rsidR="00F51AE2">
        <w:rPr>
          <w:rFonts w:ascii="Arial" w:eastAsia="Times New Roman" w:hAnsi="Arial" w:cs="Arial"/>
          <w:sz w:val="22"/>
          <w:szCs w:val="22"/>
        </w:rPr>
        <w:t>T</w:t>
      </w:r>
      <w:r w:rsidRPr="009C086E">
        <w:rPr>
          <w:rFonts w:ascii="Arial" w:eastAsia="Times New Roman" w:hAnsi="Arial" w:cs="Arial"/>
          <w:sz w:val="22"/>
          <w:szCs w:val="22"/>
        </w:rPr>
        <w:t>able</w:t>
      </w:r>
      <w:r w:rsidR="00631FEA">
        <w:rPr>
          <w:rFonts w:ascii="Arial" w:eastAsia="Times New Roman" w:hAnsi="Arial" w:cs="Arial"/>
          <w:sz w:val="22"/>
          <w:szCs w:val="22"/>
        </w:rPr>
        <w:t> </w:t>
      </w:r>
      <w:r w:rsidRPr="009C086E">
        <w:rPr>
          <w:rFonts w:ascii="Arial" w:eastAsia="Times New Roman" w:hAnsi="Arial" w:cs="Arial"/>
          <w:sz w:val="22"/>
          <w:szCs w:val="22"/>
        </w:rPr>
        <w:t xml:space="preserve">2) and the simulation analysis show </w:t>
      </w:r>
      <w:r w:rsidR="00CC62DB">
        <w:rPr>
          <w:rFonts w:ascii="Arial" w:eastAsia="Times New Roman" w:hAnsi="Arial" w:cs="Arial"/>
          <w:sz w:val="22"/>
          <w:szCs w:val="22"/>
        </w:rPr>
        <w:t xml:space="preserve">how </w:t>
      </w:r>
      <w:r w:rsidRPr="009C086E">
        <w:rPr>
          <w:rFonts w:ascii="Arial" w:eastAsia="Times New Roman" w:hAnsi="Arial" w:cs="Arial"/>
          <w:sz w:val="22"/>
          <w:szCs w:val="22"/>
        </w:rPr>
        <w:t xml:space="preserve">the program may have led to substantial changes in the dimensions it </w:t>
      </w:r>
      <w:r w:rsidR="00F51AE2">
        <w:rPr>
          <w:rFonts w:ascii="Arial" w:eastAsia="Times New Roman" w:hAnsi="Arial" w:cs="Arial"/>
          <w:sz w:val="22"/>
          <w:szCs w:val="22"/>
        </w:rPr>
        <w:t>sought</w:t>
      </w:r>
      <w:r w:rsidRPr="009C086E">
        <w:rPr>
          <w:rFonts w:ascii="Arial" w:eastAsia="Times New Roman" w:hAnsi="Arial" w:cs="Arial"/>
          <w:sz w:val="22"/>
          <w:szCs w:val="22"/>
        </w:rPr>
        <w:t xml:space="preserve"> to improve. We conclude </w:t>
      </w:r>
      <w:r w:rsidR="00F51AE2">
        <w:rPr>
          <w:rFonts w:ascii="Arial" w:eastAsia="Times New Roman" w:hAnsi="Arial" w:cs="Arial"/>
          <w:sz w:val="22"/>
          <w:szCs w:val="22"/>
        </w:rPr>
        <w:t xml:space="preserve">that </w:t>
      </w:r>
      <w:r w:rsidRPr="009C086E">
        <w:rPr>
          <w:rFonts w:ascii="Arial" w:eastAsia="Times New Roman" w:hAnsi="Arial" w:cs="Arial"/>
          <w:sz w:val="22"/>
          <w:szCs w:val="22"/>
        </w:rPr>
        <w:t>some of the observed changes in growth and fiscal balance, along with those captured by outcome indicators can be attributed to FISPEG.</w:t>
      </w:r>
    </w:p>
    <w:p w14:paraId="2D03F2BC" w14:textId="73D9A9F1" w:rsidR="009B4D7A" w:rsidRPr="00040AA9" w:rsidRDefault="00276D86" w:rsidP="00040AA9">
      <w:pPr>
        <w:pStyle w:val="Heading3"/>
        <w:keepNext w:val="0"/>
        <w:keepLines w:val="0"/>
        <w:numPr>
          <w:ilvl w:val="0"/>
          <w:numId w:val="0"/>
        </w:numPr>
        <w:suppressAutoHyphens/>
        <w:spacing w:before="120" w:after="120"/>
        <w:ind w:left="1440"/>
        <w:rPr>
          <w:szCs w:val="22"/>
        </w:rPr>
      </w:pPr>
      <w:bookmarkStart w:id="24" w:name="_Toc469493900"/>
      <w:bookmarkEnd w:id="23"/>
      <w:r w:rsidRPr="00040AA9">
        <w:rPr>
          <w:szCs w:val="22"/>
        </w:rPr>
        <w:t xml:space="preserve">d. </w:t>
      </w:r>
      <w:r w:rsidR="009B4D7A" w:rsidRPr="00040AA9">
        <w:rPr>
          <w:szCs w:val="22"/>
        </w:rPr>
        <w:t>Unanticipated outcomes</w:t>
      </w:r>
      <w:bookmarkEnd w:id="24"/>
    </w:p>
    <w:p w14:paraId="25AF2D6E" w14:textId="1936352E" w:rsidR="00D20276" w:rsidRPr="00040AA9" w:rsidRDefault="00D20276" w:rsidP="00040AA9">
      <w:pPr>
        <w:suppressAutoHyphens/>
        <w:spacing w:before="120" w:after="120"/>
        <w:jc w:val="both"/>
        <w:rPr>
          <w:rFonts w:ascii="Arial" w:hAnsi="Arial" w:cs="Arial"/>
          <w:sz w:val="22"/>
          <w:szCs w:val="22"/>
        </w:rPr>
      </w:pPr>
      <w:r w:rsidRPr="00040AA9">
        <w:rPr>
          <w:rFonts w:ascii="Arial" w:hAnsi="Arial" w:cs="Arial"/>
          <w:sz w:val="22"/>
          <w:szCs w:val="22"/>
        </w:rPr>
        <w:t>The FISPEG operation had no unanticipated outcomes of consequence to the overall program. In the tax policy and tax administration reform areas the outcomes were highly beneficial to the country both quantitatively and qualitatively. Performance in the areas of P</w:t>
      </w:r>
      <w:r w:rsidR="00943C6B">
        <w:rPr>
          <w:rFonts w:ascii="Arial" w:hAnsi="Arial" w:cs="Arial"/>
          <w:sz w:val="22"/>
          <w:szCs w:val="22"/>
        </w:rPr>
        <w:t>B</w:t>
      </w:r>
      <w:r w:rsidRPr="00040AA9">
        <w:rPr>
          <w:rFonts w:ascii="Arial" w:hAnsi="Arial" w:cs="Arial"/>
          <w:sz w:val="22"/>
          <w:szCs w:val="22"/>
        </w:rPr>
        <w:t xml:space="preserve"> reform and National Insurance reform fell short of </w:t>
      </w:r>
      <w:r w:rsidR="00943C6B" w:rsidRPr="00F863A4">
        <w:rPr>
          <w:rFonts w:ascii="Arial" w:hAnsi="Arial" w:cs="Arial"/>
          <w:sz w:val="22"/>
          <w:szCs w:val="22"/>
        </w:rPr>
        <w:t>expectations;</w:t>
      </w:r>
      <w:r w:rsidRPr="00040AA9">
        <w:rPr>
          <w:rFonts w:ascii="Arial" w:hAnsi="Arial" w:cs="Arial"/>
          <w:sz w:val="22"/>
          <w:szCs w:val="22"/>
        </w:rPr>
        <w:t xml:space="preserve"> </w:t>
      </w:r>
      <w:r w:rsidR="001C5D02" w:rsidRPr="00040AA9">
        <w:rPr>
          <w:rFonts w:ascii="Arial" w:hAnsi="Arial" w:cs="Arial"/>
          <w:sz w:val="22"/>
          <w:szCs w:val="22"/>
        </w:rPr>
        <w:t>however,</w:t>
      </w:r>
      <w:r w:rsidRPr="00040AA9">
        <w:rPr>
          <w:rFonts w:ascii="Arial" w:hAnsi="Arial" w:cs="Arial"/>
          <w:sz w:val="22"/>
          <w:szCs w:val="22"/>
        </w:rPr>
        <w:t xml:space="preserve"> this was not unanticipated as the institutional weaknesses were well known in both areas. It may even be said that FISPEG has helped to set the stage for future improvements, just as the FCP, while failing to meet its objectives, set the stage for the substantial tax policy and tax administration reforms accomplished by FISPEG. </w:t>
      </w:r>
      <w:r w:rsidR="00DE6CB1">
        <w:rPr>
          <w:rFonts w:ascii="Arial" w:hAnsi="Arial" w:cs="Arial"/>
          <w:sz w:val="22"/>
          <w:szCs w:val="22"/>
        </w:rPr>
        <w:t xml:space="preserve">As noted in the </w:t>
      </w:r>
      <w:proofErr w:type="spellStart"/>
      <w:r w:rsidR="00DE6CB1" w:rsidRPr="00DE6CB1">
        <w:rPr>
          <w:rFonts w:ascii="Arial" w:hAnsi="Arial" w:cs="Arial"/>
          <w:sz w:val="22"/>
          <w:szCs w:val="22"/>
        </w:rPr>
        <w:t>GoJ</w:t>
      </w:r>
      <w:proofErr w:type="spellEnd"/>
      <w:r w:rsidR="00DE6CB1" w:rsidRPr="00DE6CB1">
        <w:rPr>
          <w:rFonts w:ascii="Arial" w:hAnsi="Arial" w:cs="Arial"/>
          <w:sz w:val="22"/>
          <w:szCs w:val="22"/>
        </w:rPr>
        <w:t xml:space="preserve"> comments </w:t>
      </w:r>
      <w:r w:rsidR="00DE6CB1" w:rsidRPr="00DA239B">
        <w:rPr>
          <w:rFonts w:ascii="Arial" w:hAnsi="Arial" w:cs="Arial"/>
          <w:sz w:val="22"/>
          <w:szCs w:val="22"/>
        </w:rPr>
        <w:t>“</w:t>
      </w:r>
      <w:r w:rsidR="00DE6CB1" w:rsidRPr="00127901">
        <w:rPr>
          <w:rFonts w:ascii="Arial" w:eastAsia="Calibri" w:hAnsi="Arial" w:cs="Arial"/>
          <w:sz w:val="22"/>
          <w:szCs w:val="22"/>
          <w:lang w:val="en-029"/>
        </w:rPr>
        <w:t>It is our view that future relationships should consider adequate co-ordination and consultation with all relevant stakeholders in order to guide expectations, as well as the crafting of the Programme’s various operations.”</w:t>
      </w:r>
      <w:r w:rsidR="00DE6CB1" w:rsidRPr="000E4679">
        <w:rPr>
          <w:rFonts w:eastAsia="Calibri"/>
          <w:lang w:val="en-029"/>
        </w:rPr>
        <w:t xml:space="preserve"> </w:t>
      </w:r>
      <w:r w:rsidR="00DA239B" w:rsidRPr="00127901">
        <w:rPr>
          <w:rFonts w:ascii="Arial" w:eastAsia="Calibri" w:hAnsi="Arial" w:cs="Arial"/>
          <w:sz w:val="22"/>
          <w:szCs w:val="22"/>
          <w:lang w:val="en-029"/>
        </w:rPr>
        <w:t xml:space="preserve">(See Optional Electronic Link </w:t>
      </w:r>
      <w:r w:rsidR="00CC1FCD">
        <w:rPr>
          <w:rFonts w:ascii="Arial" w:eastAsia="Calibri" w:hAnsi="Arial" w:cs="Arial"/>
          <w:sz w:val="22"/>
          <w:szCs w:val="22"/>
          <w:lang w:val="en-029"/>
        </w:rPr>
        <w:t xml:space="preserve">(OEL) </w:t>
      </w:r>
      <w:r w:rsidR="00DA239B" w:rsidRPr="00127901">
        <w:rPr>
          <w:rFonts w:ascii="Arial" w:eastAsia="Calibri" w:hAnsi="Arial" w:cs="Arial"/>
          <w:sz w:val="22"/>
          <w:szCs w:val="22"/>
          <w:lang w:val="en-029"/>
        </w:rPr>
        <w:t>#7</w:t>
      </w:r>
      <w:r w:rsidR="00A82A92">
        <w:rPr>
          <w:rFonts w:ascii="Arial" w:eastAsia="Calibri" w:hAnsi="Arial" w:cs="Arial"/>
          <w:sz w:val="22"/>
          <w:szCs w:val="22"/>
          <w:lang w:val="en-029"/>
        </w:rPr>
        <w:t>, item 11</w:t>
      </w:r>
      <w:r w:rsidR="00DA239B" w:rsidRPr="00127901">
        <w:rPr>
          <w:rFonts w:ascii="Arial" w:eastAsia="Calibri" w:hAnsi="Arial" w:cs="Arial"/>
          <w:sz w:val="22"/>
          <w:szCs w:val="22"/>
          <w:lang w:val="en-029"/>
        </w:rPr>
        <w:t>)</w:t>
      </w:r>
    </w:p>
    <w:p w14:paraId="07CB1F2A" w14:textId="6D5C3E28" w:rsidR="00EC0C7B" w:rsidRPr="00040AA9" w:rsidRDefault="009B4D7A" w:rsidP="00040AA9">
      <w:pPr>
        <w:pStyle w:val="Heading2"/>
        <w:keepNext w:val="0"/>
        <w:keepLines w:val="0"/>
        <w:numPr>
          <w:ilvl w:val="1"/>
          <w:numId w:val="1"/>
        </w:numPr>
        <w:suppressAutoHyphens/>
        <w:rPr>
          <w:rFonts w:cs="Arial"/>
          <w:szCs w:val="22"/>
        </w:rPr>
      </w:pPr>
      <w:bookmarkStart w:id="25" w:name="_Toc469493901"/>
      <w:r w:rsidRPr="00040AA9">
        <w:rPr>
          <w:rFonts w:cs="Arial"/>
          <w:szCs w:val="22"/>
        </w:rPr>
        <w:t>Efficiency</w:t>
      </w:r>
      <w:bookmarkEnd w:id="25"/>
    </w:p>
    <w:p w14:paraId="458A3837" w14:textId="23930BD0" w:rsidR="00FF084D" w:rsidRPr="00040AA9" w:rsidRDefault="008F417A" w:rsidP="00040AA9">
      <w:pPr>
        <w:pStyle w:val="p1"/>
        <w:suppressAutoHyphens/>
        <w:spacing w:before="120" w:after="120"/>
        <w:jc w:val="both"/>
        <w:rPr>
          <w:rFonts w:ascii="Arial" w:hAnsi="Arial" w:cs="Arial"/>
          <w:sz w:val="22"/>
          <w:szCs w:val="22"/>
        </w:rPr>
      </w:pPr>
      <w:r w:rsidRPr="00040AA9">
        <w:rPr>
          <w:rFonts w:ascii="Arial" w:hAnsi="Arial" w:cs="Arial"/>
          <w:sz w:val="22"/>
          <w:szCs w:val="22"/>
        </w:rPr>
        <w:t>A</w:t>
      </w:r>
      <w:r w:rsidR="00BB40AD" w:rsidRPr="00040AA9">
        <w:rPr>
          <w:rFonts w:ascii="Arial" w:hAnsi="Arial" w:cs="Arial"/>
          <w:sz w:val="22"/>
          <w:szCs w:val="22"/>
        </w:rPr>
        <w:t xml:space="preserve"> quantitative </w:t>
      </w:r>
      <w:r w:rsidR="001D7C1A" w:rsidRPr="00040AA9">
        <w:rPr>
          <w:rFonts w:ascii="Arial" w:hAnsi="Arial" w:cs="Arial"/>
          <w:sz w:val="22"/>
          <w:szCs w:val="22"/>
        </w:rPr>
        <w:t>ex</w:t>
      </w:r>
      <w:r w:rsidR="003B0890">
        <w:rPr>
          <w:rFonts w:ascii="Arial" w:hAnsi="Arial" w:cs="Arial"/>
          <w:sz w:val="22"/>
          <w:szCs w:val="22"/>
        </w:rPr>
        <w:t>-</w:t>
      </w:r>
      <w:r w:rsidR="001D7C1A" w:rsidRPr="00040AA9">
        <w:rPr>
          <w:rFonts w:ascii="Arial" w:hAnsi="Arial" w:cs="Arial"/>
          <w:sz w:val="22"/>
          <w:szCs w:val="22"/>
        </w:rPr>
        <w:t>ante and ex</w:t>
      </w:r>
      <w:r w:rsidR="00943C6B">
        <w:rPr>
          <w:rFonts w:ascii="Arial" w:hAnsi="Arial" w:cs="Arial"/>
          <w:sz w:val="22"/>
          <w:szCs w:val="22"/>
        </w:rPr>
        <w:t xml:space="preserve"> </w:t>
      </w:r>
      <w:r w:rsidR="001D7C1A" w:rsidRPr="00040AA9">
        <w:rPr>
          <w:rFonts w:ascii="Arial" w:hAnsi="Arial" w:cs="Arial"/>
          <w:sz w:val="22"/>
          <w:szCs w:val="22"/>
        </w:rPr>
        <w:t xml:space="preserve">post </w:t>
      </w:r>
      <w:r w:rsidR="00BB40AD" w:rsidRPr="00040AA9">
        <w:rPr>
          <w:rFonts w:ascii="Arial" w:hAnsi="Arial" w:cs="Arial"/>
          <w:sz w:val="22"/>
          <w:szCs w:val="22"/>
        </w:rPr>
        <w:t xml:space="preserve">analysis of </w:t>
      </w:r>
      <w:r w:rsidR="006F5309" w:rsidRPr="00040AA9">
        <w:rPr>
          <w:rFonts w:ascii="Arial" w:hAnsi="Arial" w:cs="Arial"/>
          <w:sz w:val="22"/>
          <w:szCs w:val="22"/>
        </w:rPr>
        <w:t xml:space="preserve">benefits and </w:t>
      </w:r>
      <w:r w:rsidR="00BB40AD" w:rsidRPr="00040AA9">
        <w:rPr>
          <w:rFonts w:ascii="Arial" w:hAnsi="Arial" w:cs="Arial"/>
          <w:sz w:val="22"/>
          <w:szCs w:val="22"/>
        </w:rPr>
        <w:t>costs</w:t>
      </w:r>
      <w:r w:rsidR="001D7C1A" w:rsidRPr="00040AA9">
        <w:rPr>
          <w:rFonts w:ascii="Arial" w:hAnsi="Arial" w:cs="Arial"/>
          <w:sz w:val="22"/>
          <w:szCs w:val="22"/>
        </w:rPr>
        <w:t xml:space="preserve"> was carried out for </w:t>
      </w:r>
      <w:r w:rsidR="00F8433F" w:rsidRPr="00040AA9">
        <w:rPr>
          <w:rFonts w:ascii="Arial" w:hAnsi="Arial" w:cs="Arial"/>
          <w:sz w:val="22"/>
          <w:szCs w:val="22"/>
        </w:rPr>
        <w:t>Component</w:t>
      </w:r>
      <w:r w:rsidR="00943C6B">
        <w:rPr>
          <w:rFonts w:ascii="Arial" w:hAnsi="Arial" w:cs="Arial"/>
          <w:sz w:val="22"/>
          <w:szCs w:val="22"/>
        </w:rPr>
        <w:t> </w:t>
      </w:r>
      <w:r w:rsidR="00F8433F" w:rsidRPr="00040AA9">
        <w:rPr>
          <w:rFonts w:ascii="Arial" w:hAnsi="Arial" w:cs="Arial"/>
          <w:sz w:val="22"/>
          <w:szCs w:val="22"/>
        </w:rPr>
        <w:t xml:space="preserve">II, </w:t>
      </w:r>
      <w:r w:rsidR="00870EDC" w:rsidRPr="00040AA9">
        <w:rPr>
          <w:rFonts w:ascii="Arial" w:hAnsi="Arial" w:cs="Arial"/>
          <w:sz w:val="22"/>
          <w:szCs w:val="22"/>
        </w:rPr>
        <w:t xml:space="preserve">the </w:t>
      </w:r>
      <w:r w:rsidR="00707A31" w:rsidRPr="00040AA9">
        <w:rPr>
          <w:rFonts w:ascii="Arial" w:hAnsi="Arial" w:cs="Arial"/>
          <w:sz w:val="22"/>
          <w:szCs w:val="22"/>
        </w:rPr>
        <w:t xml:space="preserve">strengthening of tax </w:t>
      </w:r>
      <w:r w:rsidR="008B68BB" w:rsidRPr="00040AA9">
        <w:rPr>
          <w:rFonts w:ascii="Arial" w:hAnsi="Arial" w:cs="Arial"/>
          <w:sz w:val="22"/>
          <w:szCs w:val="22"/>
        </w:rPr>
        <w:t>policy</w:t>
      </w:r>
      <w:r w:rsidR="0074495C" w:rsidRPr="00040AA9">
        <w:rPr>
          <w:rFonts w:ascii="Arial" w:hAnsi="Arial" w:cs="Arial"/>
          <w:sz w:val="22"/>
          <w:szCs w:val="22"/>
        </w:rPr>
        <w:t xml:space="preserve"> and administration, which as discussed previously was the primary focus of the FISPEG operation. </w:t>
      </w:r>
      <w:r w:rsidR="00CC41D1" w:rsidRPr="00040AA9">
        <w:rPr>
          <w:rFonts w:ascii="Arial" w:hAnsi="Arial" w:cs="Arial"/>
          <w:sz w:val="22"/>
          <w:szCs w:val="22"/>
        </w:rPr>
        <w:t xml:space="preserve">Components III, IV, and V </w:t>
      </w:r>
      <w:r w:rsidR="00693A3A" w:rsidRPr="00040AA9">
        <w:rPr>
          <w:rFonts w:ascii="Arial" w:hAnsi="Arial" w:cs="Arial"/>
          <w:sz w:val="22"/>
          <w:szCs w:val="22"/>
        </w:rPr>
        <w:t xml:space="preserve">(i.e. excluding </w:t>
      </w:r>
      <w:r w:rsidR="00943C6B">
        <w:rPr>
          <w:rFonts w:ascii="Arial" w:hAnsi="Arial" w:cs="Arial"/>
          <w:sz w:val="22"/>
          <w:szCs w:val="22"/>
        </w:rPr>
        <w:t>C</w:t>
      </w:r>
      <w:r w:rsidR="00693A3A" w:rsidRPr="00040AA9">
        <w:rPr>
          <w:rFonts w:ascii="Arial" w:hAnsi="Arial" w:cs="Arial"/>
          <w:sz w:val="22"/>
          <w:szCs w:val="22"/>
        </w:rPr>
        <w:t>omponent</w:t>
      </w:r>
      <w:r w:rsidR="00F51AE2">
        <w:rPr>
          <w:rFonts w:ascii="Arial" w:hAnsi="Arial" w:cs="Arial"/>
          <w:sz w:val="22"/>
          <w:szCs w:val="22"/>
        </w:rPr>
        <w:t xml:space="preserve"> I</w:t>
      </w:r>
      <w:r w:rsidR="00693A3A" w:rsidRPr="00040AA9">
        <w:rPr>
          <w:rFonts w:ascii="Arial" w:hAnsi="Arial" w:cs="Arial"/>
          <w:sz w:val="22"/>
          <w:szCs w:val="22"/>
        </w:rPr>
        <w:t xml:space="preserve">) were also anticipated to yield benefits and incur costs, however these were not quantified. </w:t>
      </w:r>
    </w:p>
    <w:p w14:paraId="6DB16F16" w14:textId="13A5800F" w:rsidR="00506ACE" w:rsidRPr="00040AA9" w:rsidRDefault="00870EDC" w:rsidP="00040AA9">
      <w:pPr>
        <w:pStyle w:val="p1"/>
        <w:suppressAutoHyphens/>
        <w:spacing w:before="120" w:after="120"/>
        <w:jc w:val="both"/>
        <w:rPr>
          <w:rFonts w:ascii="Arial" w:hAnsi="Arial" w:cs="Arial"/>
          <w:sz w:val="22"/>
          <w:szCs w:val="22"/>
        </w:rPr>
      </w:pPr>
      <w:r w:rsidRPr="00040AA9">
        <w:rPr>
          <w:rFonts w:ascii="Arial" w:hAnsi="Arial" w:cs="Arial"/>
          <w:sz w:val="22"/>
          <w:szCs w:val="22"/>
        </w:rPr>
        <w:t>While a forma</w:t>
      </w:r>
      <w:r w:rsidR="007652AD" w:rsidRPr="00040AA9">
        <w:rPr>
          <w:rFonts w:ascii="Arial" w:hAnsi="Arial" w:cs="Arial"/>
          <w:sz w:val="22"/>
          <w:szCs w:val="22"/>
        </w:rPr>
        <w:t>l ex</w:t>
      </w:r>
      <w:r w:rsidR="00A16257">
        <w:rPr>
          <w:rFonts w:ascii="Arial" w:hAnsi="Arial" w:cs="Arial"/>
          <w:sz w:val="22"/>
          <w:szCs w:val="22"/>
        </w:rPr>
        <w:t>-</w:t>
      </w:r>
      <w:r w:rsidR="007652AD" w:rsidRPr="00040AA9">
        <w:rPr>
          <w:rFonts w:ascii="Arial" w:hAnsi="Arial" w:cs="Arial"/>
          <w:sz w:val="22"/>
          <w:szCs w:val="22"/>
        </w:rPr>
        <w:t>ante cost-</w:t>
      </w:r>
      <w:r w:rsidRPr="00040AA9">
        <w:rPr>
          <w:rFonts w:ascii="Arial" w:hAnsi="Arial" w:cs="Arial"/>
          <w:sz w:val="22"/>
          <w:szCs w:val="22"/>
        </w:rPr>
        <w:t>benefit</w:t>
      </w:r>
      <w:r w:rsidR="002A49D2" w:rsidRPr="00040AA9">
        <w:rPr>
          <w:rFonts w:ascii="Arial" w:hAnsi="Arial" w:cs="Arial"/>
          <w:sz w:val="22"/>
          <w:szCs w:val="22"/>
        </w:rPr>
        <w:t xml:space="preserve"> analysis</w:t>
      </w:r>
      <w:r w:rsidR="00FF084D" w:rsidRPr="00040AA9">
        <w:rPr>
          <w:rFonts w:ascii="Arial" w:hAnsi="Arial" w:cs="Arial"/>
          <w:sz w:val="22"/>
          <w:szCs w:val="22"/>
        </w:rPr>
        <w:t xml:space="preserve"> of the tax reform component</w:t>
      </w:r>
      <w:r w:rsidR="002A49D2" w:rsidRPr="00040AA9">
        <w:rPr>
          <w:rFonts w:ascii="Arial" w:hAnsi="Arial" w:cs="Arial"/>
          <w:sz w:val="22"/>
          <w:szCs w:val="22"/>
        </w:rPr>
        <w:t xml:space="preserve"> was included among the attachments to the three loan proposals</w:t>
      </w:r>
      <w:r w:rsidR="001A24CE" w:rsidRPr="00040AA9">
        <w:rPr>
          <w:rFonts w:ascii="Arial" w:hAnsi="Arial" w:cs="Arial"/>
          <w:sz w:val="22"/>
          <w:szCs w:val="22"/>
        </w:rPr>
        <w:t>,</w:t>
      </w:r>
      <w:r w:rsidR="002A49D2" w:rsidRPr="00040AA9">
        <w:rPr>
          <w:rFonts w:ascii="Arial" w:hAnsi="Arial" w:cs="Arial"/>
          <w:sz w:val="22"/>
          <w:szCs w:val="22"/>
        </w:rPr>
        <w:t xml:space="preserve"> it was not possible to reproduce </w:t>
      </w:r>
      <w:r w:rsidR="00DE0403" w:rsidRPr="00040AA9">
        <w:rPr>
          <w:rFonts w:ascii="Arial" w:hAnsi="Arial" w:cs="Arial"/>
          <w:sz w:val="22"/>
          <w:szCs w:val="22"/>
        </w:rPr>
        <w:t>this analysis ex</w:t>
      </w:r>
      <w:r w:rsidR="00A16257">
        <w:rPr>
          <w:rFonts w:ascii="Arial" w:hAnsi="Arial" w:cs="Arial"/>
          <w:sz w:val="22"/>
          <w:szCs w:val="22"/>
        </w:rPr>
        <w:t>-</w:t>
      </w:r>
      <w:r w:rsidR="00DE0403" w:rsidRPr="00040AA9">
        <w:rPr>
          <w:rFonts w:ascii="Arial" w:hAnsi="Arial" w:cs="Arial"/>
          <w:sz w:val="22"/>
          <w:szCs w:val="22"/>
        </w:rPr>
        <w:t xml:space="preserve">post due to data limitations. Instead </w:t>
      </w:r>
      <w:r w:rsidR="00636D63" w:rsidRPr="00040AA9">
        <w:rPr>
          <w:rFonts w:ascii="Arial" w:hAnsi="Arial" w:cs="Arial"/>
          <w:sz w:val="22"/>
          <w:szCs w:val="22"/>
        </w:rPr>
        <w:t xml:space="preserve">the ex-post quantification of benefits has relied on </w:t>
      </w:r>
      <w:r w:rsidR="00DE0403" w:rsidRPr="00040AA9">
        <w:rPr>
          <w:rFonts w:ascii="Arial" w:hAnsi="Arial" w:cs="Arial"/>
          <w:sz w:val="22"/>
          <w:szCs w:val="22"/>
        </w:rPr>
        <w:t xml:space="preserve">information from the counterfactual simulations reported in the Jamaica Tax </w:t>
      </w:r>
      <w:r w:rsidR="00A419E0" w:rsidRPr="00040AA9">
        <w:rPr>
          <w:rFonts w:ascii="Arial" w:hAnsi="Arial" w:cs="Arial"/>
          <w:sz w:val="22"/>
          <w:szCs w:val="22"/>
        </w:rPr>
        <w:t>Assessment</w:t>
      </w:r>
      <w:r w:rsidR="00A419E0" w:rsidRPr="00F863A4">
        <w:rPr>
          <w:rFonts w:ascii="Arial" w:hAnsi="Arial" w:cs="Arial"/>
          <w:i/>
          <w:sz w:val="22"/>
          <w:szCs w:val="22"/>
        </w:rPr>
        <w:t xml:space="preserve"> </w:t>
      </w:r>
      <w:r w:rsidR="00A419E0" w:rsidRPr="00F863A4">
        <w:rPr>
          <w:rFonts w:ascii="Arial" w:hAnsi="Arial" w:cs="Arial"/>
          <w:sz w:val="22"/>
          <w:szCs w:val="22"/>
        </w:rPr>
        <w:t>paper</w:t>
      </w:r>
      <w:r w:rsidR="00636D63" w:rsidRPr="00040AA9">
        <w:rPr>
          <w:rFonts w:ascii="Arial" w:hAnsi="Arial" w:cs="Arial"/>
          <w:sz w:val="22"/>
          <w:szCs w:val="22"/>
        </w:rPr>
        <w:t xml:space="preserve"> (</w:t>
      </w:r>
      <w:r w:rsidR="00DE0403" w:rsidRPr="00040AA9">
        <w:rPr>
          <w:rFonts w:ascii="Arial" w:hAnsi="Arial" w:cs="Arial"/>
          <w:sz w:val="22"/>
          <w:szCs w:val="22"/>
        </w:rPr>
        <w:t>Annex III</w:t>
      </w:r>
      <w:r w:rsidR="00636D63" w:rsidRPr="00040AA9">
        <w:rPr>
          <w:rFonts w:ascii="Arial" w:hAnsi="Arial" w:cs="Arial"/>
          <w:sz w:val="22"/>
          <w:szCs w:val="22"/>
        </w:rPr>
        <w:t xml:space="preserve">). As the approach taken </w:t>
      </w:r>
      <w:r w:rsidR="003B0890">
        <w:rPr>
          <w:rFonts w:ascii="Arial" w:hAnsi="Arial" w:cs="Arial"/>
          <w:sz w:val="22"/>
          <w:szCs w:val="22"/>
        </w:rPr>
        <w:t xml:space="preserve">in </w:t>
      </w:r>
      <w:r w:rsidR="00636D63" w:rsidRPr="00040AA9">
        <w:rPr>
          <w:rFonts w:ascii="Arial" w:hAnsi="Arial" w:cs="Arial"/>
          <w:sz w:val="22"/>
          <w:szCs w:val="22"/>
        </w:rPr>
        <w:t xml:space="preserve">the </w:t>
      </w:r>
      <w:r w:rsidR="00C82702" w:rsidRPr="003B0890">
        <w:rPr>
          <w:rFonts w:ascii="Arial" w:hAnsi="Arial" w:cs="Arial"/>
          <w:sz w:val="22"/>
          <w:szCs w:val="22"/>
        </w:rPr>
        <w:t>ex-ante</w:t>
      </w:r>
      <w:r w:rsidR="00636D63" w:rsidRPr="00040AA9">
        <w:rPr>
          <w:rFonts w:ascii="Arial" w:hAnsi="Arial" w:cs="Arial"/>
          <w:sz w:val="22"/>
          <w:szCs w:val="22"/>
        </w:rPr>
        <w:t xml:space="preserve"> analysis differs from the DCGE model methodology used in the ex</w:t>
      </w:r>
      <w:r w:rsidR="00C82702">
        <w:rPr>
          <w:rFonts w:ascii="Arial" w:hAnsi="Arial" w:cs="Arial"/>
          <w:sz w:val="22"/>
          <w:szCs w:val="22"/>
        </w:rPr>
        <w:t>-</w:t>
      </w:r>
      <w:r w:rsidR="00636D63" w:rsidRPr="00040AA9">
        <w:rPr>
          <w:rFonts w:ascii="Arial" w:hAnsi="Arial" w:cs="Arial"/>
          <w:sz w:val="22"/>
          <w:szCs w:val="22"/>
        </w:rPr>
        <w:t>post analysis</w:t>
      </w:r>
      <w:r w:rsidR="00FF084D" w:rsidRPr="00040AA9">
        <w:rPr>
          <w:rFonts w:ascii="Arial" w:hAnsi="Arial" w:cs="Arial"/>
          <w:sz w:val="22"/>
          <w:szCs w:val="22"/>
        </w:rPr>
        <w:t>,</w:t>
      </w:r>
      <w:r w:rsidR="00636D63" w:rsidRPr="00040AA9">
        <w:rPr>
          <w:rFonts w:ascii="Arial" w:hAnsi="Arial" w:cs="Arial"/>
          <w:sz w:val="22"/>
          <w:szCs w:val="22"/>
        </w:rPr>
        <w:t xml:space="preserve"> no </w:t>
      </w:r>
      <w:r w:rsidR="00BA17FA" w:rsidRPr="00040AA9">
        <w:rPr>
          <w:rFonts w:ascii="Arial" w:hAnsi="Arial" w:cs="Arial"/>
          <w:sz w:val="22"/>
          <w:szCs w:val="22"/>
        </w:rPr>
        <w:t>formal comparison of ex</w:t>
      </w:r>
      <w:r w:rsidR="00C82702">
        <w:rPr>
          <w:rFonts w:ascii="Arial" w:hAnsi="Arial" w:cs="Arial"/>
          <w:sz w:val="22"/>
          <w:szCs w:val="22"/>
        </w:rPr>
        <w:t>-</w:t>
      </w:r>
      <w:r w:rsidR="00BA17FA" w:rsidRPr="00040AA9">
        <w:rPr>
          <w:rFonts w:ascii="Arial" w:hAnsi="Arial" w:cs="Arial"/>
          <w:sz w:val="22"/>
          <w:szCs w:val="22"/>
        </w:rPr>
        <w:t>ante and ex</w:t>
      </w:r>
      <w:r w:rsidR="00C82702">
        <w:rPr>
          <w:rFonts w:ascii="Arial" w:hAnsi="Arial" w:cs="Arial"/>
          <w:sz w:val="22"/>
          <w:szCs w:val="22"/>
        </w:rPr>
        <w:t>-</w:t>
      </w:r>
      <w:r w:rsidR="00BA17FA" w:rsidRPr="00040AA9">
        <w:rPr>
          <w:rFonts w:ascii="Arial" w:hAnsi="Arial" w:cs="Arial"/>
          <w:sz w:val="22"/>
          <w:szCs w:val="22"/>
        </w:rPr>
        <w:t xml:space="preserve">post </w:t>
      </w:r>
      <w:r w:rsidR="00943C6B">
        <w:rPr>
          <w:rFonts w:ascii="Arial" w:hAnsi="Arial" w:cs="Arial"/>
          <w:sz w:val="22"/>
          <w:szCs w:val="22"/>
        </w:rPr>
        <w:t>Internal Rate Returns (</w:t>
      </w:r>
      <w:r w:rsidR="00BA17FA" w:rsidRPr="00040AA9">
        <w:rPr>
          <w:rFonts w:ascii="Arial" w:hAnsi="Arial" w:cs="Arial"/>
          <w:sz w:val="22"/>
          <w:szCs w:val="22"/>
        </w:rPr>
        <w:t>IRR</w:t>
      </w:r>
      <w:r w:rsidR="00943C6B">
        <w:rPr>
          <w:rFonts w:ascii="Arial" w:hAnsi="Arial" w:cs="Arial"/>
          <w:sz w:val="22"/>
          <w:szCs w:val="22"/>
        </w:rPr>
        <w:t>s)</w:t>
      </w:r>
      <w:r w:rsidR="00BA17FA" w:rsidRPr="00040AA9">
        <w:rPr>
          <w:rFonts w:ascii="Arial" w:hAnsi="Arial" w:cs="Arial"/>
          <w:sz w:val="22"/>
          <w:szCs w:val="22"/>
        </w:rPr>
        <w:t xml:space="preserve"> and </w:t>
      </w:r>
      <w:r w:rsidR="00943C6B">
        <w:rPr>
          <w:rFonts w:ascii="Arial" w:hAnsi="Arial" w:cs="Arial"/>
          <w:sz w:val="22"/>
          <w:szCs w:val="22"/>
        </w:rPr>
        <w:t>Net Present Values (</w:t>
      </w:r>
      <w:r w:rsidR="00BA17FA" w:rsidRPr="00040AA9">
        <w:rPr>
          <w:rFonts w:ascii="Arial" w:hAnsi="Arial" w:cs="Arial"/>
          <w:sz w:val="22"/>
          <w:szCs w:val="22"/>
        </w:rPr>
        <w:t>NPV</w:t>
      </w:r>
      <w:r w:rsidR="00943C6B">
        <w:rPr>
          <w:rFonts w:ascii="Arial" w:hAnsi="Arial" w:cs="Arial"/>
          <w:sz w:val="22"/>
          <w:szCs w:val="22"/>
        </w:rPr>
        <w:t>s)</w:t>
      </w:r>
      <w:r w:rsidR="00BA17FA" w:rsidRPr="00040AA9">
        <w:rPr>
          <w:rFonts w:ascii="Arial" w:hAnsi="Arial" w:cs="Arial"/>
          <w:sz w:val="22"/>
          <w:szCs w:val="22"/>
        </w:rPr>
        <w:t xml:space="preserve"> is possible. Instead the </w:t>
      </w:r>
      <w:r w:rsidR="00943C6B">
        <w:rPr>
          <w:rFonts w:ascii="Arial" w:hAnsi="Arial" w:cs="Arial"/>
          <w:sz w:val="22"/>
          <w:szCs w:val="22"/>
        </w:rPr>
        <w:t>P</w:t>
      </w:r>
      <w:r w:rsidR="008A191D" w:rsidRPr="00040AA9">
        <w:rPr>
          <w:rFonts w:ascii="Arial" w:hAnsi="Arial" w:cs="Arial"/>
          <w:sz w:val="22"/>
          <w:szCs w:val="22"/>
        </w:rPr>
        <w:t xml:space="preserve">resent </w:t>
      </w:r>
      <w:r w:rsidR="00943C6B">
        <w:rPr>
          <w:rFonts w:ascii="Arial" w:hAnsi="Arial" w:cs="Arial"/>
          <w:sz w:val="22"/>
          <w:szCs w:val="22"/>
        </w:rPr>
        <w:t>V</w:t>
      </w:r>
      <w:r w:rsidR="008A191D" w:rsidRPr="00040AA9">
        <w:rPr>
          <w:rFonts w:ascii="Arial" w:hAnsi="Arial" w:cs="Arial"/>
          <w:sz w:val="22"/>
          <w:szCs w:val="22"/>
        </w:rPr>
        <w:t>alues</w:t>
      </w:r>
      <w:r w:rsidR="007B77D2" w:rsidRPr="00040AA9">
        <w:rPr>
          <w:rFonts w:ascii="Arial" w:hAnsi="Arial" w:cs="Arial"/>
          <w:sz w:val="22"/>
          <w:szCs w:val="22"/>
        </w:rPr>
        <w:t xml:space="preserve"> (PVs)</w:t>
      </w:r>
      <w:r w:rsidR="008A191D" w:rsidRPr="00040AA9">
        <w:rPr>
          <w:rFonts w:ascii="Arial" w:hAnsi="Arial" w:cs="Arial"/>
          <w:sz w:val="22"/>
          <w:szCs w:val="22"/>
        </w:rPr>
        <w:t xml:space="preserve"> of </w:t>
      </w:r>
      <w:r w:rsidR="00165492" w:rsidRPr="00040AA9">
        <w:rPr>
          <w:rFonts w:ascii="Arial" w:hAnsi="Arial" w:cs="Arial"/>
          <w:sz w:val="22"/>
          <w:szCs w:val="22"/>
        </w:rPr>
        <w:t xml:space="preserve">the </w:t>
      </w:r>
      <w:r w:rsidR="008A191D" w:rsidRPr="00040AA9">
        <w:rPr>
          <w:rFonts w:ascii="Arial" w:hAnsi="Arial" w:cs="Arial"/>
          <w:sz w:val="22"/>
          <w:szCs w:val="22"/>
        </w:rPr>
        <w:t>various revenue and cost streams are independently calculated and presented for a more qualitative assessment</w:t>
      </w:r>
      <w:r w:rsidR="00FB348B" w:rsidRPr="00040AA9">
        <w:rPr>
          <w:rFonts w:ascii="Arial" w:hAnsi="Arial" w:cs="Arial"/>
          <w:sz w:val="22"/>
          <w:szCs w:val="22"/>
        </w:rPr>
        <w:t>.</w:t>
      </w:r>
      <w:r w:rsidR="008A191D" w:rsidRPr="00040AA9">
        <w:rPr>
          <w:rFonts w:ascii="Arial" w:hAnsi="Arial" w:cs="Arial"/>
          <w:sz w:val="22"/>
          <w:szCs w:val="22"/>
        </w:rPr>
        <w:t xml:space="preserve"> </w:t>
      </w:r>
      <w:r w:rsidR="00FB348B" w:rsidRPr="00040AA9">
        <w:rPr>
          <w:rFonts w:ascii="Arial" w:hAnsi="Arial" w:cs="Arial"/>
          <w:sz w:val="22"/>
          <w:szCs w:val="22"/>
        </w:rPr>
        <w:t>These individual streams and their PV</w:t>
      </w:r>
      <w:r w:rsidR="00A66B8C" w:rsidRPr="00040AA9">
        <w:rPr>
          <w:rFonts w:ascii="Arial" w:hAnsi="Arial" w:cs="Arial"/>
          <w:sz w:val="22"/>
          <w:szCs w:val="22"/>
        </w:rPr>
        <w:t xml:space="preserve">s </w:t>
      </w:r>
      <w:r w:rsidR="00FB348B" w:rsidRPr="00040AA9">
        <w:rPr>
          <w:rFonts w:ascii="Arial" w:hAnsi="Arial" w:cs="Arial"/>
          <w:sz w:val="22"/>
          <w:szCs w:val="22"/>
        </w:rPr>
        <w:t xml:space="preserve">are </w:t>
      </w:r>
      <w:r w:rsidR="00CE6D43" w:rsidRPr="00040AA9">
        <w:rPr>
          <w:rFonts w:ascii="Arial" w:hAnsi="Arial" w:cs="Arial"/>
          <w:sz w:val="22"/>
          <w:szCs w:val="22"/>
        </w:rPr>
        <w:t>reported</w:t>
      </w:r>
      <w:r w:rsidR="00FB348B" w:rsidRPr="00040AA9">
        <w:rPr>
          <w:rFonts w:ascii="Arial" w:hAnsi="Arial" w:cs="Arial"/>
          <w:sz w:val="22"/>
          <w:szCs w:val="22"/>
        </w:rPr>
        <w:t xml:space="preserve"> </w:t>
      </w:r>
      <w:r w:rsidR="008A191D" w:rsidRPr="00040AA9">
        <w:rPr>
          <w:rFonts w:ascii="Arial" w:hAnsi="Arial" w:cs="Arial"/>
          <w:sz w:val="22"/>
          <w:szCs w:val="22"/>
        </w:rPr>
        <w:t>in Annex IV</w:t>
      </w:r>
      <w:r w:rsidR="00943C6B">
        <w:rPr>
          <w:rFonts w:ascii="Arial" w:hAnsi="Arial" w:cs="Arial"/>
          <w:sz w:val="22"/>
          <w:szCs w:val="22"/>
        </w:rPr>
        <w:t>.</w:t>
      </w:r>
      <w:r w:rsidR="00BA17FA" w:rsidRPr="00040AA9">
        <w:rPr>
          <w:rFonts w:ascii="Arial" w:hAnsi="Arial" w:cs="Arial"/>
          <w:sz w:val="22"/>
          <w:szCs w:val="22"/>
        </w:rPr>
        <w:t xml:space="preserve"> </w:t>
      </w:r>
    </w:p>
    <w:p w14:paraId="02C7C3D0" w14:textId="2DECB8B6" w:rsidR="00DE0C09" w:rsidRPr="00040AA9" w:rsidRDefault="007B77D2" w:rsidP="00040AA9">
      <w:pPr>
        <w:pStyle w:val="p1"/>
        <w:suppressAutoHyphens/>
        <w:spacing w:before="120" w:after="120"/>
        <w:jc w:val="both"/>
        <w:rPr>
          <w:rFonts w:ascii="Arial" w:hAnsi="Arial" w:cs="Arial"/>
          <w:sz w:val="22"/>
          <w:szCs w:val="22"/>
        </w:rPr>
      </w:pPr>
      <w:r w:rsidRPr="00040AA9">
        <w:rPr>
          <w:rFonts w:ascii="Arial" w:hAnsi="Arial" w:cs="Arial"/>
          <w:sz w:val="22"/>
          <w:szCs w:val="22"/>
        </w:rPr>
        <w:t xml:space="preserve">For the sake of brevity only the findings of this assessment are presented here. The interested reader is referred to Annex IV </w:t>
      </w:r>
      <w:r w:rsidR="00165492" w:rsidRPr="00040AA9">
        <w:rPr>
          <w:rFonts w:ascii="Arial" w:hAnsi="Arial" w:cs="Arial"/>
          <w:sz w:val="22"/>
          <w:szCs w:val="22"/>
        </w:rPr>
        <w:t xml:space="preserve">for a discussion of their derivation and </w:t>
      </w:r>
      <w:r w:rsidR="00377704" w:rsidRPr="00040AA9">
        <w:rPr>
          <w:rFonts w:ascii="Arial" w:hAnsi="Arial" w:cs="Arial"/>
          <w:sz w:val="22"/>
          <w:szCs w:val="22"/>
        </w:rPr>
        <w:t>computation. I</w:t>
      </w:r>
      <w:r w:rsidR="00695B6E" w:rsidRPr="00040AA9">
        <w:rPr>
          <w:rFonts w:ascii="Arial" w:hAnsi="Arial" w:cs="Arial"/>
          <w:sz w:val="22"/>
          <w:szCs w:val="22"/>
        </w:rPr>
        <w:t xml:space="preserve">t must be stressed that </w:t>
      </w:r>
      <w:r w:rsidR="007F18D4" w:rsidRPr="00040AA9">
        <w:rPr>
          <w:rFonts w:ascii="Arial" w:hAnsi="Arial" w:cs="Arial"/>
          <w:sz w:val="22"/>
          <w:szCs w:val="22"/>
        </w:rPr>
        <w:t>all values are estimates and that</w:t>
      </w:r>
      <w:r w:rsidR="00695B6E" w:rsidRPr="00040AA9">
        <w:rPr>
          <w:rFonts w:ascii="Arial" w:hAnsi="Arial" w:cs="Arial"/>
          <w:sz w:val="22"/>
          <w:szCs w:val="22"/>
        </w:rPr>
        <w:t xml:space="preserve"> all caveats </w:t>
      </w:r>
      <w:r w:rsidR="007F18D4" w:rsidRPr="00040AA9">
        <w:rPr>
          <w:rFonts w:ascii="Arial" w:hAnsi="Arial" w:cs="Arial"/>
          <w:sz w:val="22"/>
          <w:szCs w:val="22"/>
        </w:rPr>
        <w:t xml:space="preserve">generally </w:t>
      </w:r>
      <w:r w:rsidR="00695B6E" w:rsidRPr="00040AA9">
        <w:rPr>
          <w:rFonts w:ascii="Arial" w:hAnsi="Arial" w:cs="Arial"/>
          <w:sz w:val="22"/>
          <w:szCs w:val="22"/>
        </w:rPr>
        <w:t>related to model simulations apply in this case as well</w:t>
      </w:r>
      <w:r w:rsidR="004345B9" w:rsidRPr="00040AA9">
        <w:rPr>
          <w:rFonts w:ascii="Arial" w:hAnsi="Arial" w:cs="Arial"/>
          <w:sz w:val="22"/>
          <w:szCs w:val="22"/>
        </w:rPr>
        <w:t>. With this in mind</w:t>
      </w:r>
      <w:r w:rsidR="00EA37C8" w:rsidRPr="00040AA9">
        <w:rPr>
          <w:rFonts w:ascii="Arial" w:hAnsi="Arial" w:cs="Arial"/>
          <w:sz w:val="22"/>
          <w:szCs w:val="22"/>
        </w:rPr>
        <w:t xml:space="preserve"> </w:t>
      </w:r>
      <w:r w:rsidR="00F4353E" w:rsidRPr="00040AA9">
        <w:rPr>
          <w:rFonts w:ascii="Arial" w:hAnsi="Arial" w:cs="Arial"/>
          <w:sz w:val="22"/>
          <w:szCs w:val="22"/>
        </w:rPr>
        <w:t xml:space="preserve">and taking </w:t>
      </w:r>
      <w:r w:rsidR="00EA37C8" w:rsidRPr="00040AA9">
        <w:rPr>
          <w:rFonts w:ascii="Arial" w:hAnsi="Arial" w:cs="Arial"/>
          <w:sz w:val="22"/>
          <w:szCs w:val="22"/>
        </w:rPr>
        <w:t xml:space="preserve">the </w:t>
      </w:r>
      <w:r w:rsidR="00213B77" w:rsidRPr="00040AA9">
        <w:rPr>
          <w:rFonts w:ascii="Arial" w:hAnsi="Arial" w:cs="Arial"/>
          <w:sz w:val="22"/>
          <w:szCs w:val="22"/>
        </w:rPr>
        <w:t xml:space="preserve">reforms </w:t>
      </w:r>
      <w:r w:rsidR="005A5FB4" w:rsidRPr="00040AA9">
        <w:rPr>
          <w:rFonts w:ascii="Arial" w:hAnsi="Arial" w:cs="Arial"/>
          <w:sz w:val="22"/>
          <w:szCs w:val="22"/>
        </w:rPr>
        <w:t xml:space="preserve">as a whole, including those initiated under the predecessor FCP operation and acknowledging the invaluable collaboration with the IMF, the </w:t>
      </w:r>
      <w:r w:rsidR="00DE0C09" w:rsidRPr="00040AA9">
        <w:rPr>
          <w:rFonts w:ascii="Arial" w:hAnsi="Arial" w:cs="Arial"/>
          <w:sz w:val="22"/>
          <w:szCs w:val="22"/>
        </w:rPr>
        <w:t xml:space="preserve">PV of </w:t>
      </w:r>
      <w:r w:rsidR="005A5FB4" w:rsidRPr="00040AA9">
        <w:rPr>
          <w:rFonts w:ascii="Arial" w:hAnsi="Arial" w:cs="Arial"/>
          <w:sz w:val="22"/>
          <w:szCs w:val="22"/>
        </w:rPr>
        <w:t>benefits of th</w:t>
      </w:r>
      <w:r w:rsidR="0071590B" w:rsidRPr="00040AA9">
        <w:rPr>
          <w:rFonts w:ascii="Arial" w:hAnsi="Arial" w:cs="Arial"/>
          <w:sz w:val="22"/>
          <w:szCs w:val="22"/>
        </w:rPr>
        <w:t>ese</w:t>
      </w:r>
      <w:r w:rsidR="005A5FB4" w:rsidRPr="00040AA9">
        <w:rPr>
          <w:rFonts w:ascii="Arial" w:hAnsi="Arial" w:cs="Arial"/>
          <w:sz w:val="22"/>
          <w:szCs w:val="22"/>
        </w:rPr>
        <w:t xml:space="preserve"> combined intervention</w:t>
      </w:r>
      <w:r w:rsidR="0071590B" w:rsidRPr="00040AA9">
        <w:rPr>
          <w:rFonts w:ascii="Arial" w:hAnsi="Arial" w:cs="Arial"/>
          <w:sz w:val="22"/>
          <w:szCs w:val="22"/>
        </w:rPr>
        <w:t>s</w:t>
      </w:r>
      <w:r w:rsidR="005A5FB4" w:rsidRPr="00040AA9">
        <w:rPr>
          <w:rFonts w:ascii="Arial" w:hAnsi="Arial" w:cs="Arial"/>
          <w:sz w:val="22"/>
          <w:szCs w:val="22"/>
        </w:rPr>
        <w:t xml:space="preserve"> </w:t>
      </w:r>
      <w:r w:rsidR="003447CF" w:rsidRPr="00040AA9">
        <w:rPr>
          <w:rFonts w:ascii="Arial" w:hAnsi="Arial" w:cs="Arial"/>
          <w:sz w:val="22"/>
          <w:szCs w:val="22"/>
        </w:rPr>
        <w:t>is</w:t>
      </w:r>
      <w:r w:rsidR="005A5FB4" w:rsidRPr="00040AA9">
        <w:rPr>
          <w:rFonts w:ascii="Arial" w:hAnsi="Arial" w:cs="Arial"/>
          <w:sz w:val="22"/>
          <w:szCs w:val="22"/>
        </w:rPr>
        <w:t xml:space="preserve"> estimated to be greater than US$1.5 billion</w:t>
      </w:r>
      <w:r w:rsidR="00813A1A" w:rsidRPr="00040AA9">
        <w:rPr>
          <w:rFonts w:ascii="Arial" w:hAnsi="Arial" w:cs="Arial"/>
          <w:sz w:val="22"/>
          <w:szCs w:val="22"/>
        </w:rPr>
        <w:t>,</w:t>
      </w:r>
      <w:r w:rsidR="005A5FB4" w:rsidRPr="00040AA9">
        <w:rPr>
          <w:rStyle w:val="FootnoteReference"/>
          <w:rFonts w:ascii="Arial" w:hAnsi="Arial" w:cs="Arial"/>
          <w:sz w:val="22"/>
          <w:szCs w:val="22"/>
        </w:rPr>
        <w:footnoteReference w:id="149"/>
      </w:r>
      <w:r w:rsidR="00A60C35" w:rsidRPr="00040AA9">
        <w:rPr>
          <w:rFonts w:ascii="Arial" w:hAnsi="Arial" w:cs="Arial"/>
          <w:sz w:val="22"/>
          <w:szCs w:val="22"/>
        </w:rPr>
        <w:t xml:space="preserve"> </w:t>
      </w:r>
      <w:r w:rsidR="00813A1A" w:rsidRPr="00040AA9">
        <w:rPr>
          <w:rFonts w:ascii="Arial" w:hAnsi="Arial" w:cs="Arial"/>
          <w:sz w:val="22"/>
          <w:szCs w:val="22"/>
        </w:rPr>
        <w:t xml:space="preserve">roughly </w:t>
      </w:r>
      <w:r w:rsidR="00D96603" w:rsidRPr="00040AA9">
        <w:rPr>
          <w:rFonts w:ascii="Arial" w:hAnsi="Arial" w:cs="Arial"/>
          <w:sz w:val="22"/>
          <w:szCs w:val="22"/>
        </w:rPr>
        <w:t xml:space="preserve">4 to 5 times </w:t>
      </w:r>
      <w:r w:rsidR="00DE0C09" w:rsidRPr="00040AA9">
        <w:rPr>
          <w:rFonts w:ascii="Arial" w:hAnsi="Arial" w:cs="Arial"/>
          <w:sz w:val="22"/>
          <w:szCs w:val="22"/>
        </w:rPr>
        <w:t xml:space="preserve">the PV of </w:t>
      </w:r>
      <w:r w:rsidR="00D96603" w:rsidRPr="00040AA9">
        <w:rPr>
          <w:rFonts w:ascii="Arial" w:hAnsi="Arial" w:cs="Arial"/>
          <w:sz w:val="22"/>
          <w:szCs w:val="22"/>
        </w:rPr>
        <w:t>the</w:t>
      </w:r>
      <w:r w:rsidR="0071590B" w:rsidRPr="00040AA9">
        <w:rPr>
          <w:rFonts w:ascii="Arial" w:hAnsi="Arial" w:cs="Arial"/>
          <w:sz w:val="22"/>
          <w:szCs w:val="22"/>
        </w:rPr>
        <w:t>ir</w:t>
      </w:r>
      <w:r w:rsidR="00D96603" w:rsidRPr="00040AA9">
        <w:rPr>
          <w:rFonts w:ascii="Arial" w:hAnsi="Arial" w:cs="Arial"/>
          <w:sz w:val="22"/>
          <w:szCs w:val="22"/>
        </w:rPr>
        <w:t xml:space="preserve"> </w:t>
      </w:r>
      <w:r w:rsidR="00E76C0B" w:rsidRPr="00040AA9">
        <w:rPr>
          <w:rFonts w:ascii="Arial" w:hAnsi="Arial" w:cs="Arial"/>
          <w:sz w:val="22"/>
          <w:szCs w:val="22"/>
        </w:rPr>
        <w:t>probable cost</w:t>
      </w:r>
      <w:r w:rsidR="00A16257">
        <w:rPr>
          <w:rFonts w:ascii="Arial" w:hAnsi="Arial" w:cs="Arial"/>
          <w:sz w:val="22"/>
          <w:szCs w:val="22"/>
        </w:rPr>
        <w:t>,</w:t>
      </w:r>
      <w:r w:rsidR="005123C2" w:rsidRPr="00040AA9">
        <w:rPr>
          <w:rFonts w:ascii="Arial" w:hAnsi="Arial" w:cs="Arial"/>
          <w:sz w:val="22"/>
          <w:szCs w:val="22"/>
        </w:rPr>
        <w:t xml:space="preserve"> estimated to be in the range of US$250-300 million</w:t>
      </w:r>
      <w:r w:rsidR="00E76C0B" w:rsidRPr="00040AA9">
        <w:rPr>
          <w:rFonts w:ascii="Arial" w:hAnsi="Arial" w:cs="Arial"/>
          <w:sz w:val="22"/>
          <w:szCs w:val="22"/>
        </w:rPr>
        <w:t>.</w:t>
      </w:r>
      <w:r w:rsidR="00E76C0B" w:rsidRPr="00040AA9">
        <w:rPr>
          <w:rStyle w:val="FootnoteReference"/>
          <w:rFonts w:ascii="Arial" w:hAnsi="Arial" w:cs="Arial"/>
          <w:sz w:val="22"/>
          <w:szCs w:val="22"/>
        </w:rPr>
        <w:footnoteReference w:id="150"/>
      </w:r>
      <w:r w:rsidR="00E76C0B" w:rsidRPr="00040AA9">
        <w:rPr>
          <w:rFonts w:ascii="Arial" w:hAnsi="Arial" w:cs="Arial"/>
          <w:sz w:val="22"/>
          <w:szCs w:val="22"/>
        </w:rPr>
        <w:t xml:space="preserve"> </w:t>
      </w:r>
      <w:r w:rsidR="00E14C58" w:rsidRPr="00040AA9">
        <w:rPr>
          <w:rFonts w:ascii="Arial" w:hAnsi="Arial" w:cs="Arial"/>
          <w:sz w:val="22"/>
          <w:szCs w:val="22"/>
        </w:rPr>
        <w:t xml:space="preserve">(This cost estimate has no relationship to the costs of the project as displayed in </w:t>
      </w:r>
      <w:r w:rsidR="00943C6B">
        <w:rPr>
          <w:rFonts w:ascii="Arial" w:hAnsi="Arial" w:cs="Arial"/>
          <w:sz w:val="22"/>
          <w:szCs w:val="22"/>
        </w:rPr>
        <w:t>T</w:t>
      </w:r>
      <w:r w:rsidR="00E14C58" w:rsidRPr="00040AA9">
        <w:rPr>
          <w:rFonts w:ascii="Arial" w:hAnsi="Arial" w:cs="Arial"/>
          <w:sz w:val="22"/>
          <w:szCs w:val="22"/>
        </w:rPr>
        <w:t xml:space="preserve">able 3 below. – See </w:t>
      </w:r>
      <w:r w:rsidR="009C3C43" w:rsidRPr="00040AA9">
        <w:rPr>
          <w:rFonts w:ascii="Arial" w:hAnsi="Arial" w:cs="Arial"/>
          <w:sz w:val="22"/>
          <w:szCs w:val="22"/>
        </w:rPr>
        <w:t xml:space="preserve">accompanying footnote and discussion in </w:t>
      </w:r>
      <w:r w:rsidR="00E14C58" w:rsidRPr="00040AA9">
        <w:rPr>
          <w:rFonts w:ascii="Arial" w:hAnsi="Arial" w:cs="Arial"/>
          <w:sz w:val="22"/>
          <w:szCs w:val="22"/>
        </w:rPr>
        <w:t>Annex IV</w:t>
      </w:r>
      <w:r w:rsidR="009C3C43" w:rsidRPr="00040AA9">
        <w:rPr>
          <w:rFonts w:ascii="Arial" w:hAnsi="Arial" w:cs="Arial"/>
          <w:sz w:val="22"/>
          <w:szCs w:val="22"/>
        </w:rPr>
        <w:t>.</w:t>
      </w:r>
      <w:r w:rsidR="00E14C58" w:rsidRPr="00040AA9">
        <w:rPr>
          <w:rFonts w:ascii="Arial" w:hAnsi="Arial" w:cs="Arial"/>
          <w:sz w:val="22"/>
          <w:szCs w:val="22"/>
        </w:rPr>
        <w:t>)</w:t>
      </w:r>
    </w:p>
    <w:p w14:paraId="558C7FC9" w14:textId="14B1B1C6" w:rsidR="00DD58EB" w:rsidRPr="00F863A4" w:rsidRDefault="005C2D92" w:rsidP="00040AA9">
      <w:pPr>
        <w:pStyle w:val="p1"/>
        <w:suppressAutoHyphens/>
        <w:spacing w:before="120" w:after="120"/>
        <w:jc w:val="both"/>
        <w:rPr>
          <w:rFonts w:ascii="Arial" w:hAnsi="Arial" w:cs="Arial"/>
          <w:sz w:val="22"/>
          <w:szCs w:val="22"/>
        </w:rPr>
      </w:pPr>
      <w:r w:rsidRPr="00040AA9">
        <w:rPr>
          <w:rFonts w:ascii="Arial" w:hAnsi="Arial" w:cs="Arial"/>
          <w:sz w:val="22"/>
          <w:szCs w:val="22"/>
        </w:rPr>
        <w:t xml:space="preserve">As discussed in Annex IV the DCGE model allows for </w:t>
      </w:r>
      <w:r w:rsidR="00EF5E46" w:rsidRPr="00040AA9">
        <w:rPr>
          <w:rFonts w:ascii="Arial" w:hAnsi="Arial" w:cs="Arial"/>
          <w:sz w:val="22"/>
          <w:szCs w:val="22"/>
        </w:rPr>
        <w:t xml:space="preserve">separating out the benefits associated primarily with the first </w:t>
      </w:r>
      <w:r w:rsidR="00DE0C09" w:rsidRPr="00040AA9">
        <w:rPr>
          <w:rFonts w:ascii="Arial" w:hAnsi="Arial" w:cs="Arial"/>
          <w:sz w:val="22"/>
          <w:szCs w:val="22"/>
        </w:rPr>
        <w:t xml:space="preserve">(FCP) set of interventions. </w:t>
      </w:r>
      <w:r w:rsidR="00CF5D67" w:rsidRPr="00040AA9">
        <w:rPr>
          <w:rFonts w:ascii="Arial" w:hAnsi="Arial" w:cs="Arial"/>
          <w:sz w:val="22"/>
          <w:szCs w:val="22"/>
        </w:rPr>
        <w:t xml:space="preserve">Subtracting these benefits from those of the combined interventions yields a crude estimate of the benefits attributable to the FISPEG operation alone. </w:t>
      </w:r>
      <w:r w:rsidR="00A60C35" w:rsidRPr="00040AA9">
        <w:rPr>
          <w:rFonts w:ascii="Arial" w:hAnsi="Arial" w:cs="Arial"/>
          <w:sz w:val="22"/>
          <w:szCs w:val="22"/>
        </w:rPr>
        <w:t>T</w:t>
      </w:r>
      <w:r w:rsidR="00377704" w:rsidRPr="00040AA9">
        <w:rPr>
          <w:rFonts w:ascii="Arial" w:hAnsi="Arial" w:cs="Arial"/>
          <w:sz w:val="22"/>
          <w:szCs w:val="22"/>
        </w:rPr>
        <w:t xml:space="preserve">o the extent the benefits </w:t>
      </w:r>
      <w:r w:rsidR="000F62DF" w:rsidRPr="00040AA9">
        <w:rPr>
          <w:rFonts w:ascii="Arial" w:hAnsi="Arial" w:cs="Arial"/>
          <w:sz w:val="22"/>
          <w:szCs w:val="22"/>
        </w:rPr>
        <w:t xml:space="preserve">solely </w:t>
      </w:r>
      <w:r w:rsidR="00377704" w:rsidRPr="00040AA9">
        <w:rPr>
          <w:rFonts w:ascii="Arial" w:hAnsi="Arial" w:cs="Arial"/>
          <w:sz w:val="22"/>
          <w:szCs w:val="22"/>
        </w:rPr>
        <w:t xml:space="preserve">from the FISPEG operation can be </w:t>
      </w:r>
      <w:r w:rsidR="000F62DF" w:rsidRPr="00040AA9">
        <w:rPr>
          <w:rFonts w:ascii="Arial" w:hAnsi="Arial" w:cs="Arial"/>
          <w:sz w:val="22"/>
          <w:szCs w:val="22"/>
        </w:rPr>
        <w:t>estimated in this manner</w:t>
      </w:r>
      <w:r w:rsidR="007D6243" w:rsidRPr="00040AA9">
        <w:rPr>
          <w:rFonts w:ascii="Arial" w:hAnsi="Arial" w:cs="Arial"/>
          <w:sz w:val="22"/>
          <w:szCs w:val="22"/>
        </w:rPr>
        <w:t>,</w:t>
      </w:r>
      <w:r w:rsidR="00695B6E" w:rsidRPr="00040AA9">
        <w:rPr>
          <w:rFonts w:ascii="Arial" w:hAnsi="Arial" w:cs="Arial"/>
          <w:sz w:val="22"/>
          <w:szCs w:val="22"/>
        </w:rPr>
        <w:t xml:space="preserve"> it may be said that </w:t>
      </w:r>
      <w:r w:rsidR="00AB78B4" w:rsidRPr="00040AA9">
        <w:rPr>
          <w:rFonts w:ascii="Arial" w:hAnsi="Arial" w:cs="Arial"/>
          <w:sz w:val="22"/>
          <w:szCs w:val="22"/>
        </w:rPr>
        <w:t xml:space="preserve">they also </w:t>
      </w:r>
      <w:r w:rsidR="00745755" w:rsidRPr="00040AA9">
        <w:rPr>
          <w:rFonts w:ascii="Arial" w:hAnsi="Arial" w:cs="Arial"/>
          <w:sz w:val="22"/>
          <w:szCs w:val="22"/>
        </w:rPr>
        <w:t>substantially exceed</w:t>
      </w:r>
      <w:r w:rsidR="0080515F" w:rsidRPr="00040AA9">
        <w:rPr>
          <w:rFonts w:ascii="Arial" w:hAnsi="Arial" w:cs="Arial"/>
          <w:sz w:val="22"/>
          <w:szCs w:val="22"/>
        </w:rPr>
        <w:t>ed</w:t>
      </w:r>
      <w:r w:rsidR="00745755" w:rsidRPr="00040AA9">
        <w:rPr>
          <w:rFonts w:ascii="Arial" w:hAnsi="Arial" w:cs="Arial"/>
          <w:sz w:val="22"/>
          <w:szCs w:val="22"/>
        </w:rPr>
        <w:t xml:space="preserve"> the</w:t>
      </w:r>
      <w:r w:rsidR="006C58B0" w:rsidRPr="00040AA9">
        <w:rPr>
          <w:rFonts w:ascii="Arial" w:hAnsi="Arial" w:cs="Arial"/>
          <w:sz w:val="22"/>
          <w:szCs w:val="22"/>
        </w:rPr>
        <w:t>ir</w:t>
      </w:r>
      <w:r w:rsidR="00745755" w:rsidRPr="00040AA9">
        <w:rPr>
          <w:rFonts w:ascii="Arial" w:hAnsi="Arial" w:cs="Arial"/>
          <w:sz w:val="22"/>
          <w:szCs w:val="22"/>
        </w:rPr>
        <w:t xml:space="preserve"> costs, </w:t>
      </w:r>
      <w:r w:rsidR="007D6243" w:rsidRPr="00040AA9">
        <w:rPr>
          <w:rFonts w:ascii="Arial" w:hAnsi="Arial" w:cs="Arial"/>
          <w:sz w:val="22"/>
          <w:szCs w:val="22"/>
        </w:rPr>
        <w:t xml:space="preserve">i.e. </w:t>
      </w:r>
      <w:r w:rsidR="006C58B0" w:rsidRPr="00040AA9">
        <w:rPr>
          <w:rFonts w:ascii="Arial" w:hAnsi="Arial" w:cs="Arial"/>
          <w:sz w:val="22"/>
          <w:szCs w:val="22"/>
        </w:rPr>
        <w:t xml:space="preserve">by a factor of </w:t>
      </w:r>
      <w:r w:rsidR="00745755" w:rsidRPr="00040AA9">
        <w:rPr>
          <w:rFonts w:ascii="Arial" w:hAnsi="Arial" w:cs="Arial"/>
          <w:sz w:val="22"/>
          <w:szCs w:val="22"/>
        </w:rPr>
        <w:t xml:space="preserve">three </w:t>
      </w:r>
      <w:r w:rsidR="006C58B0" w:rsidRPr="00040AA9">
        <w:rPr>
          <w:rFonts w:ascii="Arial" w:hAnsi="Arial" w:cs="Arial"/>
          <w:sz w:val="22"/>
          <w:szCs w:val="22"/>
        </w:rPr>
        <w:t>to</w:t>
      </w:r>
      <w:r w:rsidR="00745755" w:rsidRPr="00040AA9">
        <w:rPr>
          <w:rFonts w:ascii="Arial" w:hAnsi="Arial" w:cs="Arial"/>
          <w:sz w:val="22"/>
          <w:szCs w:val="22"/>
        </w:rPr>
        <w:t xml:space="preserve"> four times</w:t>
      </w:r>
      <w:r w:rsidR="007F18D4" w:rsidRPr="00040AA9">
        <w:rPr>
          <w:rFonts w:ascii="Arial" w:hAnsi="Arial" w:cs="Arial"/>
          <w:sz w:val="22"/>
          <w:szCs w:val="22"/>
        </w:rPr>
        <w:t>,</w:t>
      </w:r>
      <w:r w:rsidR="000F4CC9" w:rsidRPr="00040AA9">
        <w:rPr>
          <w:rStyle w:val="FootnoteReference"/>
          <w:rFonts w:ascii="Arial" w:hAnsi="Arial" w:cs="Arial"/>
          <w:sz w:val="22"/>
          <w:szCs w:val="22"/>
        </w:rPr>
        <w:footnoteReference w:id="151"/>
      </w:r>
      <w:r w:rsidR="005B79A4" w:rsidRPr="00F863A4">
        <w:rPr>
          <w:rFonts w:ascii="Arial" w:hAnsi="Arial" w:cs="Arial"/>
          <w:sz w:val="22"/>
          <w:szCs w:val="22"/>
        </w:rPr>
        <w:t>.</w:t>
      </w:r>
      <w:r w:rsidR="00F36AF6" w:rsidRPr="00F863A4">
        <w:rPr>
          <w:rFonts w:ascii="Arial" w:hAnsi="Arial" w:cs="Arial"/>
          <w:sz w:val="22"/>
          <w:szCs w:val="22"/>
        </w:rPr>
        <w:t xml:space="preserve"> </w:t>
      </w:r>
    </w:p>
    <w:p w14:paraId="6B162575" w14:textId="73EA00F9" w:rsidR="007B77D2" w:rsidRPr="00040AA9" w:rsidRDefault="00B310DC" w:rsidP="00040AA9">
      <w:pPr>
        <w:suppressAutoHyphens/>
        <w:spacing w:before="120" w:after="120"/>
        <w:jc w:val="both"/>
        <w:rPr>
          <w:rFonts w:ascii="Arial" w:hAnsi="Arial" w:cs="Arial"/>
          <w:b/>
          <w:sz w:val="22"/>
          <w:szCs w:val="22"/>
        </w:rPr>
      </w:pPr>
      <w:r w:rsidRPr="00040AA9">
        <w:rPr>
          <w:rFonts w:ascii="Arial" w:hAnsi="Arial" w:cs="Arial"/>
          <w:b/>
          <w:sz w:val="22"/>
          <w:szCs w:val="22"/>
        </w:rPr>
        <w:t>Project Costs</w:t>
      </w:r>
    </w:p>
    <w:p w14:paraId="3D9E6CE3" w14:textId="735C1AD0" w:rsidR="005731A1" w:rsidRPr="00040AA9" w:rsidRDefault="00A54A18" w:rsidP="00040AA9">
      <w:pPr>
        <w:suppressAutoHyphens/>
        <w:spacing w:before="120" w:after="120"/>
        <w:jc w:val="both"/>
        <w:rPr>
          <w:rFonts w:ascii="Arial" w:hAnsi="Arial" w:cs="Arial"/>
          <w:sz w:val="22"/>
          <w:szCs w:val="22"/>
        </w:rPr>
      </w:pPr>
      <w:r w:rsidRPr="00040AA9">
        <w:rPr>
          <w:rFonts w:ascii="Arial" w:hAnsi="Arial" w:cs="Arial"/>
          <w:sz w:val="22"/>
          <w:szCs w:val="22"/>
        </w:rPr>
        <w:t xml:space="preserve">The PCR </w:t>
      </w:r>
      <w:r w:rsidR="00943C6B">
        <w:rPr>
          <w:rFonts w:ascii="Arial" w:hAnsi="Arial" w:cs="Arial"/>
          <w:sz w:val="22"/>
          <w:szCs w:val="22"/>
        </w:rPr>
        <w:t>G</w:t>
      </w:r>
      <w:r w:rsidRPr="00040AA9">
        <w:rPr>
          <w:rFonts w:ascii="Arial" w:hAnsi="Arial" w:cs="Arial"/>
          <w:sz w:val="22"/>
          <w:szCs w:val="22"/>
        </w:rPr>
        <w:t xml:space="preserve">uidelines call for a listing of the planned and actual </w:t>
      </w:r>
      <w:r w:rsidR="00B310DC" w:rsidRPr="00040AA9">
        <w:rPr>
          <w:rFonts w:ascii="Arial" w:hAnsi="Arial" w:cs="Arial"/>
          <w:sz w:val="22"/>
          <w:szCs w:val="22"/>
        </w:rPr>
        <w:t>project</w:t>
      </w:r>
      <w:r w:rsidRPr="00040AA9">
        <w:rPr>
          <w:rFonts w:ascii="Arial" w:hAnsi="Arial" w:cs="Arial"/>
          <w:sz w:val="22"/>
          <w:szCs w:val="22"/>
        </w:rPr>
        <w:t xml:space="preserve"> costs. I</w:t>
      </w:r>
      <w:r w:rsidR="008F6055" w:rsidRPr="00040AA9">
        <w:rPr>
          <w:rFonts w:ascii="Arial" w:hAnsi="Arial" w:cs="Arial"/>
          <w:sz w:val="22"/>
          <w:szCs w:val="22"/>
        </w:rPr>
        <w:t>n</w:t>
      </w:r>
      <w:r w:rsidRPr="00040AA9">
        <w:rPr>
          <w:rFonts w:ascii="Arial" w:hAnsi="Arial" w:cs="Arial"/>
          <w:sz w:val="22"/>
          <w:szCs w:val="22"/>
        </w:rPr>
        <w:t xml:space="preserve"> the case</w:t>
      </w:r>
      <w:r w:rsidR="00594905" w:rsidRPr="00040AA9">
        <w:rPr>
          <w:rFonts w:ascii="Arial" w:hAnsi="Arial" w:cs="Arial"/>
          <w:sz w:val="22"/>
          <w:szCs w:val="22"/>
        </w:rPr>
        <w:t xml:space="preserve"> of PBLs these are the amounts of the respective loans.</w:t>
      </w:r>
      <w:r w:rsidR="00B05B06">
        <w:rPr>
          <w:rFonts w:ascii="Arial" w:hAnsi="Arial" w:cs="Arial"/>
          <w:sz w:val="22"/>
          <w:szCs w:val="22"/>
        </w:rPr>
        <w:t xml:space="preserve"> The costs listed in </w:t>
      </w:r>
      <w:r w:rsidR="00F4638E">
        <w:rPr>
          <w:rFonts w:ascii="Arial" w:hAnsi="Arial" w:cs="Arial"/>
          <w:sz w:val="22"/>
          <w:szCs w:val="22"/>
        </w:rPr>
        <w:t xml:space="preserve">Table 3 do NOT reflect the expenditures </w:t>
      </w:r>
      <w:r w:rsidR="00B05B06">
        <w:rPr>
          <w:rFonts w:ascii="Arial" w:hAnsi="Arial" w:cs="Arial"/>
          <w:sz w:val="22"/>
          <w:szCs w:val="22"/>
        </w:rPr>
        <w:t>associated with imp</w:t>
      </w:r>
      <w:r w:rsidR="00257989">
        <w:rPr>
          <w:rFonts w:ascii="Arial" w:hAnsi="Arial" w:cs="Arial"/>
          <w:sz w:val="22"/>
          <w:szCs w:val="22"/>
        </w:rPr>
        <w:t>lementing the reforms supported by the program</w:t>
      </w:r>
      <w:r w:rsidR="006014C5">
        <w:rPr>
          <w:rFonts w:ascii="Arial" w:hAnsi="Arial" w:cs="Arial"/>
          <w:sz w:val="22"/>
          <w:szCs w:val="22"/>
        </w:rPr>
        <w:t xml:space="preserve">. These </w:t>
      </w:r>
      <w:r w:rsidR="004D520D">
        <w:rPr>
          <w:rFonts w:ascii="Arial" w:hAnsi="Arial" w:cs="Arial"/>
          <w:sz w:val="22"/>
          <w:szCs w:val="22"/>
        </w:rPr>
        <w:t xml:space="preserve">implementation costs </w:t>
      </w:r>
      <w:r w:rsidR="006C480B">
        <w:rPr>
          <w:rFonts w:ascii="Arial" w:hAnsi="Arial" w:cs="Arial"/>
          <w:sz w:val="22"/>
          <w:szCs w:val="22"/>
        </w:rPr>
        <w:t>are discussed in Annex IV</w:t>
      </w:r>
      <w:r w:rsidR="00257989">
        <w:rPr>
          <w:rFonts w:ascii="Arial" w:hAnsi="Arial" w:cs="Arial"/>
          <w:sz w:val="22"/>
          <w:szCs w:val="22"/>
        </w:rPr>
        <w:t>. The Table 3 figures refer solely to the loan amounts of the three PBLs</w:t>
      </w:r>
      <w:r w:rsidR="00D85E72" w:rsidRPr="00040AA9">
        <w:rPr>
          <w:rStyle w:val="FootnoteReference"/>
          <w:rFonts w:ascii="Arial" w:hAnsi="Arial" w:cs="Arial"/>
          <w:sz w:val="22"/>
          <w:szCs w:val="22"/>
        </w:rPr>
        <w:footnoteReference w:id="152"/>
      </w:r>
      <w:r w:rsidR="00594905" w:rsidRPr="00040AA9">
        <w:rPr>
          <w:rFonts w:ascii="Arial" w:hAnsi="Arial" w:cs="Arial"/>
          <w:sz w:val="22"/>
          <w:szCs w:val="22"/>
        </w:rPr>
        <w:t xml:space="preserve"> As noted in </w:t>
      </w:r>
      <w:r w:rsidR="000678DB" w:rsidRPr="00040AA9">
        <w:rPr>
          <w:rFonts w:ascii="Arial" w:hAnsi="Arial" w:cs="Arial"/>
          <w:sz w:val="22"/>
          <w:szCs w:val="22"/>
        </w:rPr>
        <w:t>T</w:t>
      </w:r>
      <w:r w:rsidR="00594905" w:rsidRPr="00040AA9">
        <w:rPr>
          <w:rFonts w:ascii="Arial" w:hAnsi="Arial" w:cs="Arial"/>
          <w:sz w:val="22"/>
          <w:szCs w:val="22"/>
        </w:rPr>
        <w:t>able 3 there were no changes between planned and actual amounts of the three PBLs.</w:t>
      </w:r>
    </w:p>
    <w:p w14:paraId="06CFAEFB" w14:textId="5549591A" w:rsidR="0044366D" w:rsidRPr="00040AA9" w:rsidRDefault="0044366D" w:rsidP="00040AA9">
      <w:pPr>
        <w:suppressAutoHyphens/>
        <w:spacing w:before="120"/>
        <w:jc w:val="center"/>
        <w:rPr>
          <w:rFonts w:ascii="Arial" w:hAnsi="Arial" w:cs="Arial"/>
          <w:sz w:val="20"/>
          <w:szCs w:val="20"/>
        </w:rPr>
      </w:pPr>
      <w:r w:rsidRPr="00040AA9">
        <w:rPr>
          <w:rFonts w:ascii="Arial" w:hAnsi="Arial" w:cs="Arial"/>
          <w:b/>
          <w:sz w:val="20"/>
          <w:szCs w:val="20"/>
        </w:rPr>
        <w:t>Table 3 Costs of the Project</w:t>
      </w:r>
    </w:p>
    <w:p w14:paraId="047C6B33" w14:textId="7BED3772" w:rsidR="0044366D" w:rsidRPr="00040AA9" w:rsidRDefault="005731A1" w:rsidP="00040AA9">
      <w:pPr>
        <w:suppressAutoHyphens/>
        <w:spacing w:after="120"/>
        <w:jc w:val="center"/>
        <w:rPr>
          <w:rFonts w:ascii="Arial" w:hAnsi="Arial" w:cs="Arial"/>
          <w:sz w:val="20"/>
          <w:szCs w:val="20"/>
        </w:rPr>
      </w:pPr>
      <w:r w:rsidRPr="00040AA9">
        <w:rPr>
          <w:rFonts w:ascii="Arial" w:hAnsi="Arial" w:cs="Arial"/>
          <w:sz w:val="20"/>
          <w:szCs w:val="20"/>
        </w:rPr>
        <w:t>(US$ millions)</w:t>
      </w:r>
    </w:p>
    <w:tbl>
      <w:tblPr>
        <w:tblStyle w:val="TableGrid"/>
        <w:tblW w:w="0" w:type="auto"/>
        <w:tblInd w:w="175" w:type="dxa"/>
        <w:tblLook w:val="04A0" w:firstRow="1" w:lastRow="0" w:firstColumn="1" w:lastColumn="0" w:noHBand="0" w:noVBand="1"/>
      </w:tblPr>
      <w:tblGrid>
        <w:gridCol w:w="1427"/>
        <w:gridCol w:w="1816"/>
        <w:gridCol w:w="1672"/>
        <w:gridCol w:w="1458"/>
        <w:gridCol w:w="1228"/>
        <w:gridCol w:w="1574"/>
      </w:tblGrid>
      <w:tr w:rsidR="00A54A18" w:rsidRPr="009F2EE8" w14:paraId="4DF7B393" w14:textId="77777777" w:rsidTr="00040AA9">
        <w:tc>
          <w:tcPr>
            <w:tcW w:w="1427" w:type="dxa"/>
          </w:tcPr>
          <w:p w14:paraId="496931F5" w14:textId="77777777" w:rsidR="0044366D" w:rsidRPr="00040AA9" w:rsidRDefault="0044366D" w:rsidP="00040AA9">
            <w:pPr>
              <w:suppressAutoHyphens/>
              <w:rPr>
                <w:rFonts w:ascii="Arial" w:hAnsi="Arial" w:cs="Arial"/>
                <w:sz w:val="20"/>
                <w:szCs w:val="20"/>
              </w:rPr>
            </w:pPr>
          </w:p>
        </w:tc>
        <w:tc>
          <w:tcPr>
            <w:tcW w:w="1816" w:type="dxa"/>
          </w:tcPr>
          <w:p w14:paraId="4ECC3059" w14:textId="77777777" w:rsidR="0044366D" w:rsidRPr="00040AA9" w:rsidRDefault="0044366D" w:rsidP="00040AA9">
            <w:pPr>
              <w:keepNext/>
              <w:keepLines/>
              <w:suppressAutoHyphens/>
              <w:jc w:val="center"/>
              <w:rPr>
                <w:rFonts w:ascii="Arial" w:hAnsi="Arial" w:cs="Arial"/>
                <w:sz w:val="20"/>
                <w:szCs w:val="20"/>
              </w:rPr>
            </w:pPr>
            <w:r w:rsidRPr="00040AA9">
              <w:rPr>
                <w:rFonts w:ascii="Arial" w:hAnsi="Arial" w:cs="Arial"/>
                <w:sz w:val="20"/>
                <w:szCs w:val="20"/>
              </w:rPr>
              <w:t>2014</w:t>
            </w:r>
          </w:p>
          <w:p w14:paraId="63AE5E71" w14:textId="4A24B621" w:rsidR="00A54A18" w:rsidRPr="00040AA9" w:rsidRDefault="00A54A18" w:rsidP="00040AA9">
            <w:pPr>
              <w:keepNext/>
              <w:keepLines/>
              <w:suppressAutoHyphens/>
              <w:jc w:val="center"/>
              <w:rPr>
                <w:rFonts w:ascii="Arial" w:hAnsi="Arial" w:cs="Arial"/>
                <w:sz w:val="20"/>
                <w:szCs w:val="20"/>
              </w:rPr>
            </w:pPr>
            <w:r w:rsidRPr="00040AA9">
              <w:rPr>
                <w:rFonts w:ascii="Arial" w:hAnsi="Arial" w:cs="Arial"/>
                <w:sz w:val="20"/>
                <w:szCs w:val="20"/>
              </w:rPr>
              <w:t>(FISPEG I)</w:t>
            </w:r>
          </w:p>
        </w:tc>
        <w:tc>
          <w:tcPr>
            <w:tcW w:w="1672" w:type="dxa"/>
          </w:tcPr>
          <w:p w14:paraId="43BAD231" w14:textId="77777777" w:rsidR="0044366D" w:rsidRPr="00040AA9" w:rsidRDefault="0044366D" w:rsidP="00040AA9">
            <w:pPr>
              <w:keepNext/>
              <w:keepLines/>
              <w:suppressAutoHyphens/>
              <w:jc w:val="center"/>
              <w:rPr>
                <w:rFonts w:ascii="Arial" w:hAnsi="Arial" w:cs="Arial"/>
                <w:sz w:val="20"/>
                <w:szCs w:val="20"/>
              </w:rPr>
            </w:pPr>
            <w:r w:rsidRPr="00040AA9">
              <w:rPr>
                <w:rFonts w:ascii="Arial" w:hAnsi="Arial" w:cs="Arial"/>
                <w:sz w:val="20"/>
                <w:szCs w:val="20"/>
              </w:rPr>
              <w:t>2015</w:t>
            </w:r>
          </w:p>
          <w:p w14:paraId="3369F81B" w14:textId="30F8F00D" w:rsidR="00A54A18" w:rsidRPr="00040AA9" w:rsidRDefault="00A54A18" w:rsidP="00040AA9">
            <w:pPr>
              <w:keepNext/>
              <w:keepLines/>
              <w:suppressAutoHyphens/>
              <w:jc w:val="center"/>
              <w:rPr>
                <w:rFonts w:ascii="Arial" w:hAnsi="Arial" w:cs="Arial"/>
                <w:sz w:val="20"/>
                <w:szCs w:val="20"/>
              </w:rPr>
            </w:pPr>
            <w:r w:rsidRPr="00040AA9">
              <w:rPr>
                <w:rFonts w:ascii="Arial" w:hAnsi="Arial" w:cs="Arial"/>
                <w:sz w:val="20"/>
                <w:szCs w:val="20"/>
              </w:rPr>
              <w:t>(FISPEG II)</w:t>
            </w:r>
          </w:p>
        </w:tc>
        <w:tc>
          <w:tcPr>
            <w:tcW w:w="1458" w:type="dxa"/>
          </w:tcPr>
          <w:p w14:paraId="39ED0F14" w14:textId="77777777" w:rsidR="0044366D" w:rsidRPr="00040AA9" w:rsidRDefault="0044366D" w:rsidP="00040AA9">
            <w:pPr>
              <w:keepNext/>
              <w:keepLines/>
              <w:suppressAutoHyphens/>
              <w:jc w:val="center"/>
              <w:rPr>
                <w:rFonts w:ascii="Arial" w:hAnsi="Arial" w:cs="Arial"/>
                <w:sz w:val="20"/>
                <w:szCs w:val="20"/>
              </w:rPr>
            </w:pPr>
            <w:r w:rsidRPr="00040AA9">
              <w:rPr>
                <w:rFonts w:ascii="Arial" w:hAnsi="Arial" w:cs="Arial"/>
                <w:sz w:val="20"/>
                <w:szCs w:val="20"/>
              </w:rPr>
              <w:t>2016</w:t>
            </w:r>
          </w:p>
          <w:p w14:paraId="03600299" w14:textId="6A869EFD" w:rsidR="00A54A18" w:rsidRPr="00040AA9" w:rsidRDefault="00A54A18" w:rsidP="00040AA9">
            <w:pPr>
              <w:keepNext/>
              <w:keepLines/>
              <w:suppressAutoHyphens/>
              <w:jc w:val="center"/>
              <w:rPr>
                <w:rFonts w:ascii="Arial" w:hAnsi="Arial" w:cs="Arial"/>
                <w:sz w:val="20"/>
                <w:szCs w:val="20"/>
              </w:rPr>
            </w:pPr>
            <w:r w:rsidRPr="00040AA9">
              <w:rPr>
                <w:rFonts w:ascii="Arial" w:hAnsi="Arial" w:cs="Arial"/>
                <w:sz w:val="20"/>
                <w:szCs w:val="20"/>
              </w:rPr>
              <w:t>(FISPEG III)</w:t>
            </w:r>
          </w:p>
        </w:tc>
        <w:tc>
          <w:tcPr>
            <w:tcW w:w="1228" w:type="dxa"/>
          </w:tcPr>
          <w:p w14:paraId="15505272" w14:textId="71F404A2" w:rsidR="0044366D" w:rsidRPr="00040AA9" w:rsidRDefault="0044366D" w:rsidP="00040AA9">
            <w:pPr>
              <w:keepNext/>
              <w:keepLines/>
              <w:suppressAutoHyphens/>
              <w:jc w:val="center"/>
              <w:rPr>
                <w:rFonts w:ascii="Arial" w:hAnsi="Arial" w:cs="Arial"/>
                <w:sz w:val="20"/>
                <w:szCs w:val="20"/>
              </w:rPr>
            </w:pPr>
            <w:r w:rsidRPr="00040AA9">
              <w:rPr>
                <w:rFonts w:ascii="Arial" w:hAnsi="Arial" w:cs="Arial"/>
                <w:sz w:val="20"/>
                <w:szCs w:val="20"/>
              </w:rPr>
              <w:t>2017</w:t>
            </w:r>
          </w:p>
        </w:tc>
        <w:tc>
          <w:tcPr>
            <w:tcW w:w="1574" w:type="dxa"/>
          </w:tcPr>
          <w:p w14:paraId="45778EFE" w14:textId="4BD498EF" w:rsidR="0044366D" w:rsidRPr="00040AA9" w:rsidRDefault="009F2EE8" w:rsidP="00040AA9">
            <w:pPr>
              <w:keepNext/>
              <w:keepLines/>
              <w:suppressAutoHyphens/>
              <w:jc w:val="center"/>
              <w:rPr>
                <w:rFonts w:ascii="Arial" w:hAnsi="Arial" w:cs="Arial"/>
                <w:sz w:val="20"/>
                <w:szCs w:val="20"/>
              </w:rPr>
            </w:pPr>
            <w:r>
              <w:rPr>
                <w:rFonts w:ascii="Arial" w:hAnsi="Arial" w:cs="Arial"/>
                <w:sz w:val="20"/>
                <w:szCs w:val="20"/>
              </w:rPr>
              <w:t>T</w:t>
            </w:r>
            <w:r w:rsidR="00AC205E" w:rsidRPr="00040AA9">
              <w:rPr>
                <w:rFonts w:ascii="Arial" w:hAnsi="Arial" w:cs="Arial"/>
                <w:sz w:val="20"/>
                <w:szCs w:val="20"/>
              </w:rPr>
              <w:t xml:space="preserve">otal </w:t>
            </w:r>
            <w:r w:rsidR="0044366D" w:rsidRPr="00040AA9">
              <w:rPr>
                <w:rFonts w:ascii="Arial" w:hAnsi="Arial" w:cs="Arial"/>
                <w:sz w:val="20"/>
                <w:szCs w:val="20"/>
              </w:rPr>
              <w:t>Cost</w:t>
            </w:r>
          </w:p>
        </w:tc>
      </w:tr>
      <w:tr w:rsidR="00236250" w:rsidRPr="009F2EE8" w14:paraId="0286640F" w14:textId="77777777" w:rsidTr="00040AA9">
        <w:tc>
          <w:tcPr>
            <w:tcW w:w="1427" w:type="dxa"/>
          </w:tcPr>
          <w:p w14:paraId="48E137A7" w14:textId="35087EAD" w:rsidR="0044366D" w:rsidRPr="00040AA9" w:rsidRDefault="0044366D" w:rsidP="00040AA9">
            <w:pPr>
              <w:suppressAutoHyphens/>
              <w:rPr>
                <w:rFonts w:ascii="Arial" w:hAnsi="Arial" w:cs="Arial"/>
                <w:sz w:val="20"/>
                <w:szCs w:val="20"/>
              </w:rPr>
            </w:pPr>
            <w:r w:rsidRPr="00040AA9">
              <w:rPr>
                <w:rFonts w:ascii="Arial" w:hAnsi="Arial" w:cs="Arial"/>
                <w:sz w:val="20"/>
                <w:szCs w:val="20"/>
              </w:rPr>
              <w:t>P</w:t>
            </w:r>
          </w:p>
        </w:tc>
        <w:tc>
          <w:tcPr>
            <w:tcW w:w="1816" w:type="dxa"/>
          </w:tcPr>
          <w:p w14:paraId="0320CAF4" w14:textId="6F1CA64B" w:rsidR="0044366D" w:rsidRPr="00040AA9" w:rsidRDefault="0044366D" w:rsidP="00040AA9">
            <w:pPr>
              <w:keepNext/>
              <w:keepLines/>
              <w:suppressAutoHyphens/>
              <w:ind w:right="776"/>
              <w:jc w:val="right"/>
              <w:rPr>
                <w:rFonts w:ascii="Arial" w:hAnsi="Arial" w:cs="Arial"/>
                <w:sz w:val="20"/>
                <w:szCs w:val="20"/>
              </w:rPr>
            </w:pPr>
            <w:r w:rsidRPr="00040AA9">
              <w:rPr>
                <w:rFonts w:ascii="Arial" w:hAnsi="Arial" w:cs="Arial"/>
                <w:sz w:val="20"/>
                <w:szCs w:val="20"/>
              </w:rPr>
              <w:t>80</w:t>
            </w:r>
          </w:p>
        </w:tc>
        <w:tc>
          <w:tcPr>
            <w:tcW w:w="1672" w:type="dxa"/>
          </w:tcPr>
          <w:p w14:paraId="1C16987B" w14:textId="1BAE9B50" w:rsidR="0044366D" w:rsidRPr="00040AA9" w:rsidRDefault="0044366D" w:rsidP="00040AA9">
            <w:pPr>
              <w:keepNext/>
              <w:keepLines/>
              <w:suppressAutoHyphens/>
              <w:ind w:right="644"/>
              <w:jc w:val="right"/>
              <w:rPr>
                <w:rFonts w:ascii="Arial" w:hAnsi="Arial" w:cs="Arial"/>
                <w:sz w:val="20"/>
                <w:szCs w:val="20"/>
              </w:rPr>
            </w:pPr>
            <w:r w:rsidRPr="00040AA9">
              <w:rPr>
                <w:rFonts w:ascii="Arial" w:hAnsi="Arial" w:cs="Arial"/>
                <w:sz w:val="20"/>
                <w:szCs w:val="20"/>
              </w:rPr>
              <w:t>130</w:t>
            </w:r>
          </w:p>
        </w:tc>
        <w:tc>
          <w:tcPr>
            <w:tcW w:w="1458" w:type="dxa"/>
          </w:tcPr>
          <w:p w14:paraId="29E4761D" w14:textId="38E3E1B2" w:rsidR="0044366D" w:rsidRPr="00040AA9" w:rsidRDefault="0044366D" w:rsidP="00040AA9">
            <w:pPr>
              <w:keepNext/>
              <w:keepLines/>
              <w:suppressAutoHyphens/>
              <w:ind w:left="-348" w:right="594"/>
              <w:jc w:val="right"/>
              <w:rPr>
                <w:rFonts w:ascii="Arial" w:hAnsi="Arial" w:cs="Arial"/>
                <w:sz w:val="20"/>
                <w:szCs w:val="20"/>
              </w:rPr>
            </w:pPr>
            <w:r w:rsidRPr="00040AA9">
              <w:rPr>
                <w:rFonts w:ascii="Arial" w:hAnsi="Arial" w:cs="Arial"/>
                <w:sz w:val="20"/>
                <w:szCs w:val="20"/>
              </w:rPr>
              <w:t>50</w:t>
            </w:r>
          </w:p>
        </w:tc>
        <w:tc>
          <w:tcPr>
            <w:tcW w:w="1228" w:type="dxa"/>
          </w:tcPr>
          <w:p w14:paraId="3C93EF55" w14:textId="1B8D253E" w:rsidR="0044366D" w:rsidRPr="00040AA9" w:rsidRDefault="00B54895" w:rsidP="00040AA9">
            <w:pPr>
              <w:keepNext/>
              <w:keepLines/>
              <w:suppressAutoHyphens/>
              <w:ind w:left="-540" w:right="468"/>
              <w:jc w:val="right"/>
              <w:rPr>
                <w:rFonts w:ascii="Arial" w:hAnsi="Arial" w:cs="Arial"/>
                <w:sz w:val="20"/>
                <w:szCs w:val="20"/>
              </w:rPr>
            </w:pPr>
            <w:r w:rsidRPr="00040AA9">
              <w:rPr>
                <w:rFonts w:ascii="Arial" w:hAnsi="Arial" w:cs="Arial"/>
                <w:sz w:val="20"/>
                <w:szCs w:val="20"/>
              </w:rPr>
              <w:t>-</w:t>
            </w:r>
          </w:p>
        </w:tc>
        <w:tc>
          <w:tcPr>
            <w:tcW w:w="1574" w:type="dxa"/>
          </w:tcPr>
          <w:p w14:paraId="12515D95" w14:textId="1DFDF6D0" w:rsidR="0044366D" w:rsidRPr="00040AA9" w:rsidRDefault="0044366D" w:rsidP="00040AA9">
            <w:pPr>
              <w:keepNext/>
              <w:keepLines/>
              <w:suppressAutoHyphens/>
              <w:ind w:right="522"/>
              <w:jc w:val="right"/>
              <w:rPr>
                <w:rFonts w:ascii="Arial" w:hAnsi="Arial" w:cs="Arial"/>
                <w:sz w:val="20"/>
                <w:szCs w:val="20"/>
              </w:rPr>
            </w:pPr>
            <w:r w:rsidRPr="00040AA9">
              <w:rPr>
                <w:rFonts w:ascii="Arial" w:hAnsi="Arial" w:cs="Arial"/>
                <w:sz w:val="20"/>
                <w:szCs w:val="20"/>
              </w:rPr>
              <w:t>260</w:t>
            </w:r>
          </w:p>
        </w:tc>
      </w:tr>
      <w:tr w:rsidR="00236250" w:rsidRPr="009F2EE8" w14:paraId="097EFFE0" w14:textId="77777777" w:rsidTr="00040AA9">
        <w:tc>
          <w:tcPr>
            <w:tcW w:w="1427" w:type="dxa"/>
          </w:tcPr>
          <w:p w14:paraId="778C5C23" w14:textId="21F07DC7" w:rsidR="0044366D" w:rsidRPr="00040AA9" w:rsidRDefault="0044366D" w:rsidP="00040AA9">
            <w:pPr>
              <w:suppressAutoHyphens/>
              <w:rPr>
                <w:rFonts w:ascii="Arial" w:hAnsi="Arial" w:cs="Arial"/>
                <w:sz w:val="20"/>
                <w:szCs w:val="20"/>
              </w:rPr>
            </w:pPr>
            <w:r w:rsidRPr="00040AA9">
              <w:rPr>
                <w:rFonts w:ascii="Arial" w:hAnsi="Arial" w:cs="Arial"/>
                <w:sz w:val="20"/>
                <w:szCs w:val="20"/>
              </w:rPr>
              <w:t>P(a)</w:t>
            </w:r>
          </w:p>
        </w:tc>
        <w:tc>
          <w:tcPr>
            <w:tcW w:w="1816" w:type="dxa"/>
          </w:tcPr>
          <w:p w14:paraId="5EB7B482" w14:textId="77777777" w:rsidR="0044366D" w:rsidRPr="00040AA9" w:rsidRDefault="0044366D" w:rsidP="00040AA9">
            <w:pPr>
              <w:keepNext/>
              <w:keepLines/>
              <w:suppressAutoHyphens/>
              <w:ind w:right="776"/>
              <w:jc w:val="right"/>
              <w:rPr>
                <w:rFonts w:ascii="Arial" w:hAnsi="Arial" w:cs="Arial"/>
                <w:sz w:val="20"/>
                <w:szCs w:val="20"/>
              </w:rPr>
            </w:pPr>
          </w:p>
        </w:tc>
        <w:tc>
          <w:tcPr>
            <w:tcW w:w="1672" w:type="dxa"/>
          </w:tcPr>
          <w:p w14:paraId="4894BA90" w14:textId="77777777" w:rsidR="0044366D" w:rsidRPr="00040AA9" w:rsidRDefault="0044366D" w:rsidP="00040AA9">
            <w:pPr>
              <w:keepNext/>
              <w:keepLines/>
              <w:suppressAutoHyphens/>
              <w:ind w:right="644"/>
              <w:jc w:val="right"/>
              <w:rPr>
                <w:rFonts w:ascii="Arial" w:hAnsi="Arial" w:cs="Arial"/>
                <w:sz w:val="20"/>
                <w:szCs w:val="20"/>
              </w:rPr>
            </w:pPr>
          </w:p>
        </w:tc>
        <w:tc>
          <w:tcPr>
            <w:tcW w:w="1458" w:type="dxa"/>
          </w:tcPr>
          <w:p w14:paraId="0CC61044" w14:textId="77777777" w:rsidR="0044366D" w:rsidRPr="00040AA9" w:rsidRDefault="0044366D" w:rsidP="00040AA9">
            <w:pPr>
              <w:keepNext/>
              <w:keepLines/>
              <w:suppressAutoHyphens/>
              <w:ind w:left="-348" w:right="594"/>
              <w:jc w:val="right"/>
              <w:rPr>
                <w:rFonts w:ascii="Arial" w:hAnsi="Arial" w:cs="Arial"/>
                <w:sz w:val="20"/>
                <w:szCs w:val="20"/>
              </w:rPr>
            </w:pPr>
          </w:p>
        </w:tc>
        <w:tc>
          <w:tcPr>
            <w:tcW w:w="1228" w:type="dxa"/>
          </w:tcPr>
          <w:p w14:paraId="256AAE09" w14:textId="77777777" w:rsidR="0044366D" w:rsidRPr="00040AA9" w:rsidRDefault="0044366D" w:rsidP="00040AA9">
            <w:pPr>
              <w:keepNext/>
              <w:keepLines/>
              <w:suppressAutoHyphens/>
              <w:ind w:left="-540" w:right="468"/>
              <w:jc w:val="right"/>
              <w:rPr>
                <w:rFonts w:ascii="Arial" w:hAnsi="Arial" w:cs="Arial"/>
                <w:sz w:val="20"/>
                <w:szCs w:val="20"/>
              </w:rPr>
            </w:pPr>
          </w:p>
        </w:tc>
        <w:tc>
          <w:tcPr>
            <w:tcW w:w="1574" w:type="dxa"/>
          </w:tcPr>
          <w:p w14:paraId="08A364FE" w14:textId="77777777" w:rsidR="0044366D" w:rsidRPr="00040AA9" w:rsidRDefault="0044366D" w:rsidP="00040AA9">
            <w:pPr>
              <w:keepNext/>
              <w:keepLines/>
              <w:suppressAutoHyphens/>
              <w:ind w:right="522"/>
              <w:jc w:val="right"/>
              <w:rPr>
                <w:rFonts w:ascii="Arial" w:hAnsi="Arial" w:cs="Arial"/>
                <w:sz w:val="20"/>
                <w:szCs w:val="20"/>
              </w:rPr>
            </w:pPr>
          </w:p>
        </w:tc>
      </w:tr>
      <w:tr w:rsidR="00236250" w:rsidRPr="009F2EE8" w14:paraId="0078CACB" w14:textId="77777777" w:rsidTr="00040AA9">
        <w:tc>
          <w:tcPr>
            <w:tcW w:w="1427" w:type="dxa"/>
          </w:tcPr>
          <w:p w14:paraId="51FEDD01" w14:textId="221612D9" w:rsidR="0044366D" w:rsidRPr="00040AA9" w:rsidRDefault="0044366D" w:rsidP="00040AA9">
            <w:pPr>
              <w:suppressAutoHyphens/>
              <w:rPr>
                <w:rFonts w:ascii="Arial" w:hAnsi="Arial" w:cs="Arial"/>
                <w:sz w:val="20"/>
                <w:szCs w:val="20"/>
              </w:rPr>
            </w:pPr>
            <w:r w:rsidRPr="00040AA9">
              <w:rPr>
                <w:rFonts w:ascii="Arial" w:hAnsi="Arial" w:cs="Arial"/>
                <w:sz w:val="20"/>
                <w:szCs w:val="20"/>
              </w:rPr>
              <w:t>A</w:t>
            </w:r>
          </w:p>
        </w:tc>
        <w:tc>
          <w:tcPr>
            <w:tcW w:w="1816" w:type="dxa"/>
          </w:tcPr>
          <w:p w14:paraId="397147DB" w14:textId="083DA7AF" w:rsidR="0044366D" w:rsidRPr="00040AA9" w:rsidRDefault="0044366D" w:rsidP="00040AA9">
            <w:pPr>
              <w:keepNext/>
              <w:keepLines/>
              <w:suppressAutoHyphens/>
              <w:ind w:right="776"/>
              <w:jc w:val="right"/>
              <w:rPr>
                <w:rFonts w:ascii="Arial" w:hAnsi="Arial" w:cs="Arial"/>
                <w:sz w:val="20"/>
                <w:szCs w:val="20"/>
              </w:rPr>
            </w:pPr>
            <w:r w:rsidRPr="00040AA9">
              <w:rPr>
                <w:rFonts w:ascii="Arial" w:hAnsi="Arial" w:cs="Arial"/>
                <w:sz w:val="20"/>
                <w:szCs w:val="20"/>
              </w:rPr>
              <w:t>80</w:t>
            </w:r>
          </w:p>
        </w:tc>
        <w:tc>
          <w:tcPr>
            <w:tcW w:w="1672" w:type="dxa"/>
          </w:tcPr>
          <w:p w14:paraId="49DE63E4" w14:textId="148916FE" w:rsidR="0044366D" w:rsidRPr="00040AA9" w:rsidRDefault="0044366D" w:rsidP="00040AA9">
            <w:pPr>
              <w:keepNext/>
              <w:keepLines/>
              <w:suppressAutoHyphens/>
              <w:ind w:right="644"/>
              <w:jc w:val="right"/>
              <w:rPr>
                <w:rFonts w:ascii="Arial" w:hAnsi="Arial" w:cs="Arial"/>
                <w:sz w:val="20"/>
                <w:szCs w:val="20"/>
              </w:rPr>
            </w:pPr>
            <w:r w:rsidRPr="00040AA9">
              <w:rPr>
                <w:rFonts w:ascii="Arial" w:hAnsi="Arial" w:cs="Arial"/>
                <w:sz w:val="20"/>
                <w:szCs w:val="20"/>
              </w:rPr>
              <w:t>130</w:t>
            </w:r>
          </w:p>
        </w:tc>
        <w:tc>
          <w:tcPr>
            <w:tcW w:w="1458" w:type="dxa"/>
          </w:tcPr>
          <w:p w14:paraId="73AAF8AB" w14:textId="19564767" w:rsidR="0044366D" w:rsidRPr="00040AA9" w:rsidRDefault="0044366D" w:rsidP="00040AA9">
            <w:pPr>
              <w:keepNext/>
              <w:keepLines/>
              <w:suppressAutoHyphens/>
              <w:ind w:left="-348" w:right="594"/>
              <w:jc w:val="right"/>
              <w:rPr>
                <w:rFonts w:ascii="Arial" w:hAnsi="Arial" w:cs="Arial"/>
                <w:sz w:val="20"/>
                <w:szCs w:val="20"/>
              </w:rPr>
            </w:pPr>
            <w:r w:rsidRPr="00040AA9">
              <w:rPr>
                <w:rFonts w:ascii="Arial" w:hAnsi="Arial" w:cs="Arial"/>
                <w:sz w:val="20"/>
                <w:szCs w:val="20"/>
              </w:rPr>
              <w:t>50</w:t>
            </w:r>
          </w:p>
        </w:tc>
        <w:tc>
          <w:tcPr>
            <w:tcW w:w="1228" w:type="dxa"/>
          </w:tcPr>
          <w:p w14:paraId="0112A5F8" w14:textId="10DA8601" w:rsidR="0044366D" w:rsidRPr="00040AA9" w:rsidRDefault="00B54895" w:rsidP="00040AA9">
            <w:pPr>
              <w:keepNext/>
              <w:keepLines/>
              <w:suppressAutoHyphens/>
              <w:ind w:left="-540" w:right="468"/>
              <w:jc w:val="right"/>
              <w:rPr>
                <w:rFonts w:ascii="Arial" w:hAnsi="Arial" w:cs="Arial"/>
                <w:sz w:val="20"/>
                <w:szCs w:val="20"/>
              </w:rPr>
            </w:pPr>
            <w:r w:rsidRPr="00040AA9">
              <w:rPr>
                <w:rFonts w:ascii="Arial" w:hAnsi="Arial" w:cs="Arial"/>
                <w:sz w:val="20"/>
                <w:szCs w:val="20"/>
              </w:rPr>
              <w:t>-</w:t>
            </w:r>
          </w:p>
        </w:tc>
        <w:tc>
          <w:tcPr>
            <w:tcW w:w="1574" w:type="dxa"/>
          </w:tcPr>
          <w:p w14:paraId="4375D9A9" w14:textId="32F24C79" w:rsidR="0044366D" w:rsidRPr="00040AA9" w:rsidRDefault="0044366D" w:rsidP="00040AA9">
            <w:pPr>
              <w:keepNext/>
              <w:keepLines/>
              <w:suppressAutoHyphens/>
              <w:ind w:right="522"/>
              <w:jc w:val="right"/>
              <w:rPr>
                <w:rFonts w:ascii="Arial" w:hAnsi="Arial" w:cs="Arial"/>
                <w:sz w:val="20"/>
                <w:szCs w:val="20"/>
              </w:rPr>
            </w:pPr>
            <w:r w:rsidRPr="00040AA9">
              <w:rPr>
                <w:rFonts w:ascii="Arial" w:hAnsi="Arial" w:cs="Arial"/>
                <w:sz w:val="20"/>
                <w:szCs w:val="20"/>
              </w:rPr>
              <w:t>260</w:t>
            </w:r>
          </w:p>
        </w:tc>
      </w:tr>
    </w:tbl>
    <w:p w14:paraId="3CEAC130" w14:textId="77777777" w:rsidR="009B4D7A" w:rsidRPr="00040AA9" w:rsidRDefault="009B4D7A" w:rsidP="00040AA9">
      <w:pPr>
        <w:pStyle w:val="Heading2"/>
        <w:keepNext w:val="0"/>
        <w:keepLines w:val="0"/>
        <w:numPr>
          <w:ilvl w:val="1"/>
          <w:numId w:val="1"/>
        </w:numPr>
        <w:suppressAutoHyphens/>
        <w:spacing w:before="240"/>
        <w:rPr>
          <w:rFonts w:cs="Arial"/>
          <w:szCs w:val="22"/>
        </w:rPr>
      </w:pPr>
      <w:bookmarkStart w:id="26" w:name="_Toc469493902"/>
      <w:r w:rsidRPr="00040AA9">
        <w:rPr>
          <w:rFonts w:cs="Arial"/>
          <w:szCs w:val="22"/>
        </w:rPr>
        <w:t>Sustainability</w:t>
      </w:r>
      <w:bookmarkEnd w:id="26"/>
    </w:p>
    <w:p w14:paraId="62965450" w14:textId="6FECA0A4" w:rsidR="00C26402" w:rsidRPr="00040AA9" w:rsidRDefault="00840404" w:rsidP="00631FEA">
      <w:pPr>
        <w:pStyle w:val="HTMLPreformatted"/>
        <w:shd w:val="clear" w:color="auto" w:fill="FFFFFF"/>
        <w:suppressAutoHyphens/>
        <w:jc w:val="both"/>
        <w:rPr>
          <w:rFonts w:ascii="Arial" w:hAnsi="Arial" w:cs="Arial"/>
          <w:sz w:val="22"/>
          <w:szCs w:val="22"/>
        </w:rPr>
      </w:pPr>
      <w:r w:rsidRPr="00040AA9">
        <w:rPr>
          <w:rFonts w:ascii="Arial" w:hAnsi="Arial" w:cs="Arial"/>
          <w:sz w:val="22"/>
          <w:szCs w:val="22"/>
        </w:rPr>
        <w:t>Building upon the earlier FCP initiatives, the FISPEG operation in conjunction with the parallel FAMP investment program h</w:t>
      </w:r>
      <w:r w:rsidR="00784847" w:rsidRPr="00040AA9">
        <w:rPr>
          <w:rFonts w:ascii="Arial" w:hAnsi="Arial" w:cs="Arial"/>
          <w:sz w:val="22"/>
          <w:szCs w:val="22"/>
        </w:rPr>
        <w:t>as</w:t>
      </w:r>
      <w:r w:rsidRPr="00040AA9">
        <w:rPr>
          <w:rFonts w:ascii="Arial" w:hAnsi="Arial" w:cs="Arial"/>
          <w:sz w:val="22"/>
          <w:szCs w:val="22"/>
        </w:rPr>
        <w:t xml:space="preserve"> ac</w:t>
      </w:r>
      <w:r w:rsidR="00586F72" w:rsidRPr="00040AA9">
        <w:rPr>
          <w:rFonts w:ascii="Arial" w:hAnsi="Arial" w:cs="Arial"/>
          <w:sz w:val="22"/>
          <w:szCs w:val="22"/>
        </w:rPr>
        <w:t xml:space="preserve">hieved </w:t>
      </w:r>
      <w:r w:rsidRPr="00040AA9">
        <w:rPr>
          <w:rFonts w:ascii="Arial" w:hAnsi="Arial" w:cs="Arial"/>
          <w:sz w:val="22"/>
          <w:szCs w:val="22"/>
        </w:rPr>
        <w:t xml:space="preserve">numerous </w:t>
      </w:r>
      <w:r w:rsidR="00586F72" w:rsidRPr="00040AA9">
        <w:rPr>
          <w:rFonts w:ascii="Arial" w:hAnsi="Arial" w:cs="Arial"/>
          <w:sz w:val="22"/>
          <w:szCs w:val="22"/>
        </w:rPr>
        <w:t xml:space="preserve">beneficial </w:t>
      </w:r>
      <w:r w:rsidR="00580AAD" w:rsidRPr="00040AA9">
        <w:rPr>
          <w:rFonts w:ascii="Arial" w:hAnsi="Arial" w:cs="Arial"/>
          <w:sz w:val="22"/>
          <w:szCs w:val="22"/>
        </w:rPr>
        <w:t xml:space="preserve">results (see the </w:t>
      </w:r>
      <w:r w:rsidR="00943C6B">
        <w:rPr>
          <w:rFonts w:ascii="Arial" w:hAnsi="Arial" w:cs="Arial"/>
          <w:sz w:val="22"/>
          <w:szCs w:val="22"/>
        </w:rPr>
        <w:t>o</w:t>
      </w:r>
      <w:r w:rsidR="00586F72" w:rsidRPr="00040AA9">
        <w:rPr>
          <w:rFonts w:ascii="Arial" w:hAnsi="Arial" w:cs="Arial"/>
          <w:sz w:val="22"/>
          <w:szCs w:val="22"/>
        </w:rPr>
        <w:t>utcomes</w:t>
      </w:r>
      <w:r w:rsidR="00580AAD" w:rsidRPr="00040AA9">
        <w:rPr>
          <w:rFonts w:ascii="Arial" w:hAnsi="Arial" w:cs="Arial"/>
          <w:sz w:val="22"/>
          <w:szCs w:val="22"/>
        </w:rPr>
        <w:t xml:space="preserve"> section of Table 2 above)</w:t>
      </w:r>
      <w:r w:rsidR="00586F72" w:rsidRPr="00040AA9">
        <w:rPr>
          <w:rFonts w:ascii="Arial" w:hAnsi="Arial" w:cs="Arial"/>
          <w:sz w:val="22"/>
          <w:szCs w:val="22"/>
        </w:rPr>
        <w:t>, particularly in the tax reform area</w:t>
      </w:r>
      <w:r w:rsidR="00586F72" w:rsidRPr="00F544DC">
        <w:rPr>
          <w:rFonts w:ascii="Arial" w:hAnsi="Arial" w:cs="Arial"/>
          <w:sz w:val="22"/>
          <w:szCs w:val="22"/>
        </w:rPr>
        <w:t xml:space="preserve">. </w:t>
      </w:r>
      <w:r w:rsidR="00913CCF" w:rsidRPr="009C086E">
        <w:rPr>
          <w:rFonts w:ascii="Arial" w:hAnsi="Arial" w:cs="Arial"/>
          <w:color w:val="212121"/>
          <w:sz w:val="22"/>
          <w:szCs w:val="22"/>
          <w:lang w:val="en"/>
        </w:rPr>
        <w:t>The reforms supported by the program establish</w:t>
      </w:r>
      <w:r w:rsidR="00913CCF">
        <w:rPr>
          <w:rFonts w:ascii="Arial" w:hAnsi="Arial" w:cs="Arial"/>
          <w:color w:val="212121"/>
          <w:sz w:val="22"/>
          <w:szCs w:val="22"/>
          <w:lang w:val="en"/>
        </w:rPr>
        <w:t>ed</w:t>
      </w:r>
      <w:r w:rsidR="00913CCF" w:rsidRPr="009C086E">
        <w:rPr>
          <w:rFonts w:ascii="Arial" w:hAnsi="Arial" w:cs="Arial"/>
          <w:color w:val="212121"/>
          <w:sz w:val="22"/>
          <w:szCs w:val="22"/>
          <w:lang w:val="en"/>
        </w:rPr>
        <w:t xml:space="preserve"> a </w:t>
      </w:r>
      <w:r w:rsidR="00913CCF">
        <w:rPr>
          <w:rFonts w:ascii="Arial" w:hAnsi="Arial" w:cs="Arial"/>
          <w:color w:val="212121"/>
          <w:sz w:val="22"/>
          <w:szCs w:val="22"/>
          <w:lang w:val="en"/>
        </w:rPr>
        <w:t xml:space="preserve">legal </w:t>
      </w:r>
      <w:r w:rsidR="00913CCF" w:rsidRPr="009C086E">
        <w:rPr>
          <w:rFonts w:ascii="Arial" w:hAnsi="Arial" w:cs="Arial"/>
          <w:color w:val="212121"/>
          <w:sz w:val="22"/>
          <w:szCs w:val="22"/>
          <w:lang w:val="en"/>
        </w:rPr>
        <w:t>framework that guarantees the sustainability of the results</w:t>
      </w:r>
      <w:r w:rsidR="00CC0991">
        <w:rPr>
          <w:rFonts w:ascii="Arial" w:hAnsi="Arial" w:cs="Arial"/>
          <w:color w:val="212121"/>
          <w:sz w:val="22"/>
          <w:szCs w:val="22"/>
          <w:lang w:val="en"/>
        </w:rPr>
        <w:t>;</w:t>
      </w:r>
      <w:r w:rsidR="00913CCF">
        <w:rPr>
          <w:rFonts w:ascii="Arial" w:hAnsi="Arial" w:cs="Arial"/>
          <w:color w:val="212121"/>
          <w:sz w:val="22"/>
          <w:szCs w:val="22"/>
          <w:lang w:val="en"/>
        </w:rPr>
        <w:t xml:space="preserve"> moreover, </w:t>
      </w:r>
      <w:r w:rsidR="00913CCF" w:rsidRPr="009C086E">
        <w:rPr>
          <w:rFonts w:ascii="Arial" w:hAnsi="Arial" w:cs="Arial"/>
          <w:color w:val="212121"/>
          <w:sz w:val="22"/>
          <w:szCs w:val="22"/>
          <w:lang w:val="en"/>
        </w:rPr>
        <w:t xml:space="preserve">the legislative </w:t>
      </w:r>
      <w:r w:rsidR="00913CCF">
        <w:rPr>
          <w:rFonts w:ascii="Arial" w:hAnsi="Arial" w:cs="Arial"/>
          <w:color w:val="212121"/>
          <w:sz w:val="22"/>
          <w:szCs w:val="22"/>
          <w:lang w:val="en"/>
        </w:rPr>
        <w:t xml:space="preserve">process </w:t>
      </w:r>
      <w:r w:rsidR="00913CCF" w:rsidRPr="009C086E">
        <w:rPr>
          <w:rFonts w:ascii="Arial" w:hAnsi="Arial" w:cs="Arial"/>
          <w:color w:val="212121"/>
          <w:sz w:val="22"/>
          <w:szCs w:val="22"/>
          <w:lang w:val="en"/>
        </w:rPr>
        <w:t>to modify or replace the</w:t>
      </w:r>
      <w:r w:rsidR="00913CCF">
        <w:rPr>
          <w:rFonts w:ascii="Arial" w:hAnsi="Arial" w:cs="Arial"/>
          <w:color w:val="212121"/>
          <w:sz w:val="22"/>
          <w:szCs w:val="22"/>
          <w:lang w:val="en"/>
        </w:rPr>
        <w:t xml:space="preserve"> reforms</w:t>
      </w:r>
      <w:r w:rsidR="00913CCF" w:rsidRPr="009C086E">
        <w:rPr>
          <w:rFonts w:ascii="Arial" w:hAnsi="Arial" w:cs="Arial"/>
          <w:color w:val="212121"/>
          <w:sz w:val="22"/>
          <w:szCs w:val="22"/>
          <w:lang w:val="en"/>
        </w:rPr>
        <w:t>, mak</w:t>
      </w:r>
      <w:r w:rsidR="00913CCF">
        <w:rPr>
          <w:rFonts w:ascii="Arial" w:hAnsi="Arial" w:cs="Arial"/>
          <w:color w:val="212121"/>
          <w:sz w:val="22"/>
          <w:szCs w:val="22"/>
          <w:lang w:val="en"/>
        </w:rPr>
        <w:t>e</w:t>
      </w:r>
      <w:r w:rsidR="00CC0991">
        <w:rPr>
          <w:rFonts w:ascii="Arial" w:hAnsi="Arial" w:cs="Arial"/>
          <w:color w:val="212121"/>
          <w:sz w:val="22"/>
          <w:szCs w:val="22"/>
          <w:lang w:val="en"/>
        </w:rPr>
        <w:t xml:space="preserve">s it </w:t>
      </w:r>
      <w:r w:rsidR="00913CCF">
        <w:rPr>
          <w:rFonts w:ascii="Arial" w:hAnsi="Arial" w:cs="Arial"/>
          <w:color w:val="212121"/>
          <w:sz w:val="22"/>
          <w:szCs w:val="22"/>
          <w:lang w:val="en"/>
        </w:rPr>
        <w:t>difficult to reverse</w:t>
      </w:r>
      <w:r w:rsidR="00CC0991">
        <w:rPr>
          <w:rFonts w:ascii="Arial" w:hAnsi="Arial" w:cs="Arial"/>
          <w:color w:val="212121"/>
          <w:sz w:val="22"/>
          <w:szCs w:val="22"/>
          <w:lang w:val="en"/>
        </w:rPr>
        <w:t xml:space="preserve"> them</w:t>
      </w:r>
      <w:r w:rsidR="00913CCF">
        <w:rPr>
          <w:rFonts w:ascii="Arial" w:hAnsi="Arial" w:cs="Arial"/>
          <w:color w:val="212121"/>
          <w:sz w:val="22"/>
          <w:szCs w:val="22"/>
          <w:lang w:val="en"/>
        </w:rPr>
        <w:t xml:space="preserve">. </w:t>
      </w:r>
      <w:r w:rsidR="006B3EAB" w:rsidRPr="00040AA9">
        <w:rPr>
          <w:rFonts w:ascii="Arial" w:hAnsi="Arial" w:cs="Arial"/>
          <w:sz w:val="22"/>
          <w:szCs w:val="22"/>
        </w:rPr>
        <w:t xml:space="preserve">Table D </w:t>
      </w:r>
      <w:r w:rsidR="004C28BC" w:rsidRPr="00040AA9">
        <w:rPr>
          <w:rFonts w:ascii="Arial" w:hAnsi="Arial" w:cs="Arial"/>
          <w:sz w:val="22"/>
          <w:szCs w:val="22"/>
        </w:rPr>
        <w:t>provides a</w:t>
      </w:r>
      <w:r w:rsidR="00586F72" w:rsidRPr="00040AA9">
        <w:rPr>
          <w:rFonts w:ascii="Arial" w:hAnsi="Arial" w:cs="Arial"/>
          <w:sz w:val="22"/>
          <w:szCs w:val="22"/>
        </w:rPr>
        <w:t xml:space="preserve"> </w:t>
      </w:r>
      <w:r w:rsidR="00580AAD" w:rsidRPr="00040AA9">
        <w:rPr>
          <w:rFonts w:ascii="Arial" w:hAnsi="Arial" w:cs="Arial"/>
          <w:sz w:val="22"/>
          <w:szCs w:val="22"/>
        </w:rPr>
        <w:t xml:space="preserve">recap of these results and </w:t>
      </w:r>
      <w:r w:rsidR="00586F72" w:rsidRPr="00040AA9">
        <w:rPr>
          <w:rFonts w:ascii="Arial" w:hAnsi="Arial" w:cs="Arial"/>
          <w:sz w:val="22"/>
          <w:szCs w:val="22"/>
        </w:rPr>
        <w:t xml:space="preserve">the conditions needed to assure their </w:t>
      </w:r>
      <w:r w:rsidR="00EB517E" w:rsidRPr="00040AA9">
        <w:rPr>
          <w:rFonts w:ascii="Arial" w:hAnsi="Arial" w:cs="Arial"/>
          <w:sz w:val="22"/>
          <w:szCs w:val="22"/>
        </w:rPr>
        <w:t xml:space="preserve">continuation and thereby the </w:t>
      </w:r>
      <w:r w:rsidR="00586F72" w:rsidRPr="00040AA9">
        <w:rPr>
          <w:rFonts w:ascii="Arial" w:hAnsi="Arial" w:cs="Arial"/>
          <w:sz w:val="22"/>
          <w:szCs w:val="22"/>
        </w:rPr>
        <w:t>sustainability</w:t>
      </w:r>
      <w:r w:rsidR="00EB517E" w:rsidRPr="00040AA9">
        <w:rPr>
          <w:rFonts w:ascii="Arial" w:hAnsi="Arial" w:cs="Arial"/>
          <w:sz w:val="22"/>
          <w:szCs w:val="22"/>
        </w:rPr>
        <w:t xml:space="preserve"> of the program as a whole. </w:t>
      </w:r>
    </w:p>
    <w:p w14:paraId="248DF2BC" w14:textId="638DA4A7" w:rsidR="00F74B97" w:rsidRPr="00040AA9" w:rsidRDefault="00F74B97" w:rsidP="00040AA9">
      <w:pPr>
        <w:suppressAutoHyphens/>
        <w:spacing w:before="120" w:after="120"/>
        <w:jc w:val="center"/>
        <w:rPr>
          <w:rFonts w:ascii="Arial" w:hAnsi="Arial" w:cs="Arial"/>
          <w:b/>
          <w:sz w:val="20"/>
          <w:szCs w:val="20"/>
        </w:rPr>
      </w:pPr>
      <w:r w:rsidRPr="00040AA9">
        <w:rPr>
          <w:rFonts w:ascii="Arial" w:hAnsi="Arial" w:cs="Arial"/>
          <w:b/>
          <w:sz w:val="20"/>
          <w:szCs w:val="20"/>
        </w:rPr>
        <w:t xml:space="preserve">Table </w:t>
      </w:r>
      <w:r w:rsidR="00BC3D7B" w:rsidRPr="00040AA9">
        <w:rPr>
          <w:rFonts w:ascii="Arial" w:hAnsi="Arial" w:cs="Arial"/>
          <w:b/>
          <w:sz w:val="20"/>
          <w:szCs w:val="20"/>
        </w:rPr>
        <w:t>D</w:t>
      </w:r>
      <w:r w:rsidR="00840404" w:rsidRPr="00040AA9">
        <w:rPr>
          <w:rFonts w:ascii="Arial" w:hAnsi="Arial" w:cs="Arial"/>
          <w:b/>
          <w:sz w:val="20"/>
          <w:szCs w:val="20"/>
        </w:rPr>
        <w:t>:</w:t>
      </w:r>
      <w:r w:rsidR="002B1F8B" w:rsidRPr="00040AA9">
        <w:rPr>
          <w:rFonts w:ascii="Arial" w:hAnsi="Arial" w:cs="Arial"/>
          <w:b/>
          <w:sz w:val="20"/>
          <w:szCs w:val="20"/>
        </w:rPr>
        <w:t xml:space="preserve"> Assessment of Conditions Needed to Sustain and Improve Upon FISPEG Results Already Achieved</w:t>
      </w:r>
    </w:p>
    <w:tbl>
      <w:tblPr>
        <w:tblStyle w:val="TableGrid"/>
        <w:tblW w:w="9473" w:type="dxa"/>
        <w:tblInd w:w="-5" w:type="dxa"/>
        <w:tblLayout w:type="fixed"/>
        <w:tblLook w:val="04A0" w:firstRow="1" w:lastRow="0" w:firstColumn="1" w:lastColumn="0" w:noHBand="0" w:noVBand="1"/>
      </w:tblPr>
      <w:tblGrid>
        <w:gridCol w:w="1620"/>
        <w:gridCol w:w="3870"/>
        <w:gridCol w:w="1260"/>
        <w:gridCol w:w="2723"/>
      </w:tblGrid>
      <w:tr w:rsidR="00166E81" w:rsidRPr="00CF5903" w14:paraId="74A8679C" w14:textId="1A57535D" w:rsidTr="00040AA9">
        <w:trPr>
          <w:tblHeader/>
        </w:trPr>
        <w:tc>
          <w:tcPr>
            <w:tcW w:w="1620" w:type="dxa"/>
            <w:shd w:val="clear" w:color="auto" w:fill="D9D9D9" w:themeFill="background1" w:themeFillShade="D9"/>
            <w:vAlign w:val="center"/>
          </w:tcPr>
          <w:p w14:paraId="39FB8071" w14:textId="2C8F1C3E" w:rsidR="001E4AB2" w:rsidRPr="00040AA9" w:rsidRDefault="001E4AB2" w:rsidP="00040AA9">
            <w:pPr>
              <w:suppressAutoHyphens/>
              <w:jc w:val="center"/>
              <w:rPr>
                <w:rFonts w:ascii="Arial" w:hAnsi="Arial" w:cs="Arial"/>
                <w:b/>
                <w:sz w:val="20"/>
                <w:szCs w:val="20"/>
              </w:rPr>
            </w:pPr>
            <w:r w:rsidRPr="00040AA9">
              <w:rPr>
                <w:rFonts w:ascii="Arial" w:hAnsi="Arial" w:cs="Arial"/>
                <w:b/>
                <w:sz w:val="20"/>
                <w:szCs w:val="20"/>
              </w:rPr>
              <w:t>Results already achieved</w:t>
            </w:r>
          </w:p>
        </w:tc>
        <w:tc>
          <w:tcPr>
            <w:tcW w:w="3870" w:type="dxa"/>
            <w:shd w:val="clear" w:color="auto" w:fill="D9D9D9" w:themeFill="background1" w:themeFillShade="D9"/>
            <w:vAlign w:val="center"/>
          </w:tcPr>
          <w:p w14:paraId="007B2F0B" w14:textId="093B329F" w:rsidR="001E4AB2" w:rsidRPr="00040AA9" w:rsidRDefault="001E4AB2" w:rsidP="00040AA9">
            <w:pPr>
              <w:suppressAutoHyphens/>
              <w:jc w:val="center"/>
              <w:rPr>
                <w:rFonts w:ascii="Arial" w:hAnsi="Arial" w:cs="Arial"/>
                <w:b/>
                <w:sz w:val="20"/>
                <w:szCs w:val="20"/>
              </w:rPr>
            </w:pPr>
            <w:r w:rsidRPr="00040AA9">
              <w:rPr>
                <w:rFonts w:ascii="Arial" w:hAnsi="Arial" w:cs="Arial"/>
                <w:b/>
                <w:sz w:val="20"/>
                <w:szCs w:val="20"/>
              </w:rPr>
              <w:t>Conditions necessary for continuation of program results</w:t>
            </w:r>
          </w:p>
        </w:tc>
        <w:tc>
          <w:tcPr>
            <w:tcW w:w="1260" w:type="dxa"/>
            <w:shd w:val="clear" w:color="auto" w:fill="D9D9D9" w:themeFill="background1" w:themeFillShade="D9"/>
            <w:vAlign w:val="center"/>
          </w:tcPr>
          <w:p w14:paraId="10C8711F" w14:textId="3F11A4CD" w:rsidR="001E4AB2" w:rsidRPr="00040AA9" w:rsidRDefault="001E4AB2" w:rsidP="00040AA9">
            <w:pPr>
              <w:suppressAutoHyphens/>
              <w:jc w:val="center"/>
              <w:rPr>
                <w:rFonts w:ascii="Arial" w:hAnsi="Arial" w:cs="Arial"/>
                <w:b/>
                <w:sz w:val="20"/>
                <w:szCs w:val="20"/>
              </w:rPr>
            </w:pPr>
            <w:r w:rsidRPr="00040AA9">
              <w:rPr>
                <w:rFonts w:ascii="Arial" w:hAnsi="Arial" w:cs="Arial"/>
                <w:b/>
                <w:sz w:val="20"/>
                <w:szCs w:val="20"/>
              </w:rPr>
              <w:t>Probability</w:t>
            </w:r>
          </w:p>
        </w:tc>
        <w:tc>
          <w:tcPr>
            <w:tcW w:w="2723" w:type="dxa"/>
            <w:shd w:val="clear" w:color="auto" w:fill="D9D9D9" w:themeFill="background1" w:themeFillShade="D9"/>
            <w:vAlign w:val="center"/>
          </w:tcPr>
          <w:p w14:paraId="0F6F2179" w14:textId="0E164216" w:rsidR="001E4AB2" w:rsidRPr="00040AA9" w:rsidRDefault="001E4AB2" w:rsidP="00040AA9">
            <w:pPr>
              <w:suppressAutoHyphens/>
              <w:jc w:val="center"/>
              <w:rPr>
                <w:rFonts w:ascii="Arial" w:hAnsi="Arial" w:cs="Arial"/>
                <w:b/>
                <w:sz w:val="20"/>
                <w:szCs w:val="20"/>
              </w:rPr>
            </w:pPr>
            <w:r w:rsidRPr="00040AA9">
              <w:rPr>
                <w:rFonts w:ascii="Arial" w:hAnsi="Arial" w:cs="Arial"/>
                <w:b/>
                <w:sz w:val="20"/>
                <w:szCs w:val="20"/>
              </w:rPr>
              <w:t>Negative impacts of non-achievement</w:t>
            </w:r>
          </w:p>
        </w:tc>
      </w:tr>
      <w:tr w:rsidR="00166E81" w:rsidRPr="00CF5903" w14:paraId="7242070D" w14:textId="7CB34151" w:rsidTr="00040AA9">
        <w:tc>
          <w:tcPr>
            <w:tcW w:w="1620" w:type="dxa"/>
            <w:vAlign w:val="center"/>
          </w:tcPr>
          <w:p w14:paraId="7B9BBD99" w14:textId="4444FE63" w:rsidR="001E4AB2" w:rsidRPr="00040AA9" w:rsidRDefault="001E4AB2" w:rsidP="00040AA9">
            <w:pPr>
              <w:suppressAutoHyphens/>
              <w:rPr>
                <w:rFonts w:ascii="Arial" w:hAnsi="Arial" w:cs="Arial"/>
                <w:sz w:val="20"/>
                <w:szCs w:val="20"/>
              </w:rPr>
            </w:pPr>
            <w:r w:rsidRPr="00040AA9">
              <w:rPr>
                <w:rFonts w:ascii="Arial" w:hAnsi="Arial" w:cs="Arial"/>
                <w:sz w:val="20"/>
                <w:szCs w:val="20"/>
              </w:rPr>
              <w:t>Increased tax revenue as % of GDP</w:t>
            </w:r>
          </w:p>
        </w:tc>
        <w:tc>
          <w:tcPr>
            <w:tcW w:w="3870" w:type="dxa"/>
            <w:vAlign w:val="center"/>
          </w:tcPr>
          <w:p w14:paraId="20C58ACC" w14:textId="54A769C7"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Continuation of a stable macroeconomic environment.  </w:t>
            </w:r>
          </w:p>
        </w:tc>
        <w:tc>
          <w:tcPr>
            <w:tcW w:w="1260" w:type="dxa"/>
            <w:vAlign w:val="center"/>
          </w:tcPr>
          <w:p w14:paraId="556A8375" w14:textId="18C806B2" w:rsidR="001E4AB2" w:rsidRPr="00040AA9" w:rsidRDefault="001E4AB2" w:rsidP="00040AA9">
            <w:pPr>
              <w:suppressAutoHyphens/>
              <w:rPr>
                <w:rFonts w:ascii="Arial" w:hAnsi="Arial" w:cs="Arial"/>
                <w:sz w:val="20"/>
                <w:szCs w:val="20"/>
              </w:rPr>
            </w:pPr>
            <w:r w:rsidRPr="00040AA9">
              <w:rPr>
                <w:rFonts w:ascii="Arial" w:hAnsi="Arial" w:cs="Arial"/>
                <w:sz w:val="20"/>
                <w:szCs w:val="20"/>
              </w:rPr>
              <w:t>Medium</w:t>
            </w:r>
          </w:p>
        </w:tc>
        <w:tc>
          <w:tcPr>
            <w:tcW w:w="2723" w:type="dxa"/>
            <w:vAlign w:val="center"/>
          </w:tcPr>
          <w:p w14:paraId="51B4FC2F" w14:textId="4129B457" w:rsidR="001E4AB2" w:rsidRPr="00040AA9" w:rsidRDefault="00C665E2" w:rsidP="00040AA9">
            <w:pPr>
              <w:suppressAutoHyphens/>
              <w:rPr>
                <w:rFonts w:ascii="Arial" w:hAnsi="Arial" w:cs="Arial"/>
                <w:sz w:val="20"/>
                <w:szCs w:val="20"/>
              </w:rPr>
            </w:pPr>
            <w:r w:rsidRPr="00040AA9">
              <w:rPr>
                <w:rFonts w:ascii="Arial" w:hAnsi="Arial" w:cs="Arial"/>
                <w:sz w:val="20"/>
                <w:szCs w:val="20"/>
              </w:rPr>
              <w:t>A</w:t>
            </w:r>
            <w:r w:rsidR="00DF5ECC" w:rsidRPr="00040AA9">
              <w:rPr>
                <w:rFonts w:ascii="Arial" w:hAnsi="Arial" w:cs="Arial"/>
                <w:sz w:val="20"/>
                <w:szCs w:val="20"/>
              </w:rPr>
              <w:t xml:space="preserve">n exogenous </w:t>
            </w:r>
            <w:r w:rsidRPr="00040AA9">
              <w:rPr>
                <w:rFonts w:ascii="Arial" w:hAnsi="Arial" w:cs="Arial"/>
                <w:sz w:val="20"/>
                <w:szCs w:val="20"/>
              </w:rPr>
              <w:t xml:space="preserve">deterioration in the macro-economic environment could lead to calls for cuts in tax rates and reintroduction of </w:t>
            </w:r>
            <w:r w:rsidR="00D10C55" w:rsidRPr="00040AA9">
              <w:rPr>
                <w:rFonts w:ascii="Arial" w:hAnsi="Arial" w:cs="Arial"/>
                <w:sz w:val="20"/>
                <w:szCs w:val="20"/>
              </w:rPr>
              <w:t>loopholes</w:t>
            </w:r>
            <w:r w:rsidRPr="00040AA9">
              <w:rPr>
                <w:rFonts w:ascii="Arial" w:hAnsi="Arial" w:cs="Arial"/>
                <w:sz w:val="20"/>
                <w:szCs w:val="20"/>
              </w:rPr>
              <w:t xml:space="preserve"> (tax expenditures</w:t>
            </w:r>
            <w:r w:rsidR="00D10C55" w:rsidRPr="00040AA9">
              <w:rPr>
                <w:rFonts w:ascii="Arial" w:hAnsi="Arial" w:cs="Arial"/>
                <w:sz w:val="20"/>
                <w:szCs w:val="20"/>
              </w:rPr>
              <w:t>)</w:t>
            </w:r>
            <w:r w:rsidRPr="00040AA9">
              <w:rPr>
                <w:rFonts w:ascii="Arial" w:hAnsi="Arial" w:cs="Arial"/>
                <w:sz w:val="20"/>
                <w:szCs w:val="20"/>
              </w:rPr>
              <w:t>.</w:t>
            </w:r>
          </w:p>
        </w:tc>
      </w:tr>
      <w:tr w:rsidR="00166E81" w:rsidRPr="00CF5903" w14:paraId="35C3A5F6" w14:textId="6EA0C1E2" w:rsidTr="00040AA9">
        <w:tc>
          <w:tcPr>
            <w:tcW w:w="1620" w:type="dxa"/>
            <w:vAlign w:val="center"/>
          </w:tcPr>
          <w:p w14:paraId="6A157EF9" w14:textId="25A9D570" w:rsidR="001E4AB2" w:rsidRPr="00040AA9" w:rsidRDefault="001E4AB2" w:rsidP="00040AA9">
            <w:pPr>
              <w:suppressAutoHyphens/>
              <w:rPr>
                <w:rFonts w:ascii="Arial" w:hAnsi="Arial" w:cs="Arial"/>
                <w:sz w:val="20"/>
                <w:szCs w:val="20"/>
              </w:rPr>
            </w:pPr>
            <w:r w:rsidRPr="00040AA9">
              <w:rPr>
                <w:rFonts w:ascii="Arial" w:hAnsi="Arial" w:cs="Arial"/>
                <w:sz w:val="20"/>
                <w:szCs w:val="20"/>
              </w:rPr>
              <w:t>Decreased ratio between tax expenditures and the GDP (tax distortion)</w:t>
            </w:r>
          </w:p>
        </w:tc>
        <w:tc>
          <w:tcPr>
            <w:tcW w:w="3870" w:type="dxa"/>
            <w:vAlign w:val="center"/>
          </w:tcPr>
          <w:p w14:paraId="55B4FD08" w14:textId="74DF405B"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Unwavering enforcement of existing restrictions on tax expenditures and resistance to enacting new “incentives” for special purposes. </w:t>
            </w:r>
          </w:p>
        </w:tc>
        <w:tc>
          <w:tcPr>
            <w:tcW w:w="1260" w:type="dxa"/>
            <w:vAlign w:val="center"/>
          </w:tcPr>
          <w:p w14:paraId="1B5C0F4C" w14:textId="4291494C" w:rsidR="001E4AB2" w:rsidRPr="00040AA9" w:rsidRDefault="00D10C55" w:rsidP="00040AA9">
            <w:pPr>
              <w:suppressAutoHyphens/>
              <w:rPr>
                <w:rFonts w:ascii="Arial" w:hAnsi="Arial" w:cs="Arial"/>
                <w:sz w:val="20"/>
                <w:szCs w:val="20"/>
              </w:rPr>
            </w:pPr>
            <w:r w:rsidRPr="00040AA9">
              <w:rPr>
                <w:rFonts w:ascii="Arial" w:hAnsi="Arial" w:cs="Arial"/>
                <w:sz w:val="20"/>
                <w:szCs w:val="20"/>
              </w:rPr>
              <w:t>Medium</w:t>
            </w:r>
          </w:p>
        </w:tc>
        <w:tc>
          <w:tcPr>
            <w:tcW w:w="2723" w:type="dxa"/>
            <w:vAlign w:val="center"/>
          </w:tcPr>
          <w:p w14:paraId="3130729C" w14:textId="1692719C" w:rsidR="001E4AB2" w:rsidRPr="00040AA9" w:rsidRDefault="00D10C55" w:rsidP="00040AA9">
            <w:pPr>
              <w:suppressAutoHyphens/>
              <w:rPr>
                <w:rFonts w:ascii="Arial" w:hAnsi="Arial" w:cs="Arial"/>
                <w:sz w:val="20"/>
                <w:szCs w:val="20"/>
              </w:rPr>
            </w:pPr>
            <w:r w:rsidRPr="00040AA9">
              <w:rPr>
                <w:rFonts w:ascii="Arial" w:hAnsi="Arial" w:cs="Arial"/>
                <w:sz w:val="20"/>
                <w:szCs w:val="20"/>
              </w:rPr>
              <w:t xml:space="preserve">The pressure to introduce new tax expenditures is </w:t>
            </w:r>
            <w:r w:rsidR="00C02B6C" w:rsidRPr="00040AA9">
              <w:rPr>
                <w:rFonts w:ascii="Arial" w:hAnsi="Arial" w:cs="Arial"/>
                <w:sz w:val="20"/>
                <w:szCs w:val="20"/>
              </w:rPr>
              <w:t xml:space="preserve">incessant. Any major concession could set a very unfortunate precedent. </w:t>
            </w:r>
          </w:p>
        </w:tc>
      </w:tr>
      <w:tr w:rsidR="00166E81" w:rsidRPr="00CF5903" w14:paraId="30FFD9ED" w14:textId="781B646D" w:rsidTr="00040AA9">
        <w:tc>
          <w:tcPr>
            <w:tcW w:w="1620" w:type="dxa"/>
            <w:vAlign w:val="center"/>
          </w:tcPr>
          <w:p w14:paraId="2DC28F8E" w14:textId="0E431C2C"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Increased number of, and reduced time taken for, taxpayer audits particularly of large and medium taxpayers </w:t>
            </w:r>
          </w:p>
        </w:tc>
        <w:tc>
          <w:tcPr>
            <w:tcW w:w="3870" w:type="dxa"/>
            <w:vAlign w:val="center"/>
          </w:tcPr>
          <w:p w14:paraId="1C0A157A" w14:textId="69064027"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Maintenance of high quality staff at TAJ and JCA and hiring of additional staff as needed for increased workload.  </w:t>
            </w:r>
          </w:p>
        </w:tc>
        <w:tc>
          <w:tcPr>
            <w:tcW w:w="1260" w:type="dxa"/>
            <w:vAlign w:val="center"/>
          </w:tcPr>
          <w:p w14:paraId="49E6A975" w14:textId="66901EE5" w:rsidR="001E4AB2" w:rsidRPr="00040AA9" w:rsidRDefault="00C02B6C" w:rsidP="00040AA9">
            <w:pPr>
              <w:suppressAutoHyphens/>
              <w:rPr>
                <w:rFonts w:ascii="Arial" w:hAnsi="Arial" w:cs="Arial"/>
                <w:sz w:val="20"/>
                <w:szCs w:val="20"/>
              </w:rPr>
            </w:pPr>
            <w:r w:rsidRPr="00040AA9">
              <w:rPr>
                <w:rFonts w:ascii="Arial" w:hAnsi="Arial" w:cs="Arial"/>
                <w:sz w:val="20"/>
                <w:szCs w:val="20"/>
              </w:rPr>
              <w:t>High</w:t>
            </w:r>
          </w:p>
        </w:tc>
        <w:tc>
          <w:tcPr>
            <w:tcW w:w="2723" w:type="dxa"/>
            <w:vAlign w:val="center"/>
          </w:tcPr>
          <w:p w14:paraId="4558F275" w14:textId="6FEE70AD" w:rsidR="001E4AB2" w:rsidRPr="00040AA9" w:rsidRDefault="0031792C" w:rsidP="00040AA9">
            <w:pPr>
              <w:suppressAutoHyphens/>
              <w:rPr>
                <w:rFonts w:ascii="Arial" w:hAnsi="Arial" w:cs="Arial"/>
                <w:sz w:val="20"/>
                <w:szCs w:val="20"/>
              </w:rPr>
            </w:pPr>
            <w:r w:rsidRPr="00040AA9">
              <w:rPr>
                <w:rFonts w:ascii="Arial" w:hAnsi="Arial" w:cs="Arial"/>
                <w:sz w:val="20"/>
                <w:szCs w:val="20"/>
              </w:rPr>
              <w:t>The benefits of increased audits in terms of increased tax revenues are clear</w:t>
            </w:r>
            <w:r w:rsidR="007650DF" w:rsidRPr="00040AA9">
              <w:rPr>
                <w:rFonts w:ascii="Arial" w:hAnsi="Arial" w:cs="Arial"/>
                <w:sz w:val="20"/>
                <w:szCs w:val="20"/>
              </w:rPr>
              <w:t xml:space="preserve">. Conversely the impact of reduction in audits </w:t>
            </w:r>
            <w:r w:rsidR="00DE740E" w:rsidRPr="00040AA9">
              <w:rPr>
                <w:rFonts w:ascii="Arial" w:hAnsi="Arial" w:cs="Arial"/>
                <w:sz w:val="20"/>
                <w:szCs w:val="20"/>
              </w:rPr>
              <w:t>is demonstrably deleterious.</w:t>
            </w:r>
          </w:p>
        </w:tc>
      </w:tr>
      <w:tr w:rsidR="00166E81" w:rsidRPr="00CF5903" w14:paraId="4D2B190D" w14:textId="6E1539D7" w:rsidTr="00040AA9">
        <w:tc>
          <w:tcPr>
            <w:tcW w:w="1620" w:type="dxa"/>
            <w:vAlign w:val="center"/>
          </w:tcPr>
          <w:p w14:paraId="62582C91" w14:textId="1355EDC0" w:rsidR="001E4AB2" w:rsidRPr="00040AA9" w:rsidRDefault="001E4AB2" w:rsidP="00040AA9">
            <w:pPr>
              <w:suppressAutoHyphens/>
              <w:rPr>
                <w:rFonts w:ascii="Arial" w:hAnsi="Arial" w:cs="Arial"/>
                <w:sz w:val="20"/>
                <w:szCs w:val="20"/>
              </w:rPr>
            </w:pPr>
            <w:r w:rsidRPr="00040AA9">
              <w:rPr>
                <w:rFonts w:ascii="Arial" w:hAnsi="Arial" w:cs="Arial"/>
                <w:sz w:val="20"/>
                <w:szCs w:val="20"/>
              </w:rPr>
              <w:t>Increased e-filing of taxpayer returns</w:t>
            </w:r>
          </w:p>
        </w:tc>
        <w:tc>
          <w:tcPr>
            <w:tcW w:w="3870" w:type="dxa"/>
            <w:vAlign w:val="center"/>
          </w:tcPr>
          <w:p w14:paraId="6BB29DDA" w14:textId="38B1C551"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Maintenance and upgrading of </w:t>
            </w:r>
            <w:proofErr w:type="spellStart"/>
            <w:r w:rsidRPr="00040AA9">
              <w:rPr>
                <w:rFonts w:ascii="Arial" w:hAnsi="Arial" w:cs="Arial"/>
                <w:sz w:val="20"/>
                <w:szCs w:val="20"/>
              </w:rPr>
              <w:t>RAiS</w:t>
            </w:r>
            <w:proofErr w:type="spellEnd"/>
            <w:r w:rsidRPr="00040AA9">
              <w:rPr>
                <w:rFonts w:ascii="Arial" w:hAnsi="Arial" w:cs="Arial"/>
                <w:sz w:val="20"/>
                <w:szCs w:val="20"/>
              </w:rPr>
              <w:t xml:space="preserve"> data processing system to continue to accommodate high usage rates by large taxpayers, while increasing usage particularly by small and micro taxpayers.  </w:t>
            </w:r>
          </w:p>
        </w:tc>
        <w:tc>
          <w:tcPr>
            <w:tcW w:w="1260" w:type="dxa"/>
            <w:vAlign w:val="center"/>
          </w:tcPr>
          <w:p w14:paraId="3E5E929B" w14:textId="2965A226" w:rsidR="001E4AB2" w:rsidRPr="00040AA9" w:rsidRDefault="00DE740E" w:rsidP="00040AA9">
            <w:pPr>
              <w:suppressAutoHyphens/>
              <w:rPr>
                <w:rFonts w:ascii="Arial" w:hAnsi="Arial" w:cs="Arial"/>
                <w:sz w:val="20"/>
                <w:szCs w:val="20"/>
              </w:rPr>
            </w:pPr>
            <w:r w:rsidRPr="00040AA9">
              <w:rPr>
                <w:rFonts w:ascii="Arial" w:hAnsi="Arial" w:cs="Arial"/>
                <w:sz w:val="20"/>
                <w:szCs w:val="20"/>
              </w:rPr>
              <w:t>High</w:t>
            </w:r>
          </w:p>
        </w:tc>
        <w:tc>
          <w:tcPr>
            <w:tcW w:w="2723" w:type="dxa"/>
            <w:vAlign w:val="center"/>
          </w:tcPr>
          <w:p w14:paraId="226C2670" w14:textId="5CDD5AB6" w:rsidR="001E4AB2" w:rsidRPr="00040AA9" w:rsidRDefault="00025CDB" w:rsidP="00040AA9">
            <w:pPr>
              <w:suppressAutoHyphens/>
              <w:rPr>
                <w:rFonts w:ascii="Arial" w:hAnsi="Arial" w:cs="Arial"/>
                <w:sz w:val="20"/>
                <w:szCs w:val="20"/>
              </w:rPr>
            </w:pPr>
            <w:r w:rsidRPr="00040AA9">
              <w:rPr>
                <w:rFonts w:ascii="Arial" w:hAnsi="Arial" w:cs="Arial"/>
                <w:sz w:val="20"/>
                <w:szCs w:val="20"/>
              </w:rPr>
              <w:t xml:space="preserve">Any retrogression to a more paper-based system of tax filing and processing would strain the limited </w:t>
            </w:r>
            <w:r w:rsidR="008F185D" w:rsidRPr="00040AA9">
              <w:rPr>
                <w:rFonts w:ascii="Arial" w:hAnsi="Arial" w:cs="Arial"/>
                <w:sz w:val="20"/>
                <w:szCs w:val="20"/>
              </w:rPr>
              <w:t xml:space="preserve">personnel </w:t>
            </w:r>
            <w:r w:rsidRPr="00040AA9">
              <w:rPr>
                <w:rFonts w:ascii="Arial" w:hAnsi="Arial" w:cs="Arial"/>
                <w:sz w:val="20"/>
                <w:szCs w:val="20"/>
              </w:rPr>
              <w:t xml:space="preserve">resources of the TAJ and JCA and would </w:t>
            </w:r>
            <w:r w:rsidR="008F185D" w:rsidRPr="00040AA9">
              <w:rPr>
                <w:rFonts w:ascii="Arial" w:hAnsi="Arial" w:cs="Arial"/>
                <w:sz w:val="20"/>
                <w:szCs w:val="20"/>
              </w:rPr>
              <w:t xml:space="preserve">lead to greater errors </w:t>
            </w:r>
          </w:p>
        </w:tc>
      </w:tr>
      <w:tr w:rsidR="00166E81" w:rsidRPr="00CF5903" w14:paraId="1EB000A2" w14:textId="4FD175D3" w:rsidTr="00040AA9">
        <w:tc>
          <w:tcPr>
            <w:tcW w:w="1620" w:type="dxa"/>
            <w:vAlign w:val="center"/>
          </w:tcPr>
          <w:p w14:paraId="096CF246" w14:textId="61FAA3B3"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Decreased annual central government wage bill </w:t>
            </w:r>
          </w:p>
        </w:tc>
        <w:tc>
          <w:tcPr>
            <w:tcW w:w="3870" w:type="dxa"/>
            <w:vAlign w:val="center"/>
          </w:tcPr>
          <w:p w14:paraId="33972625" w14:textId="16548D67"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Continued wage restraint by government workers union and vigilance over creation of new positions </w:t>
            </w:r>
          </w:p>
        </w:tc>
        <w:tc>
          <w:tcPr>
            <w:tcW w:w="1260" w:type="dxa"/>
            <w:vAlign w:val="center"/>
          </w:tcPr>
          <w:p w14:paraId="489F348E" w14:textId="32EDEDFB" w:rsidR="001E4AB2" w:rsidRPr="00040AA9" w:rsidRDefault="008F185D" w:rsidP="00040AA9">
            <w:pPr>
              <w:suppressAutoHyphens/>
              <w:rPr>
                <w:rFonts w:ascii="Arial" w:hAnsi="Arial" w:cs="Arial"/>
                <w:sz w:val="20"/>
                <w:szCs w:val="20"/>
              </w:rPr>
            </w:pPr>
            <w:r w:rsidRPr="00040AA9">
              <w:rPr>
                <w:rFonts w:ascii="Arial" w:hAnsi="Arial" w:cs="Arial"/>
                <w:sz w:val="20"/>
                <w:szCs w:val="20"/>
              </w:rPr>
              <w:t>High</w:t>
            </w:r>
          </w:p>
        </w:tc>
        <w:tc>
          <w:tcPr>
            <w:tcW w:w="2723" w:type="dxa"/>
            <w:vAlign w:val="center"/>
          </w:tcPr>
          <w:p w14:paraId="0FD839EC" w14:textId="39AF17FE" w:rsidR="001E4AB2" w:rsidRPr="00040AA9" w:rsidRDefault="008F185D" w:rsidP="00040AA9">
            <w:pPr>
              <w:suppressAutoHyphens/>
              <w:rPr>
                <w:rFonts w:ascii="Arial" w:hAnsi="Arial" w:cs="Arial"/>
                <w:sz w:val="20"/>
                <w:szCs w:val="20"/>
              </w:rPr>
            </w:pPr>
            <w:r w:rsidRPr="00040AA9">
              <w:rPr>
                <w:rFonts w:ascii="Arial" w:hAnsi="Arial" w:cs="Arial"/>
                <w:sz w:val="20"/>
                <w:szCs w:val="20"/>
              </w:rPr>
              <w:t>Past experience</w:t>
            </w:r>
            <w:r w:rsidR="00777D5E" w:rsidRPr="00040AA9">
              <w:rPr>
                <w:rFonts w:ascii="Arial" w:hAnsi="Arial" w:cs="Arial"/>
                <w:sz w:val="20"/>
                <w:szCs w:val="20"/>
              </w:rPr>
              <w:t>s</w:t>
            </w:r>
            <w:r w:rsidRPr="00040AA9">
              <w:rPr>
                <w:rFonts w:ascii="Arial" w:hAnsi="Arial" w:cs="Arial"/>
                <w:sz w:val="20"/>
                <w:szCs w:val="20"/>
              </w:rPr>
              <w:t xml:space="preserve"> with yielding to </w:t>
            </w:r>
            <w:r w:rsidR="00433740" w:rsidRPr="00040AA9">
              <w:rPr>
                <w:rFonts w:ascii="Arial" w:hAnsi="Arial" w:cs="Arial"/>
                <w:sz w:val="20"/>
                <w:szCs w:val="20"/>
              </w:rPr>
              <w:t xml:space="preserve">unsustainable </w:t>
            </w:r>
            <w:r w:rsidRPr="00040AA9">
              <w:rPr>
                <w:rFonts w:ascii="Arial" w:hAnsi="Arial" w:cs="Arial"/>
                <w:sz w:val="20"/>
                <w:szCs w:val="20"/>
              </w:rPr>
              <w:t xml:space="preserve">wage </w:t>
            </w:r>
            <w:r w:rsidR="00777D5E" w:rsidRPr="00040AA9">
              <w:rPr>
                <w:rFonts w:ascii="Arial" w:hAnsi="Arial" w:cs="Arial"/>
                <w:sz w:val="20"/>
                <w:szCs w:val="20"/>
              </w:rPr>
              <w:t>demands have</w:t>
            </w:r>
            <w:r w:rsidRPr="00040AA9">
              <w:rPr>
                <w:rFonts w:ascii="Arial" w:hAnsi="Arial" w:cs="Arial"/>
                <w:sz w:val="20"/>
                <w:szCs w:val="20"/>
              </w:rPr>
              <w:t xml:space="preserve"> amply demonstrated the</w:t>
            </w:r>
            <w:r w:rsidR="00777D5E" w:rsidRPr="00040AA9">
              <w:rPr>
                <w:rFonts w:ascii="Arial" w:hAnsi="Arial" w:cs="Arial"/>
                <w:sz w:val="20"/>
                <w:szCs w:val="20"/>
              </w:rPr>
              <w:t>ir</w:t>
            </w:r>
            <w:r w:rsidRPr="00040AA9">
              <w:rPr>
                <w:rFonts w:ascii="Arial" w:hAnsi="Arial" w:cs="Arial"/>
                <w:sz w:val="20"/>
                <w:szCs w:val="20"/>
              </w:rPr>
              <w:t xml:space="preserve"> </w:t>
            </w:r>
            <w:r w:rsidR="00777D5E" w:rsidRPr="00040AA9">
              <w:rPr>
                <w:rFonts w:ascii="Arial" w:hAnsi="Arial" w:cs="Arial"/>
                <w:sz w:val="20"/>
                <w:szCs w:val="20"/>
              </w:rPr>
              <w:t xml:space="preserve">ruinous </w:t>
            </w:r>
            <w:r w:rsidR="00433740" w:rsidRPr="00040AA9">
              <w:rPr>
                <w:rFonts w:ascii="Arial" w:hAnsi="Arial" w:cs="Arial"/>
                <w:sz w:val="20"/>
                <w:szCs w:val="20"/>
              </w:rPr>
              <w:t>budgetary repercussions</w:t>
            </w:r>
            <w:r w:rsidR="00777D5E" w:rsidRPr="00040AA9">
              <w:rPr>
                <w:rFonts w:ascii="Arial" w:hAnsi="Arial" w:cs="Arial"/>
                <w:sz w:val="20"/>
                <w:szCs w:val="20"/>
              </w:rPr>
              <w:t>.</w:t>
            </w:r>
          </w:p>
        </w:tc>
      </w:tr>
      <w:tr w:rsidR="00166E81" w:rsidRPr="00CF5903" w14:paraId="7421C011" w14:textId="2F2C3A17" w:rsidTr="00040AA9">
        <w:tc>
          <w:tcPr>
            <w:tcW w:w="1620" w:type="dxa"/>
            <w:vAlign w:val="center"/>
          </w:tcPr>
          <w:p w14:paraId="6115008B" w14:textId="72C097F0" w:rsidR="001E4AB2" w:rsidRPr="00040AA9" w:rsidRDefault="001E4AB2" w:rsidP="00040AA9">
            <w:pPr>
              <w:suppressAutoHyphens/>
              <w:rPr>
                <w:rFonts w:ascii="Arial" w:hAnsi="Arial" w:cs="Arial"/>
                <w:sz w:val="20"/>
                <w:szCs w:val="20"/>
              </w:rPr>
            </w:pPr>
            <w:r w:rsidRPr="00040AA9">
              <w:rPr>
                <w:rFonts w:ascii="Arial" w:hAnsi="Arial" w:cs="Arial"/>
                <w:sz w:val="20"/>
                <w:szCs w:val="20"/>
              </w:rPr>
              <w:t>Increased P</w:t>
            </w:r>
            <w:r w:rsidR="00800210">
              <w:rPr>
                <w:rFonts w:ascii="Arial" w:hAnsi="Arial" w:cs="Arial"/>
                <w:sz w:val="20"/>
                <w:szCs w:val="20"/>
              </w:rPr>
              <w:t>Bs</w:t>
            </w:r>
            <w:r w:rsidRPr="00040AA9">
              <w:rPr>
                <w:rFonts w:ascii="Arial" w:hAnsi="Arial" w:cs="Arial"/>
                <w:sz w:val="20"/>
                <w:szCs w:val="20"/>
              </w:rPr>
              <w:t xml:space="preserve"> compliance with financial reporting requirements</w:t>
            </w:r>
          </w:p>
        </w:tc>
        <w:tc>
          <w:tcPr>
            <w:tcW w:w="3870" w:type="dxa"/>
            <w:vAlign w:val="center"/>
          </w:tcPr>
          <w:p w14:paraId="7DC2CF73" w14:textId="2D324E03"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Continued </w:t>
            </w:r>
            <w:proofErr w:type="spellStart"/>
            <w:r w:rsidRPr="00040AA9">
              <w:rPr>
                <w:rFonts w:ascii="Arial" w:hAnsi="Arial" w:cs="Arial"/>
                <w:sz w:val="20"/>
                <w:szCs w:val="20"/>
              </w:rPr>
              <w:t>MoF</w:t>
            </w:r>
            <w:proofErr w:type="spellEnd"/>
            <w:r w:rsidRPr="00040AA9">
              <w:rPr>
                <w:rFonts w:ascii="Arial" w:hAnsi="Arial" w:cs="Arial"/>
                <w:sz w:val="20"/>
                <w:szCs w:val="20"/>
              </w:rPr>
              <w:t>/PED vigilance in enforcing the existing reporting requirements and greater outreach particularly to the non-self-financing PBs</w:t>
            </w:r>
            <w:r w:rsidR="00D763ED">
              <w:rPr>
                <w:rFonts w:ascii="Arial" w:hAnsi="Arial" w:cs="Arial"/>
                <w:sz w:val="20"/>
                <w:szCs w:val="20"/>
              </w:rPr>
              <w:t xml:space="preserve">, via training programs, workshops etc., </w:t>
            </w:r>
            <w:r w:rsidRPr="00040AA9">
              <w:rPr>
                <w:rFonts w:ascii="Arial" w:hAnsi="Arial" w:cs="Arial"/>
                <w:sz w:val="20"/>
                <w:szCs w:val="20"/>
              </w:rPr>
              <w:t xml:space="preserve">to assure they (a) prepare financial statements and (b) remit them to the </w:t>
            </w:r>
            <w:proofErr w:type="spellStart"/>
            <w:r w:rsidRPr="00040AA9">
              <w:rPr>
                <w:rFonts w:ascii="Arial" w:hAnsi="Arial" w:cs="Arial"/>
                <w:sz w:val="20"/>
                <w:szCs w:val="20"/>
              </w:rPr>
              <w:t>MoF</w:t>
            </w:r>
            <w:proofErr w:type="spellEnd"/>
            <w:r w:rsidRPr="00040AA9">
              <w:rPr>
                <w:rFonts w:ascii="Arial" w:hAnsi="Arial" w:cs="Arial"/>
                <w:sz w:val="20"/>
                <w:szCs w:val="20"/>
              </w:rPr>
              <w:t xml:space="preserve"> and their parent line ministries promptly and accurately. </w:t>
            </w:r>
            <w:r w:rsidR="00D763ED">
              <w:rPr>
                <w:rFonts w:ascii="Arial" w:hAnsi="Arial" w:cs="Arial"/>
                <w:sz w:val="20"/>
                <w:szCs w:val="20"/>
              </w:rPr>
              <w:t xml:space="preserve">This would require greater coordination between the PED and the other division within the </w:t>
            </w:r>
            <w:proofErr w:type="spellStart"/>
            <w:r w:rsidR="00D763ED">
              <w:rPr>
                <w:rFonts w:ascii="Arial" w:hAnsi="Arial" w:cs="Arial"/>
                <w:sz w:val="20"/>
                <w:szCs w:val="20"/>
              </w:rPr>
              <w:t>MoF</w:t>
            </w:r>
            <w:proofErr w:type="spellEnd"/>
            <w:r w:rsidR="00D763ED">
              <w:rPr>
                <w:rFonts w:ascii="Arial" w:hAnsi="Arial" w:cs="Arial"/>
                <w:sz w:val="20"/>
                <w:szCs w:val="20"/>
              </w:rPr>
              <w:t xml:space="preserve"> directly responsible for NSFPB oversight</w:t>
            </w:r>
            <w:r w:rsidR="001E3283">
              <w:rPr>
                <w:rFonts w:ascii="Arial" w:hAnsi="Arial" w:cs="Arial"/>
                <w:sz w:val="20"/>
                <w:szCs w:val="20"/>
              </w:rPr>
              <w:t>, which would also need to be strengthened.</w:t>
            </w:r>
            <w:r w:rsidR="00D763ED">
              <w:rPr>
                <w:rFonts w:ascii="Arial" w:hAnsi="Arial" w:cs="Arial"/>
                <w:sz w:val="20"/>
                <w:szCs w:val="20"/>
              </w:rPr>
              <w:t xml:space="preserve"> It is understood that </w:t>
            </w:r>
            <w:r w:rsidR="00CC1FCD">
              <w:rPr>
                <w:rFonts w:ascii="Arial" w:hAnsi="Arial" w:cs="Arial"/>
                <w:sz w:val="20"/>
                <w:szCs w:val="20"/>
              </w:rPr>
              <w:t xml:space="preserve">these reforms are contemplated in the Ministry’s transformation </w:t>
            </w:r>
            <w:proofErr w:type="spellStart"/>
            <w:r w:rsidR="00CC1FCD">
              <w:rPr>
                <w:rFonts w:ascii="Arial" w:hAnsi="Arial" w:cs="Arial"/>
                <w:sz w:val="20"/>
                <w:szCs w:val="20"/>
              </w:rPr>
              <w:t>programme</w:t>
            </w:r>
            <w:proofErr w:type="spellEnd"/>
            <w:r w:rsidR="00D763ED">
              <w:rPr>
                <w:rFonts w:ascii="Arial" w:hAnsi="Arial" w:cs="Arial"/>
                <w:sz w:val="20"/>
                <w:szCs w:val="20"/>
              </w:rPr>
              <w:t xml:space="preserve"> </w:t>
            </w:r>
            <w:r w:rsidRPr="00040AA9">
              <w:rPr>
                <w:rFonts w:ascii="Arial" w:hAnsi="Arial" w:cs="Arial"/>
                <w:sz w:val="20"/>
                <w:szCs w:val="20"/>
              </w:rPr>
              <w:t>Implementation of the recommendations of the Bank-sponsored study on standardized format database system</w:t>
            </w:r>
            <w:r w:rsidR="00CC1FCD">
              <w:rPr>
                <w:rFonts w:ascii="Arial" w:hAnsi="Arial" w:cs="Arial"/>
                <w:sz w:val="20"/>
                <w:szCs w:val="20"/>
              </w:rPr>
              <w:t xml:space="preserve">, or a functional equivalent, </w:t>
            </w:r>
            <w:r w:rsidRPr="00040AA9">
              <w:rPr>
                <w:rFonts w:ascii="Arial" w:hAnsi="Arial" w:cs="Arial"/>
                <w:sz w:val="20"/>
                <w:szCs w:val="20"/>
              </w:rPr>
              <w:t xml:space="preserve">would help in this regard as well as providing a much improved </w:t>
            </w:r>
            <w:r w:rsidRPr="00127901">
              <w:rPr>
                <w:rFonts w:ascii="Arial" w:hAnsi="Arial" w:cs="Arial"/>
                <w:sz w:val="22"/>
                <w:szCs w:val="22"/>
              </w:rPr>
              <w:t xml:space="preserve">PB financial planning </w:t>
            </w:r>
            <w:r w:rsidRPr="00CC1FCD">
              <w:rPr>
                <w:rFonts w:ascii="Arial" w:hAnsi="Arial" w:cs="Arial"/>
                <w:sz w:val="20"/>
                <w:szCs w:val="20"/>
              </w:rPr>
              <w:t xml:space="preserve">tool. </w:t>
            </w:r>
            <w:r w:rsidR="00CC1FCD" w:rsidRPr="00CC1FCD">
              <w:rPr>
                <w:rFonts w:ascii="Arial" w:hAnsi="Arial" w:cs="Arial"/>
                <w:sz w:val="20"/>
                <w:szCs w:val="20"/>
              </w:rPr>
              <w:t>It is understood that “</w:t>
            </w:r>
            <w:r w:rsidR="00CC1FCD" w:rsidRPr="00127901">
              <w:rPr>
                <w:rFonts w:ascii="Arial" w:eastAsia="Calibri" w:hAnsi="Arial" w:cs="Arial"/>
                <w:sz w:val="20"/>
                <w:szCs w:val="20"/>
                <w:lang w:val="en-029"/>
              </w:rPr>
              <w:t>PED has made progress in finalising a Performance Monitoring and Evaluation Framework which will guide the development of such”</w:t>
            </w:r>
            <w:r w:rsidR="00CC1FCD">
              <w:rPr>
                <w:rFonts w:ascii="Arial" w:eastAsia="Calibri" w:hAnsi="Arial" w:cs="Arial"/>
                <w:sz w:val="20"/>
                <w:szCs w:val="20"/>
                <w:lang w:val="en-029"/>
              </w:rPr>
              <w:t xml:space="preserve"> (See OEL #7,</w:t>
            </w:r>
            <w:r w:rsidR="00E01966">
              <w:rPr>
                <w:rFonts w:ascii="Arial" w:eastAsia="Calibri" w:hAnsi="Arial" w:cs="Arial"/>
                <w:sz w:val="20"/>
                <w:szCs w:val="20"/>
                <w:lang w:val="en-029"/>
              </w:rPr>
              <w:t xml:space="preserve"> </w:t>
            </w:r>
            <w:r w:rsidR="00CC1FCD">
              <w:rPr>
                <w:rFonts w:ascii="Arial" w:eastAsia="Calibri" w:hAnsi="Arial" w:cs="Arial"/>
                <w:sz w:val="20"/>
                <w:szCs w:val="20"/>
                <w:lang w:val="en-029"/>
              </w:rPr>
              <w:t>item 12.d)</w:t>
            </w:r>
          </w:p>
        </w:tc>
        <w:tc>
          <w:tcPr>
            <w:tcW w:w="1260" w:type="dxa"/>
            <w:vAlign w:val="center"/>
          </w:tcPr>
          <w:p w14:paraId="359D71C1" w14:textId="2AB0D304" w:rsidR="001E4AB2" w:rsidRPr="00040AA9" w:rsidRDefault="00777D5E" w:rsidP="00040AA9">
            <w:pPr>
              <w:suppressAutoHyphens/>
              <w:rPr>
                <w:rFonts w:ascii="Arial" w:hAnsi="Arial" w:cs="Arial"/>
                <w:sz w:val="20"/>
                <w:szCs w:val="20"/>
              </w:rPr>
            </w:pPr>
            <w:r w:rsidRPr="00040AA9">
              <w:rPr>
                <w:rFonts w:ascii="Arial" w:hAnsi="Arial" w:cs="Arial"/>
                <w:sz w:val="20"/>
                <w:szCs w:val="20"/>
              </w:rPr>
              <w:t>Low to Medium</w:t>
            </w:r>
          </w:p>
        </w:tc>
        <w:tc>
          <w:tcPr>
            <w:tcW w:w="2723" w:type="dxa"/>
            <w:vAlign w:val="center"/>
          </w:tcPr>
          <w:p w14:paraId="367AE7D8" w14:textId="6191D9BB" w:rsidR="001E4AB2" w:rsidRPr="00040AA9" w:rsidRDefault="00777D5E" w:rsidP="00040AA9">
            <w:pPr>
              <w:suppressAutoHyphens/>
              <w:rPr>
                <w:rFonts w:ascii="Arial" w:hAnsi="Arial" w:cs="Arial"/>
                <w:sz w:val="20"/>
                <w:szCs w:val="20"/>
              </w:rPr>
            </w:pPr>
            <w:r w:rsidRPr="00040AA9">
              <w:rPr>
                <w:rFonts w:ascii="Arial" w:hAnsi="Arial" w:cs="Arial"/>
                <w:sz w:val="20"/>
                <w:szCs w:val="20"/>
              </w:rPr>
              <w:t xml:space="preserve">The </w:t>
            </w:r>
            <w:proofErr w:type="spellStart"/>
            <w:r w:rsidRPr="00040AA9">
              <w:rPr>
                <w:rFonts w:ascii="Arial" w:hAnsi="Arial" w:cs="Arial"/>
                <w:sz w:val="20"/>
                <w:szCs w:val="20"/>
              </w:rPr>
              <w:t>GoJ</w:t>
            </w:r>
            <w:proofErr w:type="spellEnd"/>
            <w:r w:rsidRPr="00040AA9">
              <w:rPr>
                <w:rFonts w:ascii="Arial" w:hAnsi="Arial" w:cs="Arial"/>
                <w:sz w:val="20"/>
                <w:szCs w:val="20"/>
              </w:rPr>
              <w:t xml:space="preserve"> has long experienced </w:t>
            </w:r>
            <w:r w:rsidR="00A33047" w:rsidRPr="00040AA9">
              <w:rPr>
                <w:rFonts w:ascii="Arial" w:hAnsi="Arial" w:cs="Arial"/>
                <w:sz w:val="20"/>
                <w:szCs w:val="20"/>
              </w:rPr>
              <w:t>the results of inadequate fiscal control over its P</w:t>
            </w:r>
            <w:r w:rsidR="00800210">
              <w:rPr>
                <w:rFonts w:ascii="Arial" w:hAnsi="Arial" w:cs="Arial"/>
                <w:sz w:val="20"/>
                <w:szCs w:val="20"/>
              </w:rPr>
              <w:t>B</w:t>
            </w:r>
            <w:r w:rsidR="00A33047" w:rsidRPr="00040AA9">
              <w:rPr>
                <w:rFonts w:ascii="Arial" w:hAnsi="Arial" w:cs="Arial"/>
                <w:sz w:val="20"/>
                <w:szCs w:val="20"/>
              </w:rPr>
              <w:t>s. Due to the decentralized nature of their governance it has been difficult to enforce compliance with reporting requirements</w:t>
            </w:r>
            <w:r w:rsidR="009E218F" w:rsidRPr="00040AA9">
              <w:rPr>
                <w:rFonts w:ascii="Arial" w:hAnsi="Arial" w:cs="Arial"/>
                <w:sz w:val="20"/>
                <w:szCs w:val="20"/>
              </w:rPr>
              <w:t xml:space="preserve"> and the negative impacts of not doing so have been abundantly evident. </w:t>
            </w:r>
            <w:r w:rsidR="0007654B" w:rsidRPr="00040AA9">
              <w:rPr>
                <w:rFonts w:ascii="Arial" w:hAnsi="Arial" w:cs="Arial"/>
                <w:sz w:val="20"/>
                <w:szCs w:val="20"/>
              </w:rPr>
              <w:t xml:space="preserve">Probability of overcoming these difficulties is rated low to medium due to limited success of past efforts in this regard. </w:t>
            </w:r>
          </w:p>
        </w:tc>
      </w:tr>
      <w:tr w:rsidR="00166E81" w:rsidRPr="00CF5903" w14:paraId="1A8A86B3" w14:textId="52325191" w:rsidTr="00040AA9">
        <w:tc>
          <w:tcPr>
            <w:tcW w:w="1620" w:type="dxa"/>
            <w:vAlign w:val="center"/>
          </w:tcPr>
          <w:p w14:paraId="4DD24CE7" w14:textId="7AC00DD1" w:rsidR="001E4AB2" w:rsidRPr="00040AA9" w:rsidRDefault="001E4AB2" w:rsidP="00040AA9">
            <w:pPr>
              <w:suppressAutoHyphens/>
              <w:rPr>
                <w:rFonts w:ascii="Arial" w:hAnsi="Arial" w:cs="Arial"/>
                <w:sz w:val="20"/>
                <w:szCs w:val="20"/>
              </w:rPr>
            </w:pPr>
            <w:r w:rsidRPr="00040AA9">
              <w:rPr>
                <w:rFonts w:ascii="Arial" w:hAnsi="Arial" w:cs="Arial"/>
                <w:sz w:val="20"/>
                <w:szCs w:val="20"/>
              </w:rPr>
              <w:t>Movement toward a decrease of the actuarial deficit of the NIF</w:t>
            </w:r>
          </w:p>
        </w:tc>
        <w:tc>
          <w:tcPr>
            <w:tcW w:w="3870" w:type="dxa"/>
            <w:vAlign w:val="center"/>
          </w:tcPr>
          <w:p w14:paraId="17DD1628" w14:textId="335ACB67"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While several of the FISPEG initiatives in this area fell short of their planned outcomes, much ground was gained in terms of approval of legal requirements for more regular and frequent actuarial analyses of the NIF as well as carrying out a study of required parametric reforms of the NIS to assure its </w:t>
            </w:r>
            <w:r w:rsidR="009F2EE8" w:rsidRPr="00CF5903">
              <w:rPr>
                <w:rFonts w:ascii="Arial" w:hAnsi="Arial" w:cs="Arial"/>
                <w:sz w:val="20"/>
                <w:szCs w:val="20"/>
              </w:rPr>
              <w:t>long-term</w:t>
            </w:r>
            <w:r w:rsidRPr="00040AA9">
              <w:rPr>
                <w:rFonts w:ascii="Arial" w:hAnsi="Arial" w:cs="Arial"/>
                <w:sz w:val="20"/>
                <w:szCs w:val="20"/>
              </w:rPr>
              <w:t xml:space="preserve"> sustainability. The MLSS has agreed to many of the study’s recommendations and their complete implementation is now needed. </w:t>
            </w:r>
          </w:p>
        </w:tc>
        <w:tc>
          <w:tcPr>
            <w:tcW w:w="1260" w:type="dxa"/>
            <w:vAlign w:val="center"/>
          </w:tcPr>
          <w:p w14:paraId="17A7C703" w14:textId="2B1E964B" w:rsidR="001E4AB2" w:rsidRPr="00040AA9" w:rsidRDefault="00D0595E" w:rsidP="00040AA9">
            <w:pPr>
              <w:suppressAutoHyphens/>
              <w:rPr>
                <w:rFonts w:ascii="Arial" w:hAnsi="Arial" w:cs="Arial"/>
                <w:sz w:val="20"/>
                <w:szCs w:val="20"/>
              </w:rPr>
            </w:pPr>
            <w:r w:rsidRPr="00040AA9">
              <w:rPr>
                <w:rFonts w:ascii="Arial" w:hAnsi="Arial" w:cs="Arial"/>
                <w:sz w:val="20"/>
                <w:szCs w:val="20"/>
              </w:rPr>
              <w:t>Medium to high</w:t>
            </w:r>
          </w:p>
        </w:tc>
        <w:tc>
          <w:tcPr>
            <w:tcW w:w="2723" w:type="dxa"/>
            <w:vAlign w:val="center"/>
          </w:tcPr>
          <w:p w14:paraId="0B64F072" w14:textId="6FC7265F" w:rsidR="001E4AB2" w:rsidRPr="00040AA9" w:rsidRDefault="009E2F09" w:rsidP="00040AA9">
            <w:pPr>
              <w:suppressAutoHyphens/>
              <w:rPr>
                <w:rFonts w:ascii="Arial" w:hAnsi="Arial" w:cs="Arial"/>
                <w:sz w:val="20"/>
                <w:szCs w:val="20"/>
              </w:rPr>
            </w:pPr>
            <w:r w:rsidRPr="00040AA9">
              <w:rPr>
                <w:rFonts w:ascii="Arial" w:hAnsi="Arial" w:cs="Arial"/>
                <w:sz w:val="20"/>
                <w:szCs w:val="20"/>
              </w:rPr>
              <w:t xml:space="preserve">The negative impacts of non-achievement of this result are already well known in terms of the impending financial insolvency of the NIF. </w:t>
            </w:r>
            <w:r w:rsidR="009D64E5" w:rsidRPr="00040AA9">
              <w:rPr>
                <w:rFonts w:ascii="Arial" w:hAnsi="Arial" w:cs="Arial"/>
                <w:sz w:val="20"/>
                <w:szCs w:val="20"/>
              </w:rPr>
              <w:t xml:space="preserve">The government can ill afford to </w:t>
            </w:r>
            <w:r w:rsidR="009C3283" w:rsidRPr="00040AA9">
              <w:rPr>
                <w:rFonts w:ascii="Arial" w:hAnsi="Arial" w:cs="Arial"/>
                <w:sz w:val="20"/>
                <w:szCs w:val="20"/>
              </w:rPr>
              <w:t xml:space="preserve">bailout </w:t>
            </w:r>
            <w:r w:rsidR="009D64E5" w:rsidRPr="00040AA9">
              <w:rPr>
                <w:rFonts w:ascii="Arial" w:hAnsi="Arial" w:cs="Arial"/>
                <w:sz w:val="20"/>
                <w:szCs w:val="20"/>
              </w:rPr>
              <w:t xml:space="preserve">the Fund, although this </w:t>
            </w:r>
            <w:r w:rsidR="009C3283" w:rsidRPr="00040AA9">
              <w:rPr>
                <w:rFonts w:ascii="Arial" w:hAnsi="Arial" w:cs="Arial"/>
                <w:sz w:val="20"/>
                <w:szCs w:val="20"/>
              </w:rPr>
              <w:t>would be almost inevitable, given the importance of the Fund to a broad segment of the Jamaican population</w:t>
            </w:r>
            <w:r w:rsidR="009D64E5" w:rsidRPr="00040AA9">
              <w:rPr>
                <w:rFonts w:ascii="Arial" w:hAnsi="Arial" w:cs="Arial"/>
                <w:sz w:val="20"/>
                <w:szCs w:val="20"/>
              </w:rPr>
              <w:t xml:space="preserve">. </w:t>
            </w:r>
          </w:p>
        </w:tc>
      </w:tr>
      <w:tr w:rsidR="00166E81" w:rsidRPr="00CF5903" w14:paraId="5A34E0AA" w14:textId="39837945" w:rsidTr="00040AA9">
        <w:tc>
          <w:tcPr>
            <w:tcW w:w="1620" w:type="dxa"/>
            <w:vAlign w:val="center"/>
          </w:tcPr>
          <w:p w14:paraId="776852BD" w14:textId="41B9E8F5" w:rsidR="001E4AB2" w:rsidRPr="00040AA9" w:rsidRDefault="001E4AB2" w:rsidP="00040AA9">
            <w:pPr>
              <w:suppressAutoHyphens/>
              <w:rPr>
                <w:rFonts w:ascii="Arial" w:hAnsi="Arial" w:cs="Arial"/>
                <w:sz w:val="20"/>
                <w:szCs w:val="20"/>
              </w:rPr>
            </w:pPr>
            <w:r w:rsidRPr="00040AA9">
              <w:rPr>
                <w:rFonts w:ascii="Arial" w:hAnsi="Arial" w:cs="Arial"/>
                <w:sz w:val="20"/>
                <w:szCs w:val="20"/>
              </w:rPr>
              <w:t>Movement toward decreased time for NIS pensions claims processing</w:t>
            </w:r>
          </w:p>
        </w:tc>
        <w:tc>
          <w:tcPr>
            <w:tcW w:w="3870" w:type="dxa"/>
            <w:vAlign w:val="center"/>
          </w:tcPr>
          <w:p w14:paraId="783B1272" w14:textId="3D39FA8C"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FISPEG included a quantitative target for this process which was unable to be measured due to the NIS’s conversion to a </w:t>
            </w:r>
            <w:r w:rsidR="009F2EE8" w:rsidRPr="00CF5903">
              <w:rPr>
                <w:rFonts w:ascii="Arial" w:hAnsi="Arial" w:cs="Arial"/>
                <w:sz w:val="20"/>
                <w:szCs w:val="20"/>
              </w:rPr>
              <w:t>much-needed</w:t>
            </w:r>
            <w:r w:rsidRPr="00040AA9">
              <w:rPr>
                <w:rFonts w:ascii="Arial" w:hAnsi="Arial" w:cs="Arial"/>
                <w:sz w:val="20"/>
                <w:szCs w:val="20"/>
              </w:rPr>
              <w:t xml:space="preserve"> new computer system (which is also receiving Bank support). Full implementation of the system is paramount in achieving this goal as well as more broadly improving the efficiency, accuracy and timeliness of records management at the NIS. </w:t>
            </w:r>
          </w:p>
        </w:tc>
        <w:tc>
          <w:tcPr>
            <w:tcW w:w="1260" w:type="dxa"/>
            <w:vAlign w:val="center"/>
          </w:tcPr>
          <w:p w14:paraId="0D3F8DF0" w14:textId="73926B46" w:rsidR="001E4AB2" w:rsidRPr="00040AA9" w:rsidRDefault="00633FA6" w:rsidP="00040AA9">
            <w:pPr>
              <w:suppressAutoHyphens/>
              <w:rPr>
                <w:rFonts w:ascii="Arial" w:hAnsi="Arial" w:cs="Arial"/>
                <w:sz w:val="20"/>
                <w:szCs w:val="20"/>
              </w:rPr>
            </w:pPr>
            <w:r w:rsidRPr="00040AA9">
              <w:rPr>
                <w:rFonts w:ascii="Arial" w:hAnsi="Arial" w:cs="Arial"/>
                <w:sz w:val="20"/>
                <w:szCs w:val="20"/>
              </w:rPr>
              <w:t>High</w:t>
            </w:r>
          </w:p>
        </w:tc>
        <w:tc>
          <w:tcPr>
            <w:tcW w:w="2723" w:type="dxa"/>
            <w:vAlign w:val="center"/>
          </w:tcPr>
          <w:p w14:paraId="69184960" w14:textId="160FE250" w:rsidR="001E4AB2" w:rsidRPr="00040AA9" w:rsidRDefault="003E7843" w:rsidP="00040AA9">
            <w:pPr>
              <w:suppressAutoHyphens/>
              <w:rPr>
                <w:rFonts w:ascii="Arial" w:hAnsi="Arial" w:cs="Arial"/>
                <w:sz w:val="20"/>
                <w:szCs w:val="20"/>
              </w:rPr>
            </w:pPr>
            <w:r w:rsidRPr="00040AA9">
              <w:rPr>
                <w:rFonts w:ascii="Arial" w:hAnsi="Arial" w:cs="Arial"/>
                <w:sz w:val="20"/>
                <w:szCs w:val="20"/>
              </w:rPr>
              <w:t xml:space="preserve">The </w:t>
            </w:r>
            <w:r w:rsidR="003824D3" w:rsidRPr="00040AA9">
              <w:rPr>
                <w:rFonts w:ascii="Arial" w:hAnsi="Arial" w:cs="Arial"/>
                <w:sz w:val="20"/>
                <w:szCs w:val="20"/>
              </w:rPr>
              <w:t xml:space="preserve">already unacceptable </w:t>
            </w:r>
            <w:r w:rsidRPr="00040AA9">
              <w:rPr>
                <w:rFonts w:ascii="Arial" w:hAnsi="Arial" w:cs="Arial"/>
                <w:sz w:val="20"/>
                <w:szCs w:val="20"/>
              </w:rPr>
              <w:t xml:space="preserve">backlog in claims processing, not to mention the </w:t>
            </w:r>
            <w:r w:rsidR="00390311" w:rsidRPr="00040AA9">
              <w:rPr>
                <w:rFonts w:ascii="Arial" w:hAnsi="Arial" w:cs="Arial"/>
                <w:sz w:val="20"/>
                <w:szCs w:val="20"/>
              </w:rPr>
              <w:t xml:space="preserve">inaccuracies and </w:t>
            </w:r>
            <w:r w:rsidR="003824D3" w:rsidRPr="00040AA9">
              <w:rPr>
                <w:rFonts w:ascii="Arial" w:hAnsi="Arial" w:cs="Arial"/>
                <w:sz w:val="20"/>
                <w:szCs w:val="20"/>
              </w:rPr>
              <w:t xml:space="preserve">oversights in calculation of benefits due would only increase if these </w:t>
            </w:r>
            <w:r w:rsidR="00DF5ECC" w:rsidRPr="00040AA9">
              <w:rPr>
                <w:rFonts w:ascii="Arial" w:hAnsi="Arial" w:cs="Arial"/>
                <w:sz w:val="20"/>
                <w:szCs w:val="20"/>
              </w:rPr>
              <w:t>measures</w:t>
            </w:r>
            <w:r w:rsidR="003824D3" w:rsidRPr="00040AA9">
              <w:rPr>
                <w:rFonts w:ascii="Arial" w:hAnsi="Arial" w:cs="Arial"/>
                <w:sz w:val="20"/>
                <w:szCs w:val="20"/>
              </w:rPr>
              <w:t xml:space="preserve"> to improve the IT capacity </w:t>
            </w:r>
            <w:r w:rsidR="00DF5ECC" w:rsidRPr="00040AA9">
              <w:rPr>
                <w:rFonts w:ascii="Arial" w:hAnsi="Arial" w:cs="Arial"/>
                <w:sz w:val="20"/>
                <w:szCs w:val="20"/>
              </w:rPr>
              <w:t xml:space="preserve">were not completed. </w:t>
            </w:r>
          </w:p>
        </w:tc>
      </w:tr>
      <w:tr w:rsidR="00166E81" w:rsidRPr="00CF5903" w14:paraId="3E39EBBA" w14:textId="61066113" w:rsidTr="00040AA9">
        <w:tc>
          <w:tcPr>
            <w:tcW w:w="1620" w:type="dxa"/>
            <w:vAlign w:val="center"/>
          </w:tcPr>
          <w:p w14:paraId="399BC79A" w14:textId="10FABFAA" w:rsidR="001E4AB2" w:rsidRPr="00040AA9" w:rsidRDefault="001E4AB2" w:rsidP="00040AA9">
            <w:pPr>
              <w:suppressAutoHyphens/>
              <w:rPr>
                <w:rFonts w:ascii="Arial" w:hAnsi="Arial" w:cs="Arial"/>
                <w:sz w:val="20"/>
                <w:szCs w:val="20"/>
              </w:rPr>
            </w:pPr>
            <w:r w:rsidRPr="00040AA9">
              <w:rPr>
                <w:rFonts w:ascii="Arial" w:hAnsi="Arial" w:cs="Arial"/>
                <w:sz w:val="20"/>
                <w:szCs w:val="20"/>
              </w:rPr>
              <w:t>Decreased delay in implementing corrective measures to address deviations from budget</w:t>
            </w:r>
          </w:p>
        </w:tc>
        <w:tc>
          <w:tcPr>
            <w:tcW w:w="3870" w:type="dxa"/>
            <w:vAlign w:val="center"/>
          </w:tcPr>
          <w:p w14:paraId="284543BA" w14:textId="744D9550" w:rsidR="001E4AB2" w:rsidRPr="00040AA9" w:rsidRDefault="001E4AB2" w:rsidP="00040AA9">
            <w:pPr>
              <w:suppressAutoHyphens/>
              <w:rPr>
                <w:rFonts w:ascii="Arial" w:hAnsi="Arial" w:cs="Arial"/>
                <w:sz w:val="20"/>
                <w:szCs w:val="20"/>
              </w:rPr>
            </w:pPr>
            <w:r w:rsidRPr="00040AA9">
              <w:rPr>
                <w:rFonts w:ascii="Arial" w:hAnsi="Arial" w:cs="Arial"/>
                <w:sz w:val="20"/>
                <w:szCs w:val="20"/>
              </w:rPr>
              <w:t xml:space="preserve">The legislation to achieve this outcome has been approved and since then there have been no extraordinary circumstances that would precipitate its implementation. </w:t>
            </w:r>
            <w:r w:rsidR="009F2EE8" w:rsidRPr="00CF5903">
              <w:rPr>
                <w:rFonts w:ascii="Arial" w:hAnsi="Arial" w:cs="Arial"/>
                <w:sz w:val="20"/>
                <w:szCs w:val="20"/>
              </w:rPr>
              <w:t>However,</w:t>
            </w:r>
            <w:r w:rsidRPr="00040AA9">
              <w:rPr>
                <w:rFonts w:ascii="Arial" w:hAnsi="Arial" w:cs="Arial"/>
                <w:sz w:val="20"/>
                <w:szCs w:val="20"/>
              </w:rPr>
              <w:t xml:space="preserve"> these circumstances will inevitably arise and in order to assure that the measures specified in the legislation will be taken the relevant institutional infrastructure in Parliament and particularly at the </w:t>
            </w:r>
            <w:proofErr w:type="spellStart"/>
            <w:r w:rsidRPr="00040AA9">
              <w:rPr>
                <w:rFonts w:ascii="Arial" w:hAnsi="Arial" w:cs="Arial"/>
                <w:sz w:val="20"/>
                <w:szCs w:val="20"/>
              </w:rPr>
              <w:t>MoF</w:t>
            </w:r>
            <w:proofErr w:type="spellEnd"/>
            <w:r w:rsidRPr="00040AA9">
              <w:rPr>
                <w:rFonts w:ascii="Arial" w:hAnsi="Arial" w:cs="Arial"/>
                <w:sz w:val="20"/>
                <w:szCs w:val="20"/>
              </w:rPr>
              <w:t xml:space="preserve"> needs to be strengthened.</w:t>
            </w:r>
          </w:p>
        </w:tc>
        <w:tc>
          <w:tcPr>
            <w:tcW w:w="1260" w:type="dxa"/>
            <w:vAlign w:val="center"/>
          </w:tcPr>
          <w:p w14:paraId="0443F5D0" w14:textId="7A69DC4B" w:rsidR="001E4AB2" w:rsidRPr="00040AA9" w:rsidRDefault="00DF5ECC" w:rsidP="00040AA9">
            <w:pPr>
              <w:suppressAutoHyphens/>
              <w:rPr>
                <w:rFonts w:ascii="Arial" w:hAnsi="Arial" w:cs="Arial"/>
                <w:sz w:val="20"/>
                <w:szCs w:val="20"/>
              </w:rPr>
            </w:pPr>
            <w:r w:rsidRPr="00040AA9">
              <w:rPr>
                <w:rFonts w:ascii="Arial" w:hAnsi="Arial" w:cs="Arial"/>
                <w:sz w:val="20"/>
                <w:szCs w:val="20"/>
              </w:rPr>
              <w:t>High</w:t>
            </w:r>
          </w:p>
        </w:tc>
        <w:tc>
          <w:tcPr>
            <w:tcW w:w="2723" w:type="dxa"/>
            <w:vAlign w:val="center"/>
          </w:tcPr>
          <w:p w14:paraId="6C3B297D" w14:textId="5409486E" w:rsidR="001E4AB2" w:rsidRPr="00040AA9" w:rsidRDefault="007D0CFA" w:rsidP="00040AA9">
            <w:pPr>
              <w:suppressAutoHyphens/>
              <w:rPr>
                <w:rFonts w:ascii="Arial" w:hAnsi="Arial" w:cs="Arial"/>
                <w:sz w:val="20"/>
                <w:szCs w:val="20"/>
              </w:rPr>
            </w:pPr>
            <w:r w:rsidRPr="00040AA9">
              <w:rPr>
                <w:rFonts w:ascii="Arial" w:hAnsi="Arial" w:cs="Arial"/>
                <w:sz w:val="20"/>
                <w:szCs w:val="20"/>
              </w:rPr>
              <w:t>Past experience</w:t>
            </w:r>
            <w:r w:rsidR="00670208" w:rsidRPr="00040AA9">
              <w:rPr>
                <w:rFonts w:ascii="Arial" w:hAnsi="Arial" w:cs="Arial"/>
                <w:sz w:val="20"/>
                <w:szCs w:val="20"/>
              </w:rPr>
              <w:t xml:space="preserve">s </w:t>
            </w:r>
            <w:r w:rsidRPr="00040AA9">
              <w:rPr>
                <w:rFonts w:ascii="Arial" w:hAnsi="Arial" w:cs="Arial"/>
                <w:sz w:val="20"/>
                <w:szCs w:val="20"/>
              </w:rPr>
              <w:t xml:space="preserve">with </w:t>
            </w:r>
            <w:r w:rsidR="00E142BA" w:rsidRPr="00040AA9">
              <w:rPr>
                <w:rFonts w:ascii="Arial" w:hAnsi="Arial" w:cs="Arial"/>
                <w:sz w:val="20"/>
                <w:szCs w:val="20"/>
              </w:rPr>
              <w:t>revenue</w:t>
            </w:r>
            <w:r w:rsidRPr="00040AA9">
              <w:rPr>
                <w:rFonts w:ascii="Arial" w:hAnsi="Arial" w:cs="Arial"/>
                <w:sz w:val="20"/>
                <w:szCs w:val="20"/>
              </w:rPr>
              <w:t xml:space="preserve"> </w:t>
            </w:r>
            <w:r w:rsidR="00E142BA" w:rsidRPr="00040AA9">
              <w:rPr>
                <w:rFonts w:ascii="Arial" w:hAnsi="Arial" w:cs="Arial"/>
                <w:sz w:val="20"/>
                <w:szCs w:val="20"/>
              </w:rPr>
              <w:t xml:space="preserve">shortfalls and unexpected </w:t>
            </w:r>
            <w:r w:rsidR="00670208" w:rsidRPr="00040AA9">
              <w:rPr>
                <w:rFonts w:ascii="Arial" w:hAnsi="Arial" w:cs="Arial"/>
                <w:sz w:val="20"/>
                <w:szCs w:val="20"/>
              </w:rPr>
              <w:t>increases in expenditures have</w:t>
            </w:r>
            <w:r w:rsidR="00E142BA" w:rsidRPr="00040AA9">
              <w:rPr>
                <w:rFonts w:ascii="Arial" w:hAnsi="Arial" w:cs="Arial"/>
                <w:sz w:val="20"/>
                <w:szCs w:val="20"/>
              </w:rPr>
              <w:t xml:space="preserve"> been only too </w:t>
            </w:r>
            <w:r w:rsidR="00670208" w:rsidRPr="00040AA9">
              <w:rPr>
                <w:rFonts w:ascii="Arial" w:hAnsi="Arial" w:cs="Arial"/>
                <w:sz w:val="20"/>
                <w:szCs w:val="20"/>
              </w:rPr>
              <w:t>frequent</w:t>
            </w:r>
            <w:r w:rsidR="00746ED4" w:rsidRPr="00040AA9">
              <w:rPr>
                <w:rFonts w:ascii="Arial" w:hAnsi="Arial" w:cs="Arial"/>
                <w:sz w:val="20"/>
                <w:szCs w:val="20"/>
              </w:rPr>
              <w:t xml:space="preserve"> in Jamaica</w:t>
            </w:r>
            <w:r w:rsidR="00670208" w:rsidRPr="00040AA9">
              <w:rPr>
                <w:rFonts w:ascii="Arial" w:hAnsi="Arial" w:cs="Arial"/>
                <w:sz w:val="20"/>
                <w:szCs w:val="20"/>
              </w:rPr>
              <w:t xml:space="preserve">, and the negative impacts on the deficit and stock of debt only too well known. </w:t>
            </w:r>
            <w:r w:rsidR="009F2EE8" w:rsidRPr="00CF5903">
              <w:rPr>
                <w:rFonts w:ascii="Arial" w:hAnsi="Arial" w:cs="Arial"/>
                <w:sz w:val="20"/>
                <w:szCs w:val="20"/>
              </w:rPr>
              <w:t>Thus,</w:t>
            </w:r>
            <w:r w:rsidR="00670208" w:rsidRPr="00040AA9">
              <w:rPr>
                <w:rFonts w:ascii="Arial" w:hAnsi="Arial" w:cs="Arial"/>
                <w:sz w:val="20"/>
                <w:szCs w:val="20"/>
              </w:rPr>
              <w:t xml:space="preserve"> there is no shortage of understanding of </w:t>
            </w:r>
            <w:r w:rsidR="000C61E4" w:rsidRPr="00040AA9">
              <w:rPr>
                <w:rFonts w:ascii="Arial" w:hAnsi="Arial" w:cs="Arial"/>
                <w:sz w:val="20"/>
                <w:szCs w:val="20"/>
              </w:rPr>
              <w:t xml:space="preserve">what </w:t>
            </w:r>
            <w:r w:rsidR="00F439CC" w:rsidRPr="00040AA9">
              <w:rPr>
                <w:rFonts w:ascii="Arial" w:hAnsi="Arial" w:cs="Arial"/>
                <w:sz w:val="20"/>
                <w:szCs w:val="20"/>
              </w:rPr>
              <w:t>the negative impacts of non-compliance with the parameters of the Fiscal Responsibility Framework would be</w:t>
            </w:r>
            <w:r w:rsidR="00C429CA" w:rsidRPr="00040AA9">
              <w:rPr>
                <w:rFonts w:ascii="Arial" w:hAnsi="Arial" w:cs="Arial"/>
                <w:sz w:val="20"/>
                <w:szCs w:val="20"/>
              </w:rPr>
              <w:t>.</w:t>
            </w:r>
          </w:p>
        </w:tc>
      </w:tr>
    </w:tbl>
    <w:p w14:paraId="46F27399" w14:textId="77777777" w:rsidR="009B4D7A" w:rsidRPr="00040AA9" w:rsidRDefault="009B4D7A" w:rsidP="00040AA9">
      <w:pPr>
        <w:pStyle w:val="Heading1"/>
        <w:keepNext w:val="0"/>
        <w:keepLines w:val="0"/>
        <w:suppressAutoHyphens/>
        <w:spacing w:before="240"/>
        <w:rPr>
          <w:rFonts w:cs="Arial"/>
          <w:smallCaps/>
          <w:szCs w:val="22"/>
        </w:rPr>
      </w:pPr>
      <w:bookmarkStart w:id="27" w:name="_Toc469493903"/>
      <w:r w:rsidRPr="00040AA9">
        <w:rPr>
          <w:rFonts w:cs="Arial"/>
          <w:smallCaps/>
          <w:szCs w:val="22"/>
        </w:rPr>
        <w:t>Non-Core Criteria</w:t>
      </w:r>
      <w:bookmarkEnd w:id="27"/>
      <w:r w:rsidRPr="00040AA9">
        <w:rPr>
          <w:rFonts w:cs="Arial"/>
          <w:smallCaps/>
          <w:szCs w:val="22"/>
        </w:rPr>
        <w:t xml:space="preserve"> </w:t>
      </w:r>
    </w:p>
    <w:p w14:paraId="4562A87F" w14:textId="77777777" w:rsidR="009B4D7A" w:rsidRPr="00040AA9" w:rsidRDefault="00542F1F" w:rsidP="00040AA9">
      <w:pPr>
        <w:pStyle w:val="Heading2"/>
        <w:keepNext w:val="0"/>
        <w:keepLines w:val="0"/>
        <w:numPr>
          <w:ilvl w:val="1"/>
          <w:numId w:val="1"/>
        </w:numPr>
        <w:suppressAutoHyphens/>
        <w:rPr>
          <w:rFonts w:cs="Arial"/>
          <w:szCs w:val="22"/>
        </w:rPr>
      </w:pPr>
      <w:bookmarkStart w:id="28" w:name="_Toc469493904"/>
      <w:r w:rsidRPr="00040AA9">
        <w:rPr>
          <w:rFonts w:cs="Arial"/>
          <w:szCs w:val="22"/>
        </w:rPr>
        <w:t xml:space="preserve">Strategic </w:t>
      </w:r>
      <w:r w:rsidR="00E52E4C" w:rsidRPr="00040AA9">
        <w:rPr>
          <w:rFonts w:cs="Arial"/>
          <w:szCs w:val="22"/>
        </w:rPr>
        <w:t>A</w:t>
      </w:r>
      <w:r w:rsidRPr="00040AA9">
        <w:rPr>
          <w:rFonts w:cs="Arial"/>
          <w:szCs w:val="22"/>
        </w:rPr>
        <w:t>lignment</w:t>
      </w:r>
      <w:bookmarkEnd w:id="28"/>
      <w:r w:rsidR="009B4D7A" w:rsidRPr="00040AA9">
        <w:rPr>
          <w:rFonts w:cs="Arial"/>
          <w:szCs w:val="22"/>
        </w:rPr>
        <w:t xml:space="preserve"> </w:t>
      </w:r>
    </w:p>
    <w:p w14:paraId="7B06E6AC" w14:textId="0622B157" w:rsidR="00C5445B" w:rsidRPr="00040AA9" w:rsidRDefault="00B45CAB" w:rsidP="00040AA9">
      <w:pPr>
        <w:suppressAutoHyphens/>
        <w:spacing w:before="120" w:after="120"/>
        <w:jc w:val="both"/>
        <w:rPr>
          <w:rFonts w:ascii="Arial" w:hAnsi="Arial" w:cs="Arial"/>
          <w:sz w:val="22"/>
          <w:szCs w:val="22"/>
        </w:rPr>
      </w:pPr>
      <w:r w:rsidRPr="00040AA9">
        <w:rPr>
          <w:rFonts w:ascii="Arial" w:hAnsi="Arial" w:cs="Arial"/>
          <w:sz w:val="22"/>
          <w:szCs w:val="22"/>
        </w:rPr>
        <w:t>FISPEG</w:t>
      </w:r>
      <w:r w:rsidR="00FB6A41" w:rsidRPr="00040AA9">
        <w:rPr>
          <w:rFonts w:ascii="Arial" w:hAnsi="Arial" w:cs="Arial"/>
          <w:sz w:val="22"/>
          <w:szCs w:val="22"/>
        </w:rPr>
        <w:t xml:space="preserve"> </w:t>
      </w:r>
      <w:r w:rsidR="00DB5E84" w:rsidRPr="00040AA9">
        <w:rPr>
          <w:rFonts w:ascii="Arial" w:hAnsi="Arial" w:cs="Arial"/>
          <w:sz w:val="22"/>
          <w:szCs w:val="22"/>
        </w:rPr>
        <w:t>was</w:t>
      </w:r>
      <w:r w:rsidRPr="00040AA9">
        <w:rPr>
          <w:rFonts w:ascii="Arial" w:hAnsi="Arial" w:cs="Arial"/>
          <w:sz w:val="22"/>
          <w:szCs w:val="22"/>
        </w:rPr>
        <w:t xml:space="preserve"> aligned</w:t>
      </w:r>
      <w:r w:rsidR="00F02BCA" w:rsidRPr="00040AA9">
        <w:rPr>
          <w:rFonts w:ascii="Arial" w:hAnsi="Arial" w:cs="Arial"/>
          <w:sz w:val="22"/>
          <w:szCs w:val="22"/>
        </w:rPr>
        <w:t xml:space="preserve"> with</w:t>
      </w:r>
      <w:r w:rsidRPr="00040AA9">
        <w:rPr>
          <w:rFonts w:ascii="Arial" w:hAnsi="Arial" w:cs="Arial"/>
          <w:sz w:val="22"/>
          <w:szCs w:val="22"/>
        </w:rPr>
        <w:t xml:space="preserve"> one of the </w:t>
      </w:r>
      <w:r w:rsidR="00707613" w:rsidRPr="00040AA9">
        <w:rPr>
          <w:rFonts w:ascii="Arial" w:hAnsi="Arial" w:cs="Arial"/>
          <w:sz w:val="22"/>
          <w:szCs w:val="22"/>
        </w:rPr>
        <w:t xml:space="preserve">development </w:t>
      </w:r>
      <w:r w:rsidRPr="00040AA9">
        <w:rPr>
          <w:rFonts w:ascii="Arial" w:hAnsi="Arial" w:cs="Arial"/>
          <w:sz w:val="22"/>
          <w:szCs w:val="22"/>
        </w:rPr>
        <w:t>challenges</w:t>
      </w:r>
      <w:r w:rsidR="00DE3E06" w:rsidRPr="00040AA9">
        <w:rPr>
          <w:rFonts w:ascii="Arial" w:hAnsi="Arial" w:cs="Arial"/>
          <w:sz w:val="22"/>
          <w:szCs w:val="22"/>
        </w:rPr>
        <w:t xml:space="preserve"> </w:t>
      </w:r>
      <w:r w:rsidRPr="00040AA9">
        <w:rPr>
          <w:rFonts w:ascii="Arial" w:hAnsi="Arial" w:cs="Arial"/>
          <w:sz w:val="22"/>
          <w:szCs w:val="22"/>
        </w:rPr>
        <w:t xml:space="preserve">identified in the </w:t>
      </w:r>
      <w:r w:rsidR="002B7563" w:rsidRPr="00040AA9">
        <w:rPr>
          <w:rFonts w:ascii="Arial" w:hAnsi="Arial" w:cs="Arial"/>
          <w:sz w:val="22"/>
          <w:szCs w:val="22"/>
        </w:rPr>
        <w:t>Update to the Institutional Strategy</w:t>
      </w:r>
      <w:r w:rsidR="007147CA" w:rsidRPr="00040AA9">
        <w:rPr>
          <w:rFonts w:ascii="Arial" w:hAnsi="Arial" w:cs="Arial"/>
          <w:sz w:val="22"/>
          <w:szCs w:val="22"/>
        </w:rPr>
        <w:t xml:space="preserve"> (UIS).</w:t>
      </w:r>
      <w:r w:rsidR="007147CA" w:rsidRPr="00040AA9">
        <w:rPr>
          <w:rStyle w:val="FootnoteReference"/>
          <w:rFonts w:ascii="Arial" w:hAnsi="Arial" w:cs="Arial"/>
          <w:sz w:val="22"/>
          <w:szCs w:val="22"/>
        </w:rPr>
        <w:footnoteReference w:id="153"/>
      </w:r>
      <w:r w:rsidR="007147CA" w:rsidRPr="00040AA9">
        <w:rPr>
          <w:rFonts w:ascii="Arial" w:hAnsi="Arial" w:cs="Arial"/>
          <w:sz w:val="22"/>
          <w:szCs w:val="22"/>
        </w:rPr>
        <w:t xml:space="preserve"> </w:t>
      </w:r>
      <w:r w:rsidR="006263AC" w:rsidRPr="00040AA9">
        <w:rPr>
          <w:rFonts w:ascii="Arial" w:hAnsi="Arial" w:cs="Arial"/>
          <w:sz w:val="22"/>
          <w:szCs w:val="22"/>
        </w:rPr>
        <w:t>Specifically</w:t>
      </w:r>
      <w:r w:rsidR="00231BF2" w:rsidRPr="00040AA9">
        <w:rPr>
          <w:rFonts w:ascii="Arial" w:hAnsi="Arial" w:cs="Arial"/>
          <w:sz w:val="22"/>
          <w:szCs w:val="22"/>
        </w:rPr>
        <w:t xml:space="preserve"> </w:t>
      </w:r>
      <w:r w:rsidR="00DB5E84" w:rsidRPr="00040AA9">
        <w:rPr>
          <w:rFonts w:ascii="Arial" w:hAnsi="Arial" w:cs="Arial"/>
          <w:sz w:val="22"/>
          <w:szCs w:val="22"/>
        </w:rPr>
        <w:t>FISPEG indirectly contributed</w:t>
      </w:r>
      <w:r w:rsidR="007147CA" w:rsidRPr="00040AA9">
        <w:rPr>
          <w:rFonts w:ascii="Arial" w:hAnsi="Arial" w:cs="Arial"/>
          <w:sz w:val="22"/>
          <w:szCs w:val="22"/>
        </w:rPr>
        <w:t xml:space="preserve"> to the second </w:t>
      </w:r>
      <w:r w:rsidR="00652C10" w:rsidRPr="00040AA9">
        <w:rPr>
          <w:rFonts w:ascii="Arial" w:hAnsi="Arial" w:cs="Arial"/>
          <w:sz w:val="22"/>
          <w:szCs w:val="22"/>
        </w:rPr>
        <w:t xml:space="preserve">of the </w:t>
      </w:r>
      <w:r w:rsidR="007147CA" w:rsidRPr="00040AA9">
        <w:rPr>
          <w:rFonts w:ascii="Arial" w:hAnsi="Arial" w:cs="Arial"/>
          <w:sz w:val="22"/>
          <w:szCs w:val="22"/>
        </w:rPr>
        <w:t>UIS challenges</w:t>
      </w:r>
      <w:r w:rsidR="00652C10" w:rsidRPr="00040AA9">
        <w:rPr>
          <w:rFonts w:ascii="Arial" w:hAnsi="Arial" w:cs="Arial"/>
          <w:sz w:val="22"/>
          <w:szCs w:val="22"/>
        </w:rPr>
        <w:t>, namely Productivity and innovation.</w:t>
      </w:r>
      <w:r w:rsidR="007147CA" w:rsidRPr="00040AA9">
        <w:rPr>
          <w:rFonts w:ascii="Arial" w:hAnsi="Arial" w:cs="Arial"/>
          <w:sz w:val="22"/>
          <w:szCs w:val="22"/>
        </w:rPr>
        <w:t xml:space="preserve"> </w:t>
      </w:r>
      <w:r w:rsidR="00652C10" w:rsidRPr="00040AA9">
        <w:rPr>
          <w:rFonts w:ascii="Arial" w:hAnsi="Arial" w:cs="Arial"/>
          <w:sz w:val="22"/>
          <w:szCs w:val="22"/>
        </w:rPr>
        <w:t xml:space="preserve">By simplifying the tax system, broadening the base and lowering the rates the program </w:t>
      </w:r>
      <w:r w:rsidR="00C5445B" w:rsidRPr="00040AA9">
        <w:rPr>
          <w:rFonts w:ascii="Arial" w:hAnsi="Arial" w:cs="Arial"/>
          <w:sz w:val="22"/>
          <w:szCs w:val="22"/>
        </w:rPr>
        <w:t>helps to improve the business climate in which innovation can take place.</w:t>
      </w:r>
      <w:r w:rsidR="00DB5E84" w:rsidRPr="00040AA9">
        <w:rPr>
          <w:rStyle w:val="FootnoteReference"/>
          <w:rFonts w:ascii="Arial" w:hAnsi="Arial" w:cs="Arial"/>
          <w:sz w:val="22"/>
          <w:szCs w:val="22"/>
        </w:rPr>
        <w:footnoteReference w:id="154"/>
      </w:r>
      <w:r w:rsidR="00C5445B" w:rsidRPr="00040AA9">
        <w:rPr>
          <w:rFonts w:ascii="Arial" w:hAnsi="Arial" w:cs="Arial"/>
          <w:sz w:val="22"/>
          <w:szCs w:val="22"/>
        </w:rPr>
        <w:t xml:space="preserve"> This in turn should help to improve productivity although the link is admittedly indirect. On the other two UIS </w:t>
      </w:r>
      <w:r w:rsidR="00231BF2" w:rsidRPr="00040AA9">
        <w:rPr>
          <w:rFonts w:ascii="Arial" w:hAnsi="Arial" w:cs="Arial"/>
          <w:sz w:val="22"/>
          <w:szCs w:val="22"/>
        </w:rPr>
        <w:t>challenges</w:t>
      </w:r>
      <w:r w:rsidR="003F2755" w:rsidRPr="00040AA9">
        <w:rPr>
          <w:rFonts w:ascii="Arial" w:hAnsi="Arial" w:cs="Arial"/>
          <w:sz w:val="22"/>
          <w:szCs w:val="22"/>
        </w:rPr>
        <w:t>, social inclusion and economic integration</w:t>
      </w:r>
      <w:r w:rsidR="003F2755" w:rsidRPr="00040AA9">
        <w:rPr>
          <w:rFonts w:ascii="Arial" w:hAnsi="Arial" w:cs="Arial"/>
          <w:i/>
          <w:sz w:val="22"/>
          <w:szCs w:val="22"/>
        </w:rPr>
        <w:t xml:space="preserve">, </w:t>
      </w:r>
      <w:r w:rsidR="003F2755" w:rsidRPr="00040AA9">
        <w:rPr>
          <w:rFonts w:ascii="Arial" w:hAnsi="Arial" w:cs="Arial"/>
          <w:sz w:val="22"/>
          <w:szCs w:val="22"/>
        </w:rPr>
        <w:t xml:space="preserve">FISPEG has less to offer, although it may be argued that the </w:t>
      </w:r>
      <w:r w:rsidR="00994333">
        <w:rPr>
          <w:rFonts w:ascii="Arial" w:hAnsi="Arial" w:cs="Arial"/>
          <w:sz w:val="22"/>
          <w:szCs w:val="22"/>
        </w:rPr>
        <w:t>ETC</w:t>
      </w:r>
      <w:r w:rsidR="005C0467" w:rsidRPr="00040AA9">
        <w:rPr>
          <w:rFonts w:ascii="Arial" w:hAnsi="Arial" w:cs="Arial"/>
          <w:sz w:val="22"/>
          <w:szCs w:val="22"/>
        </w:rPr>
        <w:t xml:space="preserve"> initiative helps</w:t>
      </w:r>
      <w:r w:rsidR="003F2755" w:rsidRPr="00040AA9">
        <w:rPr>
          <w:rFonts w:ascii="Arial" w:hAnsi="Arial" w:cs="Arial"/>
          <w:sz w:val="22"/>
          <w:szCs w:val="22"/>
        </w:rPr>
        <w:t xml:space="preserve"> to </w:t>
      </w:r>
      <w:r w:rsidR="005C0467" w:rsidRPr="00040AA9">
        <w:rPr>
          <w:rFonts w:ascii="Arial" w:hAnsi="Arial" w:cs="Arial"/>
          <w:sz w:val="22"/>
          <w:szCs w:val="22"/>
        </w:rPr>
        <w:t>bring more workers into the formal sector labor force,</w:t>
      </w:r>
      <w:r w:rsidR="005C0467" w:rsidRPr="00040AA9">
        <w:rPr>
          <w:rStyle w:val="FootnoteReference"/>
          <w:rFonts w:ascii="Arial" w:hAnsi="Arial" w:cs="Arial"/>
          <w:sz w:val="22"/>
          <w:szCs w:val="22"/>
        </w:rPr>
        <w:footnoteReference w:id="155"/>
      </w:r>
      <w:r w:rsidR="005C0467" w:rsidRPr="00040AA9">
        <w:rPr>
          <w:rFonts w:ascii="Arial" w:hAnsi="Arial" w:cs="Arial"/>
          <w:sz w:val="22"/>
          <w:szCs w:val="22"/>
        </w:rPr>
        <w:t xml:space="preserve"> thereby improving their social inclusion and that of their families.  </w:t>
      </w:r>
      <w:r w:rsidR="003F2755" w:rsidRPr="00040AA9">
        <w:rPr>
          <w:rFonts w:ascii="Arial" w:hAnsi="Arial" w:cs="Arial"/>
          <w:sz w:val="22"/>
          <w:szCs w:val="22"/>
        </w:rPr>
        <w:t xml:space="preserve"> </w:t>
      </w:r>
    </w:p>
    <w:p w14:paraId="63063EE5" w14:textId="44CBAD83" w:rsidR="00F02BCA" w:rsidRPr="00040AA9" w:rsidRDefault="00F02BCA" w:rsidP="00040AA9">
      <w:pPr>
        <w:suppressAutoHyphens/>
        <w:spacing w:before="120" w:after="120"/>
        <w:jc w:val="both"/>
        <w:rPr>
          <w:rFonts w:ascii="Arial" w:eastAsiaTheme="majorEastAsia" w:hAnsi="Arial" w:cs="Arial"/>
          <w:b/>
          <w:bCs/>
          <w:noProof/>
          <w:sz w:val="22"/>
          <w:szCs w:val="22"/>
        </w:rPr>
      </w:pPr>
      <w:r w:rsidRPr="00040AA9">
        <w:rPr>
          <w:rFonts w:ascii="Arial" w:hAnsi="Arial" w:cs="Arial"/>
          <w:sz w:val="22"/>
          <w:szCs w:val="22"/>
        </w:rPr>
        <w:t xml:space="preserve">FISPEG also </w:t>
      </w:r>
      <w:r w:rsidR="002556B6" w:rsidRPr="00040AA9">
        <w:rPr>
          <w:rFonts w:ascii="Arial" w:hAnsi="Arial" w:cs="Arial"/>
          <w:sz w:val="22"/>
          <w:szCs w:val="22"/>
        </w:rPr>
        <w:t>was</w:t>
      </w:r>
      <w:r w:rsidR="009733F3" w:rsidRPr="00040AA9">
        <w:rPr>
          <w:rFonts w:ascii="Arial" w:hAnsi="Arial" w:cs="Arial"/>
          <w:sz w:val="22"/>
          <w:szCs w:val="22"/>
        </w:rPr>
        <w:t xml:space="preserve"> closely aligned with cross-cutting theme</w:t>
      </w:r>
      <w:r w:rsidR="00231BF2" w:rsidRPr="00040AA9">
        <w:rPr>
          <w:rFonts w:ascii="Arial" w:hAnsi="Arial" w:cs="Arial"/>
          <w:sz w:val="22"/>
          <w:szCs w:val="22"/>
        </w:rPr>
        <w:t xml:space="preserve"> (iii) identified in the Guidelines, namely;</w:t>
      </w:r>
      <w:r w:rsidR="009733F3" w:rsidRPr="00040AA9">
        <w:rPr>
          <w:rFonts w:ascii="Arial" w:hAnsi="Arial" w:cs="Arial"/>
          <w:sz w:val="22"/>
          <w:szCs w:val="22"/>
        </w:rPr>
        <w:t xml:space="preserve"> Institutional Capacity and Rule of Law</w:t>
      </w:r>
      <w:r w:rsidR="009733F3" w:rsidRPr="00040AA9">
        <w:rPr>
          <w:rFonts w:ascii="Arial" w:eastAsiaTheme="majorEastAsia" w:hAnsi="Arial" w:cs="Arial"/>
          <w:b/>
          <w:bCs/>
          <w:noProof/>
          <w:sz w:val="22"/>
          <w:szCs w:val="22"/>
        </w:rPr>
        <w:t>.</w:t>
      </w:r>
      <w:r w:rsidR="009733F3" w:rsidRPr="00040AA9">
        <w:rPr>
          <w:rFonts w:ascii="Arial" w:eastAsiaTheme="majorEastAsia" w:hAnsi="Arial" w:cs="Arial"/>
          <w:bCs/>
          <w:noProof/>
          <w:sz w:val="22"/>
          <w:szCs w:val="22"/>
        </w:rPr>
        <w:t xml:space="preserve"> As </w:t>
      </w:r>
      <w:r w:rsidR="009A4AE5" w:rsidRPr="00040AA9">
        <w:rPr>
          <w:rFonts w:ascii="Arial" w:eastAsiaTheme="majorEastAsia" w:hAnsi="Arial" w:cs="Arial"/>
          <w:bCs/>
          <w:noProof/>
          <w:sz w:val="22"/>
          <w:szCs w:val="22"/>
        </w:rPr>
        <w:t xml:space="preserve">noted in the previous sections of this report the program along with the complementary FAMP investment loan have had a major </w:t>
      </w:r>
      <w:r w:rsidR="00226F72" w:rsidRPr="00040AA9">
        <w:rPr>
          <w:rFonts w:ascii="Arial" w:eastAsiaTheme="majorEastAsia" w:hAnsi="Arial" w:cs="Arial"/>
          <w:bCs/>
          <w:noProof/>
          <w:sz w:val="22"/>
          <w:szCs w:val="22"/>
        </w:rPr>
        <w:t xml:space="preserve">positive </w:t>
      </w:r>
      <w:r w:rsidR="009A4AE5" w:rsidRPr="00040AA9">
        <w:rPr>
          <w:rFonts w:ascii="Arial" w:eastAsiaTheme="majorEastAsia" w:hAnsi="Arial" w:cs="Arial"/>
          <w:bCs/>
          <w:noProof/>
          <w:sz w:val="22"/>
          <w:szCs w:val="22"/>
        </w:rPr>
        <w:t>impact on the institutional capacity of the TAJ and JCA, the two most importa</w:t>
      </w:r>
      <w:r w:rsidR="00226F72" w:rsidRPr="00040AA9">
        <w:rPr>
          <w:rFonts w:ascii="Arial" w:eastAsiaTheme="majorEastAsia" w:hAnsi="Arial" w:cs="Arial"/>
          <w:bCs/>
          <w:noProof/>
          <w:sz w:val="22"/>
          <w:szCs w:val="22"/>
        </w:rPr>
        <w:t xml:space="preserve">nt revenue agencies of the GoJ. Improvements </w:t>
      </w:r>
      <w:r w:rsidR="00AC67BA" w:rsidRPr="00040AA9">
        <w:rPr>
          <w:rFonts w:ascii="Arial" w:eastAsiaTheme="majorEastAsia" w:hAnsi="Arial" w:cs="Arial"/>
          <w:bCs/>
          <w:noProof/>
          <w:sz w:val="22"/>
          <w:szCs w:val="22"/>
        </w:rPr>
        <w:t xml:space="preserve">were also made </w:t>
      </w:r>
      <w:r w:rsidR="00226F72" w:rsidRPr="00040AA9">
        <w:rPr>
          <w:rFonts w:ascii="Arial" w:eastAsiaTheme="majorEastAsia" w:hAnsi="Arial" w:cs="Arial"/>
          <w:bCs/>
          <w:noProof/>
          <w:sz w:val="22"/>
          <w:szCs w:val="22"/>
        </w:rPr>
        <w:t xml:space="preserve">in the institional capacity of the Public Enterprises Division of the MoF and of the National Insurance Scheme </w:t>
      </w:r>
      <w:r w:rsidR="00F2049B" w:rsidRPr="00040AA9">
        <w:rPr>
          <w:rFonts w:ascii="Arial" w:eastAsiaTheme="majorEastAsia" w:hAnsi="Arial" w:cs="Arial"/>
          <w:bCs/>
          <w:noProof/>
          <w:sz w:val="22"/>
          <w:szCs w:val="22"/>
        </w:rPr>
        <w:t>adminstration at the MLSS</w:t>
      </w:r>
      <w:r w:rsidR="003947A6" w:rsidRPr="00040AA9">
        <w:rPr>
          <w:rFonts w:ascii="Arial" w:eastAsiaTheme="majorEastAsia" w:hAnsi="Arial" w:cs="Arial"/>
          <w:bCs/>
          <w:noProof/>
          <w:sz w:val="22"/>
          <w:szCs w:val="22"/>
        </w:rPr>
        <w:t>. These latter initiatives were</w:t>
      </w:r>
      <w:r w:rsidR="00F2049B" w:rsidRPr="00040AA9">
        <w:rPr>
          <w:rFonts w:ascii="Arial" w:eastAsiaTheme="majorEastAsia" w:hAnsi="Arial" w:cs="Arial"/>
          <w:bCs/>
          <w:noProof/>
          <w:sz w:val="22"/>
          <w:szCs w:val="22"/>
        </w:rPr>
        <w:t xml:space="preserve"> </w:t>
      </w:r>
      <w:r w:rsidR="005053D4" w:rsidRPr="00040AA9">
        <w:rPr>
          <w:rFonts w:ascii="Arial" w:eastAsiaTheme="majorEastAsia" w:hAnsi="Arial" w:cs="Arial"/>
          <w:bCs/>
          <w:noProof/>
          <w:sz w:val="22"/>
          <w:szCs w:val="22"/>
        </w:rPr>
        <w:t xml:space="preserve">aligned with the </w:t>
      </w:r>
      <w:r w:rsidR="007D53FE" w:rsidRPr="00040AA9">
        <w:rPr>
          <w:rFonts w:ascii="Arial" w:eastAsiaTheme="majorEastAsia" w:hAnsi="Arial" w:cs="Arial"/>
          <w:bCs/>
          <w:noProof/>
          <w:sz w:val="22"/>
          <w:szCs w:val="22"/>
        </w:rPr>
        <w:t>S</w:t>
      </w:r>
      <w:r w:rsidR="00665A4D" w:rsidRPr="00040AA9">
        <w:rPr>
          <w:rFonts w:ascii="Arial" w:eastAsiaTheme="majorEastAsia" w:hAnsi="Arial" w:cs="Arial"/>
          <w:bCs/>
          <w:noProof/>
          <w:sz w:val="22"/>
          <w:szCs w:val="22"/>
        </w:rPr>
        <w:t xml:space="preserve">ector </w:t>
      </w:r>
      <w:r w:rsidR="007D53FE" w:rsidRPr="00040AA9">
        <w:rPr>
          <w:rFonts w:ascii="Arial" w:eastAsiaTheme="majorEastAsia" w:hAnsi="Arial" w:cs="Arial"/>
          <w:bCs/>
          <w:noProof/>
          <w:sz w:val="22"/>
          <w:szCs w:val="22"/>
        </w:rPr>
        <w:t>S</w:t>
      </w:r>
      <w:r w:rsidR="00665A4D" w:rsidRPr="00040AA9">
        <w:rPr>
          <w:rFonts w:ascii="Arial" w:eastAsiaTheme="majorEastAsia" w:hAnsi="Arial" w:cs="Arial"/>
          <w:bCs/>
          <w:noProof/>
          <w:sz w:val="22"/>
          <w:szCs w:val="22"/>
        </w:rPr>
        <w:t>trateg</w:t>
      </w:r>
      <w:r w:rsidR="007D53FE" w:rsidRPr="00040AA9">
        <w:rPr>
          <w:rFonts w:ascii="Arial" w:eastAsiaTheme="majorEastAsia" w:hAnsi="Arial" w:cs="Arial"/>
          <w:bCs/>
          <w:noProof/>
          <w:sz w:val="22"/>
          <w:szCs w:val="22"/>
        </w:rPr>
        <w:t>y</w:t>
      </w:r>
      <w:r w:rsidR="00665A4D" w:rsidRPr="00040AA9">
        <w:rPr>
          <w:rFonts w:ascii="Arial" w:eastAsiaTheme="majorEastAsia" w:hAnsi="Arial" w:cs="Arial"/>
          <w:bCs/>
          <w:noProof/>
          <w:sz w:val="22"/>
          <w:szCs w:val="22"/>
        </w:rPr>
        <w:t xml:space="preserve"> Institutions for Gr</w:t>
      </w:r>
      <w:r w:rsidR="003947A6" w:rsidRPr="00040AA9">
        <w:rPr>
          <w:rFonts w:ascii="Arial" w:eastAsiaTheme="majorEastAsia" w:hAnsi="Arial" w:cs="Arial"/>
          <w:bCs/>
          <w:noProof/>
          <w:sz w:val="22"/>
          <w:szCs w:val="22"/>
        </w:rPr>
        <w:t>o</w:t>
      </w:r>
      <w:r w:rsidR="00665A4D" w:rsidRPr="00040AA9">
        <w:rPr>
          <w:rFonts w:ascii="Arial" w:eastAsiaTheme="majorEastAsia" w:hAnsi="Arial" w:cs="Arial"/>
          <w:bCs/>
          <w:noProof/>
          <w:sz w:val="22"/>
          <w:szCs w:val="22"/>
        </w:rPr>
        <w:t xml:space="preserve">wth and Social Welfare (GN-2587-2) and </w:t>
      </w:r>
      <w:r w:rsidR="003947A6" w:rsidRPr="00040AA9">
        <w:rPr>
          <w:rFonts w:ascii="Arial" w:eastAsiaTheme="majorEastAsia" w:hAnsi="Arial" w:cs="Arial"/>
          <w:bCs/>
          <w:noProof/>
          <w:sz w:val="22"/>
          <w:szCs w:val="22"/>
        </w:rPr>
        <w:t>the Fiscal Polic</w:t>
      </w:r>
      <w:r w:rsidR="007D53FE" w:rsidRPr="00040AA9">
        <w:rPr>
          <w:rFonts w:ascii="Arial" w:eastAsiaTheme="majorEastAsia" w:hAnsi="Arial" w:cs="Arial"/>
          <w:bCs/>
          <w:noProof/>
          <w:sz w:val="22"/>
          <w:szCs w:val="22"/>
        </w:rPr>
        <w:t>y and Management Sector Framework Document (</w:t>
      </w:r>
      <w:r w:rsidR="001F2771" w:rsidRPr="00040AA9">
        <w:rPr>
          <w:rFonts w:ascii="Arial" w:eastAsiaTheme="majorEastAsia" w:hAnsi="Arial" w:cs="Arial"/>
          <w:bCs/>
          <w:noProof/>
          <w:sz w:val="22"/>
          <w:szCs w:val="22"/>
        </w:rPr>
        <w:t>GN-</w:t>
      </w:r>
      <w:r w:rsidR="003947A6" w:rsidRPr="00040AA9">
        <w:rPr>
          <w:rFonts w:ascii="Arial" w:eastAsiaTheme="majorEastAsia" w:hAnsi="Arial" w:cs="Arial"/>
          <w:bCs/>
          <w:noProof/>
          <w:sz w:val="22"/>
          <w:szCs w:val="22"/>
        </w:rPr>
        <w:t>2831-3)</w:t>
      </w:r>
      <w:r w:rsidR="00F2049B" w:rsidRPr="00040AA9">
        <w:rPr>
          <w:rFonts w:ascii="Arial" w:eastAsiaTheme="majorEastAsia" w:hAnsi="Arial" w:cs="Arial"/>
          <w:bCs/>
          <w:noProof/>
          <w:sz w:val="22"/>
          <w:szCs w:val="22"/>
        </w:rPr>
        <w:t xml:space="preserve">. </w:t>
      </w:r>
      <w:r w:rsidR="00226F72" w:rsidRPr="00040AA9">
        <w:rPr>
          <w:rFonts w:ascii="Arial" w:eastAsiaTheme="majorEastAsia" w:hAnsi="Arial" w:cs="Arial"/>
          <w:bCs/>
          <w:noProof/>
          <w:sz w:val="22"/>
          <w:szCs w:val="22"/>
        </w:rPr>
        <w:t xml:space="preserve"> </w:t>
      </w:r>
    </w:p>
    <w:p w14:paraId="6F2093B6" w14:textId="594B5BEC" w:rsidR="000D057C" w:rsidRPr="00040AA9" w:rsidRDefault="009B4D7A" w:rsidP="00040AA9">
      <w:pPr>
        <w:pStyle w:val="Heading2"/>
        <w:keepNext w:val="0"/>
        <w:keepLines w:val="0"/>
        <w:numPr>
          <w:ilvl w:val="1"/>
          <w:numId w:val="1"/>
        </w:numPr>
        <w:suppressAutoHyphens/>
        <w:jc w:val="both"/>
        <w:rPr>
          <w:rFonts w:cs="Arial"/>
          <w:szCs w:val="22"/>
        </w:rPr>
      </w:pPr>
      <w:bookmarkStart w:id="29" w:name="_Toc469493905"/>
      <w:r w:rsidRPr="00040AA9">
        <w:rPr>
          <w:rFonts w:cs="Arial"/>
          <w:szCs w:val="22"/>
        </w:rPr>
        <w:t>Monitoring and Evaluation</w:t>
      </w:r>
      <w:bookmarkEnd w:id="29"/>
      <w:r w:rsidR="00994333">
        <w:rPr>
          <w:rFonts w:cs="Arial"/>
          <w:szCs w:val="22"/>
        </w:rPr>
        <w:t xml:space="preserve"> (M&amp;E)</w:t>
      </w:r>
    </w:p>
    <w:p w14:paraId="4FCF9BC9" w14:textId="77777777" w:rsidR="00E52E4C" w:rsidRPr="00040AA9" w:rsidRDefault="00E52E4C" w:rsidP="00040AA9">
      <w:pPr>
        <w:pStyle w:val="Heading3"/>
        <w:keepNext w:val="0"/>
        <w:keepLines w:val="0"/>
        <w:numPr>
          <w:ilvl w:val="0"/>
          <w:numId w:val="7"/>
        </w:numPr>
        <w:suppressAutoHyphens/>
        <w:spacing w:before="120" w:after="120"/>
        <w:jc w:val="both"/>
        <w:rPr>
          <w:szCs w:val="22"/>
        </w:rPr>
      </w:pPr>
      <w:bookmarkStart w:id="30" w:name="_Toc469493906"/>
      <w:r w:rsidRPr="00040AA9">
        <w:rPr>
          <w:szCs w:val="22"/>
        </w:rPr>
        <w:t>M&amp;E Design</w:t>
      </w:r>
      <w:bookmarkEnd w:id="30"/>
    </w:p>
    <w:p w14:paraId="3E8EEF7E" w14:textId="1B960665" w:rsidR="00C92EE8" w:rsidRPr="00040AA9" w:rsidRDefault="00233D8D" w:rsidP="00040AA9">
      <w:pPr>
        <w:suppressAutoHyphens/>
        <w:spacing w:before="120" w:after="120"/>
        <w:jc w:val="both"/>
        <w:rPr>
          <w:rFonts w:ascii="Arial" w:hAnsi="Arial" w:cs="Arial"/>
          <w:sz w:val="22"/>
          <w:szCs w:val="22"/>
        </w:rPr>
      </w:pPr>
      <w:r w:rsidRPr="00040AA9">
        <w:rPr>
          <w:rFonts w:ascii="Arial" w:hAnsi="Arial" w:cs="Arial"/>
          <w:sz w:val="22"/>
          <w:szCs w:val="22"/>
        </w:rPr>
        <w:t xml:space="preserve">The M&amp;E plan was designed around and based </w:t>
      </w:r>
      <w:r w:rsidR="004C088D" w:rsidRPr="00040AA9">
        <w:rPr>
          <w:rFonts w:ascii="Arial" w:hAnsi="Arial" w:cs="Arial"/>
          <w:sz w:val="22"/>
          <w:szCs w:val="22"/>
        </w:rPr>
        <w:t>up</w:t>
      </w:r>
      <w:r w:rsidRPr="00040AA9">
        <w:rPr>
          <w:rFonts w:ascii="Arial" w:hAnsi="Arial" w:cs="Arial"/>
          <w:sz w:val="22"/>
          <w:szCs w:val="22"/>
        </w:rPr>
        <w:t xml:space="preserve">on the indicators in the RM as noted </w:t>
      </w:r>
      <w:r w:rsidR="004C088D" w:rsidRPr="00040AA9">
        <w:rPr>
          <w:rFonts w:ascii="Arial" w:hAnsi="Arial" w:cs="Arial"/>
          <w:sz w:val="22"/>
          <w:szCs w:val="22"/>
        </w:rPr>
        <w:t xml:space="preserve">in the FISPEG I </w:t>
      </w:r>
      <w:r w:rsidR="00994333">
        <w:rPr>
          <w:rFonts w:ascii="Arial" w:hAnsi="Arial" w:cs="Arial"/>
          <w:sz w:val="22"/>
          <w:szCs w:val="22"/>
        </w:rPr>
        <w:t>L</w:t>
      </w:r>
      <w:r w:rsidR="004C088D" w:rsidRPr="00040AA9">
        <w:rPr>
          <w:rFonts w:ascii="Arial" w:hAnsi="Arial" w:cs="Arial"/>
          <w:sz w:val="22"/>
          <w:szCs w:val="22"/>
        </w:rPr>
        <w:t>oan Proposal</w:t>
      </w:r>
      <w:r w:rsidR="00201EA1" w:rsidRPr="00040AA9">
        <w:rPr>
          <w:rFonts w:ascii="Arial" w:hAnsi="Arial" w:cs="Arial"/>
          <w:sz w:val="22"/>
          <w:szCs w:val="22"/>
        </w:rPr>
        <w:t>.</w:t>
      </w:r>
      <w:r w:rsidR="00201EA1" w:rsidRPr="00040AA9">
        <w:rPr>
          <w:rStyle w:val="FootnoteReference"/>
          <w:rFonts w:ascii="Arial" w:hAnsi="Arial" w:cs="Arial"/>
          <w:sz w:val="22"/>
          <w:szCs w:val="22"/>
        </w:rPr>
        <w:footnoteReference w:id="156"/>
      </w:r>
      <w:r w:rsidR="004C088D" w:rsidRPr="00040AA9">
        <w:rPr>
          <w:rFonts w:ascii="Arial" w:hAnsi="Arial" w:cs="Arial"/>
          <w:sz w:val="22"/>
          <w:szCs w:val="22"/>
        </w:rPr>
        <w:t xml:space="preserve"> </w:t>
      </w:r>
      <w:r w:rsidR="00452FCD" w:rsidRPr="00040AA9">
        <w:rPr>
          <w:rFonts w:ascii="Arial" w:hAnsi="Arial" w:cs="Arial"/>
          <w:sz w:val="22"/>
          <w:szCs w:val="22"/>
        </w:rPr>
        <w:t>The plan called for regular monitoring and reporting on these indicators</w:t>
      </w:r>
      <w:r w:rsidR="00221890" w:rsidRPr="00040AA9">
        <w:rPr>
          <w:rFonts w:ascii="Arial" w:hAnsi="Arial" w:cs="Arial"/>
          <w:sz w:val="22"/>
          <w:szCs w:val="22"/>
        </w:rPr>
        <w:t xml:space="preserve"> </w:t>
      </w:r>
      <w:r w:rsidR="00452FCD" w:rsidRPr="00040AA9">
        <w:rPr>
          <w:rFonts w:ascii="Arial" w:hAnsi="Arial" w:cs="Arial"/>
          <w:sz w:val="22"/>
          <w:szCs w:val="22"/>
        </w:rPr>
        <w:t>and</w:t>
      </w:r>
      <w:r w:rsidR="00221890" w:rsidRPr="00040AA9">
        <w:rPr>
          <w:rFonts w:ascii="Arial" w:hAnsi="Arial" w:cs="Arial"/>
          <w:sz w:val="22"/>
          <w:szCs w:val="22"/>
        </w:rPr>
        <w:t xml:space="preserve"> for responding to several key questions regarding the execution of the program and specifically whether the policy reforms:</w:t>
      </w:r>
      <w:r w:rsidR="00221890" w:rsidRPr="00040AA9">
        <w:rPr>
          <w:rStyle w:val="FootnoteReference"/>
          <w:rFonts w:ascii="Arial" w:hAnsi="Arial" w:cs="Arial"/>
          <w:sz w:val="22"/>
          <w:szCs w:val="22"/>
        </w:rPr>
        <w:footnoteReference w:id="157"/>
      </w:r>
      <w:r w:rsidR="00221890" w:rsidRPr="00040AA9">
        <w:rPr>
          <w:rFonts w:ascii="Arial" w:hAnsi="Arial" w:cs="Arial"/>
          <w:sz w:val="22"/>
          <w:szCs w:val="22"/>
        </w:rPr>
        <w:t xml:space="preserve"> (</w:t>
      </w:r>
      <w:proofErr w:type="spellStart"/>
      <w:r w:rsidR="00994333">
        <w:rPr>
          <w:rFonts w:ascii="Arial" w:hAnsi="Arial" w:cs="Arial"/>
          <w:sz w:val="22"/>
          <w:szCs w:val="22"/>
        </w:rPr>
        <w:t>i</w:t>
      </w:r>
      <w:proofErr w:type="spellEnd"/>
      <w:r w:rsidR="00221890" w:rsidRPr="00040AA9">
        <w:rPr>
          <w:rFonts w:ascii="Arial" w:hAnsi="Arial" w:cs="Arial"/>
          <w:sz w:val="22"/>
          <w:szCs w:val="22"/>
        </w:rPr>
        <w:t>) generated enough fiscal space to allow public investments to promote economic growth</w:t>
      </w:r>
      <w:r w:rsidR="00994333">
        <w:rPr>
          <w:rFonts w:ascii="Arial" w:hAnsi="Arial" w:cs="Arial"/>
          <w:sz w:val="22"/>
          <w:szCs w:val="22"/>
        </w:rPr>
        <w:t>;</w:t>
      </w:r>
      <w:r w:rsidR="00221890" w:rsidRPr="00040AA9">
        <w:rPr>
          <w:rFonts w:ascii="Arial" w:hAnsi="Arial" w:cs="Arial"/>
          <w:sz w:val="22"/>
          <w:szCs w:val="22"/>
        </w:rPr>
        <w:t xml:space="preserve"> (</w:t>
      </w:r>
      <w:r w:rsidR="00994333">
        <w:rPr>
          <w:rFonts w:ascii="Arial" w:hAnsi="Arial" w:cs="Arial"/>
          <w:sz w:val="22"/>
          <w:szCs w:val="22"/>
        </w:rPr>
        <w:t>ii</w:t>
      </w:r>
      <w:r w:rsidR="00221890" w:rsidRPr="00040AA9">
        <w:rPr>
          <w:rFonts w:ascii="Arial" w:hAnsi="Arial" w:cs="Arial"/>
          <w:sz w:val="22"/>
          <w:szCs w:val="22"/>
        </w:rPr>
        <w:t>) improved the public deficit balance</w:t>
      </w:r>
      <w:r w:rsidR="00994333">
        <w:rPr>
          <w:rFonts w:ascii="Arial" w:hAnsi="Arial" w:cs="Arial"/>
          <w:sz w:val="22"/>
          <w:szCs w:val="22"/>
        </w:rPr>
        <w:t>;</w:t>
      </w:r>
      <w:r w:rsidR="00221890" w:rsidRPr="00040AA9">
        <w:rPr>
          <w:rFonts w:ascii="Arial" w:hAnsi="Arial" w:cs="Arial"/>
          <w:sz w:val="22"/>
          <w:szCs w:val="22"/>
        </w:rPr>
        <w:t xml:space="preserve"> (</w:t>
      </w:r>
      <w:r w:rsidR="00994333">
        <w:rPr>
          <w:rFonts w:ascii="Arial" w:hAnsi="Arial" w:cs="Arial"/>
          <w:sz w:val="22"/>
          <w:szCs w:val="22"/>
        </w:rPr>
        <w:t>iii</w:t>
      </w:r>
      <w:r w:rsidR="00221890" w:rsidRPr="00040AA9">
        <w:rPr>
          <w:rFonts w:ascii="Arial" w:hAnsi="Arial" w:cs="Arial"/>
          <w:sz w:val="22"/>
          <w:szCs w:val="22"/>
        </w:rPr>
        <w:t>) improved the quality of tax reform</w:t>
      </w:r>
      <w:r w:rsidR="00994333">
        <w:rPr>
          <w:rFonts w:ascii="Arial" w:hAnsi="Arial" w:cs="Arial"/>
          <w:sz w:val="22"/>
          <w:szCs w:val="22"/>
        </w:rPr>
        <w:t>;</w:t>
      </w:r>
      <w:r w:rsidR="00221890" w:rsidRPr="00040AA9">
        <w:rPr>
          <w:rFonts w:ascii="Arial" w:hAnsi="Arial" w:cs="Arial"/>
          <w:sz w:val="22"/>
          <w:szCs w:val="22"/>
        </w:rPr>
        <w:t xml:space="preserve"> (</w:t>
      </w:r>
      <w:r w:rsidR="00994333">
        <w:rPr>
          <w:rFonts w:ascii="Arial" w:hAnsi="Arial" w:cs="Arial"/>
          <w:sz w:val="22"/>
          <w:szCs w:val="22"/>
        </w:rPr>
        <w:t>iv</w:t>
      </w:r>
      <w:r w:rsidR="00221890" w:rsidRPr="00040AA9">
        <w:rPr>
          <w:rFonts w:ascii="Arial" w:hAnsi="Arial" w:cs="Arial"/>
          <w:sz w:val="22"/>
          <w:szCs w:val="22"/>
        </w:rPr>
        <w:t>) improved the efficiency in the execution of tax (TAJ) and customs (JCA) administration</w:t>
      </w:r>
      <w:r w:rsidR="00994333">
        <w:rPr>
          <w:rFonts w:ascii="Arial" w:hAnsi="Arial" w:cs="Arial"/>
          <w:sz w:val="22"/>
          <w:szCs w:val="22"/>
        </w:rPr>
        <w:t>;</w:t>
      </w:r>
      <w:r w:rsidR="00221890" w:rsidRPr="00040AA9">
        <w:rPr>
          <w:rFonts w:ascii="Arial" w:hAnsi="Arial" w:cs="Arial"/>
          <w:sz w:val="22"/>
          <w:szCs w:val="22"/>
        </w:rPr>
        <w:t xml:space="preserve"> (</w:t>
      </w:r>
      <w:r w:rsidR="00994333">
        <w:rPr>
          <w:rFonts w:ascii="Arial" w:hAnsi="Arial" w:cs="Arial"/>
          <w:sz w:val="22"/>
          <w:szCs w:val="22"/>
        </w:rPr>
        <w:t>v</w:t>
      </w:r>
      <w:r w:rsidR="00221890" w:rsidRPr="00040AA9">
        <w:rPr>
          <w:rFonts w:ascii="Arial" w:hAnsi="Arial" w:cs="Arial"/>
          <w:sz w:val="22"/>
          <w:szCs w:val="22"/>
        </w:rPr>
        <w:t>) improved the quality of public expenditure</w:t>
      </w:r>
      <w:r w:rsidR="00994333">
        <w:rPr>
          <w:rFonts w:ascii="Arial" w:hAnsi="Arial" w:cs="Arial"/>
          <w:sz w:val="22"/>
          <w:szCs w:val="22"/>
        </w:rPr>
        <w:t>;</w:t>
      </w:r>
      <w:r w:rsidR="00221890" w:rsidRPr="00040AA9">
        <w:rPr>
          <w:rFonts w:ascii="Arial" w:hAnsi="Arial" w:cs="Arial"/>
          <w:sz w:val="22"/>
          <w:szCs w:val="22"/>
        </w:rPr>
        <w:t xml:space="preserve"> (</w:t>
      </w:r>
      <w:r w:rsidR="00994333">
        <w:rPr>
          <w:rFonts w:ascii="Arial" w:hAnsi="Arial" w:cs="Arial"/>
          <w:sz w:val="22"/>
          <w:szCs w:val="22"/>
        </w:rPr>
        <w:t>vi</w:t>
      </w:r>
      <w:r w:rsidR="00221890" w:rsidRPr="00040AA9">
        <w:rPr>
          <w:rFonts w:ascii="Arial" w:hAnsi="Arial" w:cs="Arial"/>
          <w:sz w:val="22"/>
          <w:szCs w:val="22"/>
        </w:rPr>
        <w:t>) improved the monitoring of the PB</w:t>
      </w:r>
      <w:r w:rsidR="00994333">
        <w:rPr>
          <w:rFonts w:ascii="Arial" w:hAnsi="Arial" w:cs="Arial"/>
          <w:sz w:val="22"/>
          <w:szCs w:val="22"/>
        </w:rPr>
        <w:t>;</w:t>
      </w:r>
      <w:r w:rsidR="00221890" w:rsidRPr="00040AA9">
        <w:rPr>
          <w:rFonts w:ascii="Arial" w:hAnsi="Arial" w:cs="Arial"/>
          <w:sz w:val="22"/>
          <w:szCs w:val="22"/>
        </w:rPr>
        <w:t xml:space="preserve"> (</w:t>
      </w:r>
      <w:r w:rsidR="00994333">
        <w:rPr>
          <w:rFonts w:ascii="Arial" w:hAnsi="Arial" w:cs="Arial"/>
          <w:sz w:val="22"/>
          <w:szCs w:val="22"/>
        </w:rPr>
        <w:t>vii</w:t>
      </w:r>
      <w:r w:rsidR="00221890" w:rsidRPr="00040AA9">
        <w:rPr>
          <w:rFonts w:ascii="Arial" w:hAnsi="Arial" w:cs="Arial"/>
          <w:sz w:val="22"/>
          <w:szCs w:val="22"/>
        </w:rPr>
        <w:t>) improved the quality of the N</w:t>
      </w:r>
      <w:r w:rsidR="00994333">
        <w:rPr>
          <w:rFonts w:ascii="Arial" w:hAnsi="Arial" w:cs="Arial"/>
          <w:sz w:val="22"/>
          <w:szCs w:val="22"/>
        </w:rPr>
        <w:t>IS;</w:t>
      </w:r>
      <w:r w:rsidR="00221890" w:rsidRPr="00040AA9">
        <w:rPr>
          <w:rFonts w:ascii="Arial" w:hAnsi="Arial" w:cs="Arial"/>
          <w:sz w:val="22"/>
          <w:szCs w:val="22"/>
        </w:rPr>
        <w:t xml:space="preserve"> and (</w:t>
      </w:r>
      <w:r w:rsidR="00994333">
        <w:rPr>
          <w:rFonts w:ascii="Arial" w:hAnsi="Arial" w:cs="Arial"/>
          <w:sz w:val="22"/>
          <w:szCs w:val="22"/>
        </w:rPr>
        <w:t>viii</w:t>
      </w:r>
      <w:r w:rsidR="00221890" w:rsidRPr="00040AA9">
        <w:rPr>
          <w:rFonts w:ascii="Arial" w:hAnsi="Arial" w:cs="Arial"/>
          <w:sz w:val="22"/>
          <w:szCs w:val="22"/>
        </w:rPr>
        <w:t>) improve the FRF environment.</w:t>
      </w:r>
      <w:r w:rsidR="004563E7" w:rsidRPr="00040AA9">
        <w:rPr>
          <w:rFonts w:ascii="Arial" w:hAnsi="Arial" w:cs="Arial"/>
          <w:sz w:val="22"/>
          <w:szCs w:val="22"/>
        </w:rPr>
        <w:t xml:space="preserve"> </w:t>
      </w:r>
    </w:p>
    <w:p w14:paraId="41BEC8A5" w14:textId="77777777" w:rsidR="00E52E4C" w:rsidRPr="00040AA9" w:rsidRDefault="00E52E4C" w:rsidP="00040AA9">
      <w:pPr>
        <w:pStyle w:val="ListParagraph"/>
        <w:numPr>
          <w:ilvl w:val="0"/>
          <w:numId w:val="7"/>
        </w:numPr>
        <w:suppressAutoHyphens/>
        <w:spacing w:before="120" w:after="120"/>
      </w:pPr>
      <w:bookmarkStart w:id="31" w:name="_Toc469493907"/>
      <w:r w:rsidRPr="00040AA9">
        <w:rPr>
          <w:rFonts w:cs="Arial"/>
          <w:b/>
        </w:rPr>
        <w:t>M&amp;E Implementation</w:t>
      </w:r>
      <w:bookmarkEnd w:id="31"/>
    </w:p>
    <w:p w14:paraId="7E69D6BA" w14:textId="4DE923A4" w:rsidR="0093570D" w:rsidRPr="00040AA9" w:rsidRDefault="00DA7B58" w:rsidP="00040AA9">
      <w:pPr>
        <w:suppressAutoHyphens/>
        <w:spacing w:before="120" w:after="120"/>
        <w:jc w:val="both"/>
        <w:rPr>
          <w:rFonts w:ascii="Arial" w:hAnsi="Arial" w:cs="Arial"/>
          <w:sz w:val="22"/>
          <w:szCs w:val="22"/>
        </w:rPr>
      </w:pPr>
      <w:r w:rsidRPr="00040AA9">
        <w:rPr>
          <w:rFonts w:ascii="Arial" w:hAnsi="Arial" w:cs="Arial"/>
          <w:sz w:val="22"/>
          <w:szCs w:val="22"/>
        </w:rPr>
        <w:t>The</w:t>
      </w:r>
      <w:r w:rsidR="00041424" w:rsidRPr="00040AA9">
        <w:rPr>
          <w:rFonts w:ascii="Arial" w:hAnsi="Arial" w:cs="Arial"/>
          <w:sz w:val="22"/>
          <w:szCs w:val="22"/>
        </w:rPr>
        <w:t xml:space="preserve"> M&amp;E plan </w:t>
      </w:r>
      <w:r w:rsidRPr="00040AA9">
        <w:rPr>
          <w:rFonts w:ascii="Arial" w:hAnsi="Arial" w:cs="Arial"/>
          <w:sz w:val="22"/>
          <w:szCs w:val="22"/>
        </w:rPr>
        <w:t xml:space="preserve">was broadly </w:t>
      </w:r>
      <w:r w:rsidR="00041424" w:rsidRPr="00040AA9">
        <w:rPr>
          <w:rFonts w:ascii="Arial" w:hAnsi="Arial" w:cs="Arial"/>
          <w:sz w:val="22"/>
          <w:szCs w:val="22"/>
        </w:rPr>
        <w:t>carried out</w:t>
      </w:r>
      <w:r w:rsidR="000C05F3" w:rsidRPr="00040AA9">
        <w:rPr>
          <w:rFonts w:ascii="Arial" w:hAnsi="Arial" w:cs="Arial"/>
          <w:sz w:val="22"/>
          <w:szCs w:val="22"/>
        </w:rPr>
        <w:t xml:space="preserve"> as anticipated</w:t>
      </w:r>
      <w:r w:rsidR="00041424" w:rsidRPr="00040AA9">
        <w:rPr>
          <w:rFonts w:ascii="Arial" w:hAnsi="Arial" w:cs="Arial"/>
          <w:sz w:val="22"/>
          <w:szCs w:val="22"/>
        </w:rPr>
        <w:t xml:space="preserve">. </w:t>
      </w:r>
      <w:r w:rsidR="00D13412" w:rsidRPr="00040AA9">
        <w:rPr>
          <w:rFonts w:ascii="Arial" w:hAnsi="Arial" w:cs="Arial"/>
          <w:sz w:val="22"/>
          <w:szCs w:val="22"/>
        </w:rPr>
        <w:t xml:space="preserve">The performance </w:t>
      </w:r>
      <w:r w:rsidR="00F90ED1" w:rsidRPr="00040AA9">
        <w:rPr>
          <w:rFonts w:ascii="Arial" w:hAnsi="Arial" w:cs="Arial"/>
          <w:sz w:val="22"/>
          <w:szCs w:val="22"/>
        </w:rPr>
        <w:t xml:space="preserve">criteria implicit in the questions raised by </w:t>
      </w:r>
      <w:r w:rsidR="00ED3943" w:rsidRPr="00040AA9">
        <w:rPr>
          <w:rFonts w:ascii="Arial" w:hAnsi="Arial" w:cs="Arial"/>
          <w:sz w:val="22"/>
          <w:szCs w:val="22"/>
        </w:rPr>
        <w:t xml:space="preserve">the M&amp;E design were embedded in the </w:t>
      </w:r>
      <w:r w:rsidR="002934DE" w:rsidRPr="00040AA9">
        <w:rPr>
          <w:rFonts w:ascii="Arial" w:hAnsi="Arial" w:cs="Arial"/>
          <w:sz w:val="22"/>
          <w:szCs w:val="22"/>
        </w:rPr>
        <w:t xml:space="preserve">corresponding </w:t>
      </w:r>
      <w:r w:rsidR="00ED3943" w:rsidRPr="00040AA9">
        <w:rPr>
          <w:rFonts w:ascii="Arial" w:hAnsi="Arial" w:cs="Arial"/>
          <w:sz w:val="22"/>
          <w:szCs w:val="22"/>
        </w:rPr>
        <w:t>policy matri</w:t>
      </w:r>
      <w:r w:rsidR="002934DE" w:rsidRPr="00040AA9">
        <w:rPr>
          <w:rFonts w:ascii="Arial" w:hAnsi="Arial" w:cs="Arial"/>
          <w:sz w:val="22"/>
          <w:szCs w:val="22"/>
        </w:rPr>
        <w:t>x and</w:t>
      </w:r>
      <w:r w:rsidR="00C76339" w:rsidRPr="00040AA9">
        <w:rPr>
          <w:rFonts w:ascii="Arial" w:hAnsi="Arial" w:cs="Arial"/>
          <w:sz w:val="22"/>
          <w:szCs w:val="22"/>
        </w:rPr>
        <w:t xml:space="preserve"> conditions precedent</w:t>
      </w:r>
      <w:r w:rsidR="002934DE" w:rsidRPr="00040AA9">
        <w:rPr>
          <w:rFonts w:ascii="Arial" w:hAnsi="Arial" w:cs="Arial"/>
          <w:sz w:val="22"/>
          <w:szCs w:val="22"/>
        </w:rPr>
        <w:t xml:space="preserve"> to loan disbursement</w:t>
      </w:r>
      <w:r w:rsidR="009241E8" w:rsidRPr="00040AA9">
        <w:rPr>
          <w:rFonts w:ascii="Arial" w:hAnsi="Arial" w:cs="Arial"/>
          <w:sz w:val="22"/>
          <w:szCs w:val="22"/>
        </w:rPr>
        <w:t xml:space="preserve">. </w:t>
      </w:r>
      <w:r w:rsidR="002905E0" w:rsidRPr="002905E0">
        <w:rPr>
          <w:rFonts w:ascii="Arial" w:hAnsi="Arial" w:cs="Arial"/>
          <w:sz w:val="22"/>
          <w:szCs w:val="22"/>
        </w:rPr>
        <w:t>Thus,</w:t>
      </w:r>
      <w:r w:rsidR="00E1302D" w:rsidRPr="00040AA9">
        <w:rPr>
          <w:rFonts w:ascii="Arial" w:hAnsi="Arial" w:cs="Arial"/>
          <w:sz w:val="22"/>
          <w:szCs w:val="22"/>
        </w:rPr>
        <w:t xml:space="preserve"> </w:t>
      </w:r>
      <w:r w:rsidR="00F90ED1" w:rsidRPr="00040AA9">
        <w:rPr>
          <w:rFonts w:ascii="Arial" w:hAnsi="Arial" w:cs="Arial"/>
          <w:sz w:val="22"/>
          <w:szCs w:val="22"/>
        </w:rPr>
        <w:t xml:space="preserve">as each stage of the operation was presented for approval, compliance with these M&amp;E performance criteria were being </w:t>
      </w:r>
      <w:r w:rsidR="00B4265E" w:rsidRPr="00040AA9">
        <w:rPr>
          <w:rFonts w:ascii="Arial" w:hAnsi="Arial" w:cs="Arial"/>
          <w:sz w:val="22"/>
          <w:szCs w:val="22"/>
        </w:rPr>
        <w:t xml:space="preserve">evaluated. </w:t>
      </w:r>
    </w:p>
    <w:p w14:paraId="49790D7D" w14:textId="03B609E8" w:rsidR="00041424" w:rsidRPr="00040AA9" w:rsidRDefault="008A29D4" w:rsidP="00040AA9">
      <w:pPr>
        <w:suppressAutoHyphens/>
        <w:spacing w:before="120" w:after="120"/>
        <w:jc w:val="both"/>
        <w:rPr>
          <w:rFonts w:ascii="Arial" w:hAnsi="Arial" w:cs="Arial"/>
          <w:sz w:val="22"/>
          <w:szCs w:val="22"/>
        </w:rPr>
      </w:pPr>
      <w:r w:rsidRPr="00040AA9">
        <w:rPr>
          <w:rFonts w:ascii="Arial" w:hAnsi="Arial" w:cs="Arial"/>
          <w:sz w:val="22"/>
          <w:szCs w:val="22"/>
        </w:rPr>
        <w:t>T</w:t>
      </w:r>
      <w:r w:rsidR="000C05F3" w:rsidRPr="00040AA9">
        <w:rPr>
          <w:rFonts w:ascii="Arial" w:hAnsi="Arial" w:cs="Arial"/>
          <w:sz w:val="22"/>
          <w:szCs w:val="22"/>
        </w:rPr>
        <w:t xml:space="preserve">he </w:t>
      </w:r>
      <w:r w:rsidRPr="00040AA9">
        <w:rPr>
          <w:rFonts w:ascii="Arial" w:hAnsi="Arial" w:cs="Arial"/>
          <w:sz w:val="22"/>
          <w:szCs w:val="22"/>
        </w:rPr>
        <w:t xml:space="preserve">three </w:t>
      </w:r>
      <w:r w:rsidR="00DC1810" w:rsidRPr="00040AA9">
        <w:rPr>
          <w:rFonts w:ascii="Arial" w:hAnsi="Arial" w:cs="Arial"/>
          <w:sz w:val="22"/>
          <w:szCs w:val="22"/>
        </w:rPr>
        <w:t>operation-</w:t>
      </w:r>
      <w:r w:rsidR="003169BC" w:rsidRPr="00040AA9">
        <w:rPr>
          <w:rFonts w:ascii="Arial" w:hAnsi="Arial" w:cs="Arial"/>
          <w:sz w:val="22"/>
          <w:szCs w:val="22"/>
        </w:rPr>
        <w:t>specific RM</w:t>
      </w:r>
      <w:r w:rsidR="004A5417">
        <w:rPr>
          <w:rFonts w:ascii="Arial" w:hAnsi="Arial" w:cs="Arial"/>
          <w:sz w:val="22"/>
          <w:szCs w:val="22"/>
        </w:rPr>
        <w:t>s</w:t>
      </w:r>
      <w:r w:rsidR="003169BC" w:rsidRPr="00040AA9">
        <w:rPr>
          <w:rFonts w:ascii="Arial" w:hAnsi="Arial" w:cs="Arial"/>
          <w:sz w:val="22"/>
          <w:szCs w:val="22"/>
        </w:rPr>
        <w:t xml:space="preserve"> </w:t>
      </w:r>
      <w:r w:rsidR="00510E0F" w:rsidRPr="00040AA9">
        <w:rPr>
          <w:rFonts w:ascii="Arial" w:hAnsi="Arial" w:cs="Arial"/>
          <w:sz w:val="22"/>
          <w:szCs w:val="22"/>
        </w:rPr>
        <w:t xml:space="preserve">were combined </w:t>
      </w:r>
      <w:r w:rsidR="00CB4FAC" w:rsidRPr="00040AA9">
        <w:rPr>
          <w:rFonts w:ascii="Arial" w:hAnsi="Arial" w:cs="Arial"/>
          <w:sz w:val="22"/>
          <w:szCs w:val="22"/>
        </w:rPr>
        <w:t>into the con</w:t>
      </w:r>
      <w:r w:rsidR="009007DC">
        <w:rPr>
          <w:rFonts w:ascii="Arial" w:hAnsi="Arial" w:cs="Arial"/>
          <w:sz w:val="22"/>
          <w:szCs w:val="22"/>
        </w:rPr>
        <w:t>solidated RM displayed as Table </w:t>
      </w:r>
      <w:r w:rsidR="00CB4FAC" w:rsidRPr="00040AA9">
        <w:rPr>
          <w:rFonts w:ascii="Arial" w:hAnsi="Arial" w:cs="Arial"/>
          <w:sz w:val="22"/>
          <w:szCs w:val="22"/>
        </w:rPr>
        <w:t>2</w:t>
      </w:r>
      <w:r w:rsidR="009007DC">
        <w:rPr>
          <w:rFonts w:ascii="Arial" w:hAnsi="Arial" w:cs="Arial"/>
          <w:sz w:val="22"/>
          <w:szCs w:val="22"/>
        </w:rPr>
        <w:t> </w:t>
      </w:r>
      <w:r w:rsidR="00CB4FAC" w:rsidRPr="00040AA9">
        <w:rPr>
          <w:rFonts w:ascii="Arial" w:hAnsi="Arial" w:cs="Arial"/>
          <w:sz w:val="22"/>
          <w:szCs w:val="22"/>
        </w:rPr>
        <w:t>above</w:t>
      </w:r>
      <w:r w:rsidR="00F35729" w:rsidRPr="00040AA9">
        <w:rPr>
          <w:rFonts w:ascii="Arial" w:hAnsi="Arial" w:cs="Arial"/>
          <w:sz w:val="22"/>
          <w:szCs w:val="22"/>
        </w:rPr>
        <w:t xml:space="preserve"> as part of the preparation of this PCR</w:t>
      </w:r>
      <w:r w:rsidR="00510E0F" w:rsidRPr="00040AA9">
        <w:rPr>
          <w:rFonts w:ascii="Arial" w:hAnsi="Arial" w:cs="Arial"/>
          <w:sz w:val="22"/>
          <w:szCs w:val="22"/>
        </w:rPr>
        <w:t>. This consolidated RM</w:t>
      </w:r>
      <w:r w:rsidR="008555C2" w:rsidRPr="00040AA9">
        <w:rPr>
          <w:rFonts w:ascii="Arial" w:hAnsi="Arial" w:cs="Arial"/>
          <w:sz w:val="22"/>
          <w:szCs w:val="22"/>
        </w:rPr>
        <w:t xml:space="preserve"> provides </w:t>
      </w:r>
      <w:r w:rsidR="004563E7" w:rsidRPr="00040AA9">
        <w:rPr>
          <w:rFonts w:ascii="Arial" w:hAnsi="Arial" w:cs="Arial"/>
          <w:sz w:val="22"/>
          <w:szCs w:val="22"/>
        </w:rPr>
        <w:t xml:space="preserve">the framework for </w:t>
      </w:r>
      <w:r w:rsidR="008555C2" w:rsidRPr="00040AA9">
        <w:rPr>
          <w:rFonts w:ascii="Arial" w:hAnsi="Arial" w:cs="Arial"/>
          <w:sz w:val="22"/>
          <w:szCs w:val="22"/>
        </w:rPr>
        <w:t xml:space="preserve">the complete set of performance </w:t>
      </w:r>
      <w:r w:rsidR="00660078" w:rsidRPr="00040AA9">
        <w:rPr>
          <w:rFonts w:ascii="Arial" w:hAnsi="Arial" w:cs="Arial"/>
          <w:sz w:val="22"/>
          <w:szCs w:val="22"/>
        </w:rPr>
        <w:t>criteria</w:t>
      </w:r>
      <w:r w:rsidR="008555C2" w:rsidRPr="00040AA9">
        <w:rPr>
          <w:rFonts w:ascii="Arial" w:hAnsi="Arial" w:cs="Arial"/>
          <w:sz w:val="22"/>
          <w:szCs w:val="22"/>
        </w:rPr>
        <w:t xml:space="preserve"> specified </w:t>
      </w:r>
      <w:r w:rsidR="004563E7" w:rsidRPr="00040AA9">
        <w:rPr>
          <w:rFonts w:ascii="Arial" w:hAnsi="Arial" w:cs="Arial"/>
          <w:sz w:val="22"/>
          <w:szCs w:val="22"/>
        </w:rPr>
        <w:t xml:space="preserve">during program preparation and execution. </w:t>
      </w:r>
      <w:r w:rsidR="00180E86" w:rsidRPr="00040AA9">
        <w:rPr>
          <w:rFonts w:ascii="Arial" w:hAnsi="Arial" w:cs="Arial"/>
          <w:sz w:val="22"/>
          <w:szCs w:val="22"/>
        </w:rPr>
        <w:t xml:space="preserve">As part of this </w:t>
      </w:r>
      <w:r w:rsidR="0082489D" w:rsidRPr="00040AA9">
        <w:rPr>
          <w:rFonts w:ascii="Arial" w:hAnsi="Arial" w:cs="Arial"/>
          <w:sz w:val="22"/>
          <w:szCs w:val="22"/>
        </w:rPr>
        <w:t xml:space="preserve">consolidation </w:t>
      </w:r>
      <w:r w:rsidR="00180E86" w:rsidRPr="00040AA9">
        <w:rPr>
          <w:rFonts w:ascii="Arial" w:hAnsi="Arial" w:cs="Arial"/>
          <w:sz w:val="22"/>
          <w:szCs w:val="22"/>
        </w:rPr>
        <w:t>process t</w:t>
      </w:r>
      <w:r w:rsidR="00463810" w:rsidRPr="00040AA9">
        <w:rPr>
          <w:rFonts w:ascii="Arial" w:hAnsi="Arial" w:cs="Arial"/>
          <w:sz w:val="22"/>
          <w:szCs w:val="22"/>
        </w:rPr>
        <w:t xml:space="preserve">he </w:t>
      </w:r>
      <w:r w:rsidR="00F35729" w:rsidRPr="00040AA9">
        <w:rPr>
          <w:rFonts w:ascii="Arial" w:hAnsi="Arial" w:cs="Arial"/>
          <w:sz w:val="22"/>
          <w:szCs w:val="22"/>
        </w:rPr>
        <w:t xml:space="preserve">interim and </w:t>
      </w:r>
      <w:r w:rsidR="00463810" w:rsidRPr="00040AA9">
        <w:rPr>
          <w:rFonts w:ascii="Arial" w:hAnsi="Arial" w:cs="Arial"/>
          <w:sz w:val="22"/>
          <w:szCs w:val="22"/>
        </w:rPr>
        <w:t xml:space="preserve">end-of-program actual values for the indicators were collected and entered into this RM </w:t>
      </w:r>
      <w:r w:rsidR="00C539B1" w:rsidRPr="00040AA9">
        <w:rPr>
          <w:rFonts w:ascii="Arial" w:hAnsi="Arial" w:cs="Arial"/>
          <w:sz w:val="22"/>
          <w:szCs w:val="22"/>
        </w:rPr>
        <w:t>and subsequently uploaded into the Convergence platform</w:t>
      </w:r>
      <w:r w:rsidR="00323865" w:rsidRPr="00040AA9">
        <w:rPr>
          <w:rFonts w:ascii="Arial" w:hAnsi="Arial" w:cs="Arial"/>
          <w:sz w:val="22"/>
          <w:szCs w:val="22"/>
        </w:rPr>
        <w:t xml:space="preserve">. </w:t>
      </w:r>
    </w:p>
    <w:p w14:paraId="1C3E4B86" w14:textId="46F1D14D" w:rsidR="00154A30" w:rsidRPr="00040AA9" w:rsidRDefault="00154A30" w:rsidP="00040AA9">
      <w:pPr>
        <w:suppressAutoHyphens/>
        <w:spacing w:before="120" w:after="120"/>
        <w:jc w:val="both"/>
        <w:rPr>
          <w:rFonts w:ascii="Arial" w:hAnsi="Arial" w:cs="Arial"/>
          <w:sz w:val="22"/>
          <w:szCs w:val="22"/>
        </w:rPr>
      </w:pPr>
      <w:r w:rsidRPr="00040AA9">
        <w:rPr>
          <w:rFonts w:ascii="Arial" w:hAnsi="Arial" w:cs="Arial"/>
          <w:sz w:val="22"/>
          <w:szCs w:val="22"/>
        </w:rPr>
        <w:t>The counterfactual analysis presented in Annex III and the ex-post analysis of relative benefits and costs</w:t>
      </w:r>
      <w:r w:rsidR="00323865" w:rsidRPr="00040AA9">
        <w:rPr>
          <w:rFonts w:ascii="Arial" w:hAnsi="Arial" w:cs="Arial"/>
          <w:sz w:val="22"/>
          <w:szCs w:val="22"/>
        </w:rPr>
        <w:t xml:space="preserve"> presented in Annex IV form</w:t>
      </w:r>
      <w:r w:rsidRPr="00040AA9">
        <w:rPr>
          <w:rFonts w:ascii="Arial" w:hAnsi="Arial" w:cs="Arial"/>
          <w:sz w:val="22"/>
          <w:szCs w:val="22"/>
        </w:rPr>
        <w:t xml:space="preserve"> integral </w:t>
      </w:r>
      <w:r w:rsidR="00125343" w:rsidRPr="00040AA9">
        <w:rPr>
          <w:rFonts w:ascii="Arial" w:hAnsi="Arial" w:cs="Arial"/>
          <w:sz w:val="22"/>
          <w:szCs w:val="22"/>
        </w:rPr>
        <w:t>building blocks</w:t>
      </w:r>
      <w:r w:rsidRPr="00040AA9">
        <w:rPr>
          <w:rFonts w:ascii="Arial" w:hAnsi="Arial" w:cs="Arial"/>
          <w:sz w:val="22"/>
          <w:szCs w:val="22"/>
        </w:rPr>
        <w:t xml:space="preserve"> of the M&amp;E design and implementation. The findings of these analyses </w:t>
      </w:r>
      <w:r w:rsidR="002905E0" w:rsidRPr="002905E0">
        <w:rPr>
          <w:rFonts w:ascii="Arial" w:hAnsi="Arial" w:cs="Arial"/>
          <w:sz w:val="22"/>
          <w:szCs w:val="22"/>
        </w:rPr>
        <w:t>provide</w:t>
      </w:r>
      <w:r w:rsidRPr="00040AA9">
        <w:rPr>
          <w:rFonts w:ascii="Arial" w:hAnsi="Arial" w:cs="Arial"/>
          <w:sz w:val="22"/>
          <w:szCs w:val="22"/>
        </w:rPr>
        <w:t xml:space="preserve"> complementary information which demonstrates the strong performance of the tax policy and administration component of the program. </w:t>
      </w:r>
    </w:p>
    <w:p w14:paraId="3CCE310D" w14:textId="56A47FB9" w:rsidR="00E52E4C" w:rsidRPr="00040AA9" w:rsidRDefault="00E52E4C" w:rsidP="00040AA9">
      <w:pPr>
        <w:pStyle w:val="Heading3"/>
        <w:keepNext w:val="0"/>
        <w:keepLines w:val="0"/>
        <w:numPr>
          <w:ilvl w:val="0"/>
          <w:numId w:val="7"/>
        </w:numPr>
        <w:suppressAutoHyphens/>
        <w:spacing w:before="120" w:after="120"/>
        <w:jc w:val="both"/>
        <w:rPr>
          <w:szCs w:val="22"/>
        </w:rPr>
      </w:pPr>
      <w:bookmarkStart w:id="32" w:name="_Toc469493908"/>
      <w:r w:rsidRPr="00040AA9">
        <w:rPr>
          <w:szCs w:val="22"/>
        </w:rPr>
        <w:t>M&amp;E Utilization</w:t>
      </w:r>
      <w:bookmarkEnd w:id="32"/>
    </w:p>
    <w:p w14:paraId="2982B37C" w14:textId="05BFD91A" w:rsidR="00E52E4C" w:rsidRPr="00040AA9" w:rsidRDefault="00154A30" w:rsidP="00040AA9">
      <w:pPr>
        <w:suppressAutoHyphens/>
        <w:spacing w:before="120" w:after="120"/>
        <w:jc w:val="both"/>
        <w:rPr>
          <w:rFonts w:ascii="Arial" w:hAnsi="Arial" w:cs="Arial"/>
          <w:sz w:val="22"/>
          <w:szCs w:val="22"/>
        </w:rPr>
      </w:pPr>
      <w:r w:rsidRPr="00040AA9">
        <w:rPr>
          <w:rFonts w:ascii="Arial" w:hAnsi="Arial" w:cs="Arial"/>
          <w:sz w:val="22"/>
          <w:szCs w:val="22"/>
        </w:rPr>
        <w:t xml:space="preserve">The </w:t>
      </w:r>
      <w:r w:rsidR="00352363" w:rsidRPr="00040AA9">
        <w:rPr>
          <w:rFonts w:ascii="Arial" w:hAnsi="Arial" w:cs="Arial"/>
          <w:sz w:val="22"/>
          <w:szCs w:val="22"/>
        </w:rPr>
        <w:t xml:space="preserve">relevant </w:t>
      </w:r>
      <w:r w:rsidR="00CB4237" w:rsidRPr="00040AA9">
        <w:rPr>
          <w:rFonts w:ascii="Arial" w:hAnsi="Arial" w:cs="Arial"/>
          <w:sz w:val="22"/>
          <w:szCs w:val="22"/>
        </w:rPr>
        <w:t xml:space="preserve">results of the early interventions in FISPEG I </w:t>
      </w:r>
      <w:r w:rsidR="002658BD" w:rsidRPr="00040AA9">
        <w:rPr>
          <w:rFonts w:ascii="Arial" w:hAnsi="Arial" w:cs="Arial"/>
          <w:sz w:val="22"/>
          <w:szCs w:val="22"/>
        </w:rPr>
        <w:t>were</w:t>
      </w:r>
      <w:r w:rsidR="00352363" w:rsidRPr="00040AA9">
        <w:rPr>
          <w:rFonts w:ascii="Arial" w:hAnsi="Arial" w:cs="Arial"/>
          <w:sz w:val="22"/>
          <w:szCs w:val="22"/>
        </w:rPr>
        <w:t xml:space="preserve"> </w:t>
      </w:r>
      <w:r w:rsidR="00CB4237" w:rsidRPr="00040AA9">
        <w:rPr>
          <w:rFonts w:ascii="Arial" w:hAnsi="Arial" w:cs="Arial"/>
          <w:sz w:val="22"/>
          <w:szCs w:val="22"/>
        </w:rPr>
        <w:t xml:space="preserve">taken into account in the fine tuning of the </w:t>
      </w:r>
      <w:r w:rsidR="00352363" w:rsidRPr="00040AA9">
        <w:rPr>
          <w:rFonts w:ascii="Arial" w:hAnsi="Arial" w:cs="Arial"/>
          <w:sz w:val="22"/>
          <w:szCs w:val="22"/>
        </w:rPr>
        <w:t xml:space="preserve">design of the subsequent FISPEG II </w:t>
      </w:r>
      <w:r w:rsidR="00D84887" w:rsidRPr="00040AA9">
        <w:rPr>
          <w:rFonts w:ascii="Arial" w:hAnsi="Arial" w:cs="Arial"/>
          <w:sz w:val="22"/>
          <w:szCs w:val="22"/>
        </w:rPr>
        <w:t xml:space="preserve">operation and similarly the results of this </w:t>
      </w:r>
      <w:r w:rsidR="005C5843" w:rsidRPr="00040AA9">
        <w:rPr>
          <w:rFonts w:ascii="Arial" w:hAnsi="Arial" w:cs="Arial"/>
          <w:sz w:val="22"/>
          <w:szCs w:val="22"/>
        </w:rPr>
        <w:t>second stage were useful in the design of FISPEG III. This beneficial feedback was</w:t>
      </w:r>
      <w:r w:rsidR="00352363" w:rsidRPr="00040AA9">
        <w:rPr>
          <w:rFonts w:ascii="Arial" w:hAnsi="Arial" w:cs="Arial"/>
          <w:sz w:val="22"/>
          <w:szCs w:val="22"/>
        </w:rPr>
        <w:t xml:space="preserve"> particularly </w:t>
      </w:r>
      <w:r w:rsidR="005C5843" w:rsidRPr="00040AA9">
        <w:rPr>
          <w:rFonts w:ascii="Arial" w:hAnsi="Arial" w:cs="Arial"/>
          <w:sz w:val="22"/>
          <w:szCs w:val="22"/>
        </w:rPr>
        <w:t xml:space="preserve">pronounced </w:t>
      </w:r>
      <w:r w:rsidR="00352363" w:rsidRPr="00040AA9">
        <w:rPr>
          <w:rFonts w:ascii="Arial" w:hAnsi="Arial" w:cs="Arial"/>
          <w:sz w:val="22"/>
          <w:szCs w:val="22"/>
        </w:rPr>
        <w:t>in the case of Component II (Tax Reform) of the program.</w:t>
      </w:r>
      <w:r w:rsidR="00125343" w:rsidRPr="00040AA9">
        <w:rPr>
          <w:rFonts w:ascii="Arial" w:hAnsi="Arial" w:cs="Arial"/>
          <w:sz w:val="22"/>
          <w:szCs w:val="22"/>
        </w:rPr>
        <w:t xml:space="preserve"> The M&amp;E findings have also </w:t>
      </w:r>
      <w:r w:rsidR="002905E0" w:rsidRPr="00CF5903">
        <w:rPr>
          <w:rFonts w:ascii="Arial" w:hAnsi="Arial" w:cs="Arial"/>
          <w:sz w:val="22"/>
          <w:szCs w:val="22"/>
        </w:rPr>
        <w:t>been</w:t>
      </w:r>
      <w:r w:rsidR="00125343" w:rsidRPr="00040AA9">
        <w:rPr>
          <w:rFonts w:ascii="Arial" w:hAnsi="Arial" w:cs="Arial"/>
          <w:sz w:val="22"/>
          <w:szCs w:val="22"/>
        </w:rPr>
        <w:t xml:space="preserve"> taken into account </w:t>
      </w:r>
      <w:r w:rsidR="00CD74F8" w:rsidRPr="00040AA9">
        <w:rPr>
          <w:rFonts w:ascii="Arial" w:hAnsi="Arial" w:cs="Arial"/>
          <w:sz w:val="22"/>
          <w:szCs w:val="22"/>
        </w:rPr>
        <w:t>in the execution of the parallel FAMP operation.</w:t>
      </w:r>
    </w:p>
    <w:p w14:paraId="162C6C99" w14:textId="77777777" w:rsidR="009B4D7A" w:rsidRPr="00040AA9" w:rsidRDefault="009B4D7A" w:rsidP="00040AA9">
      <w:pPr>
        <w:pStyle w:val="Heading2"/>
        <w:keepNext w:val="0"/>
        <w:keepLines w:val="0"/>
        <w:numPr>
          <w:ilvl w:val="1"/>
          <w:numId w:val="1"/>
        </w:numPr>
        <w:suppressAutoHyphens/>
        <w:jc w:val="both"/>
        <w:rPr>
          <w:rFonts w:cs="Arial"/>
          <w:szCs w:val="22"/>
        </w:rPr>
      </w:pPr>
      <w:bookmarkStart w:id="33" w:name="_Toc469493909"/>
      <w:r w:rsidRPr="00040AA9">
        <w:rPr>
          <w:rFonts w:cs="Arial"/>
          <w:szCs w:val="22"/>
        </w:rPr>
        <w:t>Use of Country Systems</w:t>
      </w:r>
      <w:bookmarkEnd w:id="33"/>
    </w:p>
    <w:p w14:paraId="0CD0B63A" w14:textId="77777777" w:rsidR="00735172" w:rsidRDefault="006D3BAA" w:rsidP="003606E2">
      <w:pPr>
        <w:pStyle w:val="p1"/>
        <w:suppressAutoHyphens/>
        <w:spacing w:before="120" w:after="120"/>
        <w:jc w:val="both"/>
        <w:rPr>
          <w:rFonts w:ascii="Arial" w:hAnsi="Arial" w:cs="Arial"/>
          <w:sz w:val="22"/>
          <w:szCs w:val="22"/>
        </w:rPr>
      </w:pPr>
      <w:r w:rsidRPr="00040AA9">
        <w:rPr>
          <w:rFonts w:ascii="Arial" w:hAnsi="Arial" w:cs="Arial"/>
          <w:sz w:val="22"/>
          <w:szCs w:val="22"/>
        </w:rPr>
        <w:t>As t</w:t>
      </w:r>
      <w:r w:rsidR="00A15304" w:rsidRPr="00040AA9">
        <w:rPr>
          <w:rFonts w:ascii="Arial" w:hAnsi="Arial" w:cs="Arial"/>
          <w:sz w:val="22"/>
          <w:szCs w:val="22"/>
        </w:rPr>
        <w:t xml:space="preserve">he operation was designed as a PBP consistent with the </w:t>
      </w:r>
      <w:r w:rsidR="00DC73AE" w:rsidRPr="00040AA9">
        <w:rPr>
          <w:rFonts w:ascii="Arial" w:hAnsi="Arial" w:cs="Arial"/>
          <w:sz w:val="22"/>
          <w:szCs w:val="22"/>
        </w:rPr>
        <w:t>provisions established in</w:t>
      </w:r>
      <w:r w:rsidR="009007DC">
        <w:rPr>
          <w:rFonts w:ascii="Arial" w:hAnsi="Arial" w:cs="Arial"/>
          <w:sz w:val="22"/>
          <w:szCs w:val="22"/>
        </w:rPr>
        <w:t xml:space="preserve"> </w:t>
      </w:r>
      <w:r w:rsidR="00DC73AE" w:rsidRPr="00040AA9">
        <w:rPr>
          <w:rFonts w:ascii="Arial" w:hAnsi="Arial" w:cs="Arial"/>
          <w:sz w:val="22"/>
          <w:szCs w:val="22"/>
        </w:rPr>
        <w:t>CS-3633</w:t>
      </w:r>
      <w:r w:rsidR="009007DC">
        <w:rPr>
          <w:rFonts w:ascii="Arial" w:hAnsi="Arial" w:cs="Arial"/>
          <w:sz w:val="22"/>
          <w:szCs w:val="22"/>
        </w:rPr>
        <w:noBreakHyphen/>
      </w:r>
      <w:r w:rsidR="00DC73AE" w:rsidRPr="00040AA9">
        <w:rPr>
          <w:rFonts w:ascii="Arial" w:hAnsi="Arial" w:cs="Arial"/>
          <w:sz w:val="22"/>
          <w:szCs w:val="22"/>
        </w:rPr>
        <w:t>1</w:t>
      </w:r>
      <w:r w:rsidR="00A15304" w:rsidRPr="00040AA9">
        <w:rPr>
          <w:rFonts w:ascii="Arial" w:hAnsi="Arial" w:cs="Arial"/>
          <w:sz w:val="22"/>
          <w:szCs w:val="22"/>
        </w:rPr>
        <w:t xml:space="preserve"> </w:t>
      </w:r>
      <w:r w:rsidR="004A5417">
        <w:rPr>
          <w:rFonts w:ascii="Arial" w:hAnsi="Arial" w:cs="Arial"/>
          <w:sz w:val="22"/>
          <w:szCs w:val="22"/>
        </w:rPr>
        <w:t>“</w:t>
      </w:r>
      <w:r w:rsidR="005C63E2" w:rsidRPr="00040AA9">
        <w:rPr>
          <w:rFonts w:ascii="Arial" w:hAnsi="Arial" w:cs="Arial"/>
          <w:sz w:val="22"/>
          <w:szCs w:val="22"/>
        </w:rPr>
        <w:t>Policy-based Loans: Guidelines for Preparation and Implementation New Version”</w:t>
      </w:r>
      <w:r w:rsidRPr="00040AA9">
        <w:rPr>
          <w:rFonts w:ascii="Arial" w:hAnsi="Arial" w:cs="Arial"/>
          <w:sz w:val="22"/>
          <w:szCs w:val="22"/>
        </w:rPr>
        <w:t>, the use of national fiduciary or non-</w:t>
      </w:r>
      <w:r w:rsidR="006E4A97" w:rsidRPr="00040AA9">
        <w:rPr>
          <w:rFonts w:ascii="Arial" w:hAnsi="Arial" w:cs="Arial"/>
          <w:sz w:val="22"/>
          <w:szCs w:val="22"/>
        </w:rPr>
        <w:t>fiduciary</w:t>
      </w:r>
      <w:bookmarkStart w:id="34" w:name="_Toc469493910"/>
      <w:r w:rsidR="009007DC">
        <w:rPr>
          <w:rFonts w:ascii="Arial" w:hAnsi="Arial" w:cs="Arial"/>
          <w:sz w:val="22"/>
          <w:szCs w:val="22"/>
        </w:rPr>
        <w:t xml:space="preserve"> systems was not required.</w:t>
      </w:r>
    </w:p>
    <w:p w14:paraId="0DCA0258" w14:textId="2558D3C1" w:rsidR="009007DC" w:rsidRDefault="009007DC" w:rsidP="003606E2">
      <w:pPr>
        <w:pStyle w:val="p1"/>
        <w:suppressAutoHyphens/>
        <w:spacing w:before="120" w:after="120"/>
        <w:jc w:val="both"/>
        <w:rPr>
          <w:rFonts w:ascii="Arial" w:hAnsi="Arial" w:cs="Arial"/>
          <w:sz w:val="22"/>
          <w:szCs w:val="22"/>
        </w:rPr>
      </w:pPr>
    </w:p>
    <w:p w14:paraId="364707E4" w14:textId="5CE51F51" w:rsidR="009B4D7A" w:rsidRPr="009007DC" w:rsidRDefault="009007DC" w:rsidP="009007DC">
      <w:pPr>
        <w:pStyle w:val="p1"/>
        <w:suppressAutoHyphens/>
        <w:spacing w:before="120" w:after="120"/>
        <w:ind w:left="1800" w:hanging="720"/>
        <w:jc w:val="both"/>
        <w:rPr>
          <w:rFonts w:ascii="Arial" w:hAnsi="Arial" w:cs="Arial"/>
          <w:b/>
          <w:sz w:val="22"/>
          <w:szCs w:val="22"/>
        </w:rPr>
      </w:pPr>
      <w:r w:rsidRPr="009007DC">
        <w:rPr>
          <w:rFonts w:ascii="Arial" w:hAnsi="Arial" w:cs="Arial"/>
          <w:b/>
          <w:sz w:val="22"/>
          <w:szCs w:val="22"/>
        </w:rPr>
        <w:t>4.4</w:t>
      </w:r>
      <w:r w:rsidRPr="009007DC">
        <w:rPr>
          <w:rFonts w:ascii="Arial" w:hAnsi="Arial" w:cs="Arial"/>
          <w:b/>
          <w:sz w:val="22"/>
          <w:szCs w:val="22"/>
        </w:rPr>
        <w:tab/>
      </w:r>
      <w:r w:rsidR="009B4D7A" w:rsidRPr="009007DC">
        <w:rPr>
          <w:rFonts w:ascii="Arial" w:hAnsi="Arial" w:cs="Arial"/>
          <w:b/>
          <w:sz w:val="22"/>
          <w:szCs w:val="22"/>
        </w:rPr>
        <w:t>Environmental and Social Safeguards</w:t>
      </w:r>
      <w:bookmarkEnd w:id="34"/>
    </w:p>
    <w:p w14:paraId="7AD4E842" w14:textId="3DEB8BC3" w:rsidR="000D057C" w:rsidRDefault="00B00B4B" w:rsidP="00040AA9">
      <w:pPr>
        <w:suppressAutoHyphens/>
        <w:spacing w:before="120" w:after="120"/>
        <w:jc w:val="both"/>
        <w:rPr>
          <w:rFonts w:ascii="Arial" w:hAnsi="Arial" w:cs="Arial"/>
          <w:sz w:val="22"/>
          <w:szCs w:val="22"/>
        </w:rPr>
      </w:pPr>
      <w:r w:rsidRPr="00040AA9">
        <w:rPr>
          <w:rFonts w:ascii="Arial" w:hAnsi="Arial" w:cs="Arial"/>
          <w:sz w:val="22"/>
          <w:szCs w:val="22"/>
        </w:rPr>
        <w:t>Not Applicable</w:t>
      </w:r>
      <w:r w:rsidR="009007DC">
        <w:rPr>
          <w:rFonts w:ascii="Arial" w:hAnsi="Arial" w:cs="Arial"/>
          <w:sz w:val="22"/>
          <w:szCs w:val="22"/>
        </w:rPr>
        <w:t>.</w:t>
      </w:r>
    </w:p>
    <w:p w14:paraId="105D96A1" w14:textId="77777777" w:rsidR="00735172" w:rsidRPr="00040AA9" w:rsidRDefault="00735172" w:rsidP="00040AA9">
      <w:pPr>
        <w:suppressAutoHyphens/>
        <w:spacing w:before="120" w:after="120"/>
        <w:jc w:val="both"/>
        <w:rPr>
          <w:rFonts w:ascii="Arial" w:hAnsi="Arial" w:cs="Arial"/>
          <w:sz w:val="22"/>
          <w:szCs w:val="22"/>
        </w:rPr>
      </w:pPr>
    </w:p>
    <w:p w14:paraId="0F642142" w14:textId="77777777" w:rsidR="008E3065" w:rsidRPr="00040AA9" w:rsidRDefault="008E3065" w:rsidP="00040AA9">
      <w:pPr>
        <w:pStyle w:val="Heading1"/>
        <w:suppressAutoHyphens/>
        <w:spacing w:before="240" w:after="240"/>
        <w:ind w:left="432" w:hanging="432"/>
        <w:jc w:val="both"/>
        <w:rPr>
          <w:rFonts w:cs="Arial"/>
          <w:smallCaps/>
          <w:szCs w:val="22"/>
        </w:rPr>
      </w:pPr>
      <w:bookmarkStart w:id="35" w:name="_Toc321137742"/>
      <w:bookmarkStart w:id="36" w:name="_Toc469493911"/>
      <w:r w:rsidRPr="00040AA9">
        <w:rPr>
          <w:rFonts w:cs="Arial"/>
          <w:smallCaps/>
          <w:szCs w:val="22"/>
        </w:rPr>
        <w:t>Findings and Recommendations</w:t>
      </w:r>
      <w:bookmarkEnd w:id="35"/>
      <w:bookmarkEnd w:id="36"/>
    </w:p>
    <w:p w14:paraId="6FAF012E" w14:textId="10BC43FD" w:rsidR="000D057C" w:rsidRPr="00040AA9" w:rsidRDefault="00744C27" w:rsidP="00040AA9">
      <w:pPr>
        <w:suppressAutoHyphens/>
        <w:spacing w:before="120" w:after="120"/>
        <w:jc w:val="both"/>
        <w:rPr>
          <w:rFonts w:ascii="Arial" w:hAnsi="Arial" w:cs="Arial"/>
          <w:sz w:val="22"/>
          <w:szCs w:val="22"/>
        </w:rPr>
      </w:pPr>
      <w:r w:rsidRPr="00040AA9">
        <w:rPr>
          <w:rFonts w:ascii="Arial" w:hAnsi="Arial" w:cs="Arial"/>
          <w:sz w:val="22"/>
          <w:szCs w:val="22"/>
        </w:rPr>
        <w:t xml:space="preserve">Table </w:t>
      </w:r>
      <w:r w:rsidR="00944E46" w:rsidRPr="00040AA9">
        <w:rPr>
          <w:rFonts w:ascii="Arial" w:hAnsi="Arial" w:cs="Arial"/>
          <w:sz w:val="22"/>
          <w:szCs w:val="22"/>
        </w:rPr>
        <w:t>4</w:t>
      </w:r>
      <w:r w:rsidRPr="00040AA9">
        <w:rPr>
          <w:rFonts w:ascii="Arial" w:hAnsi="Arial" w:cs="Arial"/>
          <w:sz w:val="22"/>
          <w:szCs w:val="22"/>
        </w:rPr>
        <w:t xml:space="preserve"> contains preliminary findings and recommendations from this review of the design and implemen</w:t>
      </w:r>
      <w:r w:rsidR="005F5E56" w:rsidRPr="00040AA9">
        <w:rPr>
          <w:rFonts w:ascii="Arial" w:hAnsi="Arial" w:cs="Arial"/>
          <w:sz w:val="22"/>
          <w:szCs w:val="22"/>
        </w:rPr>
        <w:t xml:space="preserve">tation of the FISPEG operation. They are grouped according to the five dimensions specified in the </w:t>
      </w:r>
      <w:r w:rsidR="00DE5E13" w:rsidRPr="00040AA9">
        <w:rPr>
          <w:rFonts w:ascii="Arial" w:hAnsi="Arial" w:cs="Arial"/>
          <w:sz w:val="22"/>
          <w:szCs w:val="22"/>
        </w:rPr>
        <w:t xml:space="preserve">PCR </w:t>
      </w:r>
      <w:r w:rsidR="00DE5E13" w:rsidRPr="00040AA9">
        <w:rPr>
          <w:rFonts w:ascii="Arial" w:hAnsi="Arial" w:cs="Arial"/>
          <w:i/>
          <w:sz w:val="22"/>
          <w:szCs w:val="22"/>
        </w:rPr>
        <w:t>Guidelines</w:t>
      </w:r>
      <w:r w:rsidR="00DE5E13" w:rsidRPr="00040AA9">
        <w:rPr>
          <w:rFonts w:ascii="Arial" w:hAnsi="Arial" w:cs="Arial"/>
          <w:sz w:val="22"/>
          <w:szCs w:val="22"/>
        </w:rPr>
        <w:t xml:space="preserve"> </w:t>
      </w:r>
      <w:r w:rsidR="002643EA" w:rsidRPr="00040AA9">
        <w:rPr>
          <w:rFonts w:ascii="Arial" w:hAnsi="Arial" w:cs="Arial"/>
          <w:sz w:val="22"/>
          <w:szCs w:val="22"/>
        </w:rPr>
        <w:t>(¶ 5.2, p. 17).</w:t>
      </w:r>
    </w:p>
    <w:p w14:paraId="4C0F5C77" w14:textId="77777777" w:rsidR="009B4D7A" w:rsidRPr="00040AA9" w:rsidRDefault="009B4D7A" w:rsidP="009C086E">
      <w:pPr>
        <w:keepNext/>
        <w:keepLines/>
        <w:suppressAutoHyphens/>
        <w:spacing w:before="120"/>
        <w:jc w:val="center"/>
        <w:rPr>
          <w:rFonts w:ascii="Arial" w:hAnsi="Arial" w:cs="Arial"/>
          <w:b/>
          <w:sz w:val="20"/>
          <w:szCs w:val="20"/>
        </w:rPr>
      </w:pPr>
      <w:r w:rsidRPr="00040AA9">
        <w:rPr>
          <w:rFonts w:ascii="Arial" w:hAnsi="Arial" w:cs="Arial"/>
          <w:b/>
          <w:sz w:val="20"/>
          <w:szCs w:val="20"/>
        </w:rPr>
        <w:t>Table 4</w:t>
      </w:r>
    </w:p>
    <w:p w14:paraId="045B1800" w14:textId="77777777" w:rsidR="009B4D7A" w:rsidRPr="00040AA9" w:rsidRDefault="009B4D7A" w:rsidP="009C086E">
      <w:pPr>
        <w:keepNext/>
        <w:keepLines/>
        <w:suppressAutoHyphens/>
        <w:spacing w:after="120"/>
        <w:jc w:val="center"/>
        <w:rPr>
          <w:rFonts w:ascii="Arial" w:hAnsi="Arial" w:cs="Arial"/>
          <w:b/>
          <w:sz w:val="20"/>
          <w:szCs w:val="20"/>
        </w:rPr>
      </w:pPr>
      <w:r w:rsidRPr="00040AA9">
        <w:rPr>
          <w:rFonts w:ascii="Arial" w:hAnsi="Arial" w:cs="Arial"/>
          <w:b/>
          <w:sz w:val="20"/>
          <w:szCs w:val="20"/>
        </w:rPr>
        <w:t>Findings and Recommendations</w:t>
      </w:r>
    </w:p>
    <w:tbl>
      <w:tblPr>
        <w:tblW w:w="10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7"/>
        <w:gridCol w:w="5215"/>
      </w:tblGrid>
      <w:tr w:rsidR="0014291F" w:rsidRPr="00CF5903" w14:paraId="39B7FAA4" w14:textId="77777777" w:rsidTr="006D7EE4">
        <w:trPr>
          <w:trHeight w:val="422"/>
          <w:tblHeader/>
          <w:jc w:val="center"/>
        </w:trPr>
        <w:tc>
          <w:tcPr>
            <w:tcW w:w="5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5B47884" w14:textId="77777777" w:rsidR="009B4D7A" w:rsidRPr="00040AA9" w:rsidRDefault="009B4D7A" w:rsidP="009C086E">
            <w:pPr>
              <w:keepNext/>
              <w:keepLines/>
              <w:suppressAutoHyphens/>
              <w:jc w:val="center"/>
              <w:rPr>
                <w:rFonts w:ascii="Arial" w:hAnsi="Arial" w:cs="Arial"/>
                <w:b/>
                <w:color w:val="808080" w:themeColor="background1" w:themeShade="80"/>
                <w:sz w:val="20"/>
                <w:szCs w:val="20"/>
              </w:rPr>
            </w:pPr>
            <w:r w:rsidRPr="00040AA9">
              <w:rPr>
                <w:rFonts w:ascii="Arial" w:hAnsi="Arial" w:cs="Arial"/>
                <w:b/>
                <w:color w:val="808080" w:themeColor="background1" w:themeShade="80"/>
                <w:sz w:val="20"/>
                <w:szCs w:val="20"/>
              </w:rPr>
              <w:t>Findings</w:t>
            </w:r>
          </w:p>
        </w:tc>
        <w:tc>
          <w:tcPr>
            <w:tcW w:w="52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780227D" w14:textId="77777777" w:rsidR="009B4D7A" w:rsidRPr="00040AA9" w:rsidRDefault="009B4D7A" w:rsidP="009C086E">
            <w:pPr>
              <w:keepNext/>
              <w:keepLines/>
              <w:suppressAutoHyphens/>
              <w:jc w:val="center"/>
              <w:rPr>
                <w:rFonts w:ascii="Arial" w:eastAsia="Times New Roman" w:hAnsi="Arial" w:cs="Arial"/>
                <w:b/>
                <w:color w:val="808080" w:themeColor="background1" w:themeShade="80"/>
                <w:sz w:val="20"/>
                <w:szCs w:val="20"/>
              </w:rPr>
            </w:pPr>
            <w:r w:rsidRPr="00040AA9">
              <w:rPr>
                <w:rFonts w:ascii="Arial" w:eastAsia="Times New Roman" w:hAnsi="Arial" w:cs="Arial"/>
                <w:b/>
                <w:color w:val="808080" w:themeColor="background1" w:themeShade="80"/>
                <w:sz w:val="20"/>
                <w:szCs w:val="20"/>
              </w:rPr>
              <w:t>Recommendations</w:t>
            </w:r>
          </w:p>
        </w:tc>
      </w:tr>
      <w:tr w:rsidR="00744C27" w:rsidRPr="00CF5903" w14:paraId="2D708582" w14:textId="77777777" w:rsidTr="006B6740">
        <w:trPr>
          <w:trHeight w:val="287"/>
          <w:jc w:val="center"/>
        </w:trPr>
        <w:tc>
          <w:tcPr>
            <w:tcW w:w="10342" w:type="dxa"/>
            <w:gridSpan w:val="2"/>
            <w:tcBorders>
              <w:top w:val="single" w:sz="4" w:space="0" w:color="auto"/>
              <w:left w:val="single" w:sz="4" w:space="0" w:color="auto"/>
              <w:bottom w:val="single" w:sz="4" w:space="0" w:color="auto"/>
              <w:right w:val="single" w:sz="4" w:space="0" w:color="auto"/>
            </w:tcBorders>
            <w:vAlign w:val="center"/>
            <w:hideMark/>
          </w:tcPr>
          <w:p w14:paraId="62172843" w14:textId="4F26BA00" w:rsidR="009B4D7A" w:rsidRPr="00040AA9" w:rsidRDefault="008E3065" w:rsidP="009C086E">
            <w:pPr>
              <w:keepNext/>
              <w:keepLines/>
              <w:suppressAutoHyphens/>
              <w:rPr>
                <w:rFonts w:ascii="Arial" w:eastAsia="Times New Roman" w:hAnsi="Arial" w:cs="Arial"/>
                <w:color w:val="808080" w:themeColor="background1" w:themeShade="80"/>
                <w:sz w:val="20"/>
                <w:szCs w:val="20"/>
              </w:rPr>
            </w:pPr>
            <w:r w:rsidRPr="00040AA9">
              <w:rPr>
                <w:rFonts w:ascii="Arial" w:hAnsi="Arial" w:cs="Arial"/>
                <w:color w:val="808080" w:themeColor="background1" w:themeShade="80"/>
                <w:sz w:val="20"/>
                <w:szCs w:val="20"/>
              </w:rPr>
              <w:t>Dimension</w:t>
            </w:r>
            <w:r w:rsidRPr="00040AA9">
              <w:rPr>
                <w:rFonts w:ascii="Arial" w:eastAsia="Times New Roman" w:hAnsi="Arial" w:cs="Arial"/>
                <w:color w:val="808080" w:themeColor="background1" w:themeShade="80"/>
                <w:sz w:val="20"/>
                <w:szCs w:val="20"/>
              </w:rPr>
              <w:t xml:space="preserve"> </w:t>
            </w:r>
            <w:r w:rsidR="002905E0" w:rsidRPr="002905E0">
              <w:rPr>
                <w:rFonts w:ascii="Arial" w:eastAsia="Times New Roman" w:hAnsi="Arial" w:cs="Arial"/>
                <w:color w:val="808080" w:themeColor="background1" w:themeShade="80"/>
                <w:sz w:val="20"/>
                <w:szCs w:val="20"/>
              </w:rPr>
              <w:t>1:</w:t>
            </w:r>
            <w:r w:rsidR="002905E0" w:rsidRPr="002905E0">
              <w:rPr>
                <w:rFonts w:ascii="Arial" w:hAnsi="Arial" w:cs="Arial"/>
                <w:sz w:val="20"/>
                <w:szCs w:val="20"/>
              </w:rPr>
              <w:t xml:space="preserve"> Technical</w:t>
            </w:r>
            <w:r w:rsidR="009A6318" w:rsidRPr="00040AA9">
              <w:rPr>
                <w:rFonts w:ascii="Arial" w:hAnsi="Arial" w:cs="Arial"/>
                <w:sz w:val="20"/>
                <w:szCs w:val="20"/>
              </w:rPr>
              <w:t>-sectorial</w:t>
            </w:r>
          </w:p>
        </w:tc>
      </w:tr>
      <w:tr w:rsidR="00554BEC" w:rsidRPr="00CF5903" w14:paraId="3A8F2D09" w14:textId="77777777" w:rsidTr="004511CC">
        <w:trPr>
          <w:trHeight w:val="1097"/>
          <w:jc w:val="center"/>
        </w:trPr>
        <w:tc>
          <w:tcPr>
            <w:tcW w:w="5127" w:type="dxa"/>
            <w:vMerge w:val="restart"/>
            <w:tcBorders>
              <w:top w:val="single" w:sz="4" w:space="0" w:color="auto"/>
              <w:left w:val="single" w:sz="4" w:space="0" w:color="auto"/>
              <w:right w:val="single" w:sz="4" w:space="0" w:color="auto"/>
            </w:tcBorders>
            <w:vAlign w:val="center"/>
            <w:hideMark/>
          </w:tcPr>
          <w:p w14:paraId="496C168D" w14:textId="77777777" w:rsidR="00554BEC" w:rsidRPr="00040AA9" w:rsidRDefault="00554BEC" w:rsidP="00631FEA">
            <w:pPr>
              <w:keepNext/>
              <w:keepLines/>
              <w:suppressAutoHyphens/>
              <w:spacing w:before="40" w:after="40"/>
              <w:jc w:val="both"/>
              <w:rPr>
                <w:rFonts w:ascii="Arial" w:hAnsi="Arial" w:cs="Arial"/>
                <w:sz w:val="20"/>
                <w:szCs w:val="20"/>
              </w:rPr>
            </w:pPr>
            <w:r w:rsidRPr="00040AA9">
              <w:rPr>
                <w:rFonts w:ascii="Arial" w:hAnsi="Arial" w:cs="Arial"/>
                <w:color w:val="808080" w:themeColor="background1" w:themeShade="80"/>
                <w:sz w:val="20"/>
                <w:szCs w:val="20"/>
              </w:rPr>
              <w:t>Finding # 1</w:t>
            </w:r>
            <w:r w:rsidRPr="00040AA9">
              <w:rPr>
                <w:rFonts w:ascii="Arial" w:hAnsi="Arial" w:cs="Arial"/>
                <w:sz w:val="20"/>
                <w:szCs w:val="20"/>
              </w:rPr>
              <w:t xml:space="preserve">Project Maturity at the time of approval: The FISPEG operation was well matured at the time of approval because of the groundwork laid on the policy side by the predecessor Fiscal Consolidation Program (JA-L1032, L1034) and by the extensive analytical work sponsored by the Bank, both as part of the FCP and during period between the termination of the FCP and initiation of FISPEG, supported in part with funds from the Operation Implementation (OI) Technical Cooperation agreement (JA-T1066). </w:t>
            </w:r>
          </w:p>
          <w:p w14:paraId="50BE86AC" w14:textId="44E4B2AB" w:rsidR="00554BEC" w:rsidRPr="00040AA9" w:rsidRDefault="00554BEC" w:rsidP="00631FEA">
            <w:pPr>
              <w:keepNext/>
              <w:keepLines/>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sz w:val="20"/>
                <w:szCs w:val="20"/>
              </w:rPr>
              <w:t xml:space="preserve">The close collaboration with IMF staff and development of mutually complementary fiscal reform programs was also very useful in this regard. </w:t>
            </w:r>
          </w:p>
        </w:tc>
        <w:tc>
          <w:tcPr>
            <w:tcW w:w="5215" w:type="dxa"/>
            <w:tcBorders>
              <w:top w:val="single" w:sz="4" w:space="0" w:color="auto"/>
              <w:left w:val="single" w:sz="4" w:space="0" w:color="auto"/>
              <w:bottom w:val="single" w:sz="4" w:space="0" w:color="auto"/>
              <w:right w:val="single" w:sz="4" w:space="0" w:color="auto"/>
            </w:tcBorders>
            <w:vAlign w:val="center"/>
            <w:hideMark/>
          </w:tcPr>
          <w:p w14:paraId="38414209" w14:textId="63C4D479" w:rsidR="00554BEC" w:rsidRPr="00040AA9" w:rsidRDefault="00554BEC" w:rsidP="00631FEA">
            <w:pPr>
              <w:keepNext/>
              <w:keepLines/>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1 </w:t>
            </w:r>
            <w:r w:rsidRPr="00040AA9">
              <w:rPr>
                <w:rFonts w:ascii="Arial" w:eastAsia="Times New Roman" w:hAnsi="Arial" w:cs="Arial"/>
                <w:sz w:val="20"/>
                <w:szCs w:val="20"/>
              </w:rPr>
              <w:t>It is essential to carry out extensive analytical work prior to the design and formal approval process of large and complex PBPs.</w:t>
            </w:r>
          </w:p>
        </w:tc>
      </w:tr>
      <w:tr w:rsidR="00554BEC" w:rsidRPr="00CF5903" w14:paraId="50FEACF2" w14:textId="77777777" w:rsidTr="004511CC">
        <w:trPr>
          <w:trHeight w:val="715"/>
          <w:jc w:val="center"/>
        </w:trPr>
        <w:tc>
          <w:tcPr>
            <w:tcW w:w="5127" w:type="dxa"/>
            <w:vMerge/>
            <w:tcBorders>
              <w:left w:val="single" w:sz="4" w:space="0" w:color="auto"/>
              <w:right w:val="single" w:sz="4" w:space="0" w:color="auto"/>
            </w:tcBorders>
            <w:vAlign w:val="center"/>
            <w:hideMark/>
          </w:tcPr>
          <w:p w14:paraId="21BF7CFA" w14:textId="77777777" w:rsidR="00554BEC" w:rsidRPr="00040AA9" w:rsidRDefault="00554BEC" w:rsidP="00631FEA">
            <w:pPr>
              <w:keepNext/>
              <w:keepLines/>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bottom w:val="single" w:sz="4" w:space="0" w:color="auto"/>
              <w:right w:val="single" w:sz="4" w:space="0" w:color="auto"/>
            </w:tcBorders>
            <w:vAlign w:val="center"/>
            <w:hideMark/>
          </w:tcPr>
          <w:p w14:paraId="14A7277C" w14:textId="77777777" w:rsidR="00554BEC" w:rsidRPr="00040AA9" w:rsidRDefault="00554BEC" w:rsidP="00631FEA">
            <w:pPr>
              <w:keepNext/>
              <w:keepLines/>
              <w:suppressAutoHyphens/>
              <w:spacing w:before="40" w:after="40"/>
              <w:jc w:val="both"/>
              <w:rPr>
                <w:rFonts w:ascii="Arial" w:eastAsia="Times New Roman" w:hAnsi="Arial" w:cs="Arial"/>
                <w:sz w:val="20"/>
                <w:szCs w:val="20"/>
              </w:rPr>
            </w:pPr>
            <w:r w:rsidRPr="00040AA9">
              <w:rPr>
                <w:rFonts w:ascii="Arial" w:eastAsia="Times New Roman" w:hAnsi="Arial" w:cs="Arial"/>
                <w:color w:val="808080" w:themeColor="background1" w:themeShade="80"/>
                <w:sz w:val="20"/>
                <w:szCs w:val="20"/>
              </w:rPr>
              <w:t xml:space="preserve">Recommendation # 2 </w:t>
            </w:r>
            <w:r w:rsidRPr="00040AA9">
              <w:rPr>
                <w:rFonts w:ascii="Arial" w:eastAsia="Times New Roman" w:hAnsi="Arial" w:cs="Arial"/>
                <w:sz w:val="20"/>
                <w:szCs w:val="20"/>
              </w:rPr>
              <w:t xml:space="preserve">Ideally Bank technical staff should maintain an ongoing dialogue with the authorities even in the absence of formal program preparation and execution. </w:t>
            </w:r>
          </w:p>
          <w:p w14:paraId="4A2A39F8" w14:textId="2BEC7A28" w:rsidR="00554BEC" w:rsidRPr="00040AA9" w:rsidRDefault="00554BEC" w:rsidP="00631FEA">
            <w:pPr>
              <w:keepNext/>
              <w:keepLines/>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sz w:val="20"/>
                <w:szCs w:val="20"/>
              </w:rPr>
              <w:t xml:space="preserve">agenda for the beneficiary country and sector. </w:t>
            </w:r>
          </w:p>
        </w:tc>
      </w:tr>
      <w:tr w:rsidR="00554BEC" w:rsidRPr="00CF5903" w14:paraId="550E35DD" w14:textId="77777777" w:rsidTr="00040AA9">
        <w:trPr>
          <w:trHeight w:val="818"/>
          <w:jc w:val="center"/>
        </w:trPr>
        <w:tc>
          <w:tcPr>
            <w:tcW w:w="5127" w:type="dxa"/>
            <w:vMerge/>
            <w:tcBorders>
              <w:left w:val="single" w:sz="4" w:space="0" w:color="auto"/>
              <w:bottom w:val="single" w:sz="4" w:space="0" w:color="auto"/>
              <w:right w:val="single" w:sz="4" w:space="0" w:color="auto"/>
            </w:tcBorders>
            <w:vAlign w:val="center"/>
          </w:tcPr>
          <w:p w14:paraId="12F4D79A" w14:textId="77777777" w:rsidR="00554BEC" w:rsidRPr="00040AA9" w:rsidRDefault="00554BEC"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bottom w:val="single" w:sz="4" w:space="0" w:color="auto"/>
              <w:right w:val="single" w:sz="4" w:space="0" w:color="auto"/>
            </w:tcBorders>
            <w:vAlign w:val="center"/>
          </w:tcPr>
          <w:p w14:paraId="55FFE558" w14:textId="525D373D" w:rsidR="00554BEC" w:rsidRPr="00040AA9" w:rsidRDefault="00554BEC"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3 </w:t>
            </w:r>
            <w:r w:rsidRPr="00040AA9">
              <w:rPr>
                <w:rFonts w:ascii="Arial" w:eastAsia="Times New Roman" w:hAnsi="Arial" w:cs="Arial"/>
                <w:sz w:val="20"/>
                <w:szCs w:val="20"/>
              </w:rPr>
              <w:t>By the same token close coordination and preferably active collaboration with other international agencies, such as the IMF, is crucial to assuring a coherent, harmonized reform</w:t>
            </w:r>
          </w:p>
        </w:tc>
      </w:tr>
      <w:tr w:rsidR="00A946EE" w:rsidRPr="00CF5903" w14:paraId="7CEC6FD2" w14:textId="77777777" w:rsidTr="00040AA9">
        <w:trPr>
          <w:trHeight w:val="1340"/>
          <w:jc w:val="center"/>
        </w:trPr>
        <w:tc>
          <w:tcPr>
            <w:tcW w:w="5127" w:type="dxa"/>
            <w:tcBorders>
              <w:top w:val="single" w:sz="4" w:space="0" w:color="auto"/>
              <w:left w:val="single" w:sz="4" w:space="0" w:color="auto"/>
              <w:bottom w:val="single" w:sz="4" w:space="0" w:color="auto"/>
              <w:right w:val="single" w:sz="4" w:space="0" w:color="auto"/>
            </w:tcBorders>
            <w:vAlign w:val="center"/>
            <w:hideMark/>
          </w:tcPr>
          <w:p w14:paraId="553D8F30" w14:textId="0E80DDD8" w:rsidR="00A946EE" w:rsidRPr="00040AA9" w:rsidRDefault="00A946EE"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2 </w:t>
            </w:r>
            <w:r w:rsidRPr="00040AA9">
              <w:rPr>
                <w:rFonts w:ascii="Arial" w:eastAsia="Times New Roman" w:hAnsi="Arial" w:cs="Arial"/>
                <w:sz w:val="20"/>
                <w:szCs w:val="20"/>
              </w:rPr>
              <w:t xml:space="preserve">The large-scale parallel technical assistance and investment program, FAMP (JA-L1039), while not formally linked to either the predecessor FCP or to FISPEG, was extremely instrumental in achieving the tax and customs administration reforms sponsored by the program.  </w:t>
            </w:r>
          </w:p>
        </w:tc>
        <w:tc>
          <w:tcPr>
            <w:tcW w:w="5215" w:type="dxa"/>
            <w:tcBorders>
              <w:top w:val="single" w:sz="4" w:space="0" w:color="auto"/>
              <w:left w:val="single" w:sz="4" w:space="0" w:color="auto"/>
              <w:right w:val="single" w:sz="4" w:space="0" w:color="auto"/>
            </w:tcBorders>
            <w:vAlign w:val="center"/>
            <w:hideMark/>
          </w:tcPr>
          <w:p w14:paraId="35AB0505" w14:textId="1BBA7489" w:rsidR="00A946EE" w:rsidRPr="00040AA9" w:rsidRDefault="00A946EE"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w:t>
            </w:r>
            <w:r w:rsidR="00554BEC" w:rsidRPr="00040AA9">
              <w:rPr>
                <w:rFonts w:ascii="Arial" w:eastAsia="Times New Roman" w:hAnsi="Arial" w:cs="Arial"/>
                <w:color w:val="808080" w:themeColor="background1" w:themeShade="80"/>
                <w:sz w:val="20"/>
                <w:szCs w:val="20"/>
              </w:rPr>
              <w:t>4</w:t>
            </w:r>
            <w:r w:rsidRPr="00040AA9">
              <w:rPr>
                <w:rFonts w:ascii="Arial" w:eastAsia="Times New Roman" w:hAnsi="Arial" w:cs="Arial"/>
                <w:color w:val="808080" w:themeColor="background1" w:themeShade="80"/>
                <w:sz w:val="20"/>
                <w:szCs w:val="20"/>
              </w:rPr>
              <w:t xml:space="preserve"> </w:t>
            </w:r>
            <w:r w:rsidRPr="00040AA9">
              <w:rPr>
                <w:rFonts w:ascii="Arial" w:eastAsia="Times New Roman" w:hAnsi="Arial" w:cs="Arial"/>
                <w:sz w:val="20"/>
                <w:szCs w:val="20"/>
              </w:rPr>
              <w:t xml:space="preserve">Under circumstances when Bank-sponsored policy reform initiatives may be floundering, it is useful to step back and carry out an institution-building technical assistance program which addresses the </w:t>
            </w:r>
            <w:r w:rsidR="002905E0" w:rsidRPr="00CF5903">
              <w:rPr>
                <w:rFonts w:ascii="Arial" w:eastAsia="Times New Roman" w:hAnsi="Arial" w:cs="Arial"/>
                <w:sz w:val="20"/>
                <w:szCs w:val="20"/>
              </w:rPr>
              <w:t>critical weaknesses</w:t>
            </w:r>
            <w:r w:rsidRPr="00040AA9">
              <w:rPr>
                <w:rFonts w:ascii="Arial" w:eastAsia="Times New Roman" w:hAnsi="Arial" w:cs="Arial"/>
                <w:sz w:val="20"/>
                <w:szCs w:val="20"/>
              </w:rPr>
              <w:t xml:space="preserve"> without the straightjackets imposed by a formal PBP.  </w:t>
            </w:r>
          </w:p>
        </w:tc>
      </w:tr>
      <w:tr w:rsidR="00B64F52" w:rsidRPr="00CF5903" w14:paraId="4DE77476" w14:textId="77777777" w:rsidTr="004511CC">
        <w:trPr>
          <w:trHeight w:val="1961"/>
          <w:jc w:val="center"/>
        </w:trPr>
        <w:tc>
          <w:tcPr>
            <w:tcW w:w="5127" w:type="dxa"/>
            <w:tcBorders>
              <w:top w:val="single" w:sz="4" w:space="0" w:color="auto"/>
              <w:left w:val="single" w:sz="4" w:space="0" w:color="auto"/>
              <w:right w:val="single" w:sz="4" w:space="0" w:color="auto"/>
            </w:tcBorders>
            <w:vAlign w:val="center"/>
          </w:tcPr>
          <w:p w14:paraId="057EB5B6" w14:textId="11961763" w:rsidR="00B64F52" w:rsidRPr="00040AA9" w:rsidRDefault="00B64F52" w:rsidP="00631FEA">
            <w:pPr>
              <w:suppressAutoHyphens/>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3 </w:t>
            </w:r>
            <w:r w:rsidRPr="00040AA9">
              <w:rPr>
                <w:rFonts w:ascii="Arial" w:eastAsia="Times New Roman" w:hAnsi="Arial" w:cs="Arial"/>
                <w:sz w:val="20"/>
                <w:szCs w:val="20"/>
              </w:rPr>
              <w:t xml:space="preserve">At the time of design of the three operations, the Results Matrices were insufficiently coordinated. This led to a plethora of indicators, several of which measured conceptually similar program initiatives, but which had to be treated separately in the PCR analysis due to their definitional differences.  </w:t>
            </w:r>
          </w:p>
        </w:tc>
        <w:tc>
          <w:tcPr>
            <w:tcW w:w="5215" w:type="dxa"/>
            <w:tcBorders>
              <w:top w:val="single" w:sz="4" w:space="0" w:color="auto"/>
              <w:left w:val="single" w:sz="4" w:space="0" w:color="auto"/>
              <w:right w:val="single" w:sz="4" w:space="0" w:color="auto"/>
            </w:tcBorders>
            <w:vAlign w:val="center"/>
          </w:tcPr>
          <w:p w14:paraId="690DB50C" w14:textId="04F74EB3" w:rsidR="00B64F52" w:rsidRPr="00040AA9" w:rsidRDefault="00B64F52" w:rsidP="00631FEA">
            <w:pPr>
              <w:suppressAutoHyphens/>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5 </w:t>
            </w:r>
            <w:r w:rsidRPr="00040AA9">
              <w:rPr>
                <w:rFonts w:ascii="Arial" w:eastAsia="Times New Roman" w:hAnsi="Arial" w:cs="Arial"/>
                <w:sz w:val="20"/>
                <w:szCs w:val="20"/>
              </w:rPr>
              <w:t xml:space="preserve">Multi-stage Policy Based Programs should minimize differences between the Results Matrix prepared for each stage. Ideally a single Results Matrix consisting of relatively few indicators and prepared at the time of the first operation should be used throughout the entire series of PBLs. </w:t>
            </w:r>
          </w:p>
        </w:tc>
      </w:tr>
      <w:tr w:rsidR="00FB249B" w:rsidRPr="00CF5903" w14:paraId="4C387454" w14:textId="77777777" w:rsidTr="00EE09E7">
        <w:trPr>
          <w:trHeight w:val="677"/>
          <w:jc w:val="center"/>
        </w:trPr>
        <w:tc>
          <w:tcPr>
            <w:tcW w:w="5127" w:type="dxa"/>
            <w:vMerge w:val="restart"/>
            <w:tcBorders>
              <w:top w:val="single" w:sz="4" w:space="0" w:color="auto"/>
              <w:left w:val="single" w:sz="4" w:space="0" w:color="auto"/>
              <w:right w:val="single" w:sz="4" w:space="0" w:color="auto"/>
            </w:tcBorders>
            <w:vAlign w:val="center"/>
          </w:tcPr>
          <w:p w14:paraId="3CDF25ED" w14:textId="687679C0" w:rsidR="00FB249B" w:rsidRPr="00040AA9" w:rsidRDefault="00FB249B" w:rsidP="00631FEA">
            <w:pPr>
              <w:suppressAutoHyphens/>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w:t>
            </w:r>
            <w:r w:rsidR="00B07361" w:rsidRPr="00040AA9">
              <w:rPr>
                <w:rFonts w:ascii="Arial" w:eastAsia="Times New Roman" w:hAnsi="Arial" w:cs="Arial"/>
                <w:color w:val="808080" w:themeColor="background1" w:themeShade="80"/>
                <w:sz w:val="20"/>
                <w:szCs w:val="20"/>
              </w:rPr>
              <w:t>4</w:t>
            </w:r>
            <w:r w:rsidRPr="00040AA9">
              <w:rPr>
                <w:rFonts w:ascii="Arial" w:eastAsia="Times New Roman" w:hAnsi="Arial" w:cs="Arial"/>
                <w:color w:val="808080" w:themeColor="background1" w:themeShade="80"/>
                <w:sz w:val="20"/>
                <w:szCs w:val="20"/>
              </w:rPr>
              <w:t xml:space="preserve"> </w:t>
            </w:r>
            <w:r w:rsidRPr="00040AA9">
              <w:rPr>
                <w:rFonts w:ascii="Arial" w:eastAsia="Times New Roman" w:hAnsi="Arial" w:cs="Arial"/>
                <w:sz w:val="20"/>
                <w:szCs w:val="20"/>
              </w:rPr>
              <w:t xml:space="preserve">The program had difficulty in meeting the target values of several of the outcome and output indicators included in the respective results matrices of the three operations. This underachievement has </w:t>
            </w:r>
            <w:r w:rsidR="00112A4E" w:rsidRPr="00040AA9">
              <w:rPr>
                <w:rFonts w:ascii="Arial" w:eastAsia="Times New Roman" w:hAnsi="Arial" w:cs="Arial"/>
                <w:sz w:val="20"/>
                <w:szCs w:val="20"/>
              </w:rPr>
              <w:t>redounded unfavorably</w:t>
            </w:r>
            <w:r w:rsidRPr="00040AA9">
              <w:rPr>
                <w:rFonts w:ascii="Arial" w:eastAsia="Times New Roman" w:hAnsi="Arial" w:cs="Arial"/>
                <w:sz w:val="20"/>
                <w:szCs w:val="20"/>
              </w:rPr>
              <w:t xml:space="preserve"> </w:t>
            </w:r>
            <w:r w:rsidR="005F4217" w:rsidRPr="00040AA9">
              <w:rPr>
                <w:rFonts w:ascii="Arial" w:eastAsia="Times New Roman" w:hAnsi="Arial" w:cs="Arial"/>
                <w:sz w:val="20"/>
                <w:szCs w:val="20"/>
              </w:rPr>
              <w:t xml:space="preserve">to </w:t>
            </w:r>
            <w:r w:rsidRPr="00040AA9">
              <w:rPr>
                <w:rFonts w:ascii="Arial" w:eastAsia="Times New Roman" w:hAnsi="Arial" w:cs="Arial"/>
                <w:sz w:val="20"/>
                <w:szCs w:val="20"/>
              </w:rPr>
              <w:t>the perceived effectiveness of the FISPEG operation. At the time of program design insufficient attention was paid to the feasibility of t</w:t>
            </w:r>
            <w:r w:rsidR="00112A4E" w:rsidRPr="00040AA9">
              <w:rPr>
                <w:rFonts w:ascii="Arial" w:eastAsia="Times New Roman" w:hAnsi="Arial" w:cs="Arial"/>
                <w:sz w:val="20"/>
                <w:szCs w:val="20"/>
              </w:rPr>
              <w:t>he</w:t>
            </w:r>
            <w:r w:rsidRPr="00040AA9">
              <w:rPr>
                <w:rFonts w:ascii="Arial" w:eastAsia="Times New Roman" w:hAnsi="Arial" w:cs="Arial"/>
                <w:sz w:val="20"/>
                <w:szCs w:val="20"/>
              </w:rPr>
              <w:t xml:space="preserve"> achievement</w:t>
            </w:r>
            <w:r w:rsidR="00112A4E" w:rsidRPr="00040AA9">
              <w:rPr>
                <w:rFonts w:ascii="Arial" w:eastAsia="Times New Roman" w:hAnsi="Arial" w:cs="Arial"/>
                <w:sz w:val="20"/>
                <w:szCs w:val="20"/>
              </w:rPr>
              <w:t xml:space="preserve"> of several </w:t>
            </w:r>
            <w:r w:rsidR="005F4217" w:rsidRPr="00040AA9">
              <w:rPr>
                <w:rFonts w:ascii="Arial" w:eastAsia="Times New Roman" w:hAnsi="Arial" w:cs="Arial"/>
                <w:sz w:val="20"/>
                <w:szCs w:val="20"/>
              </w:rPr>
              <w:t>indicators</w:t>
            </w:r>
            <w:r w:rsidRPr="00040AA9">
              <w:rPr>
                <w:rFonts w:ascii="Arial" w:eastAsia="Times New Roman" w:hAnsi="Arial" w:cs="Arial"/>
                <w:sz w:val="20"/>
                <w:szCs w:val="20"/>
              </w:rPr>
              <w:t xml:space="preserve">. i.e. they were set at overambitious levels. </w:t>
            </w:r>
          </w:p>
        </w:tc>
        <w:tc>
          <w:tcPr>
            <w:tcW w:w="5215" w:type="dxa"/>
            <w:tcBorders>
              <w:top w:val="single" w:sz="4" w:space="0" w:color="auto"/>
              <w:left w:val="single" w:sz="4" w:space="0" w:color="auto"/>
              <w:right w:val="single" w:sz="4" w:space="0" w:color="auto"/>
            </w:tcBorders>
            <w:vAlign w:val="center"/>
          </w:tcPr>
          <w:p w14:paraId="7F9CBBD0" w14:textId="04E2C060" w:rsidR="007040A5" w:rsidRPr="003606E2" w:rsidRDefault="00FB249B" w:rsidP="00631FEA">
            <w:pPr>
              <w:suppressAutoHyphens/>
              <w:jc w:val="both"/>
              <w:rPr>
                <w:rFonts w:eastAsia="Times New Roman"/>
                <w:sz w:val="20"/>
                <w:szCs w:val="20"/>
              </w:rPr>
            </w:pPr>
            <w:r w:rsidRPr="00040AA9">
              <w:rPr>
                <w:rFonts w:ascii="Arial" w:eastAsia="Times New Roman" w:hAnsi="Arial" w:cs="Arial"/>
                <w:color w:val="808080" w:themeColor="background1" w:themeShade="80"/>
                <w:sz w:val="20"/>
                <w:szCs w:val="20"/>
              </w:rPr>
              <w:t xml:space="preserve">Recommendation # </w:t>
            </w:r>
            <w:r w:rsidR="002E3580" w:rsidRPr="00040AA9">
              <w:rPr>
                <w:rFonts w:ascii="Arial" w:eastAsia="Times New Roman" w:hAnsi="Arial" w:cs="Arial"/>
                <w:color w:val="808080" w:themeColor="background1" w:themeShade="80"/>
                <w:sz w:val="20"/>
                <w:szCs w:val="20"/>
              </w:rPr>
              <w:t>6</w:t>
            </w:r>
            <w:r w:rsidRPr="00040AA9">
              <w:rPr>
                <w:rFonts w:ascii="Arial" w:eastAsia="Times New Roman" w:hAnsi="Arial" w:cs="Arial"/>
                <w:color w:val="808080" w:themeColor="background1" w:themeShade="80"/>
                <w:sz w:val="20"/>
                <w:szCs w:val="20"/>
              </w:rPr>
              <w:t xml:space="preserve"> </w:t>
            </w:r>
            <w:r w:rsidR="00F14BC4">
              <w:rPr>
                <w:rFonts w:ascii="Arial" w:eastAsia="Times New Roman" w:hAnsi="Arial" w:cs="Arial"/>
                <w:color w:val="808080" w:themeColor="background1" w:themeShade="80"/>
                <w:sz w:val="20"/>
                <w:szCs w:val="20"/>
              </w:rPr>
              <w:t>As noted above, p</w:t>
            </w:r>
            <w:r w:rsidR="00B07361" w:rsidRPr="00040AA9">
              <w:rPr>
                <w:rFonts w:ascii="Arial" w:eastAsia="Times New Roman" w:hAnsi="Arial" w:cs="Arial"/>
                <w:sz w:val="20"/>
                <w:szCs w:val="20"/>
              </w:rPr>
              <w:t xml:space="preserve">roject design teams should </w:t>
            </w:r>
            <w:r w:rsidR="002916B6">
              <w:rPr>
                <w:rFonts w:ascii="Arial" w:eastAsia="Times New Roman" w:hAnsi="Arial" w:cs="Arial"/>
                <w:sz w:val="20"/>
                <w:szCs w:val="20"/>
              </w:rPr>
              <w:t xml:space="preserve">be parsimonious in </w:t>
            </w:r>
            <w:r w:rsidR="00BE474A">
              <w:rPr>
                <w:rFonts w:ascii="Arial" w:eastAsia="Times New Roman" w:hAnsi="Arial" w:cs="Arial"/>
                <w:sz w:val="20"/>
                <w:szCs w:val="20"/>
              </w:rPr>
              <w:t>the number of Income and Output indicators used and</w:t>
            </w:r>
            <w:r w:rsidR="002916B6">
              <w:rPr>
                <w:rFonts w:ascii="Arial" w:eastAsia="Times New Roman" w:hAnsi="Arial" w:cs="Arial"/>
                <w:sz w:val="20"/>
                <w:szCs w:val="20"/>
              </w:rPr>
              <w:t xml:space="preserve"> </w:t>
            </w:r>
            <w:r w:rsidR="00F14BC4">
              <w:rPr>
                <w:rFonts w:ascii="Arial" w:eastAsia="Times New Roman" w:hAnsi="Arial" w:cs="Arial"/>
                <w:sz w:val="20"/>
                <w:szCs w:val="20"/>
              </w:rPr>
              <w:t xml:space="preserve">should </w:t>
            </w:r>
            <w:r w:rsidR="003E1AA1">
              <w:rPr>
                <w:rFonts w:ascii="Arial" w:eastAsia="Times New Roman" w:hAnsi="Arial" w:cs="Arial"/>
                <w:sz w:val="20"/>
                <w:szCs w:val="20"/>
              </w:rPr>
              <w:t xml:space="preserve">also </w:t>
            </w:r>
            <w:r w:rsidR="002916B6">
              <w:rPr>
                <w:rFonts w:ascii="Arial" w:eastAsia="Times New Roman" w:hAnsi="Arial" w:cs="Arial"/>
                <w:sz w:val="20"/>
                <w:szCs w:val="20"/>
              </w:rPr>
              <w:t>specify with great care the</w:t>
            </w:r>
            <w:r w:rsidR="00BE474A">
              <w:rPr>
                <w:rFonts w:ascii="Arial" w:eastAsia="Times New Roman" w:hAnsi="Arial" w:cs="Arial"/>
                <w:sz w:val="20"/>
                <w:szCs w:val="20"/>
              </w:rPr>
              <w:t xml:space="preserve"> </w:t>
            </w:r>
            <w:r w:rsidR="00044308" w:rsidRPr="00040AA9">
              <w:rPr>
                <w:rFonts w:ascii="Arial" w:eastAsia="Times New Roman" w:hAnsi="Arial" w:cs="Arial"/>
                <w:sz w:val="20"/>
                <w:szCs w:val="20"/>
              </w:rPr>
              <w:t>EOP targets</w:t>
            </w:r>
            <w:r w:rsidR="00F14BC4">
              <w:rPr>
                <w:rFonts w:ascii="Arial" w:eastAsia="Times New Roman" w:hAnsi="Arial" w:cs="Arial"/>
                <w:sz w:val="20"/>
                <w:szCs w:val="20"/>
              </w:rPr>
              <w:t xml:space="preserve"> for these few, well-chosen indicators</w:t>
            </w:r>
            <w:r w:rsidR="002E3580" w:rsidRPr="00040AA9">
              <w:rPr>
                <w:rFonts w:ascii="Arial" w:eastAsia="Times New Roman" w:hAnsi="Arial" w:cs="Arial"/>
                <w:sz w:val="20"/>
                <w:szCs w:val="20"/>
              </w:rPr>
              <w:t xml:space="preserve">. </w:t>
            </w:r>
            <w:r w:rsidR="00AF5BEC">
              <w:rPr>
                <w:rFonts w:ascii="Arial" w:eastAsia="Times New Roman" w:hAnsi="Arial" w:cs="Arial"/>
                <w:sz w:val="20"/>
                <w:szCs w:val="20"/>
              </w:rPr>
              <w:t xml:space="preserve">In </w:t>
            </w:r>
            <w:r w:rsidR="00EE1AB0">
              <w:rPr>
                <w:rFonts w:ascii="Arial" w:eastAsia="Times New Roman" w:hAnsi="Arial" w:cs="Arial"/>
                <w:sz w:val="20"/>
                <w:szCs w:val="20"/>
              </w:rPr>
              <w:t>general,</w:t>
            </w:r>
            <w:r w:rsidR="00AF5BEC">
              <w:rPr>
                <w:rFonts w:ascii="Arial" w:eastAsia="Times New Roman" w:hAnsi="Arial" w:cs="Arial"/>
                <w:sz w:val="20"/>
                <w:szCs w:val="20"/>
              </w:rPr>
              <w:t xml:space="preserve"> the</w:t>
            </w:r>
            <w:r w:rsidR="000217A1">
              <w:rPr>
                <w:rFonts w:ascii="Arial" w:eastAsia="Times New Roman" w:hAnsi="Arial" w:cs="Arial"/>
                <w:sz w:val="20"/>
                <w:szCs w:val="20"/>
              </w:rPr>
              <w:t xml:space="preserve"> targets</w:t>
            </w:r>
            <w:r w:rsidR="002E3580" w:rsidRPr="00040AA9">
              <w:rPr>
                <w:rFonts w:ascii="Arial" w:eastAsia="Times New Roman" w:hAnsi="Arial" w:cs="Arial"/>
                <w:sz w:val="20"/>
                <w:szCs w:val="20"/>
              </w:rPr>
              <w:t xml:space="preserve"> should </w:t>
            </w:r>
            <w:r w:rsidR="002C3D0A">
              <w:rPr>
                <w:rFonts w:ascii="Arial" w:eastAsia="Times New Roman" w:hAnsi="Arial" w:cs="Arial"/>
                <w:sz w:val="20"/>
                <w:szCs w:val="20"/>
              </w:rPr>
              <w:t xml:space="preserve">reflect </w:t>
            </w:r>
            <w:r w:rsidR="002E3580" w:rsidRPr="00040AA9">
              <w:rPr>
                <w:rFonts w:ascii="Arial" w:eastAsia="Times New Roman" w:hAnsi="Arial" w:cs="Arial"/>
                <w:sz w:val="20"/>
                <w:szCs w:val="20"/>
              </w:rPr>
              <w:t>realistic</w:t>
            </w:r>
            <w:r w:rsidR="000217A1">
              <w:rPr>
                <w:rFonts w:ascii="Arial" w:eastAsia="Times New Roman" w:hAnsi="Arial" w:cs="Arial"/>
                <w:sz w:val="20"/>
                <w:szCs w:val="20"/>
              </w:rPr>
              <w:t xml:space="preserve"> expectations</w:t>
            </w:r>
            <w:r w:rsidR="00E30428">
              <w:rPr>
                <w:rFonts w:ascii="Arial" w:eastAsia="Times New Roman" w:hAnsi="Arial" w:cs="Arial"/>
                <w:sz w:val="20"/>
                <w:szCs w:val="20"/>
              </w:rPr>
              <w:t xml:space="preserve"> rather than aspirational goals</w:t>
            </w:r>
            <w:r w:rsidR="00501CD1">
              <w:rPr>
                <w:rFonts w:ascii="Arial" w:eastAsia="Times New Roman" w:hAnsi="Arial" w:cs="Arial"/>
                <w:sz w:val="20"/>
                <w:szCs w:val="20"/>
              </w:rPr>
              <w:t xml:space="preserve">. The latter </w:t>
            </w:r>
            <w:r w:rsidR="007040A5" w:rsidRPr="003606E2">
              <w:rPr>
                <w:rFonts w:ascii="Arial" w:eastAsia="Times New Roman" w:hAnsi="Arial" w:cs="Arial"/>
                <w:iCs/>
                <w:color w:val="222222"/>
                <w:sz w:val="20"/>
                <w:szCs w:val="20"/>
              </w:rPr>
              <w:t>should be limited to only those that are central to program design.</w:t>
            </w:r>
          </w:p>
          <w:p w14:paraId="57BEC27F" w14:textId="08C9F30D" w:rsidR="00FB249B" w:rsidRPr="00040AA9" w:rsidRDefault="00324CAD" w:rsidP="00631FEA">
            <w:pPr>
              <w:suppressAutoHyphens/>
              <w:spacing w:before="40" w:after="40"/>
              <w:jc w:val="both"/>
              <w:rPr>
                <w:rFonts w:ascii="Arial" w:eastAsia="Times New Roman" w:hAnsi="Arial" w:cs="Arial"/>
                <w:color w:val="808080" w:themeColor="background1" w:themeShade="80"/>
                <w:sz w:val="20"/>
                <w:szCs w:val="20"/>
              </w:rPr>
            </w:pPr>
            <w:r>
              <w:rPr>
                <w:rFonts w:ascii="Arial" w:eastAsia="Times New Roman" w:hAnsi="Arial" w:cs="Arial"/>
                <w:sz w:val="20"/>
                <w:szCs w:val="20"/>
              </w:rPr>
              <w:t xml:space="preserve">. </w:t>
            </w:r>
          </w:p>
        </w:tc>
      </w:tr>
      <w:tr w:rsidR="00951A3C" w:rsidRPr="00CF5903" w14:paraId="5A802382" w14:textId="77777777" w:rsidTr="00040AA9">
        <w:trPr>
          <w:trHeight w:val="1295"/>
          <w:jc w:val="center"/>
        </w:trPr>
        <w:tc>
          <w:tcPr>
            <w:tcW w:w="5127" w:type="dxa"/>
            <w:vMerge/>
            <w:tcBorders>
              <w:left w:val="single" w:sz="4" w:space="0" w:color="auto"/>
              <w:right w:val="single" w:sz="4" w:space="0" w:color="auto"/>
            </w:tcBorders>
            <w:vAlign w:val="center"/>
          </w:tcPr>
          <w:p w14:paraId="144E5194" w14:textId="77777777" w:rsidR="00951A3C" w:rsidRPr="00040AA9" w:rsidRDefault="00951A3C" w:rsidP="00631FEA">
            <w:pPr>
              <w:suppressAutoHyphens/>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right w:val="single" w:sz="4" w:space="0" w:color="auto"/>
            </w:tcBorders>
            <w:vAlign w:val="center"/>
          </w:tcPr>
          <w:p w14:paraId="1B9C694B" w14:textId="467DE8DA" w:rsidR="00951A3C" w:rsidRPr="00040AA9" w:rsidRDefault="00951A3C"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7 </w:t>
            </w:r>
            <w:r w:rsidRPr="00040AA9">
              <w:rPr>
                <w:rFonts w:ascii="Arial" w:eastAsia="Times New Roman" w:hAnsi="Arial" w:cs="Arial"/>
                <w:sz w:val="20"/>
                <w:szCs w:val="20"/>
              </w:rPr>
              <w:t>The limited capacity of counterpart agencies to generate quality data on these indicators in a timely manner needs also to be taken into account</w:t>
            </w:r>
            <w:r w:rsidR="004417EA">
              <w:rPr>
                <w:rFonts w:ascii="Arial" w:eastAsia="Times New Roman" w:hAnsi="Arial" w:cs="Arial"/>
                <w:sz w:val="20"/>
                <w:szCs w:val="20"/>
              </w:rPr>
              <w:t xml:space="preserve"> and the number of indicators set </w:t>
            </w:r>
            <w:r w:rsidR="00C063CB">
              <w:rPr>
                <w:rFonts w:ascii="Arial" w:eastAsia="Times New Roman" w:hAnsi="Arial" w:cs="Arial"/>
                <w:sz w:val="20"/>
                <w:szCs w:val="20"/>
              </w:rPr>
              <w:t xml:space="preserve">accordingly.  </w:t>
            </w:r>
            <w:r w:rsidRPr="00040AA9">
              <w:rPr>
                <w:rFonts w:ascii="Arial" w:eastAsia="Times New Roman" w:hAnsi="Arial" w:cs="Arial"/>
                <w:sz w:val="20"/>
                <w:szCs w:val="20"/>
              </w:rPr>
              <w:t xml:space="preserve">Consideration should be given to providing technical assistance to address just this issue, although this must be balanced against other demands for limited TC resources. </w:t>
            </w:r>
          </w:p>
        </w:tc>
      </w:tr>
      <w:tr w:rsidR="00744C27" w:rsidRPr="00CF5903" w14:paraId="4F9A6B48" w14:textId="77777777" w:rsidTr="006B6740">
        <w:trPr>
          <w:trHeight w:val="332"/>
          <w:jc w:val="center"/>
        </w:trPr>
        <w:tc>
          <w:tcPr>
            <w:tcW w:w="10342" w:type="dxa"/>
            <w:gridSpan w:val="2"/>
            <w:tcBorders>
              <w:top w:val="single" w:sz="4" w:space="0" w:color="auto"/>
              <w:left w:val="single" w:sz="4" w:space="0" w:color="auto"/>
              <w:bottom w:val="single" w:sz="4" w:space="0" w:color="auto"/>
              <w:right w:val="single" w:sz="4" w:space="0" w:color="auto"/>
            </w:tcBorders>
            <w:vAlign w:val="center"/>
            <w:hideMark/>
          </w:tcPr>
          <w:p w14:paraId="5CE17034" w14:textId="4FDCFB6B" w:rsidR="009B4D7A" w:rsidRPr="00040AA9" w:rsidRDefault="008E3065" w:rsidP="00631FEA">
            <w:pPr>
              <w:suppressAutoHyphens/>
              <w:spacing w:before="40" w:after="40"/>
              <w:jc w:val="both"/>
              <w:rPr>
                <w:rFonts w:ascii="Arial" w:hAnsi="Arial" w:cs="Arial"/>
                <w:sz w:val="20"/>
                <w:szCs w:val="20"/>
              </w:rPr>
            </w:pPr>
            <w:r w:rsidRPr="00040AA9">
              <w:rPr>
                <w:rFonts w:ascii="Arial" w:hAnsi="Arial" w:cs="Arial"/>
                <w:color w:val="808080" w:themeColor="background1" w:themeShade="80"/>
                <w:sz w:val="20"/>
                <w:szCs w:val="20"/>
              </w:rPr>
              <w:t>Dimension</w:t>
            </w:r>
            <w:r w:rsidRPr="00040AA9">
              <w:rPr>
                <w:rFonts w:ascii="Arial" w:eastAsia="Times New Roman" w:hAnsi="Arial" w:cs="Arial"/>
                <w:color w:val="808080" w:themeColor="background1" w:themeShade="80"/>
                <w:sz w:val="20"/>
                <w:szCs w:val="20"/>
              </w:rPr>
              <w:t xml:space="preserve"> 2:</w:t>
            </w:r>
            <w:r w:rsidR="00D22AF2" w:rsidRPr="00040AA9">
              <w:rPr>
                <w:rFonts w:ascii="Arial" w:eastAsia="Times New Roman" w:hAnsi="Arial" w:cs="Arial"/>
                <w:color w:val="808080" w:themeColor="background1" w:themeShade="80"/>
                <w:sz w:val="20"/>
                <w:szCs w:val="20"/>
              </w:rPr>
              <w:t xml:space="preserve"> </w:t>
            </w:r>
            <w:r w:rsidR="00D22AF2" w:rsidRPr="00040AA9">
              <w:rPr>
                <w:rFonts w:ascii="Arial" w:hAnsi="Arial" w:cs="Arial"/>
                <w:sz w:val="20"/>
                <w:szCs w:val="20"/>
              </w:rPr>
              <w:t>Organizational and managerial</w:t>
            </w:r>
          </w:p>
        </w:tc>
      </w:tr>
      <w:tr w:rsidR="0014291F" w:rsidRPr="00CF5903" w14:paraId="713E486F" w14:textId="77777777" w:rsidTr="006B6740">
        <w:trPr>
          <w:trHeight w:val="377"/>
          <w:jc w:val="center"/>
        </w:trPr>
        <w:tc>
          <w:tcPr>
            <w:tcW w:w="5127" w:type="dxa"/>
            <w:vMerge w:val="restart"/>
            <w:tcBorders>
              <w:top w:val="single" w:sz="4" w:space="0" w:color="auto"/>
              <w:left w:val="single" w:sz="4" w:space="0" w:color="auto"/>
              <w:bottom w:val="single" w:sz="4" w:space="0" w:color="auto"/>
              <w:right w:val="single" w:sz="4" w:space="0" w:color="auto"/>
            </w:tcBorders>
            <w:vAlign w:val="center"/>
            <w:hideMark/>
          </w:tcPr>
          <w:p w14:paraId="721294AD" w14:textId="5B1559C6" w:rsidR="009B4D7A" w:rsidRPr="00040AA9" w:rsidRDefault="009B4D7A" w:rsidP="00631FEA">
            <w:pPr>
              <w:suppressAutoHyphens/>
              <w:spacing w:before="40" w:after="40"/>
              <w:jc w:val="both"/>
              <w:rPr>
                <w:rFonts w:ascii="Arial" w:hAnsi="Arial" w:cs="Arial"/>
                <w:color w:val="808080" w:themeColor="background1" w:themeShade="80"/>
                <w:sz w:val="20"/>
                <w:szCs w:val="20"/>
              </w:rPr>
            </w:pPr>
            <w:r w:rsidRPr="00040AA9">
              <w:rPr>
                <w:rFonts w:ascii="Arial" w:hAnsi="Arial" w:cs="Arial"/>
                <w:color w:val="808080" w:themeColor="background1" w:themeShade="80"/>
                <w:sz w:val="20"/>
                <w:szCs w:val="20"/>
              </w:rPr>
              <w:t xml:space="preserve">Finding # </w:t>
            </w:r>
            <w:r w:rsidR="00951A3C" w:rsidRPr="00040AA9">
              <w:rPr>
                <w:rFonts w:ascii="Arial" w:hAnsi="Arial" w:cs="Arial"/>
                <w:color w:val="808080" w:themeColor="background1" w:themeShade="80"/>
                <w:sz w:val="20"/>
                <w:szCs w:val="20"/>
              </w:rPr>
              <w:t>5</w:t>
            </w:r>
            <w:r w:rsidR="00384236" w:rsidRPr="00040AA9">
              <w:rPr>
                <w:rFonts w:ascii="Arial" w:hAnsi="Arial" w:cs="Arial"/>
                <w:color w:val="808080" w:themeColor="background1" w:themeShade="80"/>
                <w:sz w:val="20"/>
                <w:szCs w:val="20"/>
              </w:rPr>
              <w:t xml:space="preserve"> </w:t>
            </w:r>
            <w:r w:rsidR="00F80BCD" w:rsidRPr="00040AA9">
              <w:rPr>
                <w:rFonts w:ascii="Arial" w:hAnsi="Arial" w:cs="Arial"/>
                <w:sz w:val="20"/>
                <w:szCs w:val="20"/>
              </w:rPr>
              <w:t xml:space="preserve">Project management capacity: </w:t>
            </w:r>
            <w:r w:rsidR="00BB54C7" w:rsidRPr="00040AA9">
              <w:rPr>
                <w:rFonts w:ascii="Arial" w:hAnsi="Arial" w:cs="Arial"/>
                <w:sz w:val="20"/>
                <w:szCs w:val="20"/>
              </w:rPr>
              <w:t xml:space="preserve">In the case of PBLs a primary counterpart management responsibility is assuring that all policy conditions are met in </w:t>
            </w:r>
            <w:r w:rsidR="008A5DE1" w:rsidRPr="00040AA9">
              <w:rPr>
                <w:rFonts w:ascii="Arial" w:hAnsi="Arial" w:cs="Arial"/>
                <w:sz w:val="20"/>
                <w:szCs w:val="20"/>
              </w:rPr>
              <w:t xml:space="preserve">a </w:t>
            </w:r>
            <w:r w:rsidR="00BB54C7" w:rsidRPr="00040AA9">
              <w:rPr>
                <w:rFonts w:ascii="Arial" w:hAnsi="Arial" w:cs="Arial"/>
                <w:sz w:val="20"/>
                <w:szCs w:val="20"/>
              </w:rPr>
              <w:t>complete and timely manner. Prior to the FISPEG operation t</w:t>
            </w:r>
            <w:r w:rsidR="00F80BCD" w:rsidRPr="00040AA9">
              <w:rPr>
                <w:rFonts w:ascii="Arial" w:hAnsi="Arial" w:cs="Arial"/>
                <w:sz w:val="20"/>
                <w:szCs w:val="20"/>
              </w:rPr>
              <w:t xml:space="preserve">he </w:t>
            </w:r>
            <w:proofErr w:type="spellStart"/>
            <w:r w:rsidR="00F80BCD" w:rsidRPr="00040AA9">
              <w:rPr>
                <w:rFonts w:ascii="Arial" w:hAnsi="Arial" w:cs="Arial"/>
                <w:sz w:val="20"/>
                <w:szCs w:val="20"/>
              </w:rPr>
              <w:t>MoF</w:t>
            </w:r>
            <w:proofErr w:type="spellEnd"/>
            <w:r w:rsidR="00F80BCD" w:rsidRPr="00040AA9">
              <w:rPr>
                <w:rFonts w:ascii="Arial" w:hAnsi="Arial" w:cs="Arial"/>
                <w:sz w:val="20"/>
                <w:szCs w:val="20"/>
              </w:rPr>
              <w:t xml:space="preserve"> </w:t>
            </w:r>
            <w:r w:rsidR="00BB54C7" w:rsidRPr="00040AA9">
              <w:rPr>
                <w:rFonts w:ascii="Arial" w:hAnsi="Arial" w:cs="Arial"/>
                <w:sz w:val="20"/>
                <w:szCs w:val="20"/>
              </w:rPr>
              <w:t xml:space="preserve">had </w:t>
            </w:r>
            <w:r w:rsidR="00DA4BEE" w:rsidRPr="00040AA9">
              <w:rPr>
                <w:rFonts w:ascii="Arial" w:hAnsi="Arial" w:cs="Arial"/>
                <w:sz w:val="20"/>
                <w:szCs w:val="20"/>
              </w:rPr>
              <w:t xml:space="preserve">had </w:t>
            </w:r>
            <w:r w:rsidR="00BB54C7" w:rsidRPr="00040AA9">
              <w:rPr>
                <w:rFonts w:ascii="Arial" w:hAnsi="Arial" w:cs="Arial"/>
                <w:sz w:val="20"/>
                <w:szCs w:val="20"/>
              </w:rPr>
              <w:t>considerable experience in managing PBLs</w:t>
            </w:r>
            <w:r w:rsidR="00DA4BEE" w:rsidRPr="00040AA9">
              <w:rPr>
                <w:rFonts w:ascii="Arial" w:hAnsi="Arial" w:cs="Arial"/>
                <w:sz w:val="20"/>
                <w:szCs w:val="20"/>
              </w:rPr>
              <w:t xml:space="preserve">, including the </w:t>
            </w:r>
            <w:r w:rsidR="00367E13" w:rsidRPr="00367E13">
              <w:rPr>
                <w:rFonts w:ascii="Arial" w:hAnsi="Arial" w:cs="Arial"/>
                <w:sz w:val="20"/>
                <w:szCs w:val="20"/>
              </w:rPr>
              <w:t>FCP, and</w:t>
            </w:r>
            <w:r w:rsidR="00DA4BEE" w:rsidRPr="00040AA9">
              <w:rPr>
                <w:rFonts w:ascii="Arial" w:hAnsi="Arial" w:cs="Arial"/>
                <w:sz w:val="20"/>
                <w:szCs w:val="20"/>
              </w:rPr>
              <w:t xml:space="preserve"> was able to bring this experience to bear on the FISPEG operation. Delays in disbursements were reduced as a result. </w:t>
            </w:r>
          </w:p>
        </w:tc>
        <w:tc>
          <w:tcPr>
            <w:tcW w:w="5215" w:type="dxa"/>
            <w:tcBorders>
              <w:top w:val="single" w:sz="4" w:space="0" w:color="auto"/>
              <w:left w:val="single" w:sz="4" w:space="0" w:color="auto"/>
              <w:bottom w:val="single" w:sz="4" w:space="0" w:color="auto"/>
              <w:right w:val="single" w:sz="4" w:space="0" w:color="auto"/>
            </w:tcBorders>
            <w:vAlign w:val="center"/>
            <w:hideMark/>
          </w:tcPr>
          <w:p w14:paraId="4DDEA3CA" w14:textId="2429AD18" w:rsidR="009B4D7A" w:rsidRPr="00040AA9" w:rsidRDefault="0042717A" w:rsidP="00631FEA">
            <w:pPr>
              <w:keepNext/>
              <w:keepLines/>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w:t>
            </w:r>
            <w:r w:rsidR="00FB255C" w:rsidRPr="00040AA9">
              <w:rPr>
                <w:rFonts w:ascii="Arial" w:eastAsia="Times New Roman" w:hAnsi="Arial" w:cs="Arial"/>
                <w:color w:val="808080" w:themeColor="background1" w:themeShade="80"/>
                <w:sz w:val="20"/>
                <w:szCs w:val="20"/>
              </w:rPr>
              <w:t>8</w:t>
            </w:r>
            <w:r w:rsidR="00F10695" w:rsidRPr="00040AA9">
              <w:rPr>
                <w:rFonts w:ascii="Arial" w:eastAsia="Times New Roman" w:hAnsi="Arial" w:cs="Arial"/>
                <w:color w:val="808080" w:themeColor="background1" w:themeShade="80"/>
                <w:sz w:val="20"/>
                <w:szCs w:val="20"/>
              </w:rPr>
              <w:t xml:space="preserve"> </w:t>
            </w:r>
            <w:r w:rsidR="00F10695" w:rsidRPr="00040AA9">
              <w:rPr>
                <w:rFonts w:ascii="Arial" w:eastAsia="Times New Roman" w:hAnsi="Arial" w:cs="Arial"/>
                <w:sz w:val="20"/>
                <w:szCs w:val="20"/>
              </w:rPr>
              <w:t xml:space="preserve">When </w:t>
            </w:r>
            <w:r w:rsidR="00266DB9" w:rsidRPr="00040AA9">
              <w:rPr>
                <w:rFonts w:ascii="Arial" w:eastAsia="Times New Roman" w:hAnsi="Arial" w:cs="Arial"/>
                <w:sz w:val="20"/>
                <w:szCs w:val="20"/>
              </w:rPr>
              <w:t>conceptualizing</w:t>
            </w:r>
            <w:r w:rsidR="00F10695" w:rsidRPr="00040AA9">
              <w:rPr>
                <w:rFonts w:ascii="Arial" w:eastAsia="Times New Roman" w:hAnsi="Arial" w:cs="Arial"/>
                <w:sz w:val="20"/>
                <w:szCs w:val="20"/>
              </w:rPr>
              <w:t xml:space="preserve"> a PBP, every opportunity should be taken to design it such that </w:t>
            </w:r>
            <w:r w:rsidR="006A54B5" w:rsidRPr="00040AA9">
              <w:rPr>
                <w:rFonts w:ascii="Arial" w:eastAsia="Times New Roman" w:hAnsi="Arial" w:cs="Arial"/>
                <w:sz w:val="20"/>
                <w:szCs w:val="20"/>
              </w:rPr>
              <w:t xml:space="preserve">responsibility for its execution will be lodged with a ministry, and those units within that ministry, that are familiar with </w:t>
            </w:r>
            <w:r w:rsidR="00266DB9" w:rsidRPr="00040AA9">
              <w:rPr>
                <w:rFonts w:ascii="Arial" w:eastAsia="Times New Roman" w:hAnsi="Arial" w:cs="Arial"/>
                <w:sz w:val="20"/>
                <w:szCs w:val="20"/>
              </w:rPr>
              <w:t xml:space="preserve">the PBL process. </w:t>
            </w:r>
          </w:p>
        </w:tc>
      </w:tr>
      <w:tr w:rsidR="0014291F" w:rsidRPr="00CF5903" w14:paraId="1DE88D39" w14:textId="77777777" w:rsidTr="006B6740">
        <w:trPr>
          <w:trHeight w:val="377"/>
          <w:jc w:val="center"/>
        </w:trPr>
        <w:tc>
          <w:tcPr>
            <w:tcW w:w="5127" w:type="dxa"/>
            <w:vMerge/>
            <w:tcBorders>
              <w:top w:val="single" w:sz="4" w:space="0" w:color="auto"/>
              <w:left w:val="single" w:sz="4" w:space="0" w:color="auto"/>
              <w:bottom w:val="single" w:sz="4" w:space="0" w:color="auto"/>
              <w:right w:val="single" w:sz="4" w:space="0" w:color="auto"/>
            </w:tcBorders>
            <w:vAlign w:val="center"/>
            <w:hideMark/>
          </w:tcPr>
          <w:p w14:paraId="7D6DB22C" w14:textId="77777777" w:rsidR="009B4D7A" w:rsidRPr="00040AA9" w:rsidRDefault="009B4D7A"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bottom w:val="single" w:sz="4" w:space="0" w:color="auto"/>
              <w:right w:val="single" w:sz="4" w:space="0" w:color="auto"/>
            </w:tcBorders>
            <w:vAlign w:val="center"/>
            <w:hideMark/>
          </w:tcPr>
          <w:p w14:paraId="745938E5" w14:textId="6DE22C3C" w:rsidR="009B4D7A" w:rsidRPr="00040AA9" w:rsidRDefault="0042717A"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w:t>
            </w:r>
            <w:r w:rsidR="00FB255C" w:rsidRPr="00040AA9">
              <w:rPr>
                <w:rFonts w:ascii="Arial" w:eastAsia="Times New Roman" w:hAnsi="Arial" w:cs="Arial"/>
                <w:color w:val="808080" w:themeColor="background1" w:themeShade="80"/>
                <w:sz w:val="20"/>
                <w:szCs w:val="20"/>
              </w:rPr>
              <w:t>9</w:t>
            </w:r>
            <w:r w:rsidR="003D68D4" w:rsidRPr="00040AA9">
              <w:rPr>
                <w:rFonts w:ascii="Arial" w:eastAsia="Times New Roman" w:hAnsi="Arial" w:cs="Arial"/>
                <w:color w:val="808080" w:themeColor="background1" w:themeShade="80"/>
                <w:sz w:val="20"/>
                <w:szCs w:val="20"/>
              </w:rPr>
              <w:t xml:space="preserve"> </w:t>
            </w:r>
            <w:r w:rsidR="003D68D4" w:rsidRPr="00040AA9">
              <w:rPr>
                <w:rFonts w:ascii="Arial" w:eastAsia="Times New Roman" w:hAnsi="Arial" w:cs="Arial"/>
                <w:sz w:val="20"/>
                <w:szCs w:val="20"/>
              </w:rPr>
              <w:t xml:space="preserve">When assessing the </w:t>
            </w:r>
            <w:r w:rsidR="00F17D10" w:rsidRPr="00040AA9">
              <w:rPr>
                <w:rFonts w:ascii="Arial" w:eastAsia="Times New Roman" w:hAnsi="Arial" w:cs="Arial"/>
                <w:sz w:val="20"/>
                <w:szCs w:val="20"/>
              </w:rPr>
              <w:t>capabilities</w:t>
            </w:r>
            <w:r w:rsidR="003D68D4" w:rsidRPr="00040AA9">
              <w:rPr>
                <w:rFonts w:ascii="Arial" w:eastAsia="Times New Roman" w:hAnsi="Arial" w:cs="Arial"/>
                <w:sz w:val="20"/>
                <w:szCs w:val="20"/>
              </w:rPr>
              <w:t xml:space="preserve"> of the </w:t>
            </w:r>
            <w:r w:rsidR="008E6BBE" w:rsidRPr="00040AA9">
              <w:rPr>
                <w:rFonts w:ascii="Arial" w:eastAsia="Times New Roman" w:hAnsi="Arial" w:cs="Arial"/>
                <w:sz w:val="20"/>
                <w:szCs w:val="20"/>
              </w:rPr>
              <w:t xml:space="preserve">program execution unit, care must be taken to assure that personnel in the unit will not be unduly distracted by competing demands on their time and expertise. (i.e. </w:t>
            </w:r>
            <w:r w:rsidR="00AD2E64" w:rsidRPr="00040AA9">
              <w:rPr>
                <w:rFonts w:ascii="Arial" w:eastAsia="Times New Roman" w:hAnsi="Arial" w:cs="Arial"/>
                <w:sz w:val="20"/>
                <w:szCs w:val="20"/>
              </w:rPr>
              <w:t>“Firewalls” or other provisions are needed to mitigate t</w:t>
            </w:r>
            <w:r w:rsidR="008E6BBE" w:rsidRPr="00040AA9">
              <w:rPr>
                <w:rFonts w:ascii="Arial" w:eastAsia="Times New Roman" w:hAnsi="Arial" w:cs="Arial"/>
                <w:sz w:val="20"/>
                <w:szCs w:val="20"/>
              </w:rPr>
              <w:t xml:space="preserve">he </w:t>
            </w:r>
            <w:r w:rsidR="00F17D10" w:rsidRPr="00040AA9">
              <w:rPr>
                <w:rFonts w:ascii="Arial" w:eastAsia="Times New Roman" w:hAnsi="Arial" w:cs="Arial"/>
                <w:sz w:val="20"/>
                <w:szCs w:val="20"/>
              </w:rPr>
              <w:t xml:space="preserve">risk that senior ministry management </w:t>
            </w:r>
            <w:r w:rsidR="00AD2E64" w:rsidRPr="00040AA9">
              <w:rPr>
                <w:rFonts w:ascii="Arial" w:eastAsia="Times New Roman" w:hAnsi="Arial" w:cs="Arial"/>
                <w:sz w:val="20"/>
                <w:szCs w:val="20"/>
              </w:rPr>
              <w:t xml:space="preserve">might </w:t>
            </w:r>
            <w:r w:rsidR="00F17D10" w:rsidRPr="00040AA9">
              <w:rPr>
                <w:rFonts w:ascii="Arial" w:eastAsia="Times New Roman" w:hAnsi="Arial" w:cs="Arial"/>
                <w:sz w:val="20"/>
                <w:szCs w:val="20"/>
              </w:rPr>
              <w:t>use these individuals for unrelated “firefighting” tasks.)</w:t>
            </w:r>
          </w:p>
        </w:tc>
      </w:tr>
      <w:tr w:rsidR="0014291F" w:rsidRPr="00CF5903" w14:paraId="207F1060" w14:textId="77777777" w:rsidTr="006B6740">
        <w:trPr>
          <w:trHeight w:val="2285"/>
          <w:jc w:val="center"/>
        </w:trPr>
        <w:tc>
          <w:tcPr>
            <w:tcW w:w="5127" w:type="dxa"/>
            <w:vMerge w:val="restart"/>
            <w:tcBorders>
              <w:top w:val="single" w:sz="4" w:space="0" w:color="auto"/>
              <w:left w:val="single" w:sz="4" w:space="0" w:color="auto"/>
              <w:bottom w:val="single" w:sz="4" w:space="0" w:color="auto"/>
              <w:right w:val="single" w:sz="4" w:space="0" w:color="auto"/>
            </w:tcBorders>
            <w:vAlign w:val="center"/>
            <w:hideMark/>
          </w:tcPr>
          <w:p w14:paraId="7D7E8A10" w14:textId="5D21EEFF" w:rsidR="009B4D7A" w:rsidRPr="00040AA9" w:rsidRDefault="009B4D7A" w:rsidP="00631FEA">
            <w:pPr>
              <w:suppressAutoHyphens/>
              <w:spacing w:before="40" w:after="40"/>
              <w:jc w:val="both"/>
              <w:rPr>
                <w:rFonts w:ascii="Arial" w:eastAsia="Times New Roman" w:hAnsi="Arial" w:cs="Arial"/>
                <w:i/>
                <w:sz w:val="20"/>
                <w:szCs w:val="20"/>
              </w:rPr>
            </w:pPr>
            <w:r w:rsidRPr="00040AA9">
              <w:rPr>
                <w:rFonts w:ascii="Arial" w:eastAsia="Times New Roman" w:hAnsi="Arial" w:cs="Arial"/>
                <w:color w:val="808080" w:themeColor="background1" w:themeShade="80"/>
                <w:sz w:val="20"/>
                <w:szCs w:val="20"/>
              </w:rPr>
              <w:t xml:space="preserve">Finding # </w:t>
            </w:r>
            <w:r w:rsidR="00951A3C" w:rsidRPr="00040AA9">
              <w:rPr>
                <w:rFonts w:ascii="Arial" w:eastAsia="Times New Roman" w:hAnsi="Arial" w:cs="Arial"/>
                <w:color w:val="808080" w:themeColor="background1" w:themeShade="80"/>
                <w:sz w:val="20"/>
                <w:szCs w:val="20"/>
              </w:rPr>
              <w:t>6</w:t>
            </w:r>
            <w:r w:rsidR="00DA4BEE" w:rsidRPr="00040AA9">
              <w:rPr>
                <w:rFonts w:ascii="Arial" w:eastAsia="Times New Roman" w:hAnsi="Arial" w:cs="Arial"/>
                <w:sz w:val="20"/>
                <w:szCs w:val="20"/>
              </w:rPr>
              <w:t xml:space="preserve"> Managerial responsibility for PBLs also extends to the </w:t>
            </w:r>
            <w:r w:rsidR="001C3807" w:rsidRPr="00040AA9">
              <w:rPr>
                <w:rFonts w:ascii="Arial" w:eastAsia="Times New Roman" w:hAnsi="Arial" w:cs="Arial"/>
                <w:sz w:val="20"/>
                <w:szCs w:val="20"/>
              </w:rPr>
              <w:t xml:space="preserve">“sub-executing agencies” i.e. those units directly responsible for carrying out their portions of the program, e.g. the MLSS in </w:t>
            </w:r>
            <w:r w:rsidR="00967EBD" w:rsidRPr="00040AA9">
              <w:rPr>
                <w:rFonts w:ascii="Arial" w:eastAsia="Times New Roman" w:hAnsi="Arial" w:cs="Arial"/>
                <w:sz w:val="20"/>
                <w:szCs w:val="20"/>
              </w:rPr>
              <w:t xml:space="preserve">the case of </w:t>
            </w:r>
            <w:r w:rsidR="001B686A" w:rsidRPr="00040AA9">
              <w:rPr>
                <w:rFonts w:ascii="Arial" w:eastAsia="Times New Roman" w:hAnsi="Arial" w:cs="Arial"/>
                <w:sz w:val="20"/>
                <w:szCs w:val="20"/>
              </w:rPr>
              <w:t xml:space="preserve">Component IV (Ensuring Fiscal Sustainability of the NIS). In this case </w:t>
            </w:r>
            <w:r w:rsidR="005D36CF" w:rsidRPr="00040AA9">
              <w:rPr>
                <w:rFonts w:ascii="Arial" w:eastAsia="Times New Roman" w:hAnsi="Arial" w:cs="Arial"/>
                <w:sz w:val="20"/>
                <w:szCs w:val="20"/>
              </w:rPr>
              <w:t>the manageme</w:t>
            </w:r>
            <w:r w:rsidR="006378E8" w:rsidRPr="00040AA9">
              <w:rPr>
                <w:rFonts w:ascii="Arial" w:eastAsia="Times New Roman" w:hAnsi="Arial" w:cs="Arial"/>
                <w:sz w:val="20"/>
                <w:szCs w:val="20"/>
              </w:rPr>
              <w:t>nt capacity was less robust. The specific policy conditions for this component, most of which also constit</w:t>
            </w:r>
            <w:r w:rsidR="001D5845" w:rsidRPr="00040AA9">
              <w:rPr>
                <w:rFonts w:ascii="Arial" w:eastAsia="Times New Roman" w:hAnsi="Arial" w:cs="Arial"/>
                <w:sz w:val="20"/>
                <w:szCs w:val="20"/>
              </w:rPr>
              <w:t xml:space="preserve">ute outputs in the RM, were designed with these shortcomings in mind. As a </w:t>
            </w:r>
            <w:r w:rsidR="00367E13" w:rsidRPr="00CF5903">
              <w:rPr>
                <w:rFonts w:ascii="Arial" w:eastAsia="Times New Roman" w:hAnsi="Arial" w:cs="Arial"/>
                <w:sz w:val="20"/>
                <w:szCs w:val="20"/>
              </w:rPr>
              <w:t>result,</w:t>
            </w:r>
            <w:r w:rsidR="001D5845" w:rsidRPr="00040AA9">
              <w:rPr>
                <w:rFonts w:ascii="Arial" w:eastAsia="Times New Roman" w:hAnsi="Arial" w:cs="Arial"/>
                <w:sz w:val="20"/>
                <w:szCs w:val="20"/>
              </w:rPr>
              <w:t xml:space="preserve"> the conditions were met (allowing the PBLs to be disbursed) However the outcomes expected of this NIS initiative were </w:t>
            </w:r>
            <w:r w:rsidR="001357A1" w:rsidRPr="00040AA9">
              <w:rPr>
                <w:rFonts w:ascii="Arial" w:eastAsia="Times New Roman" w:hAnsi="Arial" w:cs="Arial"/>
                <w:sz w:val="20"/>
                <w:szCs w:val="20"/>
              </w:rPr>
              <w:t xml:space="preserve">too ambitious and were not met. </w:t>
            </w:r>
            <w:r w:rsidR="00597639" w:rsidRPr="00040AA9">
              <w:rPr>
                <w:rFonts w:ascii="Arial" w:eastAsia="Times New Roman" w:hAnsi="Arial" w:cs="Arial"/>
                <w:sz w:val="20"/>
                <w:szCs w:val="20"/>
              </w:rPr>
              <w:t xml:space="preserve"> (see Table 2 Outcomes #16 &amp; 17)</w:t>
            </w:r>
            <w:r w:rsidR="006378E8" w:rsidRPr="00040AA9">
              <w:rPr>
                <w:rFonts w:ascii="Arial" w:eastAsia="Times New Roman" w:hAnsi="Arial" w:cs="Arial"/>
                <w:sz w:val="20"/>
                <w:szCs w:val="20"/>
              </w:rPr>
              <w:t xml:space="preserve"> </w:t>
            </w:r>
            <w:r w:rsidR="005D36CF" w:rsidRPr="00040AA9">
              <w:rPr>
                <w:rFonts w:ascii="Arial" w:eastAsia="Times New Roman" w:hAnsi="Arial" w:cs="Arial"/>
                <w:sz w:val="20"/>
                <w:szCs w:val="20"/>
              </w:rPr>
              <w:t xml:space="preserve"> </w:t>
            </w:r>
          </w:p>
        </w:tc>
        <w:tc>
          <w:tcPr>
            <w:tcW w:w="5215" w:type="dxa"/>
            <w:tcBorders>
              <w:top w:val="single" w:sz="4" w:space="0" w:color="auto"/>
              <w:left w:val="single" w:sz="4" w:space="0" w:color="auto"/>
              <w:bottom w:val="single" w:sz="4" w:space="0" w:color="auto"/>
              <w:right w:val="single" w:sz="4" w:space="0" w:color="auto"/>
            </w:tcBorders>
            <w:vAlign w:val="center"/>
            <w:hideMark/>
          </w:tcPr>
          <w:p w14:paraId="7A837727" w14:textId="18C7F4AF" w:rsidR="009B4D7A" w:rsidRPr="00040AA9" w:rsidRDefault="007409C3"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w:t>
            </w:r>
            <w:r w:rsidR="00FB255C" w:rsidRPr="00040AA9">
              <w:rPr>
                <w:rFonts w:ascii="Arial" w:eastAsia="Times New Roman" w:hAnsi="Arial" w:cs="Arial"/>
                <w:color w:val="808080" w:themeColor="background1" w:themeShade="80"/>
                <w:sz w:val="20"/>
                <w:szCs w:val="20"/>
              </w:rPr>
              <w:t>10</w:t>
            </w:r>
            <w:r w:rsidR="00266DB9" w:rsidRPr="00040AA9">
              <w:rPr>
                <w:rFonts w:ascii="Arial" w:eastAsia="Times New Roman" w:hAnsi="Arial" w:cs="Arial"/>
                <w:color w:val="808080" w:themeColor="background1" w:themeShade="80"/>
                <w:sz w:val="20"/>
                <w:szCs w:val="20"/>
              </w:rPr>
              <w:t xml:space="preserve"> </w:t>
            </w:r>
            <w:r w:rsidR="00266DB9" w:rsidRPr="00040AA9">
              <w:rPr>
                <w:rFonts w:ascii="Arial" w:eastAsia="Times New Roman" w:hAnsi="Arial" w:cs="Arial"/>
                <w:sz w:val="20"/>
                <w:szCs w:val="20"/>
              </w:rPr>
              <w:t xml:space="preserve">While managerial competence of sub-executing agencies should not be a primary consideration when </w:t>
            </w:r>
            <w:r w:rsidR="005C520A" w:rsidRPr="00040AA9">
              <w:rPr>
                <w:rFonts w:ascii="Arial" w:eastAsia="Times New Roman" w:hAnsi="Arial" w:cs="Arial"/>
                <w:sz w:val="20"/>
                <w:szCs w:val="20"/>
              </w:rPr>
              <w:t xml:space="preserve">selecting program components, project teams need to be fully cognizant of the limitations of these entities and calibrate expectations not only for outputs but also for outcomes accordingly. </w:t>
            </w:r>
          </w:p>
        </w:tc>
      </w:tr>
      <w:tr w:rsidR="0014291F" w:rsidRPr="00CF5903" w14:paraId="1571B63D" w14:textId="77777777" w:rsidTr="006B6740">
        <w:trPr>
          <w:trHeight w:val="377"/>
          <w:jc w:val="center"/>
        </w:trPr>
        <w:tc>
          <w:tcPr>
            <w:tcW w:w="5127" w:type="dxa"/>
            <w:vMerge/>
            <w:tcBorders>
              <w:top w:val="single" w:sz="4" w:space="0" w:color="auto"/>
              <w:left w:val="single" w:sz="4" w:space="0" w:color="auto"/>
              <w:bottom w:val="single" w:sz="4" w:space="0" w:color="auto"/>
              <w:right w:val="single" w:sz="4" w:space="0" w:color="auto"/>
            </w:tcBorders>
            <w:vAlign w:val="center"/>
            <w:hideMark/>
          </w:tcPr>
          <w:p w14:paraId="45A3FA6E" w14:textId="77777777" w:rsidR="009B4D7A" w:rsidRPr="00040AA9" w:rsidRDefault="009B4D7A"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bottom w:val="single" w:sz="4" w:space="0" w:color="auto"/>
              <w:right w:val="single" w:sz="4" w:space="0" w:color="auto"/>
            </w:tcBorders>
            <w:vAlign w:val="center"/>
            <w:hideMark/>
          </w:tcPr>
          <w:p w14:paraId="3ECB39B5" w14:textId="4A028CDB" w:rsidR="009B4D7A" w:rsidRPr="00040AA9" w:rsidRDefault="009511CB"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w:t>
            </w:r>
            <w:r w:rsidR="00FB255C" w:rsidRPr="00040AA9">
              <w:rPr>
                <w:rFonts w:ascii="Arial" w:eastAsia="Times New Roman" w:hAnsi="Arial" w:cs="Arial"/>
                <w:color w:val="808080" w:themeColor="background1" w:themeShade="80"/>
                <w:sz w:val="20"/>
                <w:szCs w:val="20"/>
              </w:rPr>
              <w:t>11</w:t>
            </w:r>
            <w:r w:rsidR="001357A1" w:rsidRPr="00040AA9">
              <w:rPr>
                <w:rFonts w:ascii="Arial" w:eastAsia="Times New Roman" w:hAnsi="Arial" w:cs="Arial"/>
                <w:color w:val="808080" w:themeColor="background1" w:themeShade="80"/>
                <w:sz w:val="20"/>
                <w:szCs w:val="20"/>
              </w:rPr>
              <w:t xml:space="preserve"> </w:t>
            </w:r>
            <w:r w:rsidR="001357A1" w:rsidRPr="00040AA9">
              <w:rPr>
                <w:rFonts w:ascii="Arial" w:eastAsia="Times New Roman" w:hAnsi="Arial" w:cs="Arial"/>
                <w:sz w:val="20"/>
                <w:szCs w:val="20"/>
              </w:rPr>
              <w:t xml:space="preserve">Given the heavy emphasis in the 2017 PCR Guidelines (OP-1242-5) on fulfillment of </w:t>
            </w:r>
            <w:r w:rsidR="0062760C" w:rsidRPr="00040AA9">
              <w:rPr>
                <w:rFonts w:ascii="Arial" w:eastAsia="Times New Roman" w:hAnsi="Arial" w:cs="Arial"/>
                <w:sz w:val="20"/>
                <w:szCs w:val="20"/>
              </w:rPr>
              <w:t>Results Matrix indicators, project teams need to be particularly careful to dispassionately assess the capacity of sub-e</w:t>
            </w:r>
            <w:r w:rsidR="005124B6" w:rsidRPr="00040AA9">
              <w:rPr>
                <w:rFonts w:ascii="Arial" w:eastAsia="Times New Roman" w:hAnsi="Arial" w:cs="Arial"/>
                <w:sz w:val="20"/>
                <w:szCs w:val="20"/>
              </w:rPr>
              <w:t>xecuting agencies to meet outcome</w:t>
            </w:r>
            <w:r w:rsidR="0062760C" w:rsidRPr="00040AA9">
              <w:rPr>
                <w:rFonts w:ascii="Arial" w:eastAsia="Times New Roman" w:hAnsi="Arial" w:cs="Arial"/>
                <w:sz w:val="20"/>
                <w:szCs w:val="20"/>
              </w:rPr>
              <w:t xml:space="preserve"> targets and </w:t>
            </w:r>
            <w:r w:rsidR="00B26DF5" w:rsidRPr="00040AA9">
              <w:rPr>
                <w:rFonts w:ascii="Arial" w:eastAsia="Times New Roman" w:hAnsi="Arial" w:cs="Arial"/>
                <w:sz w:val="20"/>
                <w:szCs w:val="20"/>
              </w:rPr>
              <w:t xml:space="preserve">to </w:t>
            </w:r>
            <w:r w:rsidR="0062760C" w:rsidRPr="00040AA9">
              <w:rPr>
                <w:rFonts w:ascii="Arial" w:eastAsia="Times New Roman" w:hAnsi="Arial" w:cs="Arial"/>
                <w:sz w:val="20"/>
                <w:szCs w:val="20"/>
              </w:rPr>
              <w:t>adjust them accordingly</w:t>
            </w:r>
            <w:r w:rsidR="00B26DF5" w:rsidRPr="00040AA9">
              <w:rPr>
                <w:rFonts w:ascii="Arial" w:eastAsia="Times New Roman" w:hAnsi="Arial" w:cs="Arial"/>
                <w:sz w:val="20"/>
                <w:szCs w:val="20"/>
              </w:rPr>
              <w:t xml:space="preserve"> </w:t>
            </w:r>
            <w:r w:rsidR="006E1106" w:rsidRPr="00040AA9">
              <w:rPr>
                <w:rFonts w:ascii="Arial" w:eastAsia="Times New Roman" w:hAnsi="Arial" w:cs="Arial"/>
                <w:sz w:val="20"/>
                <w:szCs w:val="20"/>
              </w:rPr>
              <w:t>if</w:t>
            </w:r>
            <w:r w:rsidR="00B26DF5" w:rsidRPr="00040AA9">
              <w:rPr>
                <w:rFonts w:ascii="Arial" w:eastAsia="Times New Roman" w:hAnsi="Arial" w:cs="Arial"/>
                <w:sz w:val="20"/>
                <w:szCs w:val="20"/>
              </w:rPr>
              <w:t xml:space="preserve"> found too ambitious</w:t>
            </w:r>
            <w:r w:rsidR="0062760C" w:rsidRPr="00040AA9">
              <w:rPr>
                <w:rFonts w:ascii="Arial" w:eastAsia="Times New Roman" w:hAnsi="Arial" w:cs="Arial"/>
                <w:color w:val="808080" w:themeColor="background1" w:themeShade="80"/>
                <w:sz w:val="20"/>
                <w:szCs w:val="20"/>
              </w:rPr>
              <w:t xml:space="preserve">. </w:t>
            </w:r>
          </w:p>
        </w:tc>
      </w:tr>
      <w:tr w:rsidR="00744C27" w:rsidRPr="00CF5903" w14:paraId="45730B11" w14:textId="77777777" w:rsidTr="006B6740">
        <w:trPr>
          <w:trHeight w:val="332"/>
          <w:jc w:val="center"/>
        </w:trPr>
        <w:tc>
          <w:tcPr>
            <w:tcW w:w="10342" w:type="dxa"/>
            <w:gridSpan w:val="2"/>
            <w:tcBorders>
              <w:top w:val="single" w:sz="4" w:space="0" w:color="auto"/>
              <w:left w:val="single" w:sz="4" w:space="0" w:color="auto"/>
              <w:bottom w:val="single" w:sz="4" w:space="0" w:color="auto"/>
              <w:right w:val="single" w:sz="4" w:space="0" w:color="auto"/>
            </w:tcBorders>
            <w:vAlign w:val="center"/>
          </w:tcPr>
          <w:p w14:paraId="466901B3" w14:textId="542B7107" w:rsidR="009B4D7A" w:rsidRPr="00040AA9" w:rsidRDefault="00D22AF2" w:rsidP="00631FEA">
            <w:pPr>
              <w:pStyle w:val="p1"/>
              <w:suppressAutoHyphens/>
              <w:spacing w:before="40" w:after="40"/>
              <w:jc w:val="both"/>
              <w:rPr>
                <w:rFonts w:ascii="Arial" w:hAnsi="Arial" w:cs="Arial"/>
                <w:sz w:val="20"/>
                <w:szCs w:val="20"/>
              </w:rPr>
            </w:pPr>
            <w:r w:rsidRPr="00040AA9">
              <w:rPr>
                <w:rFonts w:ascii="Arial" w:eastAsia="Times New Roman" w:hAnsi="Arial" w:cs="Arial"/>
                <w:color w:val="808080" w:themeColor="background1" w:themeShade="80"/>
                <w:sz w:val="20"/>
                <w:szCs w:val="20"/>
              </w:rPr>
              <w:t xml:space="preserve">Dimension </w:t>
            </w:r>
            <w:r w:rsidR="00367E13" w:rsidRPr="00CF5903">
              <w:rPr>
                <w:rFonts w:ascii="Arial" w:eastAsia="Times New Roman" w:hAnsi="Arial" w:cs="Arial"/>
                <w:color w:val="808080" w:themeColor="background1" w:themeShade="80"/>
                <w:sz w:val="20"/>
                <w:szCs w:val="20"/>
              </w:rPr>
              <w:t>3:</w:t>
            </w:r>
            <w:r w:rsidR="00124A9F" w:rsidRPr="00040AA9">
              <w:rPr>
                <w:rFonts w:ascii="Arial" w:eastAsia="Times New Roman" w:hAnsi="Arial" w:cs="Arial"/>
                <w:color w:val="808080" w:themeColor="background1" w:themeShade="80"/>
                <w:sz w:val="20"/>
                <w:szCs w:val="20"/>
              </w:rPr>
              <w:t xml:space="preserve"> </w:t>
            </w:r>
            <w:r w:rsidR="00124A9F" w:rsidRPr="00040AA9">
              <w:rPr>
                <w:rFonts w:ascii="Arial" w:hAnsi="Arial" w:cs="Arial"/>
                <w:sz w:val="20"/>
                <w:szCs w:val="20"/>
              </w:rPr>
              <w:t>Public processes and actors</w:t>
            </w:r>
          </w:p>
        </w:tc>
      </w:tr>
      <w:tr w:rsidR="00BC1EB1" w:rsidRPr="00CF5903" w14:paraId="4FE0E02E" w14:textId="77777777" w:rsidTr="00BC1EB1">
        <w:trPr>
          <w:trHeight w:val="644"/>
          <w:jc w:val="center"/>
        </w:trPr>
        <w:tc>
          <w:tcPr>
            <w:tcW w:w="5127" w:type="dxa"/>
            <w:vMerge w:val="restart"/>
            <w:tcBorders>
              <w:top w:val="single" w:sz="4" w:space="0" w:color="auto"/>
              <w:left w:val="single" w:sz="4" w:space="0" w:color="auto"/>
              <w:right w:val="single" w:sz="4" w:space="0" w:color="auto"/>
            </w:tcBorders>
            <w:vAlign w:val="center"/>
          </w:tcPr>
          <w:p w14:paraId="697C5940" w14:textId="219C0046" w:rsidR="00BC1EB1" w:rsidRPr="00040AA9" w:rsidRDefault="00BC1EB1"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w:t>
            </w:r>
            <w:r w:rsidR="00951A3C" w:rsidRPr="00040AA9">
              <w:rPr>
                <w:rFonts w:ascii="Arial" w:eastAsia="Times New Roman" w:hAnsi="Arial" w:cs="Arial"/>
                <w:color w:val="808080" w:themeColor="background1" w:themeShade="80"/>
                <w:sz w:val="20"/>
                <w:szCs w:val="20"/>
              </w:rPr>
              <w:t>7</w:t>
            </w:r>
            <w:r w:rsidRPr="00040AA9">
              <w:rPr>
                <w:rFonts w:ascii="Arial" w:eastAsia="Times New Roman" w:hAnsi="Arial" w:cs="Arial"/>
                <w:color w:val="808080" w:themeColor="background1" w:themeShade="80"/>
                <w:sz w:val="20"/>
                <w:szCs w:val="20"/>
              </w:rPr>
              <w:t xml:space="preserve"> </w:t>
            </w:r>
            <w:r w:rsidRPr="00040AA9">
              <w:rPr>
                <w:rFonts w:ascii="Arial" w:eastAsia="Times New Roman" w:hAnsi="Arial" w:cs="Arial"/>
                <w:sz w:val="20"/>
                <w:szCs w:val="20"/>
              </w:rPr>
              <w:t xml:space="preserve">Ample technical discussions between the authorities and highly qualified Bank staff and consultants were critical in developing the tax policy and administration reforms sponsored by FISPEG. Maintenance of the project team intact over the life of the project cycle is essential for the continued delivery of intellectual and technical support to </w:t>
            </w:r>
            <w:r w:rsidR="00367E13" w:rsidRPr="00CF5903">
              <w:rPr>
                <w:rFonts w:ascii="Arial" w:eastAsia="Times New Roman" w:hAnsi="Arial" w:cs="Arial"/>
                <w:sz w:val="20"/>
                <w:szCs w:val="20"/>
              </w:rPr>
              <w:t>the counterpart</w:t>
            </w:r>
            <w:r w:rsidRPr="00040AA9">
              <w:rPr>
                <w:rFonts w:ascii="Arial" w:eastAsia="Times New Roman" w:hAnsi="Arial" w:cs="Arial"/>
                <w:sz w:val="20"/>
                <w:szCs w:val="20"/>
              </w:rPr>
              <w:t xml:space="preserve"> agencies. </w:t>
            </w:r>
          </w:p>
        </w:tc>
        <w:tc>
          <w:tcPr>
            <w:tcW w:w="5215" w:type="dxa"/>
            <w:tcBorders>
              <w:top w:val="single" w:sz="4" w:space="0" w:color="auto"/>
              <w:left w:val="single" w:sz="4" w:space="0" w:color="auto"/>
              <w:bottom w:val="single" w:sz="4" w:space="0" w:color="auto"/>
              <w:right w:val="single" w:sz="4" w:space="0" w:color="auto"/>
            </w:tcBorders>
            <w:vAlign w:val="center"/>
          </w:tcPr>
          <w:p w14:paraId="6278D06D" w14:textId="5EE278A3" w:rsidR="00BC1EB1" w:rsidRPr="00040AA9" w:rsidRDefault="00BC1EB1"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w:t>
            </w:r>
            <w:r w:rsidR="00FB255C" w:rsidRPr="00040AA9">
              <w:rPr>
                <w:rFonts w:ascii="Arial" w:eastAsia="Times New Roman" w:hAnsi="Arial" w:cs="Arial"/>
                <w:color w:val="808080" w:themeColor="background1" w:themeShade="80"/>
                <w:sz w:val="20"/>
                <w:szCs w:val="20"/>
              </w:rPr>
              <w:t>12</w:t>
            </w:r>
            <w:r w:rsidRPr="00040AA9">
              <w:rPr>
                <w:rFonts w:ascii="Arial" w:eastAsia="Times New Roman" w:hAnsi="Arial" w:cs="Arial"/>
                <w:sz w:val="20"/>
                <w:szCs w:val="20"/>
              </w:rPr>
              <w:t xml:space="preserve"> The Bank should not shortchange funding (in the form of reimbursable or non-reimbursable TCs) for the contracting of ongoing outside technical expertise. This expertise should be retained not only for carrying out the technical research underlying program design but also, and perhaps more importantly, for engaging with counterpart authorities in “seminars” or similar peer-to-peer exchanges that emphasize substance rather than </w:t>
            </w:r>
            <w:r w:rsidR="00B562C1" w:rsidRPr="00040AA9">
              <w:rPr>
                <w:rFonts w:ascii="Arial" w:eastAsia="Times New Roman" w:hAnsi="Arial" w:cs="Arial"/>
                <w:sz w:val="20"/>
                <w:szCs w:val="20"/>
              </w:rPr>
              <w:t xml:space="preserve">loan </w:t>
            </w:r>
            <w:r w:rsidRPr="00040AA9">
              <w:rPr>
                <w:rFonts w:ascii="Arial" w:eastAsia="Times New Roman" w:hAnsi="Arial" w:cs="Arial"/>
                <w:sz w:val="20"/>
                <w:szCs w:val="20"/>
              </w:rPr>
              <w:t xml:space="preserve">negotiations. </w:t>
            </w:r>
          </w:p>
        </w:tc>
      </w:tr>
      <w:tr w:rsidR="00BC1EB1" w:rsidRPr="00CF5903" w14:paraId="3922921C" w14:textId="77777777" w:rsidTr="00CE2FD7">
        <w:trPr>
          <w:trHeight w:val="643"/>
          <w:jc w:val="center"/>
        </w:trPr>
        <w:tc>
          <w:tcPr>
            <w:tcW w:w="5127" w:type="dxa"/>
            <w:vMerge/>
            <w:tcBorders>
              <w:left w:val="single" w:sz="4" w:space="0" w:color="auto"/>
              <w:right w:val="single" w:sz="4" w:space="0" w:color="auto"/>
            </w:tcBorders>
            <w:vAlign w:val="center"/>
          </w:tcPr>
          <w:p w14:paraId="4C3D6A73" w14:textId="77777777" w:rsidR="00BC1EB1" w:rsidRPr="00040AA9" w:rsidRDefault="00BC1EB1"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bottom w:val="single" w:sz="4" w:space="0" w:color="auto"/>
              <w:right w:val="single" w:sz="4" w:space="0" w:color="auto"/>
            </w:tcBorders>
            <w:vAlign w:val="center"/>
          </w:tcPr>
          <w:p w14:paraId="6B29AEC4" w14:textId="78C33207" w:rsidR="00BC1EB1" w:rsidRPr="00040AA9" w:rsidRDefault="00B63F33"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 1</w:t>
            </w:r>
            <w:r w:rsidR="00FB255C" w:rsidRPr="00040AA9">
              <w:rPr>
                <w:rFonts w:ascii="Arial" w:eastAsia="Times New Roman" w:hAnsi="Arial" w:cs="Arial"/>
                <w:color w:val="808080" w:themeColor="background1" w:themeShade="80"/>
                <w:sz w:val="20"/>
                <w:szCs w:val="20"/>
              </w:rPr>
              <w:t>3</w:t>
            </w:r>
            <w:r w:rsidR="00BC1EB1" w:rsidRPr="00040AA9">
              <w:rPr>
                <w:rFonts w:ascii="Arial" w:eastAsia="Times New Roman" w:hAnsi="Arial" w:cs="Arial"/>
                <w:color w:val="808080" w:themeColor="background1" w:themeShade="80"/>
                <w:sz w:val="20"/>
                <w:szCs w:val="20"/>
              </w:rPr>
              <w:t xml:space="preserve"> </w:t>
            </w:r>
            <w:r w:rsidR="00BC1EB1" w:rsidRPr="00040AA9">
              <w:rPr>
                <w:rFonts w:ascii="Arial" w:eastAsia="Times New Roman" w:hAnsi="Arial" w:cs="Arial"/>
                <w:sz w:val="20"/>
                <w:szCs w:val="20"/>
              </w:rPr>
              <w:t xml:space="preserve">By the same token, senior Bank management should make provision for direct-hire technical staff to fully participate and </w:t>
            </w:r>
            <w:r w:rsidR="007C17E7" w:rsidRPr="00040AA9">
              <w:rPr>
                <w:rFonts w:ascii="Arial" w:eastAsia="Times New Roman" w:hAnsi="Arial" w:cs="Arial"/>
                <w:sz w:val="20"/>
                <w:szCs w:val="20"/>
              </w:rPr>
              <w:t xml:space="preserve">preferably </w:t>
            </w:r>
            <w:r w:rsidR="00BC1EB1" w:rsidRPr="00040AA9">
              <w:rPr>
                <w:rFonts w:ascii="Arial" w:eastAsia="Times New Roman" w:hAnsi="Arial" w:cs="Arial"/>
                <w:sz w:val="20"/>
                <w:szCs w:val="20"/>
              </w:rPr>
              <w:t xml:space="preserve">lead these discussions. </w:t>
            </w:r>
            <w:r w:rsidR="00367E13" w:rsidRPr="00CF5903">
              <w:rPr>
                <w:rFonts w:ascii="Arial" w:eastAsia="Times New Roman" w:hAnsi="Arial" w:cs="Arial"/>
                <w:sz w:val="20"/>
                <w:szCs w:val="20"/>
              </w:rPr>
              <w:t>Specifically,</w:t>
            </w:r>
            <w:r w:rsidR="00BC1EB1" w:rsidRPr="00040AA9">
              <w:rPr>
                <w:rFonts w:ascii="Arial" w:eastAsia="Times New Roman" w:hAnsi="Arial" w:cs="Arial"/>
                <w:sz w:val="20"/>
                <w:szCs w:val="20"/>
              </w:rPr>
              <w:t xml:space="preserve"> greater administrative support should be provided to these technical staff members so that th</w:t>
            </w:r>
            <w:r w:rsidR="00B562C1" w:rsidRPr="00040AA9">
              <w:rPr>
                <w:rFonts w:ascii="Arial" w:eastAsia="Times New Roman" w:hAnsi="Arial" w:cs="Arial"/>
                <w:sz w:val="20"/>
                <w:szCs w:val="20"/>
              </w:rPr>
              <w:t>eir time spent on “bureaucratic</w:t>
            </w:r>
            <w:r w:rsidR="00BC1EB1" w:rsidRPr="00040AA9">
              <w:rPr>
                <w:rFonts w:ascii="Arial" w:eastAsia="Times New Roman" w:hAnsi="Arial" w:cs="Arial"/>
                <w:sz w:val="20"/>
                <w:szCs w:val="20"/>
              </w:rPr>
              <w:t xml:space="preserve"> balderdash</w:t>
            </w:r>
            <w:r w:rsidR="00B562C1" w:rsidRPr="00040AA9">
              <w:rPr>
                <w:rFonts w:ascii="Arial" w:eastAsia="Times New Roman" w:hAnsi="Arial" w:cs="Arial"/>
                <w:sz w:val="20"/>
                <w:szCs w:val="20"/>
              </w:rPr>
              <w:t>”</w:t>
            </w:r>
            <w:r w:rsidR="00BC1EB1" w:rsidRPr="00040AA9">
              <w:rPr>
                <w:rFonts w:ascii="Arial" w:eastAsia="Times New Roman" w:hAnsi="Arial" w:cs="Arial"/>
                <w:sz w:val="20"/>
                <w:szCs w:val="20"/>
              </w:rPr>
              <w:t xml:space="preserve"> is minimized.</w:t>
            </w:r>
          </w:p>
        </w:tc>
      </w:tr>
      <w:tr w:rsidR="00BC1EB1" w:rsidRPr="00CF5903" w14:paraId="08C60623" w14:textId="77777777" w:rsidTr="00BC1EB1">
        <w:trPr>
          <w:trHeight w:val="1763"/>
          <w:jc w:val="center"/>
        </w:trPr>
        <w:tc>
          <w:tcPr>
            <w:tcW w:w="5127" w:type="dxa"/>
            <w:vMerge/>
            <w:tcBorders>
              <w:left w:val="single" w:sz="4" w:space="0" w:color="auto"/>
              <w:right w:val="single" w:sz="4" w:space="0" w:color="auto"/>
            </w:tcBorders>
            <w:vAlign w:val="center"/>
          </w:tcPr>
          <w:p w14:paraId="63C8BED9" w14:textId="77777777" w:rsidR="00BC1EB1" w:rsidRPr="00040AA9" w:rsidRDefault="00BC1EB1"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right w:val="single" w:sz="4" w:space="0" w:color="auto"/>
            </w:tcBorders>
            <w:vAlign w:val="center"/>
          </w:tcPr>
          <w:p w14:paraId="274E7AB4" w14:textId="73632403" w:rsidR="00BC1EB1" w:rsidRPr="00040AA9" w:rsidRDefault="00B63F33"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 1</w:t>
            </w:r>
            <w:r w:rsidR="00FB255C" w:rsidRPr="00040AA9">
              <w:rPr>
                <w:rFonts w:ascii="Arial" w:eastAsia="Times New Roman" w:hAnsi="Arial" w:cs="Arial"/>
                <w:color w:val="808080" w:themeColor="background1" w:themeShade="80"/>
                <w:sz w:val="20"/>
                <w:szCs w:val="20"/>
              </w:rPr>
              <w:t>4</w:t>
            </w:r>
            <w:r w:rsidR="00BC1EB1" w:rsidRPr="00040AA9">
              <w:rPr>
                <w:rFonts w:ascii="Arial" w:eastAsia="Times New Roman" w:hAnsi="Arial" w:cs="Arial"/>
                <w:color w:val="808080" w:themeColor="background1" w:themeShade="80"/>
                <w:sz w:val="20"/>
                <w:szCs w:val="20"/>
              </w:rPr>
              <w:t xml:space="preserve"> </w:t>
            </w:r>
            <w:r w:rsidR="00BC1EB1" w:rsidRPr="00040AA9">
              <w:rPr>
                <w:rFonts w:ascii="Arial" w:eastAsia="Times New Roman" w:hAnsi="Arial" w:cs="Arial"/>
                <w:sz w:val="20"/>
                <w:szCs w:val="20"/>
              </w:rPr>
              <w:t xml:space="preserve">When establishing a project team every effort should be made not only to identify high quality specialists (be they direct-hire or consultants) but to assure they will be available to </w:t>
            </w:r>
            <w:r w:rsidR="00367E13" w:rsidRPr="00CF5903">
              <w:rPr>
                <w:rFonts w:ascii="Arial" w:eastAsia="Times New Roman" w:hAnsi="Arial" w:cs="Arial"/>
                <w:sz w:val="20"/>
                <w:szCs w:val="20"/>
              </w:rPr>
              <w:t>continue</w:t>
            </w:r>
            <w:r w:rsidR="00BC1EB1" w:rsidRPr="00040AA9">
              <w:rPr>
                <w:rFonts w:ascii="Arial" w:eastAsia="Times New Roman" w:hAnsi="Arial" w:cs="Arial"/>
                <w:sz w:val="20"/>
                <w:szCs w:val="20"/>
              </w:rPr>
              <w:t xml:space="preserve"> the project/program team over the expected life of the operation. </w:t>
            </w:r>
          </w:p>
        </w:tc>
      </w:tr>
      <w:tr w:rsidR="0014291F" w:rsidRPr="00CF5903" w14:paraId="4C0206F4" w14:textId="77777777" w:rsidTr="006B6740">
        <w:trPr>
          <w:trHeight w:val="377"/>
          <w:jc w:val="center"/>
        </w:trPr>
        <w:tc>
          <w:tcPr>
            <w:tcW w:w="5127" w:type="dxa"/>
            <w:vMerge w:val="restart"/>
            <w:tcBorders>
              <w:top w:val="single" w:sz="4" w:space="0" w:color="auto"/>
              <w:left w:val="single" w:sz="4" w:space="0" w:color="auto"/>
              <w:bottom w:val="single" w:sz="4" w:space="0" w:color="auto"/>
              <w:right w:val="single" w:sz="4" w:space="0" w:color="auto"/>
            </w:tcBorders>
            <w:vAlign w:val="center"/>
          </w:tcPr>
          <w:p w14:paraId="3A6658DA" w14:textId="673F968D" w:rsidR="008E3065" w:rsidRPr="00040AA9" w:rsidRDefault="008E3065"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w:t>
            </w:r>
            <w:r w:rsidR="00951A3C" w:rsidRPr="00040AA9">
              <w:rPr>
                <w:rFonts w:ascii="Arial" w:eastAsia="Times New Roman" w:hAnsi="Arial" w:cs="Arial"/>
                <w:color w:val="808080" w:themeColor="background1" w:themeShade="80"/>
                <w:sz w:val="20"/>
                <w:szCs w:val="20"/>
              </w:rPr>
              <w:t>8</w:t>
            </w:r>
            <w:r w:rsidR="00B35F3B" w:rsidRPr="00040AA9">
              <w:rPr>
                <w:rFonts w:ascii="Arial" w:eastAsia="Times New Roman" w:hAnsi="Arial" w:cs="Arial"/>
                <w:color w:val="808080" w:themeColor="background1" w:themeShade="80"/>
                <w:sz w:val="20"/>
                <w:szCs w:val="20"/>
              </w:rPr>
              <w:t xml:space="preserve"> </w:t>
            </w:r>
            <w:r w:rsidR="00B35F3B" w:rsidRPr="00040AA9">
              <w:rPr>
                <w:rFonts w:ascii="Arial" w:eastAsia="Times New Roman" w:hAnsi="Arial" w:cs="Arial"/>
                <w:sz w:val="20"/>
                <w:szCs w:val="20"/>
              </w:rPr>
              <w:t>Close and continuous involvement of the tax authorities with affected private-sector parties as well as with Parliament was a crucial ingredient in the approval and implementation of the substantial tax-policy reforms achieved by the program.</w:t>
            </w:r>
          </w:p>
        </w:tc>
        <w:tc>
          <w:tcPr>
            <w:tcW w:w="5215" w:type="dxa"/>
            <w:tcBorders>
              <w:top w:val="single" w:sz="4" w:space="0" w:color="auto"/>
              <w:left w:val="single" w:sz="4" w:space="0" w:color="auto"/>
              <w:bottom w:val="single" w:sz="4" w:space="0" w:color="auto"/>
              <w:right w:val="single" w:sz="4" w:space="0" w:color="auto"/>
            </w:tcBorders>
            <w:vAlign w:val="center"/>
          </w:tcPr>
          <w:p w14:paraId="036B7206" w14:textId="01B9D8A7" w:rsidR="008E3065" w:rsidRPr="00040AA9" w:rsidRDefault="00B63F33"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 1</w:t>
            </w:r>
            <w:r w:rsidR="00FB255C" w:rsidRPr="00040AA9">
              <w:rPr>
                <w:rFonts w:ascii="Arial" w:eastAsia="Times New Roman" w:hAnsi="Arial" w:cs="Arial"/>
                <w:color w:val="808080" w:themeColor="background1" w:themeShade="80"/>
                <w:sz w:val="20"/>
                <w:szCs w:val="20"/>
              </w:rPr>
              <w:t>5</w:t>
            </w:r>
            <w:r w:rsidR="00B35F3B" w:rsidRPr="00040AA9">
              <w:rPr>
                <w:rFonts w:ascii="Arial" w:eastAsia="Times New Roman" w:hAnsi="Arial" w:cs="Arial"/>
                <w:color w:val="808080" w:themeColor="background1" w:themeShade="80"/>
                <w:sz w:val="20"/>
                <w:szCs w:val="20"/>
              </w:rPr>
              <w:t xml:space="preserve"> </w:t>
            </w:r>
            <w:r w:rsidR="00B35F3B" w:rsidRPr="00040AA9">
              <w:rPr>
                <w:rFonts w:ascii="Arial" w:eastAsia="Times New Roman" w:hAnsi="Arial" w:cs="Arial"/>
                <w:sz w:val="20"/>
                <w:szCs w:val="20"/>
              </w:rPr>
              <w:t>Private sector stakeholders should be involved early and often in the policy reform process, particularly in countries with a strong parliamentary democracy tradition.</w:t>
            </w:r>
          </w:p>
        </w:tc>
      </w:tr>
      <w:tr w:rsidR="0014291F" w:rsidRPr="00CF5903" w14:paraId="59A856CD" w14:textId="77777777" w:rsidTr="006B6740">
        <w:trPr>
          <w:trHeight w:val="377"/>
          <w:jc w:val="center"/>
        </w:trPr>
        <w:tc>
          <w:tcPr>
            <w:tcW w:w="5127" w:type="dxa"/>
            <w:vMerge/>
            <w:tcBorders>
              <w:top w:val="single" w:sz="4" w:space="0" w:color="auto"/>
              <w:left w:val="single" w:sz="4" w:space="0" w:color="auto"/>
              <w:bottom w:val="single" w:sz="4" w:space="0" w:color="auto"/>
              <w:right w:val="single" w:sz="4" w:space="0" w:color="auto"/>
            </w:tcBorders>
            <w:vAlign w:val="center"/>
          </w:tcPr>
          <w:p w14:paraId="04D19004" w14:textId="77777777" w:rsidR="008E3065" w:rsidRPr="00040AA9" w:rsidRDefault="008E3065"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bottom w:val="single" w:sz="4" w:space="0" w:color="auto"/>
              <w:right w:val="single" w:sz="4" w:space="0" w:color="auto"/>
            </w:tcBorders>
            <w:vAlign w:val="center"/>
          </w:tcPr>
          <w:p w14:paraId="768EA6F7" w14:textId="51B92747" w:rsidR="008E3065" w:rsidRPr="00040AA9" w:rsidRDefault="00B63F33"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 1</w:t>
            </w:r>
            <w:r w:rsidR="00FB255C" w:rsidRPr="00040AA9">
              <w:rPr>
                <w:rFonts w:ascii="Arial" w:eastAsia="Times New Roman" w:hAnsi="Arial" w:cs="Arial"/>
                <w:color w:val="808080" w:themeColor="background1" w:themeShade="80"/>
                <w:sz w:val="20"/>
                <w:szCs w:val="20"/>
              </w:rPr>
              <w:t>6</w:t>
            </w:r>
            <w:r w:rsidR="00B35F3B" w:rsidRPr="00040AA9">
              <w:rPr>
                <w:rFonts w:ascii="Arial" w:eastAsia="Times New Roman" w:hAnsi="Arial" w:cs="Arial"/>
                <w:color w:val="808080" w:themeColor="background1" w:themeShade="80"/>
                <w:sz w:val="20"/>
                <w:szCs w:val="20"/>
              </w:rPr>
              <w:t xml:space="preserve"> </w:t>
            </w:r>
            <w:r w:rsidR="00B35F3B" w:rsidRPr="00040AA9">
              <w:rPr>
                <w:rFonts w:ascii="Arial" w:eastAsia="Times New Roman" w:hAnsi="Arial" w:cs="Arial"/>
                <w:sz w:val="20"/>
                <w:szCs w:val="20"/>
              </w:rPr>
              <w:t>Full and even repetitive discussion</w:t>
            </w:r>
            <w:r w:rsidR="00B3351F" w:rsidRPr="00040AA9">
              <w:rPr>
                <w:rFonts w:ascii="Arial" w:eastAsia="Times New Roman" w:hAnsi="Arial" w:cs="Arial"/>
                <w:sz w:val="20"/>
                <w:szCs w:val="20"/>
              </w:rPr>
              <w:t>s</w:t>
            </w:r>
            <w:r w:rsidR="00B35F3B" w:rsidRPr="00040AA9">
              <w:rPr>
                <w:rFonts w:ascii="Arial" w:eastAsia="Times New Roman" w:hAnsi="Arial" w:cs="Arial"/>
                <w:sz w:val="20"/>
                <w:szCs w:val="20"/>
              </w:rPr>
              <w:t xml:space="preserve"> of contentious (e.g. tax expenditure) or complicated (e.g. application of GCT to government purchase) </w:t>
            </w:r>
            <w:r w:rsidR="00B3351F" w:rsidRPr="00040AA9">
              <w:rPr>
                <w:rFonts w:ascii="Arial" w:eastAsia="Times New Roman" w:hAnsi="Arial" w:cs="Arial"/>
                <w:sz w:val="20"/>
                <w:szCs w:val="20"/>
              </w:rPr>
              <w:t xml:space="preserve">issues </w:t>
            </w:r>
            <w:r w:rsidR="00B35F3B" w:rsidRPr="00040AA9">
              <w:rPr>
                <w:rFonts w:ascii="Arial" w:eastAsia="Times New Roman" w:hAnsi="Arial" w:cs="Arial"/>
                <w:sz w:val="20"/>
                <w:szCs w:val="20"/>
              </w:rPr>
              <w:t>should be programmed into the design and execution of complex PBLs.</w:t>
            </w:r>
          </w:p>
        </w:tc>
      </w:tr>
      <w:tr w:rsidR="00744C27" w:rsidRPr="00CF5903" w14:paraId="1176F189" w14:textId="77777777" w:rsidTr="006B6740">
        <w:trPr>
          <w:trHeight w:val="377"/>
          <w:jc w:val="center"/>
        </w:trPr>
        <w:tc>
          <w:tcPr>
            <w:tcW w:w="10342" w:type="dxa"/>
            <w:gridSpan w:val="2"/>
            <w:tcBorders>
              <w:top w:val="single" w:sz="4" w:space="0" w:color="auto"/>
              <w:left w:val="single" w:sz="4" w:space="0" w:color="auto"/>
              <w:bottom w:val="single" w:sz="4" w:space="0" w:color="auto"/>
              <w:right w:val="single" w:sz="4" w:space="0" w:color="auto"/>
            </w:tcBorders>
            <w:vAlign w:val="center"/>
          </w:tcPr>
          <w:p w14:paraId="6C90FE41" w14:textId="10E6031F" w:rsidR="00D22AF2" w:rsidRPr="00040AA9" w:rsidRDefault="00367E13" w:rsidP="00631FEA">
            <w:pPr>
              <w:pStyle w:val="p1"/>
              <w:suppressAutoHyphens/>
              <w:spacing w:before="40" w:after="40"/>
              <w:jc w:val="both"/>
              <w:rPr>
                <w:rFonts w:ascii="Arial" w:hAnsi="Arial" w:cs="Arial"/>
                <w:sz w:val="20"/>
                <w:szCs w:val="20"/>
              </w:rPr>
            </w:pPr>
            <w:r w:rsidRPr="00CF5903">
              <w:rPr>
                <w:rFonts w:ascii="Arial" w:eastAsia="Times New Roman" w:hAnsi="Arial" w:cs="Arial"/>
                <w:color w:val="808080" w:themeColor="background1" w:themeShade="80"/>
                <w:sz w:val="20"/>
                <w:szCs w:val="20"/>
              </w:rPr>
              <w:t>Dimension 4</w:t>
            </w:r>
            <w:r w:rsidR="00D22AF2" w:rsidRPr="00040AA9">
              <w:rPr>
                <w:rFonts w:ascii="Arial" w:eastAsia="Times New Roman" w:hAnsi="Arial" w:cs="Arial"/>
                <w:color w:val="808080" w:themeColor="background1" w:themeShade="80"/>
                <w:sz w:val="20"/>
                <w:szCs w:val="20"/>
              </w:rPr>
              <w:t>:</w:t>
            </w:r>
            <w:r w:rsidR="00124A9F" w:rsidRPr="00040AA9">
              <w:rPr>
                <w:rFonts w:ascii="Arial" w:eastAsia="Times New Roman" w:hAnsi="Arial" w:cs="Arial"/>
                <w:color w:val="808080" w:themeColor="background1" w:themeShade="80"/>
                <w:sz w:val="20"/>
                <w:szCs w:val="20"/>
              </w:rPr>
              <w:t xml:space="preserve"> </w:t>
            </w:r>
            <w:r w:rsidR="00124A9F" w:rsidRPr="00040AA9">
              <w:rPr>
                <w:rFonts w:ascii="Arial" w:hAnsi="Arial" w:cs="Arial"/>
                <w:sz w:val="20"/>
                <w:szCs w:val="20"/>
              </w:rPr>
              <w:t>Fiduciary</w:t>
            </w:r>
          </w:p>
        </w:tc>
      </w:tr>
      <w:tr w:rsidR="0014291F" w:rsidRPr="00CF5903" w14:paraId="63488F19" w14:textId="77777777" w:rsidTr="006B6740">
        <w:trPr>
          <w:trHeight w:val="1012"/>
          <w:jc w:val="center"/>
        </w:trPr>
        <w:tc>
          <w:tcPr>
            <w:tcW w:w="5127" w:type="dxa"/>
            <w:tcBorders>
              <w:top w:val="single" w:sz="4" w:space="0" w:color="auto"/>
              <w:left w:val="single" w:sz="4" w:space="0" w:color="auto"/>
              <w:right w:val="single" w:sz="4" w:space="0" w:color="auto"/>
            </w:tcBorders>
            <w:vAlign w:val="center"/>
          </w:tcPr>
          <w:p w14:paraId="1B1CDA3B" w14:textId="0D7F9430" w:rsidR="00BB526E" w:rsidRPr="00040AA9" w:rsidRDefault="00BB526E"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w:t>
            </w:r>
            <w:r w:rsidR="006E2EDD" w:rsidRPr="00040AA9">
              <w:rPr>
                <w:rFonts w:ascii="Arial" w:eastAsia="Times New Roman" w:hAnsi="Arial" w:cs="Arial"/>
                <w:color w:val="808080" w:themeColor="background1" w:themeShade="80"/>
                <w:sz w:val="20"/>
                <w:szCs w:val="20"/>
              </w:rPr>
              <w:t>9</w:t>
            </w:r>
            <w:r w:rsidRPr="00040AA9">
              <w:rPr>
                <w:rFonts w:ascii="Arial" w:eastAsia="Times New Roman" w:hAnsi="Arial" w:cs="Arial"/>
                <w:color w:val="808080" w:themeColor="background1" w:themeShade="80"/>
                <w:sz w:val="20"/>
                <w:szCs w:val="20"/>
              </w:rPr>
              <w:t xml:space="preserve"> </w:t>
            </w:r>
            <w:r w:rsidRPr="00040AA9">
              <w:rPr>
                <w:rFonts w:ascii="Arial" w:eastAsia="Times New Roman" w:hAnsi="Arial" w:cs="Arial"/>
                <w:sz w:val="20"/>
                <w:szCs w:val="20"/>
              </w:rPr>
              <w:t>As a PBP</w:t>
            </w:r>
            <w:r w:rsidR="00D25168" w:rsidRPr="00040AA9">
              <w:rPr>
                <w:rFonts w:ascii="Arial" w:eastAsia="Times New Roman" w:hAnsi="Arial" w:cs="Arial"/>
                <w:sz w:val="20"/>
                <w:szCs w:val="20"/>
              </w:rPr>
              <w:t>,</w:t>
            </w:r>
            <w:r w:rsidRPr="00040AA9">
              <w:rPr>
                <w:rFonts w:ascii="Arial" w:eastAsia="Times New Roman" w:hAnsi="Arial" w:cs="Arial"/>
                <w:sz w:val="20"/>
                <w:szCs w:val="20"/>
              </w:rPr>
              <w:t xml:space="preserve"> the FISPEG operation did not encounter fiduciary issues. Disbursement of the PBLs was handled efficiently and expeditiously.</w:t>
            </w:r>
          </w:p>
        </w:tc>
        <w:tc>
          <w:tcPr>
            <w:tcW w:w="5215" w:type="dxa"/>
            <w:tcBorders>
              <w:top w:val="single" w:sz="4" w:space="0" w:color="auto"/>
              <w:left w:val="single" w:sz="4" w:space="0" w:color="auto"/>
              <w:right w:val="single" w:sz="4" w:space="0" w:color="auto"/>
            </w:tcBorders>
            <w:vAlign w:val="center"/>
          </w:tcPr>
          <w:p w14:paraId="3CECCB85" w14:textId="08A07113" w:rsidR="00BB526E" w:rsidRPr="00040AA9" w:rsidRDefault="00BB526E"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w:t>
            </w:r>
            <w:r w:rsidRPr="00040AA9">
              <w:rPr>
                <w:rFonts w:ascii="Arial" w:eastAsia="Times New Roman" w:hAnsi="Arial" w:cs="Arial"/>
                <w:sz w:val="20"/>
                <w:szCs w:val="20"/>
              </w:rPr>
              <w:t>N/A</w:t>
            </w:r>
          </w:p>
        </w:tc>
      </w:tr>
      <w:tr w:rsidR="00744C27" w:rsidRPr="00CF5903" w14:paraId="25186126" w14:textId="77777777" w:rsidTr="006B6740">
        <w:trPr>
          <w:trHeight w:val="377"/>
          <w:jc w:val="center"/>
        </w:trPr>
        <w:tc>
          <w:tcPr>
            <w:tcW w:w="10342" w:type="dxa"/>
            <w:gridSpan w:val="2"/>
            <w:tcBorders>
              <w:top w:val="single" w:sz="4" w:space="0" w:color="auto"/>
              <w:left w:val="single" w:sz="4" w:space="0" w:color="auto"/>
              <w:bottom w:val="single" w:sz="4" w:space="0" w:color="auto"/>
              <w:right w:val="single" w:sz="4" w:space="0" w:color="auto"/>
            </w:tcBorders>
            <w:vAlign w:val="center"/>
          </w:tcPr>
          <w:p w14:paraId="47A87835" w14:textId="63127C66" w:rsidR="00D82CCE" w:rsidRPr="00040AA9" w:rsidRDefault="00367E13" w:rsidP="00631FEA">
            <w:pPr>
              <w:pStyle w:val="p1"/>
              <w:suppressAutoHyphens/>
              <w:spacing w:before="40" w:after="40"/>
              <w:jc w:val="both"/>
              <w:rPr>
                <w:rFonts w:ascii="Arial" w:hAnsi="Arial" w:cs="Arial"/>
                <w:sz w:val="20"/>
                <w:szCs w:val="20"/>
              </w:rPr>
            </w:pPr>
            <w:r w:rsidRPr="00CF5903">
              <w:rPr>
                <w:rFonts w:ascii="Arial" w:eastAsia="Times New Roman" w:hAnsi="Arial" w:cs="Arial"/>
                <w:color w:val="808080" w:themeColor="background1" w:themeShade="80"/>
                <w:sz w:val="20"/>
                <w:szCs w:val="20"/>
              </w:rPr>
              <w:t>Dimension 5</w:t>
            </w:r>
            <w:r w:rsidR="00D82CCE" w:rsidRPr="00040AA9">
              <w:rPr>
                <w:rFonts w:ascii="Arial" w:eastAsia="Times New Roman" w:hAnsi="Arial" w:cs="Arial"/>
                <w:color w:val="808080" w:themeColor="background1" w:themeShade="80"/>
                <w:sz w:val="20"/>
                <w:szCs w:val="20"/>
              </w:rPr>
              <w:t>:</w:t>
            </w:r>
            <w:r w:rsidR="00124A9F" w:rsidRPr="00040AA9">
              <w:rPr>
                <w:rFonts w:ascii="Arial" w:eastAsia="Times New Roman" w:hAnsi="Arial" w:cs="Arial"/>
                <w:color w:val="808080" w:themeColor="background1" w:themeShade="80"/>
                <w:sz w:val="20"/>
                <w:szCs w:val="20"/>
              </w:rPr>
              <w:t xml:space="preserve"> </w:t>
            </w:r>
            <w:r w:rsidR="00124A9F" w:rsidRPr="00040AA9">
              <w:rPr>
                <w:rFonts w:ascii="Arial" w:hAnsi="Arial" w:cs="Arial"/>
                <w:sz w:val="20"/>
                <w:szCs w:val="20"/>
              </w:rPr>
              <w:t>Risk management.</w:t>
            </w:r>
          </w:p>
        </w:tc>
      </w:tr>
      <w:tr w:rsidR="00C60042" w:rsidRPr="00CF5903" w14:paraId="09B2880B" w14:textId="77777777" w:rsidTr="00C60042">
        <w:trPr>
          <w:trHeight w:val="459"/>
          <w:jc w:val="center"/>
        </w:trPr>
        <w:tc>
          <w:tcPr>
            <w:tcW w:w="5127" w:type="dxa"/>
            <w:vMerge w:val="restart"/>
            <w:tcBorders>
              <w:top w:val="single" w:sz="4" w:space="0" w:color="auto"/>
              <w:left w:val="single" w:sz="4" w:space="0" w:color="auto"/>
              <w:right w:val="single" w:sz="4" w:space="0" w:color="auto"/>
            </w:tcBorders>
            <w:vAlign w:val="center"/>
          </w:tcPr>
          <w:p w14:paraId="70B8A959" w14:textId="7264BDAA" w:rsidR="00C60042" w:rsidRPr="00040AA9" w:rsidRDefault="00C60042" w:rsidP="00631FEA">
            <w:pPr>
              <w:suppressAutoHyphens/>
              <w:spacing w:before="40" w:after="40"/>
              <w:jc w:val="both"/>
              <w:rPr>
                <w:rFonts w:ascii="Arial" w:eastAsia="Times New Roman" w:hAnsi="Arial" w:cs="Arial"/>
                <w:sz w:val="20"/>
                <w:szCs w:val="20"/>
              </w:rPr>
            </w:pPr>
            <w:r w:rsidRPr="00040AA9">
              <w:rPr>
                <w:rFonts w:ascii="Arial" w:eastAsia="Times New Roman" w:hAnsi="Arial" w:cs="Arial"/>
                <w:color w:val="808080" w:themeColor="background1" w:themeShade="80"/>
                <w:sz w:val="20"/>
                <w:szCs w:val="20"/>
              </w:rPr>
              <w:t xml:space="preserve">Finding # </w:t>
            </w:r>
            <w:r w:rsidR="006E2EDD" w:rsidRPr="00040AA9">
              <w:rPr>
                <w:rFonts w:ascii="Arial" w:eastAsia="Times New Roman" w:hAnsi="Arial" w:cs="Arial"/>
                <w:color w:val="808080" w:themeColor="background1" w:themeShade="80"/>
                <w:sz w:val="20"/>
                <w:szCs w:val="20"/>
              </w:rPr>
              <w:t>10</w:t>
            </w:r>
            <w:r w:rsidRPr="00040AA9">
              <w:rPr>
                <w:rFonts w:ascii="Arial" w:eastAsia="Times New Roman" w:hAnsi="Arial" w:cs="Arial"/>
                <w:color w:val="808080" w:themeColor="background1" w:themeShade="80"/>
                <w:sz w:val="20"/>
                <w:szCs w:val="20"/>
              </w:rPr>
              <w:t xml:space="preserve"> </w:t>
            </w:r>
            <w:r w:rsidRPr="00040AA9">
              <w:rPr>
                <w:rFonts w:ascii="Arial" w:eastAsia="Times New Roman" w:hAnsi="Arial" w:cs="Arial"/>
                <w:sz w:val="20"/>
                <w:szCs w:val="20"/>
              </w:rPr>
              <w:t>Prior Bank experience with tax policy and tax administration in Jamaica was critical in managing the risks associated with the large, complex and ambitious tax reform agenda sponsored by the program.</w:t>
            </w:r>
          </w:p>
          <w:p w14:paraId="1C63C7EB" w14:textId="520ABF85" w:rsidR="00C60042" w:rsidRPr="00040AA9" w:rsidRDefault="00C60042"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sz w:val="20"/>
                <w:szCs w:val="20"/>
              </w:rPr>
              <w:t xml:space="preserve">This is one of the lessons learned from the Bank’s experience with the predecessor FCP operation, as discussed at length in the PCR for that program. </w:t>
            </w:r>
          </w:p>
        </w:tc>
        <w:tc>
          <w:tcPr>
            <w:tcW w:w="5215" w:type="dxa"/>
            <w:tcBorders>
              <w:top w:val="single" w:sz="4" w:space="0" w:color="auto"/>
              <w:left w:val="single" w:sz="4" w:space="0" w:color="auto"/>
              <w:right w:val="single" w:sz="4" w:space="0" w:color="auto"/>
            </w:tcBorders>
            <w:vAlign w:val="center"/>
          </w:tcPr>
          <w:p w14:paraId="3AF95159" w14:textId="573B417A" w:rsidR="00C60042" w:rsidRPr="00040AA9" w:rsidRDefault="00C60042"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w:t>
            </w:r>
            <w:r w:rsidR="00B63F33" w:rsidRPr="00040AA9">
              <w:rPr>
                <w:rFonts w:ascii="Arial" w:eastAsia="Times New Roman" w:hAnsi="Arial" w:cs="Arial"/>
                <w:color w:val="808080" w:themeColor="background1" w:themeShade="80"/>
                <w:sz w:val="20"/>
                <w:szCs w:val="20"/>
              </w:rPr>
              <w:t xml:space="preserve"> 1</w:t>
            </w:r>
            <w:r w:rsidR="00FB255C" w:rsidRPr="00040AA9">
              <w:rPr>
                <w:rFonts w:ascii="Arial" w:eastAsia="Times New Roman" w:hAnsi="Arial" w:cs="Arial"/>
                <w:color w:val="808080" w:themeColor="background1" w:themeShade="80"/>
                <w:sz w:val="20"/>
                <w:szCs w:val="20"/>
              </w:rPr>
              <w:t>7</w:t>
            </w:r>
            <w:r w:rsidRPr="00040AA9">
              <w:rPr>
                <w:rFonts w:ascii="Arial" w:eastAsia="Times New Roman" w:hAnsi="Arial" w:cs="Arial"/>
                <w:color w:val="808080" w:themeColor="background1" w:themeShade="80"/>
                <w:sz w:val="20"/>
                <w:szCs w:val="20"/>
              </w:rPr>
              <w:t xml:space="preserve"> </w:t>
            </w:r>
            <w:r w:rsidRPr="00040AA9">
              <w:rPr>
                <w:rFonts w:ascii="Arial" w:eastAsia="Times New Roman" w:hAnsi="Arial" w:cs="Arial"/>
                <w:sz w:val="20"/>
                <w:szCs w:val="20"/>
              </w:rPr>
              <w:t xml:space="preserve">As is implicit in the discussion of technical-sectoral dimension above, the Bank should never underestimate the risks of undertaking a reform program without having taken adequate prior technical work and consensus building with key counterparts. </w:t>
            </w:r>
          </w:p>
        </w:tc>
      </w:tr>
      <w:tr w:rsidR="00C60042" w:rsidRPr="00CF5903" w14:paraId="4552DFA2" w14:textId="77777777" w:rsidTr="00CE2FD7">
        <w:trPr>
          <w:trHeight w:val="458"/>
          <w:jc w:val="center"/>
        </w:trPr>
        <w:tc>
          <w:tcPr>
            <w:tcW w:w="5127" w:type="dxa"/>
            <w:vMerge/>
            <w:tcBorders>
              <w:left w:val="single" w:sz="4" w:space="0" w:color="auto"/>
              <w:right w:val="single" w:sz="4" w:space="0" w:color="auto"/>
            </w:tcBorders>
            <w:vAlign w:val="center"/>
          </w:tcPr>
          <w:p w14:paraId="2B6D0AAD" w14:textId="77777777" w:rsidR="00C60042" w:rsidRPr="00040AA9" w:rsidRDefault="00C60042" w:rsidP="00631FEA">
            <w:pPr>
              <w:suppressAutoHyphens/>
              <w:spacing w:before="40" w:after="40"/>
              <w:jc w:val="both"/>
              <w:rPr>
                <w:rFonts w:ascii="Arial" w:eastAsia="Times New Roman" w:hAnsi="Arial" w:cs="Arial"/>
                <w:color w:val="808080" w:themeColor="background1" w:themeShade="80"/>
                <w:sz w:val="20"/>
                <w:szCs w:val="20"/>
              </w:rPr>
            </w:pPr>
          </w:p>
        </w:tc>
        <w:tc>
          <w:tcPr>
            <w:tcW w:w="5215" w:type="dxa"/>
            <w:tcBorders>
              <w:top w:val="single" w:sz="4" w:space="0" w:color="auto"/>
              <w:left w:val="single" w:sz="4" w:space="0" w:color="auto"/>
              <w:right w:val="single" w:sz="4" w:space="0" w:color="auto"/>
            </w:tcBorders>
            <w:vAlign w:val="center"/>
          </w:tcPr>
          <w:p w14:paraId="113F52A9" w14:textId="66FB59C8" w:rsidR="00C60042" w:rsidRPr="00040AA9" w:rsidRDefault="00B63F33"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Recommendation #1</w:t>
            </w:r>
            <w:r w:rsidR="00FB255C" w:rsidRPr="00040AA9">
              <w:rPr>
                <w:rFonts w:ascii="Arial" w:eastAsia="Times New Roman" w:hAnsi="Arial" w:cs="Arial"/>
                <w:color w:val="808080" w:themeColor="background1" w:themeShade="80"/>
                <w:sz w:val="20"/>
                <w:szCs w:val="20"/>
              </w:rPr>
              <w:t>8</w:t>
            </w:r>
            <w:r w:rsidR="00C60042" w:rsidRPr="00040AA9">
              <w:rPr>
                <w:rFonts w:ascii="Arial" w:eastAsia="Times New Roman" w:hAnsi="Arial" w:cs="Arial"/>
                <w:color w:val="808080" w:themeColor="background1" w:themeShade="80"/>
                <w:sz w:val="20"/>
                <w:szCs w:val="20"/>
              </w:rPr>
              <w:t xml:space="preserve"> </w:t>
            </w:r>
            <w:r w:rsidR="00C60042" w:rsidRPr="00040AA9">
              <w:rPr>
                <w:rFonts w:ascii="Arial" w:eastAsia="Times New Roman" w:hAnsi="Arial" w:cs="Arial"/>
                <w:sz w:val="20"/>
                <w:szCs w:val="20"/>
              </w:rPr>
              <w:t xml:space="preserve">When in doubt in this regard the Bank would be well advised to </w:t>
            </w:r>
            <w:r w:rsidR="000C5E16" w:rsidRPr="00040AA9">
              <w:rPr>
                <w:rFonts w:ascii="Arial" w:eastAsia="Times New Roman" w:hAnsi="Arial" w:cs="Arial"/>
                <w:sz w:val="20"/>
                <w:szCs w:val="20"/>
              </w:rPr>
              <w:t>design and at least initiate implementation of a parallel technical cooperation operation (either grant or loan funded</w:t>
            </w:r>
            <w:r w:rsidR="000061C5" w:rsidRPr="00040AA9">
              <w:rPr>
                <w:rFonts w:ascii="Arial" w:eastAsia="Times New Roman" w:hAnsi="Arial" w:cs="Arial"/>
                <w:sz w:val="20"/>
                <w:szCs w:val="20"/>
              </w:rPr>
              <w:t>)</w:t>
            </w:r>
            <w:r w:rsidR="000C5E16" w:rsidRPr="00040AA9">
              <w:rPr>
                <w:rFonts w:ascii="Arial" w:eastAsia="Times New Roman" w:hAnsi="Arial" w:cs="Arial"/>
                <w:sz w:val="20"/>
                <w:szCs w:val="20"/>
              </w:rPr>
              <w:t xml:space="preserve"> including an investment component as appropriate</w:t>
            </w:r>
            <w:r w:rsidR="000061C5" w:rsidRPr="00040AA9">
              <w:rPr>
                <w:rFonts w:ascii="Arial" w:eastAsia="Times New Roman" w:hAnsi="Arial" w:cs="Arial"/>
                <w:sz w:val="20"/>
                <w:szCs w:val="20"/>
              </w:rPr>
              <w:t xml:space="preserve"> to address any perceived shortcoming in prospective counterpart agencies that might derail the proposed PBP. (The experience of the FAMP operation in Jamaica is particularly instructive in this regard.)</w:t>
            </w:r>
          </w:p>
        </w:tc>
      </w:tr>
      <w:tr w:rsidR="00303C4C" w:rsidRPr="00CF5903" w14:paraId="47C21CA1" w14:textId="77777777" w:rsidTr="003606E2">
        <w:trPr>
          <w:trHeight w:val="2285"/>
          <w:jc w:val="center"/>
        </w:trPr>
        <w:tc>
          <w:tcPr>
            <w:tcW w:w="5127" w:type="dxa"/>
            <w:tcBorders>
              <w:top w:val="single" w:sz="4" w:space="0" w:color="auto"/>
              <w:left w:val="single" w:sz="4" w:space="0" w:color="auto"/>
              <w:right w:val="single" w:sz="4" w:space="0" w:color="auto"/>
            </w:tcBorders>
            <w:vAlign w:val="center"/>
          </w:tcPr>
          <w:p w14:paraId="3D8549EB" w14:textId="174BB8CB" w:rsidR="00303C4C" w:rsidRPr="00040AA9" w:rsidRDefault="00303C4C"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Finding # 11 </w:t>
            </w:r>
            <w:r w:rsidRPr="00040AA9">
              <w:rPr>
                <w:rFonts w:ascii="Arial" w:eastAsia="Times New Roman" w:hAnsi="Arial" w:cs="Arial"/>
                <w:sz w:val="20"/>
                <w:szCs w:val="20"/>
              </w:rPr>
              <w:t xml:space="preserve">The FISPEG experience with the NIS reform component of the program demonstrates the obverse of this finding. While much useful analysis of the issues and follow-on discussions with counterpart staff was carried out, program support for this component was neither as broad or as deep as was provided in the tax reform area, and if </w:t>
            </w:r>
            <w:r w:rsidR="00367E13" w:rsidRPr="00CF5903">
              <w:rPr>
                <w:rFonts w:ascii="Arial" w:eastAsia="Times New Roman" w:hAnsi="Arial" w:cs="Arial"/>
                <w:sz w:val="20"/>
                <w:szCs w:val="20"/>
              </w:rPr>
              <w:t>anything,</w:t>
            </w:r>
            <w:r w:rsidRPr="00040AA9">
              <w:rPr>
                <w:rFonts w:ascii="Arial" w:eastAsia="Times New Roman" w:hAnsi="Arial" w:cs="Arial"/>
                <w:sz w:val="20"/>
                <w:szCs w:val="20"/>
              </w:rPr>
              <w:t xml:space="preserve"> the counterpart institutions were weaker and less capable of internalizing the reforms. </w:t>
            </w:r>
          </w:p>
        </w:tc>
        <w:tc>
          <w:tcPr>
            <w:tcW w:w="5215" w:type="dxa"/>
            <w:tcBorders>
              <w:top w:val="single" w:sz="4" w:space="0" w:color="auto"/>
              <w:left w:val="single" w:sz="4" w:space="0" w:color="auto"/>
              <w:right w:val="single" w:sz="4" w:space="0" w:color="auto"/>
            </w:tcBorders>
            <w:vAlign w:val="center"/>
          </w:tcPr>
          <w:p w14:paraId="3D7189D9" w14:textId="53B02938" w:rsidR="00303C4C" w:rsidRPr="00040AA9" w:rsidRDefault="00303C4C" w:rsidP="00631FEA">
            <w:pPr>
              <w:suppressAutoHyphens/>
              <w:spacing w:before="40" w:after="40"/>
              <w:jc w:val="both"/>
              <w:rPr>
                <w:rFonts w:ascii="Arial" w:eastAsia="Times New Roman" w:hAnsi="Arial" w:cs="Arial"/>
                <w:color w:val="808080" w:themeColor="background1" w:themeShade="80"/>
                <w:sz w:val="20"/>
                <w:szCs w:val="20"/>
              </w:rPr>
            </w:pPr>
            <w:r w:rsidRPr="00040AA9">
              <w:rPr>
                <w:rFonts w:ascii="Arial" w:eastAsia="Times New Roman" w:hAnsi="Arial" w:cs="Arial"/>
                <w:color w:val="808080" w:themeColor="background1" w:themeShade="80"/>
                <w:sz w:val="20"/>
                <w:szCs w:val="20"/>
              </w:rPr>
              <w:t xml:space="preserve">Recommendation # 19 </w:t>
            </w:r>
            <w:r w:rsidRPr="00040AA9">
              <w:rPr>
                <w:rFonts w:ascii="Arial" w:eastAsia="Times New Roman" w:hAnsi="Arial" w:cs="Arial"/>
                <w:sz w:val="20"/>
                <w:szCs w:val="20"/>
              </w:rPr>
              <w:t xml:space="preserve">While it is desirable to be comprehensive and address all aspects of a sector’s weakness (e.g. in the case of fiscal reform both critical expenditure as well as revenue issues) PBP project teams need to be fully cognizant of the potential pitfalls of attaching a component to the program the implementation of which may require more outside technical and in-house logistical support than is likely to be made available (given Bank and counterpart budget constraints). </w:t>
            </w:r>
          </w:p>
        </w:tc>
      </w:tr>
    </w:tbl>
    <w:p w14:paraId="4BAC376B" w14:textId="77777777" w:rsidR="00F81455" w:rsidRPr="00040AA9" w:rsidRDefault="00F81455" w:rsidP="00ED4C96">
      <w:pPr>
        <w:suppressAutoHyphens/>
        <w:rPr>
          <w:rFonts w:ascii="Arial" w:hAnsi="Arial" w:cs="Arial"/>
          <w:sz w:val="20"/>
          <w:szCs w:val="20"/>
        </w:rPr>
      </w:pPr>
    </w:p>
    <w:sectPr w:rsidR="00F81455" w:rsidRPr="00040AA9" w:rsidSect="00C264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A7B2E" w14:textId="77777777" w:rsidR="00FE4AAC" w:rsidRDefault="00FE4AAC" w:rsidP="009B4D7A">
      <w:r>
        <w:separator/>
      </w:r>
    </w:p>
  </w:endnote>
  <w:endnote w:type="continuationSeparator" w:id="0">
    <w:p w14:paraId="16016085" w14:textId="77777777" w:rsidR="00FE4AAC" w:rsidRDefault="00FE4AAC" w:rsidP="009B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Dcr10">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770613"/>
      <w:docPartObj>
        <w:docPartGallery w:val="Page Numbers (Bottom of Page)"/>
        <w:docPartUnique/>
      </w:docPartObj>
    </w:sdtPr>
    <w:sdtEndPr>
      <w:rPr>
        <w:noProof/>
      </w:rPr>
    </w:sdtEndPr>
    <w:sdtContent>
      <w:p w14:paraId="2F334904" w14:textId="7F116160" w:rsidR="00D64D1A" w:rsidRDefault="00D64D1A">
        <w:pPr>
          <w:pStyle w:val="Footer"/>
          <w:jc w:val="center"/>
        </w:pPr>
        <w:r>
          <w:fldChar w:fldCharType="begin"/>
        </w:r>
        <w:r>
          <w:instrText xml:space="preserve"> PAGE   \* MERGEFORMAT </w:instrText>
        </w:r>
        <w:r>
          <w:fldChar w:fldCharType="separate"/>
        </w:r>
        <w:r>
          <w:rPr>
            <w:noProof/>
          </w:rPr>
          <w:t>i</w:t>
        </w:r>
        <w:r>
          <w:rPr>
            <w:noProof/>
          </w:rPr>
          <w:fldChar w:fldCharType="end"/>
        </w:r>
      </w:p>
    </w:sdtContent>
  </w:sdt>
  <w:p w14:paraId="5D84ED34" w14:textId="77777777" w:rsidR="00D64D1A" w:rsidRDefault="00D64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5935101"/>
      <w:docPartObj>
        <w:docPartGallery w:val="Page Numbers (Bottom of Page)"/>
        <w:docPartUnique/>
      </w:docPartObj>
    </w:sdtPr>
    <w:sdtEndPr>
      <w:rPr>
        <w:noProof/>
      </w:rPr>
    </w:sdtEndPr>
    <w:sdtContent>
      <w:p w14:paraId="64CAA6F1" w14:textId="491F0C3E" w:rsidR="00D64D1A" w:rsidRDefault="00D64D1A">
        <w:pPr>
          <w:pStyle w:val="Footer"/>
          <w:jc w:val="center"/>
        </w:pPr>
        <w:r>
          <w:fldChar w:fldCharType="begin"/>
        </w:r>
        <w:r>
          <w:instrText xml:space="preserve"> PAGE   \* MERGEFORMAT </w:instrText>
        </w:r>
        <w:r>
          <w:fldChar w:fldCharType="separate"/>
        </w:r>
        <w:r>
          <w:rPr>
            <w:noProof/>
          </w:rPr>
          <w:t>v</w:t>
        </w:r>
        <w:r>
          <w:rPr>
            <w:noProof/>
          </w:rPr>
          <w:fldChar w:fldCharType="end"/>
        </w:r>
      </w:p>
    </w:sdtContent>
  </w:sdt>
  <w:p w14:paraId="4D734F0E" w14:textId="77777777" w:rsidR="00D64D1A" w:rsidRDefault="00D64D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54262"/>
      <w:docPartObj>
        <w:docPartGallery w:val="Page Numbers (Bottom of Page)"/>
        <w:docPartUnique/>
      </w:docPartObj>
    </w:sdtPr>
    <w:sdtEndPr>
      <w:rPr>
        <w:noProof/>
      </w:rPr>
    </w:sdtEndPr>
    <w:sdtContent>
      <w:p w14:paraId="0AA8384A" w14:textId="03ACE523" w:rsidR="00D64D1A" w:rsidRDefault="00D64D1A">
        <w:pPr>
          <w:pStyle w:val="Footer"/>
          <w:jc w:val="center"/>
        </w:pPr>
        <w:r>
          <w:fldChar w:fldCharType="begin"/>
        </w:r>
        <w:r>
          <w:instrText xml:space="preserve"> PAGE   \* MERGEFORMAT </w:instrText>
        </w:r>
        <w:r>
          <w:fldChar w:fldCharType="separate"/>
        </w:r>
        <w:r>
          <w:rPr>
            <w:noProof/>
          </w:rPr>
          <w:t>78</w:t>
        </w:r>
        <w:r>
          <w:rPr>
            <w:noProof/>
          </w:rPr>
          <w:fldChar w:fldCharType="end"/>
        </w:r>
      </w:p>
    </w:sdtContent>
  </w:sdt>
  <w:p w14:paraId="728420B5" w14:textId="77777777" w:rsidR="00D64D1A" w:rsidRDefault="00D64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FDC11" w14:textId="77777777" w:rsidR="00FE4AAC" w:rsidRDefault="00FE4AAC" w:rsidP="009B4D7A">
      <w:r>
        <w:separator/>
      </w:r>
    </w:p>
  </w:footnote>
  <w:footnote w:type="continuationSeparator" w:id="0">
    <w:p w14:paraId="29564F2E" w14:textId="77777777" w:rsidR="00FE4AAC" w:rsidRDefault="00FE4AAC" w:rsidP="009B4D7A">
      <w:r>
        <w:continuationSeparator/>
      </w:r>
    </w:p>
  </w:footnote>
  <w:footnote w:id="1">
    <w:p w14:paraId="73F54702" w14:textId="4F745927" w:rsidR="00D64D1A" w:rsidRPr="00D64D1A" w:rsidRDefault="00D64D1A" w:rsidP="00D64D1A">
      <w:pPr>
        <w:pStyle w:val="FootnoteText"/>
        <w:ind w:left="450" w:hanging="360"/>
        <w:rPr>
          <w:rFonts w:ascii="Arial" w:hAnsi="Arial" w:cs="Arial"/>
          <w:sz w:val="18"/>
          <w:szCs w:val="18"/>
          <w:lang w:val="en-US"/>
        </w:rPr>
      </w:pPr>
      <w:r w:rsidRPr="00D64D1A">
        <w:rPr>
          <w:rStyle w:val="FootnoteReference"/>
          <w:rFonts w:ascii="Arial" w:hAnsi="Arial" w:cs="Arial"/>
          <w:sz w:val="18"/>
          <w:szCs w:val="18"/>
        </w:rPr>
        <w:footnoteRef/>
      </w:r>
      <w:r w:rsidRPr="00D64D1A">
        <w:rPr>
          <w:rFonts w:ascii="Arial" w:hAnsi="Arial" w:cs="Arial"/>
          <w:sz w:val="18"/>
          <w:szCs w:val="18"/>
          <w:lang w:val="en-US"/>
        </w:rPr>
        <w:t xml:space="preserve"> </w:t>
      </w:r>
      <w:r>
        <w:rPr>
          <w:rFonts w:ascii="Arial" w:hAnsi="Arial" w:cs="Arial"/>
          <w:sz w:val="18"/>
          <w:szCs w:val="18"/>
          <w:lang w:val="en-US"/>
        </w:rPr>
        <w:t xml:space="preserve">     </w:t>
      </w:r>
      <w:r w:rsidRPr="00D64D1A">
        <w:rPr>
          <w:rFonts w:ascii="Arial" w:hAnsi="Arial" w:cs="Arial"/>
          <w:sz w:val="18"/>
          <w:szCs w:val="18"/>
          <w:lang w:val="en-US"/>
        </w:rPr>
        <w:t xml:space="preserve">While the primary focus of these </w:t>
      </w:r>
      <w:r>
        <w:rPr>
          <w:rFonts w:ascii="Arial" w:hAnsi="Arial" w:cs="Arial"/>
          <w:sz w:val="18"/>
          <w:szCs w:val="18"/>
          <w:lang w:val="en-US"/>
        </w:rPr>
        <w:t>initiatives</w:t>
      </w:r>
      <w:r w:rsidRPr="00D64D1A">
        <w:rPr>
          <w:rFonts w:ascii="Arial" w:hAnsi="Arial" w:cs="Arial"/>
          <w:sz w:val="18"/>
          <w:szCs w:val="18"/>
          <w:lang w:val="en-US"/>
        </w:rPr>
        <w:t xml:space="preserve"> is</w:t>
      </w:r>
      <w:r>
        <w:rPr>
          <w:rFonts w:ascii="Arial" w:hAnsi="Arial" w:cs="Arial"/>
          <w:sz w:val="18"/>
          <w:szCs w:val="18"/>
          <w:lang w:val="en-US"/>
        </w:rPr>
        <w:t xml:space="preserve"> on </w:t>
      </w:r>
      <w:r w:rsidRPr="00D64D1A">
        <w:rPr>
          <w:rFonts w:ascii="Arial" w:hAnsi="Arial" w:cs="Arial"/>
          <w:sz w:val="18"/>
          <w:szCs w:val="18"/>
          <w:lang w:val="en-US"/>
        </w:rPr>
        <w:t>improv</w:t>
      </w:r>
      <w:r>
        <w:rPr>
          <w:rFonts w:ascii="Arial" w:hAnsi="Arial" w:cs="Arial"/>
          <w:sz w:val="18"/>
          <w:szCs w:val="18"/>
          <w:lang w:val="en-US"/>
        </w:rPr>
        <w:t>ing</w:t>
      </w:r>
      <w:r w:rsidRPr="00D64D1A">
        <w:rPr>
          <w:rFonts w:ascii="Arial" w:hAnsi="Arial" w:cs="Arial"/>
          <w:sz w:val="18"/>
          <w:szCs w:val="18"/>
          <w:lang w:val="en-US"/>
        </w:rPr>
        <w:t xml:space="preserve"> the domestic tax regime, it should be noted that</w:t>
      </w:r>
      <w:r>
        <w:rPr>
          <w:rFonts w:ascii="Arial" w:hAnsi="Arial" w:cs="Arial"/>
          <w:sz w:val="18"/>
          <w:szCs w:val="18"/>
          <w:lang w:val="en-US"/>
        </w:rPr>
        <w:t xml:space="preserve"> FISPEG also sponsored several reforms of Jamaica’s tariff structure. (See Table 2 below: Outcome II.2 (p. 28) and Output II.2 (pp. 40-41)). More broadly, </w:t>
      </w:r>
      <w:r w:rsidRPr="00D64D1A">
        <w:rPr>
          <w:rFonts w:ascii="Arial" w:hAnsi="Arial" w:cs="Arial"/>
          <w:sz w:val="18"/>
          <w:szCs w:val="18"/>
          <w:lang w:val="en-US"/>
        </w:rPr>
        <w:t>Jamaica has undertaken robust tariff reform</w:t>
      </w:r>
      <w:r>
        <w:rPr>
          <w:rFonts w:ascii="Arial" w:hAnsi="Arial" w:cs="Arial"/>
          <w:sz w:val="18"/>
          <w:szCs w:val="18"/>
          <w:lang w:val="en-US"/>
        </w:rPr>
        <w:t>s in collaboration with the IMF and IDB</w:t>
      </w:r>
      <w:r w:rsidRPr="00D64D1A">
        <w:rPr>
          <w:rFonts w:ascii="Arial" w:hAnsi="Arial" w:cs="Arial"/>
          <w:sz w:val="18"/>
          <w:szCs w:val="18"/>
          <w:lang w:val="en-US"/>
        </w:rPr>
        <w:t xml:space="preserve">, pursuant to the Letter of Intent dated December 2013. </w:t>
      </w:r>
      <w:r>
        <w:rPr>
          <w:rFonts w:ascii="Arial" w:hAnsi="Arial" w:cs="Arial"/>
          <w:sz w:val="18"/>
          <w:szCs w:val="18"/>
          <w:lang w:val="en-US"/>
        </w:rPr>
        <w:t>(See GoJ Comments on the PCR (Optional Electronic Link #7), p. 4)</w:t>
      </w:r>
    </w:p>
  </w:footnote>
  <w:footnote w:id="2">
    <w:p w14:paraId="40BFF396" w14:textId="3D261E87" w:rsidR="00D64D1A" w:rsidRPr="00D64D1A" w:rsidRDefault="00D64D1A" w:rsidP="00D64D1A">
      <w:pPr>
        <w:pStyle w:val="FootnoteText"/>
        <w:ind w:left="90"/>
        <w:rPr>
          <w:rFonts w:ascii="Arial" w:hAnsi="Arial" w:cs="Arial"/>
          <w:sz w:val="18"/>
          <w:szCs w:val="18"/>
          <w:lang w:val="en-US"/>
        </w:rPr>
      </w:pPr>
      <w:r w:rsidRPr="00D64D1A">
        <w:rPr>
          <w:rStyle w:val="FootnoteReference"/>
          <w:rFonts w:ascii="Arial" w:hAnsi="Arial" w:cs="Arial"/>
          <w:sz w:val="18"/>
          <w:szCs w:val="18"/>
        </w:rPr>
        <w:footnoteRef/>
      </w:r>
      <w:r w:rsidRPr="00D64D1A">
        <w:rPr>
          <w:rFonts w:ascii="Arial" w:hAnsi="Arial" w:cs="Arial"/>
          <w:sz w:val="18"/>
          <w:szCs w:val="18"/>
          <w:lang w:val="en-US"/>
        </w:rPr>
        <w:t xml:space="preserve"> </w:t>
      </w:r>
      <w:r>
        <w:rPr>
          <w:rFonts w:ascii="Arial" w:hAnsi="Arial" w:cs="Arial"/>
          <w:sz w:val="18"/>
          <w:szCs w:val="18"/>
          <w:lang w:val="en-US"/>
        </w:rPr>
        <w:t xml:space="preserve">     </w:t>
      </w:r>
      <w:r w:rsidRPr="006D6F8A">
        <w:rPr>
          <w:rFonts w:ascii="Arial" w:hAnsi="Arial" w:cs="Arial"/>
          <w:sz w:val="18"/>
          <w:szCs w:val="18"/>
          <w:lang w:val="en-US"/>
        </w:rPr>
        <w:t>The FY in Jamaica extends from April 1 to March 31</w:t>
      </w:r>
    </w:p>
  </w:footnote>
  <w:footnote w:id="3">
    <w:p w14:paraId="01B0A12B" w14:textId="3006A20E" w:rsidR="00D64D1A" w:rsidRPr="00D64D1A" w:rsidRDefault="00D64D1A" w:rsidP="00D64D1A">
      <w:pPr>
        <w:pStyle w:val="FootnoteText"/>
        <w:ind w:left="450" w:hanging="360"/>
        <w:rPr>
          <w:rFonts w:ascii="Arial" w:hAnsi="Arial" w:cs="Arial"/>
          <w:sz w:val="18"/>
          <w:szCs w:val="18"/>
          <w:lang w:val="en-US"/>
        </w:rPr>
      </w:pPr>
      <w:r w:rsidRPr="00D64D1A">
        <w:rPr>
          <w:rStyle w:val="FootnoteReference"/>
          <w:rFonts w:ascii="Arial" w:hAnsi="Arial" w:cs="Arial"/>
          <w:sz w:val="18"/>
          <w:szCs w:val="18"/>
        </w:rPr>
        <w:footnoteRef/>
      </w:r>
      <w:r w:rsidRPr="00D64D1A">
        <w:rPr>
          <w:rFonts w:ascii="Arial" w:hAnsi="Arial" w:cs="Arial"/>
          <w:sz w:val="18"/>
          <w:szCs w:val="18"/>
          <w:lang w:val="en-US"/>
        </w:rPr>
        <w:t xml:space="preserve"> </w:t>
      </w:r>
      <w:r>
        <w:rPr>
          <w:rFonts w:ascii="Arial" w:hAnsi="Arial" w:cs="Arial"/>
          <w:sz w:val="18"/>
          <w:szCs w:val="18"/>
          <w:lang w:val="en-US"/>
        </w:rPr>
        <w:t xml:space="preserve">     </w:t>
      </w:r>
      <w:r w:rsidRPr="00D64D1A">
        <w:rPr>
          <w:rFonts w:ascii="Arial" w:hAnsi="Arial" w:cs="Arial"/>
          <w:sz w:val="18"/>
          <w:szCs w:val="18"/>
          <w:lang w:val="en-US"/>
        </w:rPr>
        <w:t>The reported value of “Compensation of Employees”</w:t>
      </w:r>
      <w:r>
        <w:rPr>
          <w:rFonts w:ascii="Arial" w:hAnsi="Arial" w:cs="Arial"/>
          <w:sz w:val="18"/>
          <w:szCs w:val="18"/>
          <w:lang w:val="en-US"/>
        </w:rPr>
        <w:t xml:space="preserve"> for 2016/17</w:t>
      </w:r>
      <w:r w:rsidRPr="00D64D1A">
        <w:rPr>
          <w:rFonts w:ascii="Arial" w:hAnsi="Arial" w:cs="Arial"/>
          <w:sz w:val="18"/>
          <w:szCs w:val="18"/>
          <w:lang w:val="en-US"/>
        </w:rPr>
        <w:t xml:space="preserve"> was revised downward slightly to 10.0% in the 2017/18 edition of the GoJ Fiscal Policy Papers (see Table 3K)</w:t>
      </w:r>
    </w:p>
  </w:footnote>
  <w:footnote w:id="4">
    <w:p w14:paraId="6D6D0599" w14:textId="497E1834" w:rsidR="00D64D1A" w:rsidRPr="00040AA9" w:rsidRDefault="00D64D1A" w:rsidP="00040AA9">
      <w:pPr>
        <w:suppressAutoHyphens/>
        <w:ind w:left="360" w:hanging="360"/>
        <w:jc w:val="both"/>
        <w:outlineLvl w:val="0"/>
        <w:rPr>
          <w:rFonts w:ascii="Arial" w:eastAsia="Times New Roman"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sidRPr="00040AA9">
        <w:rPr>
          <w:rFonts w:ascii="Arial" w:hAnsi="Arial" w:cs="Arial"/>
          <w:sz w:val="18"/>
          <w:szCs w:val="18"/>
        </w:rPr>
        <w:tab/>
      </w:r>
      <w:r w:rsidRPr="00040AA9">
        <w:rPr>
          <w:rFonts w:ascii="Arial" w:eastAsia="Times New Roman" w:hAnsi="Arial" w:cs="Arial"/>
          <w:b/>
          <w:sz w:val="18"/>
          <w:szCs w:val="18"/>
        </w:rPr>
        <w:t>The IADB’s FCP, introduced in 2010, was originally planned to encompass fundamental tax reforms</w:t>
      </w:r>
      <w:r w:rsidRPr="00040AA9">
        <w:rPr>
          <w:rFonts w:ascii="Arial" w:eastAsia="Times New Roman" w:hAnsi="Arial" w:cs="Arial"/>
          <w:sz w:val="18"/>
          <w:szCs w:val="18"/>
        </w:rPr>
        <w:t xml:space="preserve"> </w:t>
      </w:r>
      <w:r w:rsidRPr="00040AA9">
        <w:rPr>
          <w:rFonts w:ascii="Arial" w:eastAsia="Times New Roman" w:hAnsi="Arial" w:cs="Arial"/>
          <w:b/>
          <w:sz w:val="18"/>
          <w:szCs w:val="18"/>
        </w:rPr>
        <w:t>and was intended as a three-operation series</w:t>
      </w:r>
      <w:r w:rsidRPr="00040AA9">
        <w:rPr>
          <w:rFonts w:ascii="Arial" w:eastAsia="Times New Roman" w:hAnsi="Arial" w:cs="Arial"/>
          <w:sz w:val="18"/>
          <w:szCs w:val="18"/>
        </w:rPr>
        <w:t xml:space="preserve">. The first operation included monthly caps on the issuance of discretionary tax waivers. The second operation was based on more in-depth work using better data regarding tax expenditures. However, tax compliance problems hindered the recovery of tax revenue that fell from 24% of GDP at the end of 2010 to 23% in early 2012. The third operation of the FCP that was envisaged to encompass more fundamental tax reforms was never approved in light of Jamaica’s off-track performance of the FMI’s SBA. As a result, achievements under the FCP were more modest than originally expected. The main success of the FCP program was the reduction of statutory and discretionary waivers granted. Also, initial steps of the action plan to strengthen tax and customs administration were also achieved under the FCP and the investment program (FAMP) was approved in support of tax and customs administration reform. FAMP has been instrumental for the acquisition and deployment of the Revenue Administration Information System (RAiS) in TAJ, and of UNCTAD’s ASYCUDA World integrated computerized customs management system in JCA.” See Annex III (J. Baca-Campodonico </w:t>
      </w:r>
      <w:r w:rsidRPr="00040AA9">
        <w:rPr>
          <w:rFonts w:ascii="Arial" w:eastAsia="Times New Roman" w:hAnsi="Arial" w:cs="Arial"/>
          <w:i/>
          <w:sz w:val="18"/>
          <w:szCs w:val="18"/>
        </w:rPr>
        <w:t>Jamaica Tax Reform Assessment</w:t>
      </w:r>
      <w:r w:rsidRPr="00040AA9">
        <w:rPr>
          <w:rFonts w:ascii="Arial" w:eastAsia="Times New Roman" w:hAnsi="Arial" w:cs="Arial"/>
          <w:sz w:val="18"/>
          <w:szCs w:val="18"/>
        </w:rPr>
        <w:t xml:space="preserve"> p. 50)</w:t>
      </w:r>
      <w:r>
        <w:rPr>
          <w:rFonts w:ascii="Arial" w:eastAsia="Times New Roman" w:hAnsi="Arial" w:cs="Arial"/>
          <w:sz w:val="18"/>
          <w:szCs w:val="18"/>
        </w:rPr>
        <w:t>.</w:t>
      </w:r>
    </w:p>
  </w:footnote>
  <w:footnote w:id="5">
    <w:p w14:paraId="3F5C5713" w14:textId="7A61954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040AA9">
        <w:rPr>
          <w:rFonts w:ascii="Arial" w:hAnsi="Arial" w:cs="Arial"/>
          <w:sz w:val="18"/>
          <w:szCs w:val="18"/>
          <w:lang w:val="en-US"/>
        </w:rPr>
        <w:tab/>
        <w:t>Art IV Staff Report &amp; SBA request, 29 Jan. 2010</w:t>
      </w:r>
    </w:p>
  </w:footnote>
  <w:footnote w:id="6">
    <w:p w14:paraId="633BA10C" w14:textId="35ABA24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i/>
          <w:sz w:val="18"/>
          <w:szCs w:val="18"/>
          <w:lang w:val="en-US"/>
        </w:rPr>
        <w:t>Project Completion Report, Fiscal Consolidation Program</w:t>
      </w:r>
      <w:r w:rsidRPr="00040AA9">
        <w:rPr>
          <w:rFonts w:ascii="Arial" w:hAnsi="Arial" w:cs="Arial"/>
          <w:sz w:val="18"/>
          <w:szCs w:val="18"/>
          <w:lang w:val="en-US"/>
        </w:rPr>
        <w:t xml:space="preserve"> (JA-L1032, &amp; JA-L1034), March 28, 2014, p. 3</w:t>
      </w:r>
    </w:p>
  </w:footnote>
  <w:footnote w:id="7">
    <w:p w14:paraId="47B650CA" w14:textId="25AEDE9B" w:rsidR="00D64D1A" w:rsidRPr="00040AA9" w:rsidRDefault="00D64D1A">
      <w:pPr>
        <w:widowControl w:val="0"/>
        <w:autoSpaceDE w:val="0"/>
        <w:autoSpaceDN w:val="0"/>
        <w:adjustRightInd w:val="0"/>
        <w:ind w:left="360" w:hanging="360"/>
        <w:jc w:val="both"/>
        <w:rPr>
          <w:rFonts w:ascii="Arial" w:hAnsi="Arial" w:cs="Arial"/>
          <w:bCs/>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sidRPr="00040AA9">
        <w:rPr>
          <w:rFonts w:ascii="Arial" w:hAnsi="Arial" w:cs="Arial"/>
          <w:sz w:val="18"/>
          <w:szCs w:val="18"/>
        </w:rPr>
        <w:tab/>
        <w:t>As noted in the FCP PCR, “</w:t>
      </w:r>
      <w:r w:rsidRPr="00040AA9">
        <w:rPr>
          <w:rFonts w:ascii="Arial" w:hAnsi="Arial" w:cs="Arial"/>
          <w:bCs/>
          <w:sz w:val="18"/>
          <w:szCs w:val="18"/>
        </w:rPr>
        <w:t xml:space="preserve">During 2010 the SBA program was broadly on track and the GoJ was also able to meet the targets of the Fiscal Consolidation Program, although several adjustments had to be made to the latter… </w:t>
      </w:r>
    </w:p>
    <w:p w14:paraId="3D4877FE" w14:textId="057357DD" w:rsidR="00D64D1A" w:rsidRPr="00040AA9" w:rsidRDefault="00D64D1A" w:rsidP="00040AA9">
      <w:pPr>
        <w:widowControl w:val="0"/>
        <w:autoSpaceDE w:val="0"/>
        <w:autoSpaceDN w:val="0"/>
        <w:adjustRightInd w:val="0"/>
        <w:ind w:left="360"/>
        <w:jc w:val="both"/>
        <w:rPr>
          <w:rFonts w:ascii="Arial" w:hAnsi="Arial" w:cs="Arial"/>
          <w:bCs/>
          <w:sz w:val="18"/>
          <w:szCs w:val="18"/>
        </w:rPr>
      </w:pPr>
      <w:r w:rsidRPr="00040AA9">
        <w:rPr>
          <w:rFonts w:ascii="Arial" w:hAnsi="Arial" w:cs="Arial"/>
          <w:bCs/>
          <w:sz w:val="18"/>
          <w:szCs w:val="18"/>
        </w:rPr>
        <w:t xml:space="preserve">During 2011, however, expenditures exceeded targets due to a combination of </w:t>
      </w:r>
      <w:r w:rsidRPr="00040AA9">
        <w:rPr>
          <w:rFonts w:ascii="Arial" w:hAnsi="Arial" w:cs="Arial"/>
          <w:bCs/>
          <w:i/>
          <w:sz w:val="18"/>
          <w:szCs w:val="18"/>
        </w:rPr>
        <w:t>force majeure</w:t>
      </w:r>
      <w:r w:rsidRPr="00040AA9">
        <w:rPr>
          <w:rFonts w:ascii="Arial" w:hAnsi="Arial" w:cs="Arial"/>
          <w:bCs/>
          <w:sz w:val="18"/>
          <w:szCs w:val="18"/>
        </w:rPr>
        <w:t xml:space="preserve"> (reconstruction needs arising from tropical storm Nicole), and, according to a high-level government official, a fiscally imprudent, although politically expedient, decision in April 2011 to accede to the high wage demands of the </w:t>
      </w:r>
      <w:r w:rsidRPr="008A2405">
        <w:rPr>
          <w:rFonts w:ascii="Arial" w:hAnsi="Arial" w:cs="Arial"/>
          <w:bCs/>
          <w:sz w:val="18"/>
          <w:szCs w:val="18"/>
        </w:rPr>
        <w:t>public-sector</w:t>
      </w:r>
      <w:r w:rsidRPr="00040AA9">
        <w:rPr>
          <w:rFonts w:ascii="Arial" w:hAnsi="Arial" w:cs="Arial"/>
          <w:bCs/>
          <w:sz w:val="18"/>
          <w:szCs w:val="18"/>
        </w:rPr>
        <w:t xml:space="preserve"> unions. At the same time revenues fell short of expectations due to weak tax collection capacity (an issue that the Bank recognized and subsequently addressed with the Fiscal Administration Modernization Program – JA-L1039) and limited tax policy reform, particularly in regard to curtailment of tax waivers and incentives. Delays in the privatization of the loss-making Clarendon Alumina Plant also reduced anticipated revenues.” (FCP PCR p. 9)</w:t>
      </w:r>
    </w:p>
  </w:footnote>
  <w:footnote w:id="8">
    <w:p w14:paraId="10E21D2E" w14:textId="10CA42BB" w:rsidR="00D64D1A" w:rsidRPr="00D64D1A" w:rsidRDefault="00D64D1A" w:rsidP="00813501">
      <w:pPr>
        <w:pStyle w:val="FootnoteText"/>
        <w:rPr>
          <w:rFonts w:ascii="Arial" w:hAnsi="Arial" w:cs="Arial"/>
          <w:sz w:val="18"/>
          <w:szCs w:val="18"/>
          <w:lang w:val="en-US"/>
        </w:rPr>
      </w:pPr>
      <w:r w:rsidRPr="00D64D1A">
        <w:rPr>
          <w:rStyle w:val="FootnoteReference"/>
          <w:rFonts w:ascii="Arial" w:hAnsi="Arial" w:cs="Arial"/>
          <w:sz w:val="18"/>
          <w:szCs w:val="18"/>
        </w:rPr>
        <w:footnoteRef/>
      </w:r>
      <w:r w:rsidRPr="00D64D1A">
        <w:rPr>
          <w:rFonts w:ascii="Arial" w:hAnsi="Arial" w:cs="Arial"/>
          <w:sz w:val="18"/>
          <w:szCs w:val="18"/>
          <w:lang w:val="en-US"/>
        </w:rPr>
        <w:t xml:space="preserve"> </w:t>
      </w:r>
      <w:r>
        <w:rPr>
          <w:rFonts w:ascii="Arial" w:hAnsi="Arial" w:cs="Arial"/>
          <w:sz w:val="18"/>
          <w:szCs w:val="18"/>
          <w:lang w:val="en-US"/>
        </w:rPr>
        <w:t xml:space="preserve">     </w:t>
      </w:r>
      <w:r w:rsidRPr="00D64D1A">
        <w:rPr>
          <w:rFonts w:ascii="Arial" w:hAnsi="Arial" w:cs="Arial"/>
          <w:sz w:val="18"/>
          <w:szCs w:val="18"/>
          <w:lang w:val="en-US"/>
        </w:rPr>
        <w:t xml:space="preserve">The </w:t>
      </w:r>
      <w:r>
        <w:rPr>
          <w:rFonts w:ascii="Arial" w:hAnsi="Arial" w:cs="Arial"/>
          <w:sz w:val="18"/>
          <w:szCs w:val="18"/>
          <w:lang w:val="en-US"/>
        </w:rPr>
        <w:t xml:space="preserve">Bank approved a </w:t>
      </w:r>
      <w:r w:rsidRPr="00D64D1A">
        <w:rPr>
          <w:rFonts w:ascii="Arial" w:hAnsi="Arial" w:cs="Arial"/>
          <w:sz w:val="18"/>
          <w:szCs w:val="18"/>
          <w:lang w:val="en-US"/>
        </w:rPr>
        <w:t xml:space="preserve">partial cancellation of US$5 million </w:t>
      </w:r>
      <w:r>
        <w:rPr>
          <w:rFonts w:ascii="Arial" w:hAnsi="Arial" w:cs="Arial"/>
          <w:sz w:val="18"/>
          <w:szCs w:val="18"/>
          <w:lang w:val="en-US"/>
        </w:rPr>
        <w:t xml:space="preserve">on Aug. 30, 2016 thereby reducing the </w:t>
      </w:r>
      <w:r w:rsidRPr="00D64D1A">
        <w:rPr>
          <w:rFonts w:ascii="Arial" w:hAnsi="Arial" w:cs="Arial"/>
          <w:sz w:val="18"/>
          <w:szCs w:val="18"/>
          <w:lang w:val="en-US"/>
        </w:rPr>
        <w:t>total to US$60</w:t>
      </w:r>
      <w:r>
        <w:rPr>
          <w:rFonts w:ascii="Arial" w:hAnsi="Arial" w:cs="Arial"/>
          <w:sz w:val="18"/>
          <w:szCs w:val="18"/>
          <w:lang w:val="en-US"/>
        </w:rPr>
        <w:t>m</w:t>
      </w:r>
      <w:r w:rsidRPr="00D64D1A">
        <w:rPr>
          <w:rFonts w:ascii="Arial" w:hAnsi="Arial" w:cs="Arial"/>
          <w:sz w:val="18"/>
          <w:szCs w:val="18"/>
          <w:lang w:val="en-US"/>
        </w:rPr>
        <w:t xml:space="preserve"> </w:t>
      </w:r>
    </w:p>
  </w:footnote>
  <w:footnote w:id="9">
    <w:p w14:paraId="47159E70" w14:textId="1F8287CF"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IMF Jamaica Request for an Extended Arrangement Under the E</w:t>
      </w:r>
      <w:r>
        <w:rPr>
          <w:rFonts w:ascii="Arial" w:hAnsi="Arial" w:cs="Arial"/>
          <w:sz w:val="18"/>
          <w:szCs w:val="18"/>
          <w:lang w:val="en-US"/>
        </w:rPr>
        <w:t>FF</w:t>
      </w:r>
      <w:r w:rsidRPr="00040AA9">
        <w:rPr>
          <w:rFonts w:ascii="Arial" w:hAnsi="Arial" w:cs="Arial"/>
          <w:sz w:val="18"/>
          <w:szCs w:val="18"/>
          <w:lang w:val="en-US"/>
        </w:rPr>
        <w:t>, ¶19, 2</w:t>
      </w:r>
      <w:r w:rsidRPr="00040AA9">
        <w:rPr>
          <w:rFonts w:ascii="Arial" w:hAnsi="Arial" w:cs="Arial"/>
          <w:sz w:val="18"/>
          <w:szCs w:val="18"/>
          <w:vertAlign w:val="superscript"/>
          <w:lang w:val="en-US"/>
        </w:rPr>
        <w:t>nd</w:t>
      </w:r>
      <w:r w:rsidRPr="00040AA9">
        <w:rPr>
          <w:rFonts w:ascii="Arial" w:hAnsi="Arial" w:cs="Arial"/>
          <w:sz w:val="18"/>
          <w:szCs w:val="18"/>
          <w:lang w:val="en-US"/>
        </w:rPr>
        <w:t xml:space="preserve"> bullet, p. 10</w:t>
      </w:r>
    </w:p>
  </w:footnote>
  <w:footnote w:id="10">
    <w:p w14:paraId="679ECC2D" w14:textId="6DA0C61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See Outcomes #12 and #</w:t>
      </w:r>
      <w:r w:rsidRPr="008A2405">
        <w:rPr>
          <w:rFonts w:ascii="Arial" w:hAnsi="Arial" w:cs="Arial"/>
          <w:sz w:val="18"/>
          <w:szCs w:val="18"/>
          <w:lang w:val="en-US"/>
        </w:rPr>
        <w:t>18 in</w:t>
      </w:r>
      <w:r w:rsidRPr="00040AA9">
        <w:rPr>
          <w:rFonts w:ascii="Arial" w:hAnsi="Arial" w:cs="Arial"/>
          <w:sz w:val="18"/>
          <w:szCs w:val="18"/>
          <w:lang w:val="en-US"/>
        </w:rPr>
        <w:t xml:space="preserve"> Table 2 below.</w:t>
      </w:r>
    </w:p>
  </w:footnote>
  <w:footnote w:id="11">
    <w:p w14:paraId="69A9D478" w14:textId="72D4157C"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discussion in this section is drawn from the background sections of the FISPEG Loan Proposals. </w:t>
      </w:r>
    </w:p>
  </w:footnote>
  <w:footnote w:id="12">
    <w:p w14:paraId="54DA1AA1" w14:textId="094132F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t>See GoJ Comments (Optional Electronic Link – OEL - #7, p. 5)</w:t>
      </w:r>
      <w:r w:rsidRPr="00040AA9">
        <w:rPr>
          <w:rFonts w:ascii="Arial" w:hAnsi="Arial" w:cs="Arial"/>
          <w:sz w:val="18"/>
          <w:szCs w:val="18"/>
          <w:lang w:val="en-US"/>
        </w:rPr>
        <w:t>.</w:t>
      </w:r>
    </w:p>
  </w:footnote>
  <w:footnote w:id="13">
    <w:p w14:paraId="5AD6A05B" w14:textId="47FA7AD6" w:rsidR="00D64D1A" w:rsidRPr="00D64D1A" w:rsidRDefault="00D64D1A" w:rsidP="00D64D1A">
      <w:pPr>
        <w:pStyle w:val="FootnoteText"/>
        <w:ind w:left="360" w:hanging="360"/>
        <w:rPr>
          <w:rFonts w:ascii="Arial" w:hAnsi="Arial" w:cs="Arial"/>
          <w:sz w:val="18"/>
          <w:szCs w:val="18"/>
          <w:lang w:val="en-US"/>
        </w:rPr>
      </w:pPr>
      <w:r w:rsidRPr="00D64D1A">
        <w:rPr>
          <w:rStyle w:val="FootnoteReference"/>
          <w:rFonts w:ascii="Arial" w:hAnsi="Arial" w:cs="Arial"/>
          <w:sz w:val="18"/>
          <w:szCs w:val="18"/>
        </w:rPr>
        <w:footnoteRef/>
      </w:r>
      <w:r w:rsidRPr="00D64D1A">
        <w:rPr>
          <w:rFonts w:ascii="Arial" w:hAnsi="Arial" w:cs="Arial"/>
          <w:sz w:val="18"/>
          <w:szCs w:val="18"/>
          <w:lang w:val="en-US"/>
        </w:rPr>
        <w:t xml:space="preserve">  </w:t>
      </w:r>
      <w:r>
        <w:rPr>
          <w:rFonts w:ascii="Arial" w:hAnsi="Arial" w:cs="Arial"/>
          <w:sz w:val="18"/>
          <w:szCs w:val="18"/>
          <w:lang w:val="en-US"/>
        </w:rPr>
        <w:t xml:space="preserve">  </w:t>
      </w:r>
      <w:r w:rsidRPr="00D64D1A">
        <w:rPr>
          <w:rFonts w:ascii="Arial" w:hAnsi="Arial" w:cs="Arial"/>
          <w:sz w:val="18"/>
          <w:szCs w:val="18"/>
          <w:lang w:val="en-US"/>
        </w:rPr>
        <w:t xml:space="preserve">The Debt-to-GDP </w:t>
      </w:r>
      <w:r>
        <w:rPr>
          <w:rFonts w:ascii="Arial" w:hAnsi="Arial" w:cs="Arial"/>
          <w:sz w:val="18"/>
          <w:szCs w:val="18"/>
          <w:lang w:val="en-US"/>
        </w:rPr>
        <w:t>reached</w:t>
      </w:r>
      <w:r w:rsidRPr="00D64D1A">
        <w:rPr>
          <w:rFonts w:ascii="Arial" w:hAnsi="Arial" w:cs="Arial"/>
          <w:sz w:val="18"/>
          <w:szCs w:val="18"/>
          <w:lang w:val="en-US"/>
        </w:rPr>
        <w:t xml:space="preserve"> 131.6 % (based on GOJ’s definition) at the end of FY2009/10 as outlined in the Medium-Term Debt Management Strategy for FY2013/14 to FY2015/16</w:t>
      </w:r>
      <w:r>
        <w:rPr>
          <w:rFonts w:ascii="Arial" w:hAnsi="Arial" w:cs="Arial"/>
          <w:sz w:val="18"/>
          <w:szCs w:val="18"/>
          <w:lang w:val="en-US"/>
        </w:rPr>
        <w:t xml:space="preserve"> (See OEL #7, p 5</w:t>
      </w:r>
      <w:r w:rsidRPr="00D64D1A">
        <w:rPr>
          <w:rFonts w:ascii="Arial" w:hAnsi="Arial" w:cs="Arial"/>
          <w:sz w:val="18"/>
          <w:szCs w:val="18"/>
          <w:lang w:val="en-US"/>
        </w:rPr>
        <w:t>)</w:t>
      </w:r>
    </w:p>
  </w:footnote>
  <w:footnote w:id="14">
    <w:p w14:paraId="0C0E8976" w14:textId="5C4D23ED" w:rsidR="00D64D1A" w:rsidRPr="00D64D1A" w:rsidRDefault="00D64D1A" w:rsidP="00D64D1A">
      <w:pPr>
        <w:pStyle w:val="FootnoteText"/>
        <w:ind w:left="360" w:hanging="360"/>
        <w:rPr>
          <w:rFonts w:ascii="Arial" w:hAnsi="Arial" w:cs="Arial"/>
          <w:sz w:val="18"/>
          <w:szCs w:val="18"/>
          <w:lang w:val="en-US"/>
        </w:rPr>
      </w:pPr>
      <w:r w:rsidRPr="00D64D1A">
        <w:rPr>
          <w:rStyle w:val="FootnoteReference"/>
          <w:rFonts w:ascii="Arial" w:hAnsi="Arial" w:cs="Arial"/>
          <w:sz w:val="18"/>
          <w:szCs w:val="18"/>
        </w:rPr>
        <w:footnoteRef/>
      </w:r>
      <w:r w:rsidRPr="00D64D1A">
        <w:rPr>
          <w:rFonts w:ascii="Arial" w:hAnsi="Arial" w:cs="Arial"/>
          <w:sz w:val="18"/>
          <w:szCs w:val="18"/>
          <w:lang w:val="en-US"/>
        </w:rPr>
        <w:t xml:space="preserve">  </w:t>
      </w:r>
      <w:r>
        <w:rPr>
          <w:rFonts w:ascii="Arial" w:hAnsi="Arial" w:cs="Arial"/>
          <w:sz w:val="18"/>
          <w:szCs w:val="18"/>
          <w:lang w:val="en-US"/>
        </w:rPr>
        <w:t xml:space="preserve">  The reported values of these </w:t>
      </w:r>
      <w:r w:rsidRPr="00D64D1A">
        <w:rPr>
          <w:rFonts w:ascii="Arial" w:hAnsi="Arial" w:cs="Arial"/>
          <w:sz w:val="18"/>
          <w:szCs w:val="18"/>
          <w:lang w:val="en-US"/>
        </w:rPr>
        <w:t xml:space="preserve">growth rates </w:t>
      </w:r>
      <w:r>
        <w:rPr>
          <w:rFonts w:ascii="Arial" w:hAnsi="Arial" w:cs="Arial"/>
          <w:sz w:val="18"/>
          <w:szCs w:val="18"/>
          <w:lang w:val="en-US"/>
        </w:rPr>
        <w:t xml:space="preserve">have been revised to </w:t>
      </w:r>
      <w:r w:rsidRPr="00D64D1A">
        <w:rPr>
          <w:rFonts w:ascii="Arial" w:hAnsi="Arial" w:cs="Arial"/>
          <w:sz w:val="18"/>
          <w:szCs w:val="18"/>
          <w:lang w:val="en-US"/>
        </w:rPr>
        <w:t>-1.6 and -3.5 respectively</w:t>
      </w:r>
      <w:r>
        <w:rPr>
          <w:rFonts w:ascii="Arial" w:hAnsi="Arial" w:cs="Arial"/>
          <w:sz w:val="18"/>
          <w:szCs w:val="18"/>
          <w:lang w:val="en-US"/>
        </w:rPr>
        <w:t>,</w:t>
      </w:r>
      <w:r w:rsidRPr="00D64D1A">
        <w:rPr>
          <w:rFonts w:ascii="Arial" w:hAnsi="Arial" w:cs="Arial"/>
          <w:sz w:val="18"/>
          <w:szCs w:val="18"/>
          <w:lang w:val="en-US"/>
        </w:rPr>
        <w:t xml:space="preserve"> </w:t>
      </w:r>
      <w:r>
        <w:rPr>
          <w:rFonts w:ascii="Arial" w:hAnsi="Arial" w:cs="Arial"/>
          <w:sz w:val="18"/>
          <w:szCs w:val="18"/>
          <w:lang w:val="en-US"/>
        </w:rPr>
        <w:t xml:space="preserve">based on data that became available since the FISPEG Loan Proposals were prepared. </w:t>
      </w:r>
      <w:r w:rsidRPr="00D64D1A">
        <w:rPr>
          <w:rFonts w:ascii="Arial" w:hAnsi="Arial" w:cs="Arial"/>
          <w:sz w:val="18"/>
          <w:szCs w:val="18"/>
          <w:lang w:val="en-US"/>
        </w:rPr>
        <w:t>(See OEL #7</w:t>
      </w:r>
      <w:r>
        <w:rPr>
          <w:rFonts w:ascii="Arial" w:hAnsi="Arial" w:cs="Arial"/>
          <w:sz w:val="18"/>
          <w:szCs w:val="18"/>
          <w:lang w:val="en-US"/>
        </w:rPr>
        <w:t>,</w:t>
      </w:r>
      <w:r w:rsidRPr="00D64D1A">
        <w:rPr>
          <w:rFonts w:ascii="Arial" w:hAnsi="Arial" w:cs="Arial"/>
          <w:sz w:val="18"/>
          <w:szCs w:val="18"/>
          <w:lang w:val="en-US"/>
        </w:rPr>
        <w:t xml:space="preserve"> p. 5)</w:t>
      </w:r>
    </w:p>
  </w:footnote>
  <w:footnote w:id="15">
    <w:p w14:paraId="6FC0AC2E" w14:textId="465D3B3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233F8E">
        <w:rPr>
          <w:rFonts w:ascii="Arial" w:hAnsi="Arial" w:cs="Arial"/>
          <w:sz w:val="18"/>
          <w:szCs w:val="18"/>
          <w:lang w:val="en-US"/>
        </w:rPr>
        <w:tab/>
      </w:r>
      <w:r w:rsidRPr="00040AA9">
        <w:rPr>
          <w:rFonts w:ascii="Arial" w:hAnsi="Arial" w:cs="Arial"/>
          <w:sz w:val="18"/>
          <w:szCs w:val="18"/>
          <w:lang w:val="en-US"/>
        </w:rPr>
        <w:t>IDB C</w:t>
      </w:r>
      <w:r>
        <w:rPr>
          <w:rFonts w:ascii="Arial" w:hAnsi="Arial" w:cs="Arial"/>
          <w:sz w:val="18"/>
          <w:szCs w:val="18"/>
          <w:lang w:val="en-US"/>
        </w:rPr>
        <w:t>S</w:t>
      </w:r>
      <w:r w:rsidRPr="00040AA9">
        <w:rPr>
          <w:rFonts w:ascii="Arial" w:hAnsi="Arial" w:cs="Arial"/>
          <w:sz w:val="18"/>
          <w:szCs w:val="18"/>
          <w:lang w:val="en-US"/>
        </w:rPr>
        <w:t xml:space="preserve"> with Jamaica (2013-2014) ¶1.4, p 2. </w:t>
      </w:r>
      <w:r>
        <w:rPr>
          <w:rFonts w:ascii="Arial" w:hAnsi="Arial" w:cs="Arial"/>
          <w:sz w:val="18"/>
          <w:szCs w:val="18"/>
          <w:lang w:val="en-US"/>
        </w:rPr>
        <w:t xml:space="preserve">  </w:t>
      </w:r>
      <w:r w:rsidRPr="00040AA9">
        <w:rPr>
          <w:rFonts w:ascii="Arial" w:hAnsi="Arial" w:cs="Arial"/>
          <w:sz w:val="18"/>
          <w:szCs w:val="18"/>
          <w:lang w:val="en-US"/>
        </w:rPr>
        <w:t>See also GN-2868, IDB C</w:t>
      </w:r>
      <w:r>
        <w:rPr>
          <w:rFonts w:ascii="Arial" w:hAnsi="Arial" w:cs="Arial"/>
          <w:sz w:val="18"/>
          <w:szCs w:val="18"/>
          <w:lang w:val="en-US"/>
        </w:rPr>
        <w:t>S</w:t>
      </w:r>
      <w:r w:rsidRPr="00040AA9">
        <w:rPr>
          <w:rFonts w:ascii="Arial" w:hAnsi="Arial" w:cs="Arial"/>
          <w:sz w:val="18"/>
          <w:szCs w:val="18"/>
          <w:lang w:val="en-US"/>
        </w:rPr>
        <w:t xml:space="preserve"> with Jamaica (2016-2021) ¶2.5, p. 4</w:t>
      </w:r>
    </w:p>
  </w:footnote>
  <w:footnote w:id="16">
    <w:p w14:paraId="6F1C7E1C" w14:textId="3CCFAC4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233F8E">
        <w:rPr>
          <w:rFonts w:ascii="Arial" w:hAnsi="Arial" w:cs="Arial"/>
          <w:sz w:val="18"/>
          <w:szCs w:val="18"/>
          <w:lang w:val="en-US"/>
        </w:rPr>
        <w:tab/>
      </w:r>
      <w:r w:rsidRPr="00040AA9">
        <w:rPr>
          <w:rFonts w:ascii="Arial" w:hAnsi="Arial" w:cs="Arial"/>
          <w:sz w:val="18"/>
          <w:szCs w:val="18"/>
          <w:lang w:val="en-US"/>
        </w:rPr>
        <w:t>GoJ Fiscal Policy Paper FY2013/14, p. 6 (18 April 2013) Part 1 “Fiscal Responsibility Statement”</w:t>
      </w:r>
    </w:p>
  </w:footnote>
  <w:footnote w:id="17">
    <w:p w14:paraId="09C70E45" w14:textId="3DF3A35B"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233F8E">
        <w:rPr>
          <w:rFonts w:ascii="Arial" w:hAnsi="Arial" w:cs="Arial"/>
          <w:sz w:val="18"/>
          <w:szCs w:val="18"/>
          <w:lang w:val="en-US"/>
        </w:rPr>
        <w:tab/>
      </w:r>
      <w:r w:rsidRPr="00040AA9">
        <w:rPr>
          <w:rFonts w:ascii="Arial" w:hAnsi="Arial" w:cs="Arial"/>
          <w:sz w:val="18"/>
          <w:szCs w:val="18"/>
          <w:lang w:val="en-US"/>
        </w:rPr>
        <w:t xml:space="preserve">As explained in discussion of Tables </w:t>
      </w:r>
      <w:r>
        <w:rPr>
          <w:rFonts w:ascii="Arial" w:hAnsi="Arial" w:cs="Arial"/>
          <w:sz w:val="18"/>
          <w:szCs w:val="18"/>
          <w:lang w:val="en-US"/>
        </w:rPr>
        <w:t>B</w:t>
      </w:r>
      <w:r w:rsidRPr="00040AA9">
        <w:rPr>
          <w:rFonts w:ascii="Arial" w:hAnsi="Arial" w:cs="Arial"/>
          <w:sz w:val="18"/>
          <w:szCs w:val="18"/>
          <w:lang w:val="en-US"/>
        </w:rPr>
        <w:t xml:space="preserve"> and </w:t>
      </w:r>
      <w:r>
        <w:rPr>
          <w:rFonts w:ascii="Arial" w:hAnsi="Arial" w:cs="Arial"/>
          <w:sz w:val="18"/>
          <w:szCs w:val="18"/>
          <w:lang w:val="en-US"/>
        </w:rPr>
        <w:t>C</w:t>
      </w:r>
      <w:r w:rsidRPr="00040AA9">
        <w:rPr>
          <w:rFonts w:ascii="Arial" w:hAnsi="Arial" w:cs="Arial"/>
          <w:sz w:val="18"/>
          <w:szCs w:val="18"/>
          <w:lang w:val="en-US"/>
        </w:rPr>
        <w:t xml:space="preserve"> below, FISPEG had a combined total of 23 outputs that are measured by 53 output indicators. </w:t>
      </w:r>
    </w:p>
  </w:footnote>
  <w:footnote w:id="18">
    <w:p w14:paraId="0B78833C" w14:textId="3816009A" w:rsidR="00D64D1A" w:rsidRPr="009C086E" w:rsidRDefault="00D64D1A">
      <w:pPr>
        <w:pStyle w:val="FootnoteText"/>
        <w:rPr>
          <w:rFonts w:ascii="Arial" w:hAnsi="Arial" w:cs="Arial"/>
          <w:sz w:val="18"/>
          <w:szCs w:val="18"/>
          <w:lang w:val="en-US"/>
        </w:rPr>
      </w:pPr>
      <w:r w:rsidRPr="009C086E">
        <w:rPr>
          <w:rStyle w:val="FootnoteReference"/>
          <w:rFonts w:ascii="Arial" w:hAnsi="Arial" w:cs="Arial"/>
          <w:sz w:val="18"/>
          <w:szCs w:val="18"/>
        </w:rPr>
        <w:footnoteRef/>
      </w:r>
      <w:r w:rsidRPr="009C086E">
        <w:rPr>
          <w:rFonts w:ascii="Arial" w:hAnsi="Arial" w:cs="Arial"/>
          <w:sz w:val="18"/>
          <w:szCs w:val="18"/>
          <w:lang w:val="en-US"/>
        </w:rPr>
        <w:t xml:space="preserve"> Some outputs can be considered more to have set the stage for potential future results or as inputs for other outputs. For example,</w:t>
      </w:r>
      <w:r>
        <w:rPr>
          <w:rFonts w:ascii="Arial" w:hAnsi="Arial" w:cs="Arial"/>
          <w:sz w:val="18"/>
          <w:szCs w:val="18"/>
          <w:lang w:val="en-US"/>
        </w:rPr>
        <w:t xml:space="preserve"> in the case of NIS reform preparation of</w:t>
      </w:r>
      <w:r w:rsidRPr="009C086E">
        <w:rPr>
          <w:rFonts w:ascii="Arial" w:hAnsi="Arial" w:cs="Arial"/>
          <w:sz w:val="18"/>
          <w:szCs w:val="18"/>
          <w:lang w:val="en-US"/>
        </w:rPr>
        <w:t xml:space="preserve"> a concept paper </w:t>
      </w:r>
      <w:r>
        <w:rPr>
          <w:rFonts w:ascii="Arial" w:hAnsi="Arial" w:cs="Arial"/>
          <w:sz w:val="18"/>
          <w:szCs w:val="18"/>
          <w:lang w:val="en-US"/>
        </w:rPr>
        <w:t xml:space="preserve">was necessary to </w:t>
      </w:r>
      <w:r w:rsidRPr="009C086E">
        <w:rPr>
          <w:rFonts w:ascii="Arial" w:hAnsi="Arial" w:cs="Arial"/>
          <w:sz w:val="18"/>
          <w:szCs w:val="18"/>
          <w:lang w:val="en-US"/>
        </w:rPr>
        <w:t xml:space="preserve">present and justify the measures needed for </w:t>
      </w:r>
      <w:r>
        <w:rPr>
          <w:rFonts w:ascii="Arial" w:hAnsi="Arial" w:cs="Arial"/>
          <w:sz w:val="18"/>
          <w:szCs w:val="18"/>
          <w:lang w:val="en-US"/>
        </w:rPr>
        <w:t xml:space="preserve">the proposed </w:t>
      </w:r>
      <w:r w:rsidRPr="009C086E">
        <w:rPr>
          <w:rFonts w:ascii="Arial" w:hAnsi="Arial" w:cs="Arial"/>
          <w:sz w:val="18"/>
          <w:szCs w:val="18"/>
          <w:lang w:val="en-US"/>
        </w:rPr>
        <w:t>reform</w:t>
      </w:r>
      <w:r>
        <w:rPr>
          <w:rFonts w:ascii="Arial" w:hAnsi="Arial" w:cs="Arial"/>
          <w:sz w:val="18"/>
          <w:szCs w:val="18"/>
          <w:lang w:val="en-US"/>
        </w:rPr>
        <w:t>s</w:t>
      </w:r>
      <w:r w:rsidRPr="009C086E">
        <w:rPr>
          <w:rFonts w:ascii="Arial" w:hAnsi="Arial" w:cs="Arial"/>
          <w:sz w:val="18"/>
          <w:szCs w:val="18"/>
          <w:lang w:val="en-US"/>
        </w:rPr>
        <w:t xml:space="preserve">. </w:t>
      </w:r>
      <w:r>
        <w:rPr>
          <w:rFonts w:ascii="Arial" w:hAnsi="Arial" w:cs="Arial"/>
          <w:sz w:val="18"/>
          <w:szCs w:val="18"/>
          <w:lang w:val="en-US"/>
        </w:rPr>
        <w:t xml:space="preserve">In turn </w:t>
      </w:r>
      <w:r w:rsidRPr="009C086E">
        <w:rPr>
          <w:rFonts w:ascii="Arial" w:hAnsi="Arial" w:cs="Arial"/>
          <w:sz w:val="18"/>
          <w:szCs w:val="18"/>
          <w:lang w:val="en-US"/>
        </w:rPr>
        <w:t xml:space="preserve">a working group </w:t>
      </w:r>
      <w:r>
        <w:rPr>
          <w:rFonts w:ascii="Arial" w:hAnsi="Arial" w:cs="Arial"/>
          <w:sz w:val="18"/>
          <w:szCs w:val="18"/>
          <w:lang w:val="en-US"/>
        </w:rPr>
        <w:t xml:space="preserve">had to be </w:t>
      </w:r>
      <w:r w:rsidRPr="008C7621">
        <w:rPr>
          <w:rFonts w:ascii="Arial" w:hAnsi="Arial" w:cs="Arial"/>
          <w:sz w:val="18"/>
          <w:szCs w:val="18"/>
          <w:lang w:val="en-US"/>
        </w:rPr>
        <w:t>assemble</w:t>
      </w:r>
      <w:r>
        <w:rPr>
          <w:rFonts w:ascii="Arial" w:hAnsi="Arial" w:cs="Arial"/>
          <w:sz w:val="18"/>
          <w:szCs w:val="18"/>
          <w:lang w:val="en-US"/>
        </w:rPr>
        <w:t>d</w:t>
      </w:r>
      <w:r w:rsidRPr="00D35D93">
        <w:rPr>
          <w:rFonts w:ascii="Arial" w:hAnsi="Arial" w:cs="Arial"/>
          <w:sz w:val="18"/>
          <w:szCs w:val="18"/>
          <w:lang w:val="en-US"/>
        </w:rPr>
        <w:t xml:space="preserve"> </w:t>
      </w:r>
      <w:r w:rsidRPr="009C086E">
        <w:rPr>
          <w:rFonts w:ascii="Arial" w:hAnsi="Arial" w:cs="Arial"/>
          <w:sz w:val="18"/>
          <w:szCs w:val="18"/>
          <w:lang w:val="en-US"/>
        </w:rPr>
        <w:t xml:space="preserve">to consider these measures. These outputs in turn facilitated preparation of a green paper representing consensus of stakeholders on these proposals and their sequencing. These outputs </w:t>
      </w:r>
      <w:r>
        <w:rPr>
          <w:rFonts w:ascii="Arial" w:hAnsi="Arial" w:cs="Arial"/>
          <w:sz w:val="18"/>
          <w:szCs w:val="18"/>
          <w:lang w:val="en-US"/>
        </w:rPr>
        <w:t>were</w:t>
      </w:r>
      <w:r w:rsidRPr="009C086E">
        <w:rPr>
          <w:rFonts w:ascii="Arial" w:hAnsi="Arial" w:cs="Arial"/>
          <w:sz w:val="18"/>
          <w:szCs w:val="18"/>
          <w:lang w:val="en-US"/>
        </w:rPr>
        <w:t xml:space="preserve"> followed finally by</w:t>
      </w:r>
      <w:r>
        <w:rPr>
          <w:rFonts w:ascii="Arial" w:hAnsi="Arial" w:cs="Arial"/>
          <w:sz w:val="18"/>
          <w:szCs w:val="18"/>
          <w:lang w:val="en-US"/>
        </w:rPr>
        <w:t xml:space="preserve"> </w:t>
      </w:r>
      <w:r w:rsidRPr="009C086E">
        <w:rPr>
          <w:rFonts w:ascii="Arial" w:hAnsi="Arial" w:cs="Arial"/>
          <w:sz w:val="18"/>
          <w:szCs w:val="18"/>
          <w:lang w:val="en-US"/>
        </w:rPr>
        <w:t>Cabinet approval of the formal position paper for the reform of the NIS.</w:t>
      </w:r>
    </w:p>
  </w:footnote>
  <w:footnote w:id="19">
    <w:p w14:paraId="117629C3" w14:textId="3BFEE705" w:rsidR="00D64D1A" w:rsidRPr="009C086E" w:rsidRDefault="00D64D1A">
      <w:pPr>
        <w:pStyle w:val="FootnoteText"/>
        <w:rPr>
          <w:rFonts w:ascii="Arial" w:hAnsi="Arial" w:cs="Arial"/>
          <w:sz w:val="18"/>
          <w:szCs w:val="18"/>
          <w:lang w:val="en-US"/>
        </w:rPr>
      </w:pPr>
      <w:r w:rsidRPr="009C086E">
        <w:rPr>
          <w:rStyle w:val="FootnoteReference"/>
          <w:rFonts w:ascii="Arial" w:hAnsi="Arial" w:cs="Arial"/>
          <w:sz w:val="18"/>
          <w:szCs w:val="18"/>
        </w:rPr>
        <w:footnoteRef/>
      </w:r>
      <w:r w:rsidRPr="009C086E">
        <w:rPr>
          <w:rFonts w:ascii="Arial" w:hAnsi="Arial" w:cs="Arial"/>
          <w:sz w:val="18"/>
          <w:szCs w:val="18"/>
          <w:lang w:val="en-US"/>
        </w:rPr>
        <w:t xml:space="preserve"> This indicator was not included on any of the results matrices. This indicator has been included for its relevance in the achievement of program objectives.</w:t>
      </w:r>
    </w:p>
  </w:footnote>
  <w:footnote w:id="20">
    <w:p w14:paraId="25B220B3" w14:textId="500B5341" w:rsidR="00D64D1A" w:rsidRPr="009C086E" w:rsidRDefault="00D64D1A">
      <w:pPr>
        <w:pStyle w:val="FootnoteText"/>
        <w:rPr>
          <w:rFonts w:ascii="Arial" w:hAnsi="Arial" w:cs="Arial"/>
          <w:sz w:val="18"/>
          <w:szCs w:val="18"/>
          <w:lang w:val="en-US"/>
        </w:rPr>
      </w:pPr>
      <w:r w:rsidRPr="009C086E">
        <w:rPr>
          <w:rStyle w:val="FootnoteReference"/>
          <w:rFonts w:ascii="Arial" w:hAnsi="Arial" w:cs="Arial"/>
          <w:sz w:val="18"/>
          <w:szCs w:val="18"/>
        </w:rPr>
        <w:footnoteRef/>
      </w:r>
      <w:r w:rsidRPr="009C086E">
        <w:rPr>
          <w:rFonts w:ascii="Arial" w:hAnsi="Arial" w:cs="Arial"/>
          <w:sz w:val="18"/>
          <w:szCs w:val="18"/>
          <w:lang w:val="en-US"/>
        </w:rPr>
        <w:t xml:space="preserve"> However</w:t>
      </w:r>
      <w:r>
        <w:rPr>
          <w:rFonts w:ascii="Arial" w:hAnsi="Arial" w:cs="Arial"/>
          <w:sz w:val="18"/>
          <w:szCs w:val="18"/>
          <w:lang w:val="en-US"/>
        </w:rPr>
        <w:t>, it is important to keep in mind that w</w:t>
      </w:r>
      <w:r w:rsidRPr="009C086E">
        <w:rPr>
          <w:rFonts w:ascii="Arial" w:hAnsi="Arial" w:cs="Arial"/>
          <w:sz w:val="18"/>
          <w:szCs w:val="18"/>
          <w:lang w:val="en-US"/>
        </w:rPr>
        <w:t>hile seemingly a zero-sum exercise</w:t>
      </w:r>
      <w:r>
        <w:rPr>
          <w:rFonts w:ascii="Arial" w:hAnsi="Arial" w:cs="Arial"/>
          <w:sz w:val="18"/>
          <w:szCs w:val="18"/>
          <w:lang w:val="en-US"/>
        </w:rPr>
        <w:t>,</w:t>
      </w:r>
      <w:r w:rsidRPr="009C086E">
        <w:rPr>
          <w:rFonts w:ascii="Arial" w:hAnsi="Arial" w:cs="Arial"/>
          <w:sz w:val="18"/>
          <w:szCs w:val="18"/>
          <w:lang w:val="en-US"/>
        </w:rPr>
        <w:t xml:space="preserve"> this has the beneficial effect of improving transparency in government accounting as well as indirectly inducing greater payment of GCT by the government’s suppliers</w:t>
      </w:r>
      <w:r>
        <w:rPr>
          <w:rFonts w:ascii="Arial" w:hAnsi="Arial" w:cs="Arial"/>
          <w:sz w:val="18"/>
          <w:szCs w:val="18"/>
          <w:lang w:val="en-US"/>
        </w:rPr>
        <w:t xml:space="preserve">. This is because </w:t>
      </w:r>
      <w:r w:rsidRPr="009C086E">
        <w:rPr>
          <w:rFonts w:ascii="Arial" w:hAnsi="Arial" w:cs="Arial"/>
          <w:sz w:val="18"/>
          <w:szCs w:val="18"/>
          <w:lang w:val="en-US"/>
        </w:rPr>
        <w:t>they now have an incentive to report the GCT they have to pay on their inputs in order to receive the refund against the taxes now collected on sales to the government</w:t>
      </w:r>
    </w:p>
  </w:footnote>
  <w:footnote w:id="21">
    <w:p w14:paraId="65B57767" w14:textId="01459474" w:rsidR="00D64D1A" w:rsidRPr="00040AA9" w:rsidRDefault="00D64D1A" w:rsidP="00AD28B7">
      <w:pPr>
        <w:pStyle w:val="FootnoteText"/>
        <w:ind w:left="360" w:hanging="360"/>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t>It also</w:t>
      </w:r>
      <w:r w:rsidRPr="008F1095">
        <w:rPr>
          <w:rFonts w:ascii="Arial" w:hAnsi="Arial" w:cs="Arial"/>
          <w:sz w:val="18"/>
          <w:szCs w:val="18"/>
          <w:lang w:val="en-US"/>
        </w:rPr>
        <w:t xml:space="preserve"> strengthen</w:t>
      </w:r>
      <w:r>
        <w:rPr>
          <w:rFonts w:ascii="Arial" w:hAnsi="Arial" w:cs="Arial"/>
          <w:sz w:val="18"/>
          <w:szCs w:val="18"/>
          <w:lang w:val="en-US"/>
        </w:rPr>
        <w:t>s</w:t>
      </w:r>
      <w:r w:rsidRPr="008F1095">
        <w:rPr>
          <w:rFonts w:ascii="Arial" w:hAnsi="Arial" w:cs="Arial"/>
          <w:sz w:val="18"/>
          <w:szCs w:val="18"/>
          <w:lang w:val="en-US"/>
        </w:rPr>
        <w:t xml:space="preserve"> the institutional framework to improve budgetary procedures, bolster the Auditor General’s capacity and design a sanctions rule</w:t>
      </w:r>
      <w:r>
        <w:rPr>
          <w:rFonts w:ascii="Arial" w:hAnsi="Arial" w:cs="Arial"/>
          <w:sz w:val="18"/>
          <w:szCs w:val="18"/>
          <w:lang w:val="en-US"/>
        </w:rPr>
        <w:t>.</w:t>
      </w:r>
      <w:r w:rsidRPr="008F1095">
        <w:rPr>
          <w:rFonts w:ascii="Arial" w:hAnsi="Arial" w:cs="Arial"/>
          <w:sz w:val="18"/>
          <w:szCs w:val="18"/>
          <w:lang w:val="en-US"/>
        </w:rPr>
        <w:t xml:space="preserve"> </w:t>
      </w:r>
      <w:r w:rsidRPr="00040AA9">
        <w:rPr>
          <w:rFonts w:ascii="Arial" w:hAnsi="Arial" w:cs="Arial"/>
          <w:sz w:val="18"/>
          <w:szCs w:val="18"/>
          <w:lang w:val="en-US"/>
        </w:rPr>
        <w:t xml:space="preserve">See </w:t>
      </w:r>
      <w:r w:rsidRPr="00040AA9">
        <w:rPr>
          <w:rFonts w:ascii="Arial" w:hAnsi="Arial" w:cs="Arial"/>
          <w:spacing w:val="-3"/>
          <w:sz w:val="18"/>
          <w:szCs w:val="18"/>
          <w:lang w:val="en-US"/>
        </w:rPr>
        <w:t>FISPEG II Loan Proposal ¶1.32, footnote 23</w:t>
      </w:r>
    </w:p>
  </w:footnote>
  <w:footnote w:id="22">
    <w:p w14:paraId="76B1FB02" w14:textId="13F2E7A9"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Earlier versions of the </w:t>
      </w:r>
      <w:r w:rsidRPr="00040AA9">
        <w:rPr>
          <w:rFonts w:ascii="Arial" w:hAnsi="Arial" w:cs="Arial"/>
          <w:i/>
          <w:sz w:val="18"/>
          <w:szCs w:val="18"/>
          <w:lang w:val="en-US"/>
        </w:rPr>
        <w:t>Guidelines</w:t>
      </w:r>
      <w:r w:rsidRPr="00040AA9">
        <w:rPr>
          <w:rFonts w:ascii="Arial" w:hAnsi="Arial" w:cs="Arial"/>
          <w:sz w:val="18"/>
          <w:szCs w:val="18"/>
          <w:lang w:val="en-US"/>
        </w:rPr>
        <w:t xml:space="preserve"> (OP-1242, OP-1242-1 and OP-1242-2 were all issued in July 2014 which was roughly 7 months after the first FISPEG operation was presented to the Board in January 2014.</w:t>
      </w:r>
    </w:p>
  </w:footnote>
  <w:footnote w:id="23">
    <w:p w14:paraId="16EE6EAA" w14:textId="6ADB259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See PCR Guidelines</w:t>
      </w:r>
      <w:r>
        <w:rPr>
          <w:rFonts w:ascii="Arial" w:hAnsi="Arial" w:cs="Arial"/>
          <w:sz w:val="18"/>
          <w:szCs w:val="18"/>
          <w:lang w:val="en-US"/>
        </w:rPr>
        <w:t xml:space="preserve"> </w:t>
      </w:r>
      <w:r w:rsidRPr="00040AA9">
        <w:rPr>
          <w:rFonts w:ascii="Arial" w:hAnsi="Arial" w:cs="Arial"/>
          <w:sz w:val="18"/>
          <w:szCs w:val="18"/>
          <w:lang w:val="en-US"/>
        </w:rPr>
        <w:t>(OP-1242-5) ¶1.9</w:t>
      </w:r>
    </w:p>
  </w:footnote>
  <w:footnote w:id="24">
    <w:p w14:paraId="3B4A75EF" w14:textId="743D67D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Except for a few indicators from the Results Matrix for the first operation (JA-L1038) no information related to the three operation-specific RMs was entered into Convergence during the preparation and execution of the three operations. </w:t>
      </w:r>
      <w:r w:rsidRPr="00196D2F">
        <w:rPr>
          <w:rFonts w:ascii="Arial" w:hAnsi="Arial" w:cs="Arial"/>
          <w:sz w:val="18"/>
          <w:szCs w:val="18"/>
          <w:lang w:val="en-US"/>
        </w:rPr>
        <w:t>Consequently,</w:t>
      </w:r>
      <w:r w:rsidRPr="00040AA9">
        <w:rPr>
          <w:rFonts w:ascii="Arial" w:hAnsi="Arial" w:cs="Arial"/>
          <w:sz w:val="18"/>
          <w:szCs w:val="18"/>
          <w:lang w:val="en-US"/>
        </w:rPr>
        <w:t xml:space="preserve"> the data had to be uploaded as one of the activities in the preparation of this PCR.</w:t>
      </w:r>
    </w:p>
  </w:footnote>
  <w:footnote w:id="25">
    <w:p w14:paraId="070AD70E" w14:textId="3C417967"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A few points on the methodology used in preparing the consolidated Results Matrix are in order: </w:t>
      </w:r>
    </w:p>
    <w:p w14:paraId="45E8DA26" w14:textId="77777777" w:rsidR="00D64D1A" w:rsidRPr="00040AA9" w:rsidRDefault="00D64D1A" w:rsidP="00472226">
      <w:pPr>
        <w:pStyle w:val="ListParagraph"/>
        <w:numPr>
          <w:ilvl w:val="0"/>
          <w:numId w:val="8"/>
        </w:numPr>
        <w:ind w:left="630" w:hanging="270"/>
        <w:jc w:val="both"/>
        <w:rPr>
          <w:rFonts w:cs="Arial"/>
          <w:sz w:val="18"/>
          <w:szCs w:val="18"/>
        </w:rPr>
      </w:pPr>
      <w:r w:rsidRPr="00040AA9">
        <w:rPr>
          <w:rFonts w:cs="Arial"/>
          <w:sz w:val="18"/>
          <w:szCs w:val="18"/>
        </w:rPr>
        <w:t>In the three FISPEG operations the baseline year was always FY2012/13 i.e. from March 1, 2012 through April 30, 2013.</w:t>
      </w:r>
    </w:p>
    <w:p w14:paraId="1105C823" w14:textId="58DDCB0B" w:rsidR="00D64D1A" w:rsidRPr="00040AA9" w:rsidRDefault="00D64D1A" w:rsidP="00472226">
      <w:pPr>
        <w:pStyle w:val="ListParagraph"/>
        <w:numPr>
          <w:ilvl w:val="0"/>
          <w:numId w:val="8"/>
        </w:numPr>
        <w:ind w:left="630" w:hanging="270"/>
        <w:jc w:val="both"/>
        <w:rPr>
          <w:rFonts w:cs="Arial"/>
          <w:sz w:val="18"/>
          <w:szCs w:val="18"/>
        </w:rPr>
      </w:pPr>
      <w:r w:rsidRPr="00040AA9">
        <w:rPr>
          <w:rFonts w:cs="Arial"/>
          <w:sz w:val="18"/>
          <w:szCs w:val="18"/>
        </w:rPr>
        <w:t xml:space="preserve">The planed “P” values are for FY at the end of the program (EOP), which differs between operations. FISPEG I typically uses FY2015/16 as the </w:t>
      </w:r>
      <w:r>
        <w:rPr>
          <w:rFonts w:cs="Arial"/>
          <w:sz w:val="18"/>
          <w:szCs w:val="18"/>
        </w:rPr>
        <w:t>FY</w:t>
      </w:r>
      <w:r w:rsidRPr="00040AA9">
        <w:rPr>
          <w:rFonts w:cs="Arial"/>
          <w:sz w:val="18"/>
          <w:szCs w:val="18"/>
        </w:rPr>
        <w:t xml:space="preserve"> of its “P” values, while FISPEG II and II use FY2016/17</w:t>
      </w:r>
    </w:p>
    <w:p w14:paraId="25DBA282" w14:textId="77777777" w:rsidR="00D64D1A" w:rsidRPr="00040AA9" w:rsidRDefault="00D64D1A" w:rsidP="00472226">
      <w:pPr>
        <w:pStyle w:val="ListParagraph"/>
        <w:numPr>
          <w:ilvl w:val="0"/>
          <w:numId w:val="8"/>
        </w:numPr>
        <w:ind w:left="630" w:hanging="270"/>
        <w:jc w:val="both"/>
        <w:rPr>
          <w:rFonts w:cs="Arial"/>
          <w:sz w:val="18"/>
          <w:szCs w:val="18"/>
        </w:rPr>
      </w:pPr>
      <w:r w:rsidRPr="00040AA9">
        <w:rPr>
          <w:rFonts w:cs="Arial"/>
          <w:sz w:val="18"/>
          <w:szCs w:val="18"/>
        </w:rPr>
        <w:t>The indicators are expressed in a variety of units. Often percentages are used, however absolute units, such as numbers of audits or months taken to accomplish a task are also used.</w:t>
      </w:r>
    </w:p>
    <w:p w14:paraId="75F62D1D" w14:textId="42B4062B" w:rsidR="00D64D1A" w:rsidRPr="00040AA9" w:rsidRDefault="00D64D1A" w:rsidP="00472226">
      <w:pPr>
        <w:pStyle w:val="ListParagraph"/>
        <w:numPr>
          <w:ilvl w:val="0"/>
          <w:numId w:val="8"/>
        </w:numPr>
        <w:ind w:left="630" w:hanging="270"/>
        <w:jc w:val="both"/>
        <w:rPr>
          <w:rFonts w:cs="Arial"/>
          <w:sz w:val="18"/>
          <w:szCs w:val="18"/>
        </w:rPr>
      </w:pPr>
      <w:r w:rsidRPr="00040AA9">
        <w:rPr>
          <w:rFonts w:cs="Arial"/>
          <w:sz w:val="18"/>
          <w:szCs w:val="18"/>
        </w:rPr>
        <w:t>Achievement is measured relative to the baseline value. In the case of Impact and Outcome indicators, the difference between the planned EOP value and the baseline value is divided by the difference between the actual EOP value and the baseline value. Thus, for example, if the baseline for a certain indicator were 10% and the planned value were 50% the expected increase (EI) would be 40 percentage points. If the actual EOP value for this indicator were 65% the actual increase (AI) would be 55 percentage points. The “% Achieved” for this indicator would then be 55/40 = 138%, i.e. the indicator exceeded its target by 38%.</w:t>
      </w:r>
    </w:p>
    <w:p w14:paraId="002DB437" w14:textId="11E98263" w:rsidR="00D64D1A" w:rsidRPr="00040AA9" w:rsidRDefault="00D64D1A" w:rsidP="00472226">
      <w:pPr>
        <w:pStyle w:val="ListParagraph"/>
        <w:numPr>
          <w:ilvl w:val="0"/>
          <w:numId w:val="8"/>
        </w:numPr>
        <w:ind w:left="630" w:hanging="270"/>
        <w:jc w:val="both"/>
        <w:rPr>
          <w:rFonts w:cs="Arial"/>
          <w:sz w:val="18"/>
          <w:szCs w:val="18"/>
        </w:rPr>
      </w:pPr>
      <w:r w:rsidRPr="00040AA9">
        <w:rPr>
          <w:rFonts w:cs="Arial"/>
          <w:sz w:val="18"/>
          <w:szCs w:val="18"/>
        </w:rPr>
        <w:t xml:space="preserve">In the case of Output indicators, baseline and target values are most commonly expressed as “0” (zero) and “1” (one); </w:t>
      </w:r>
      <w:r w:rsidRPr="00196D2F">
        <w:rPr>
          <w:rFonts w:cs="Arial"/>
          <w:sz w:val="18"/>
          <w:szCs w:val="18"/>
        </w:rPr>
        <w:t>thus,</w:t>
      </w:r>
      <w:r w:rsidRPr="00040AA9">
        <w:rPr>
          <w:rFonts w:cs="Arial"/>
          <w:sz w:val="18"/>
          <w:szCs w:val="18"/>
        </w:rPr>
        <w:t xml:space="preserve"> achievement is usually either 0% or 100%. </w:t>
      </w:r>
      <w:r w:rsidRPr="00196D2F">
        <w:rPr>
          <w:rFonts w:cs="Arial"/>
          <w:sz w:val="18"/>
          <w:szCs w:val="18"/>
        </w:rPr>
        <w:t>However,</w:t>
      </w:r>
      <w:r w:rsidRPr="00040AA9">
        <w:rPr>
          <w:rFonts w:cs="Arial"/>
          <w:sz w:val="18"/>
          <w:szCs w:val="18"/>
        </w:rPr>
        <w:t xml:space="preserve"> there are several instances of partial achievement, and the percentage assigned is something of a judgement call as will be discussed below.  </w:t>
      </w:r>
    </w:p>
    <w:p w14:paraId="7C666193" w14:textId="77777777" w:rsidR="00D64D1A" w:rsidRPr="00040AA9" w:rsidRDefault="00D64D1A" w:rsidP="00472226">
      <w:pPr>
        <w:pStyle w:val="ListParagraph"/>
        <w:numPr>
          <w:ilvl w:val="0"/>
          <w:numId w:val="8"/>
        </w:numPr>
        <w:ind w:left="630" w:hanging="270"/>
        <w:jc w:val="both"/>
        <w:rPr>
          <w:rFonts w:cs="Arial"/>
          <w:sz w:val="18"/>
          <w:szCs w:val="18"/>
        </w:rPr>
      </w:pPr>
      <w:r w:rsidRPr="00040AA9">
        <w:rPr>
          <w:rFonts w:cs="Arial"/>
          <w:sz w:val="18"/>
          <w:szCs w:val="18"/>
        </w:rPr>
        <w:t>In several cases data on actual EOP achievement are unavailable. Following PCR Guidelines these indicators are rated with zero achievement. (See PCR Guidelines…(OP-1242-5) ¶3.8)</w:t>
      </w:r>
    </w:p>
    <w:p w14:paraId="053B3F58" w14:textId="463BD37A" w:rsidR="00D64D1A" w:rsidRPr="00040AA9" w:rsidRDefault="00D64D1A" w:rsidP="00472226">
      <w:pPr>
        <w:pStyle w:val="ListParagraph"/>
        <w:numPr>
          <w:ilvl w:val="0"/>
          <w:numId w:val="8"/>
        </w:numPr>
        <w:ind w:left="630" w:hanging="270"/>
        <w:jc w:val="both"/>
        <w:rPr>
          <w:sz w:val="18"/>
          <w:szCs w:val="18"/>
        </w:rPr>
      </w:pPr>
      <w:r w:rsidRPr="00040AA9">
        <w:rPr>
          <w:rFonts w:cs="Arial"/>
          <w:sz w:val="18"/>
          <w:szCs w:val="18"/>
        </w:rPr>
        <w:t xml:space="preserve">In three cases the indicators as originally drafted were conceptually flawed. As noted in Table 1 below these have been amended </w:t>
      </w:r>
      <w:r w:rsidRPr="00196D2F">
        <w:rPr>
          <w:rFonts w:cs="Arial"/>
          <w:sz w:val="18"/>
          <w:szCs w:val="18"/>
        </w:rPr>
        <w:t>to</w:t>
      </w:r>
      <w:r w:rsidRPr="00040AA9">
        <w:rPr>
          <w:rFonts w:cs="Arial"/>
          <w:sz w:val="18"/>
          <w:szCs w:val="18"/>
        </w:rPr>
        <w:t xml:space="preserve"> maintain the original intent of the indicator while redefining how each one is measured, thereby enabling a more accurate assessment of their performance.</w:t>
      </w:r>
    </w:p>
  </w:footnote>
  <w:footnote w:id="26">
    <w:p w14:paraId="0BD11A0F" w14:textId="46CEB9AB"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This column of Table </w:t>
      </w:r>
      <w:r>
        <w:rPr>
          <w:rFonts w:ascii="Arial" w:hAnsi="Arial" w:cs="Arial"/>
          <w:sz w:val="18"/>
          <w:szCs w:val="18"/>
          <w:lang w:val="en-US"/>
        </w:rPr>
        <w:t>B</w:t>
      </w:r>
      <w:r w:rsidRPr="00040AA9">
        <w:rPr>
          <w:rFonts w:ascii="Arial" w:hAnsi="Arial" w:cs="Arial"/>
          <w:sz w:val="18"/>
          <w:szCs w:val="18"/>
          <w:lang w:val="en-US"/>
        </w:rPr>
        <w:t xml:space="preserve"> refers to the distinct Outcomes (i.e. Results) and Outputs (i.e. Products) enumerated in Table 2. Each Outcome and Output is measured by one or more indictors.</w:t>
      </w:r>
    </w:p>
  </w:footnote>
  <w:footnote w:id="27">
    <w:p w14:paraId="7A5A3620" w14:textId="1ED713E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See Annex III - J Baca-Campodonico </w:t>
      </w:r>
      <w:r w:rsidRPr="00040AA9">
        <w:rPr>
          <w:rFonts w:ascii="Arial" w:hAnsi="Arial" w:cs="Arial"/>
          <w:i/>
          <w:sz w:val="18"/>
          <w:szCs w:val="18"/>
          <w:lang w:val="en-US"/>
        </w:rPr>
        <w:t xml:space="preserve">Jamaica Tax Reform Assessment, </w:t>
      </w:r>
      <w:r w:rsidRPr="00040AA9">
        <w:rPr>
          <w:rFonts w:ascii="Arial" w:hAnsi="Arial" w:cs="Arial"/>
          <w:sz w:val="18"/>
          <w:szCs w:val="18"/>
          <w:lang w:val="en-US"/>
        </w:rPr>
        <w:t>Sept. 2017 p. 17</w:t>
      </w:r>
    </w:p>
  </w:footnote>
  <w:footnote w:id="28">
    <w:p w14:paraId="0194F862" w14:textId="4F36F23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FISPEG II Loan Proposal ¶1.</w:t>
      </w:r>
      <w:r w:rsidRPr="00176527">
        <w:rPr>
          <w:rFonts w:ascii="Arial" w:hAnsi="Arial" w:cs="Arial"/>
          <w:sz w:val="18"/>
          <w:szCs w:val="18"/>
          <w:lang w:val="en-US"/>
        </w:rPr>
        <w:t>8.b.</w:t>
      </w:r>
      <w:r w:rsidRPr="00040AA9">
        <w:rPr>
          <w:rFonts w:ascii="Arial" w:hAnsi="Arial" w:cs="Arial"/>
          <w:sz w:val="18"/>
          <w:szCs w:val="18"/>
          <w:lang w:val="en-US"/>
        </w:rPr>
        <w:t xml:space="preserve"> See also Output II.2. GCT, Corp &amp; </w:t>
      </w:r>
      <w:r w:rsidRPr="00176527">
        <w:rPr>
          <w:rFonts w:ascii="Arial" w:hAnsi="Arial" w:cs="Arial"/>
          <w:sz w:val="18"/>
          <w:szCs w:val="18"/>
          <w:lang w:val="en-US"/>
        </w:rPr>
        <w:t>Self-Employed</w:t>
      </w:r>
      <w:r w:rsidRPr="00040AA9">
        <w:rPr>
          <w:rFonts w:ascii="Arial" w:hAnsi="Arial" w:cs="Arial"/>
          <w:sz w:val="18"/>
          <w:szCs w:val="18"/>
          <w:lang w:val="en-US"/>
        </w:rPr>
        <w:t xml:space="preserve"> Tax, CIT and PIT</w:t>
      </w:r>
    </w:p>
  </w:footnote>
  <w:footnote w:id="29">
    <w:p w14:paraId="6D63070D" w14:textId="59FBA03F"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See Output II.13, Employment Tax Credit and indicator II.13.2 Employment Tax Credit… applied</w:t>
      </w:r>
    </w:p>
  </w:footnote>
  <w:footnote w:id="30">
    <w:p w14:paraId="39EFCB2F" w14:textId="28CC8218"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Annex III - J Baca </w:t>
      </w:r>
      <w:r w:rsidRPr="00040AA9">
        <w:rPr>
          <w:rFonts w:ascii="Arial" w:hAnsi="Arial" w:cs="Arial"/>
          <w:i/>
          <w:sz w:val="18"/>
          <w:szCs w:val="18"/>
          <w:lang w:val="en-US"/>
        </w:rPr>
        <w:t>op cit</w:t>
      </w:r>
      <w:r w:rsidRPr="00040AA9">
        <w:rPr>
          <w:rFonts w:ascii="Arial" w:hAnsi="Arial" w:cs="Arial"/>
          <w:sz w:val="18"/>
          <w:szCs w:val="18"/>
          <w:lang w:val="en-US"/>
        </w:rPr>
        <w:t>. p. 20</w:t>
      </w:r>
    </w:p>
  </w:footnote>
  <w:footnote w:id="31">
    <w:p w14:paraId="073584D5" w14:textId="75A61E2D"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Jamaica </w:t>
      </w:r>
      <w:r w:rsidRPr="00040AA9">
        <w:rPr>
          <w:rFonts w:ascii="Arial" w:hAnsi="Arial" w:cs="Arial"/>
          <w:i/>
          <w:sz w:val="18"/>
          <w:szCs w:val="18"/>
          <w:lang w:val="en-US"/>
        </w:rPr>
        <w:t>Fiscal Consolidation Program - Project Completion Repor</w:t>
      </w:r>
      <w:r w:rsidRPr="00040AA9">
        <w:rPr>
          <w:rFonts w:ascii="Arial" w:hAnsi="Arial" w:cs="Arial"/>
          <w:sz w:val="18"/>
          <w:szCs w:val="18"/>
          <w:lang w:val="en-US"/>
        </w:rPr>
        <w:t>t, August 2014, p. 12</w:t>
      </w:r>
    </w:p>
  </w:footnote>
  <w:footnote w:id="32">
    <w:p w14:paraId="2B359986" w14:textId="01E4153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ibid</w:t>
      </w:r>
    </w:p>
  </w:footnote>
  <w:footnote w:id="33">
    <w:p w14:paraId="424F81B8" w14:textId="084D60D2" w:rsidR="00D64D1A" w:rsidRPr="00040AA9" w:rsidRDefault="00D64D1A" w:rsidP="00040AA9">
      <w:pPr>
        <w:pStyle w:val="FootnoteText"/>
        <w:ind w:left="360" w:hanging="360"/>
        <w:jc w:val="both"/>
        <w:rPr>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 FISPEG III – RM output (“product”) 2.7, and also loan contract section 2.03.I.(a)(iii)(B)</w:t>
      </w:r>
    </w:p>
  </w:footnote>
  <w:footnote w:id="34">
    <w:p w14:paraId="2C2EF4C3" w14:textId="773D5AE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Annex III – J. Baca op cit. p. 56 &amp; graph on p. 57</w:t>
      </w:r>
    </w:p>
  </w:footnote>
  <w:footnote w:id="35">
    <w:p w14:paraId="209E12B5" w14:textId="54DCCE3E"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t>It should be noted that actual (A) value of 25.7% exceeded the original planned (P) value of 25.5% as approved by the Board of Directors. Thus, in this sense the target value of the indicator can be considered to have been achieved completely. This better-than-expected performance is further corroborated by a newspaper article regarding interim tax collections in FY2017/18: “</w:t>
      </w:r>
      <w:r w:rsidRPr="00040AA9">
        <w:rPr>
          <w:rFonts w:ascii="Arial" w:hAnsi="Arial" w:cs="Arial"/>
          <w:sz w:val="18"/>
          <w:szCs w:val="18"/>
          <w:lang w:val="en-US"/>
        </w:rPr>
        <w:t>Measured in absolute terms, as of June 20, 2017 net tax collections stood at $73.6 billion, exceeding TAJ’s year</w:t>
      </w:r>
      <w:r>
        <w:rPr>
          <w:rFonts w:ascii="Arial" w:hAnsi="Arial" w:cs="Arial"/>
          <w:sz w:val="18"/>
          <w:szCs w:val="18"/>
          <w:lang w:val="en-US"/>
        </w:rPr>
        <w:noBreakHyphen/>
      </w:r>
      <w:r w:rsidRPr="00040AA9">
        <w:rPr>
          <w:rFonts w:ascii="Arial" w:hAnsi="Arial" w:cs="Arial"/>
          <w:sz w:val="18"/>
          <w:szCs w:val="18"/>
          <w:lang w:val="en-US"/>
        </w:rPr>
        <w:t>to</w:t>
      </w:r>
      <w:r>
        <w:rPr>
          <w:rFonts w:ascii="Arial" w:hAnsi="Arial" w:cs="Arial"/>
          <w:sz w:val="18"/>
          <w:szCs w:val="18"/>
          <w:lang w:val="en-US"/>
        </w:rPr>
        <w:noBreakHyphen/>
      </w:r>
      <w:r w:rsidRPr="00040AA9">
        <w:rPr>
          <w:rFonts w:ascii="Arial" w:hAnsi="Arial" w:cs="Arial"/>
          <w:sz w:val="18"/>
          <w:szCs w:val="18"/>
          <w:lang w:val="en-US"/>
        </w:rPr>
        <w:t>date target of J$67.3 billion by 9.4% (J$6.3 b</w:t>
      </w:r>
      <w:r>
        <w:rPr>
          <w:rFonts w:ascii="Arial" w:hAnsi="Arial" w:cs="Arial"/>
          <w:sz w:val="18"/>
          <w:szCs w:val="18"/>
          <w:lang w:val="en-US"/>
        </w:rPr>
        <w:t>illio</w:t>
      </w:r>
      <w:r w:rsidRPr="00040AA9">
        <w:rPr>
          <w:rFonts w:ascii="Arial" w:hAnsi="Arial" w:cs="Arial"/>
          <w:sz w:val="18"/>
          <w:szCs w:val="18"/>
          <w:lang w:val="en-US"/>
        </w:rPr>
        <w:t>n)</w:t>
      </w:r>
      <w:r>
        <w:rPr>
          <w:rFonts w:ascii="Arial" w:hAnsi="Arial" w:cs="Arial"/>
          <w:sz w:val="18"/>
          <w:szCs w:val="18"/>
          <w:lang w:val="en-US"/>
        </w:rPr>
        <w:t>”</w:t>
      </w:r>
      <w:r w:rsidRPr="00040AA9">
        <w:rPr>
          <w:rFonts w:ascii="Arial" w:hAnsi="Arial" w:cs="Arial"/>
          <w:sz w:val="18"/>
          <w:szCs w:val="18"/>
          <w:lang w:val="en-US"/>
        </w:rPr>
        <w:t xml:space="preserve"> (Source: Jamaica </w:t>
      </w:r>
      <w:r w:rsidRPr="00040AA9">
        <w:rPr>
          <w:rFonts w:ascii="Arial" w:hAnsi="Arial" w:cs="Arial"/>
          <w:i/>
          <w:sz w:val="18"/>
          <w:szCs w:val="18"/>
          <w:lang w:val="en-US"/>
        </w:rPr>
        <w:t>Gleaner</w:t>
      </w:r>
      <w:r w:rsidRPr="00040AA9">
        <w:rPr>
          <w:rFonts w:ascii="Arial" w:hAnsi="Arial" w:cs="Arial"/>
          <w:sz w:val="18"/>
          <w:szCs w:val="18"/>
          <w:lang w:val="en-US"/>
        </w:rPr>
        <w:t>, Aug. 8, 2017)</w:t>
      </w:r>
    </w:p>
  </w:footnote>
  <w:footnote w:id="36">
    <w:p w14:paraId="32259423" w14:textId="1300F19C"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See Table 2, Output indicator II.8.2, means of verification discussion.</w:t>
      </w:r>
    </w:p>
  </w:footnote>
  <w:footnote w:id="37">
    <w:p w14:paraId="0D16208E" w14:textId="17977EE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IMF </w:t>
      </w:r>
      <w:r w:rsidRPr="003D0C9D">
        <w:rPr>
          <w:rFonts w:ascii="Arial" w:hAnsi="Arial" w:cs="Arial"/>
          <w:i/>
          <w:sz w:val="18"/>
          <w:szCs w:val="18"/>
          <w:lang w:val="en-US"/>
        </w:rPr>
        <w:t xml:space="preserve">Request for A Stand-By Arrangement and Cancellation of The Current Extended Arrangement Under </w:t>
      </w:r>
      <w:r>
        <w:rPr>
          <w:rFonts w:ascii="Arial" w:hAnsi="Arial" w:cs="Arial"/>
          <w:i/>
          <w:sz w:val="18"/>
          <w:szCs w:val="18"/>
          <w:lang w:val="en-US"/>
        </w:rPr>
        <w:t>t</w:t>
      </w:r>
      <w:r w:rsidRPr="003D0C9D">
        <w:rPr>
          <w:rFonts w:ascii="Arial" w:hAnsi="Arial" w:cs="Arial"/>
          <w:i/>
          <w:sz w:val="18"/>
          <w:szCs w:val="18"/>
          <w:lang w:val="en-US"/>
        </w:rPr>
        <w:t>he EFF</w:t>
      </w:r>
      <w:r w:rsidRPr="00040AA9">
        <w:rPr>
          <w:rFonts w:ascii="Arial" w:hAnsi="Arial" w:cs="Arial"/>
          <w:sz w:val="18"/>
          <w:szCs w:val="18"/>
          <w:lang w:val="en-US"/>
        </w:rPr>
        <w:t>, Oct. 25, 2016, Table 3, p. 28 (It should be noted that in the First Review under the SBA in April 2017, the projected value for FY 2017/18 was re-estimated at 10.3%)</w:t>
      </w:r>
    </w:p>
  </w:footnote>
  <w:footnote w:id="38">
    <w:p w14:paraId="17066152" w14:textId="00CA23AD" w:rsidR="00D64D1A" w:rsidRPr="00040AA9" w:rsidRDefault="00D64D1A" w:rsidP="00350FE4">
      <w:pPr>
        <w:pStyle w:val="FootnoteText"/>
        <w:ind w:left="360" w:hanging="360"/>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MoF&amp;PS </w:t>
      </w:r>
      <w:r w:rsidRPr="00040AA9">
        <w:rPr>
          <w:rFonts w:ascii="Arial" w:hAnsi="Arial" w:cs="Arial"/>
          <w:i/>
          <w:sz w:val="18"/>
          <w:szCs w:val="18"/>
          <w:lang w:val="en-US"/>
        </w:rPr>
        <w:t xml:space="preserve">Fiscal Policy Paper FY2017/18, </w:t>
      </w:r>
      <w:r w:rsidRPr="00040AA9">
        <w:rPr>
          <w:rFonts w:ascii="Arial" w:hAnsi="Arial" w:cs="Arial"/>
          <w:sz w:val="18"/>
          <w:szCs w:val="18"/>
          <w:lang w:val="en-US"/>
        </w:rPr>
        <w:t>p. 12</w:t>
      </w:r>
    </w:p>
  </w:footnote>
  <w:footnote w:id="39">
    <w:p w14:paraId="58CF33F8" w14:textId="0B0763F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040AA9">
        <w:rPr>
          <w:rFonts w:ascii="Arial" w:hAnsi="Arial" w:cs="Arial"/>
          <w:sz w:val="18"/>
          <w:szCs w:val="18"/>
          <w:lang w:val="en-US"/>
        </w:rPr>
        <w:tab/>
        <w:t xml:space="preserve">Because the consolidated Results Matrix for the three FISPEG operations was elaborated ex-post, (i.e. after the completion of FISPEG III), and given that essentially no RM data were uploaded to the Convergence platform during program execution but rather have been uploaded as part of the preparation of this </w:t>
      </w:r>
      <w:r w:rsidRPr="00350FE4">
        <w:rPr>
          <w:rFonts w:ascii="Arial" w:hAnsi="Arial" w:cs="Arial"/>
          <w:sz w:val="18"/>
          <w:szCs w:val="18"/>
          <w:lang w:val="en-US"/>
        </w:rPr>
        <w:t>PCR (</w:t>
      </w:r>
      <w:r w:rsidRPr="00040AA9">
        <w:rPr>
          <w:rFonts w:ascii="Arial" w:hAnsi="Arial" w:cs="Arial"/>
          <w:sz w:val="18"/>
          <w:szCs w:val="18"/>
          <w:lang w:val="en-US"/>
        </w:rPr>
        <w:t xml:space="preserve">See discussion in </w:t>
      </w:r>
      <w:r w:rsidRPr="00350FE4">
        <w:rPr>
          <w:rFonts w:ascii="Arial" w:hAnsi="Arial" w:cs="Arial"/>
          <w:sz w:val="18"/>
          <w:szCs w:val="18"/>
          <w:lang w:val="en-US"/>
        </w:rPr>
        <w:t>section 3.2.b</w:t>
      </w:r>
      <w:r w:rsidRPr="00040AA9">
        <w:rPr>
          <w:rFonts w:ascii="Arial" w:hAnsi="Arial" w:cs="Arial"/>
          <w:sz w:val="18"/>
          <w:szCs w:val="18"/>
          <w:lang w:val="en-US"/>
        </w:rPr>
        <w:t xml:space="preserve"> above.), the dates of change to the Results Matrix are coincident with the dates of this uploading process (i.e. October and November 2017). </w:t>
      </w:r>
    </w:p>
  </w:footnote>
  <w:footnote w:id="40">
    <w:p w14:paraId="757A4E71" w14:textId="7FC425F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Clarification of the definitions used for these indicators was considered necessary despite their being deactivated for lack of EOP data because when the indicator values from the original RMs of the respective three operations were consolidated it was abundantly apparent that the baseline and target values for this indicator as displayed in the FISPEG II RM were fundamentally inconsistent with the corresponding values as presented in the FISPEG I and FISPEG III RM. (See the values for this outcome as stated in the original RMs annexed to the respective loan proposals.) These disparate values can only be explained as two definitionally different indicators, as noted above. </w:t>
      </w:r>
    </w:p>
  </w:footnote>
  <w:footnote w:id="41">
    <w:p w14:paraId="565BE656" w14:textId="2428A34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See discussion and related footnote regarding Output Indicator III.4.1 in Table 2 below</w:t>
      </w:r>
    </w:p>
  </w:footnote>
  <w:footnote w:id="42">
    <w:p w14:paraId="1656FEF2" w14:textId="62260D0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Formatted to conform to Convergence protocol for registering indicators</w:t>
      </w:r>
    </w:p>
  </w:footnote>
  <w:footnote w:id="43">
    <w:p w14:paraId="2FEB43D1" w14:textId="50574639"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Indicators are identified using the same wording as contained in the corresponding original RMs of the three FISPEG operations, followed by a cross reference (in parentheses) identifying where the indicator is stated in the original RM. </w:t>
      </w:r>
    </w:p>
  </w:footnote>
  <w:footnote w:id="44">
    <w:p w14:paraId="227F549F" w14:textId="60D7930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Where: P = Start-Up Plan; P (a) = Revised Annual Target; A = Actual.</w:t>
      </w:r>
    </w:p>
  </w:footnote>
  <w:footnote w:id="45">
    <w:p w14:paraId="09DE0EEA" w14:textId="065E5D4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Means of Verification (MOVs) listed under the Start-Up </w:t>
      </w:r>
      <w:r w:rsidRPr="00350FE4">
        <w:rPr>
          <w:rFonts w:ascii="Arial" w:hAnsi="Arial" w:cs="Arial"/>
          <w:sz w:val="18"/>
          <w:szCs w:val="18"/>
          <w:lang w:val="en-US"/>
        </w:rPr>
        <w:t>Plan (</w:t>
      </w:r>
      <w:r w:rsidRPr="00040AA9">
        <w:rPr>
          <w:rFonts w:ascii="Arial" w:hAnsi="Arial" w:cs="Arial"/>
          <w:sz w:val="18"/>
          <w:szCs w:val="18"/>
          <w:lang w:val="en-US"/>
        </w:rPr>
        <w:t>“P”) category refer to those MOVs specified in the corresponding Results Matrix (of the individual FISPEG operations). The MOVs listed under the Actual (“A”) category refer to the sources of the evidence presented to demonstrate achievement of the target values.</w:t>
      </w:r>
    </w:p>
  </w:footnote>
  <w:footnote w:id="46">
    <w:p w14:paraId="26EECE7F" w14:textId="2D2479B6" w:rsidR="00D64D1A" w:rsidRPr="00040AA9" w:rsidRDefault="00D64D1A" w:rsidP="00040AA9">
      <w:pPr>
        <w:widowControl w:val="0"/>
        <w:ind w:left="360" w:hanging="360"/>
        <w:jc w:val="both"/>
        <w:rPr>
          <w:rFonts w:ascii="Arial" w:hAnsi="Arial" w:cs="Arial"/>
          <w:sz w:val="18"/>
          <w:szCs w:val="18"/>
        </w:rPr>
      </w:pPr>
      <w:r w:rsidRPr="00040AA9">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Despite the slightly different wording this indicator is measuring the same concept in the RMs for all three operations. </w:t>
      </w:r>
    </w:p>
  </w:footnote>
  <w:footnote w:id="47">
    <w:p w14:paraId="3274AD69" w14:textId="6D2D8D2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following abbreviation are used: EI = expected improvement, AI = actual </w:t>
      </w:r>
      <w:r w:rsidRPr="00350FE4">
        <w:rPr>
          <w:rFonts w:ascii="Arial" w:hAnsi="Arial" w:cs="Arial"/>
          <w:sz w:val="18"/>
          <w:szCs w:val="18"/>
          <w:lang w:val="en-US"/>
        </w:rPr>
        <w:t>improvement, “</w:t>
      </w:r>
      <w:r w:rsidRPr="00040AA9">
        <w:rPr>
          <w:rFonts w:ascii="Arial" w:hAnsi="Arial" w:cs="Arial"/>
          <w:sz w:val="18"/>
          <w:szCs w:val="18"/>
          <w:lang w:val="en-US"/>
        </w:rPr>
        <w:t>pp” = percentage point.</w:t>
      </w:r>
    </w:p>
  </w:footnote>
  <w:footnote w:id="48">
    <w:p w14:paraId="532BA80F" w14:textId="078C6CD5" w:rsidR="00D64D1A" w:rsidRPr="00040AA9" w:rsidRDefault="00D64D1A" w:rsidP="00040AA9">
      <w:pPr>
        <w:widowControl w:val="0"/>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By way of comparison the IMF (1</w:t>
      </w:r>
      <w:r w:rsidRPr="00040AA9">
        <w:rPr>
          <w:rFonts w:ascii="Arial" w:hAnsi="Arial" w:cs="Arial"/>
          <w:sz w:val="18"/>
          <w:szCs w:val="18"/>
          <w:vertAlign w:val="superscript"/>
        </w:rPr>
        <w:t>st</w:t>
      </w:r>
      <w:r w:rsidRPr="00040AA9">
        <w:rPr>
          <w:rFonts w:ascii="Arial" w:hAnsi="Arial" w:cs="Arial"/>
          <w:sz w:val="18"/>
          <w:szCs w:val="18"/>
        </w:rPr>
        <w:t xml:space="preserve"> Review Under the SBA, Apr. 2017, Table 3, p. 23) reports the following estimates for public sector balance as a percent of GDP:  -0.3 prel. (preliminary) (2015/16)</w:t>
      </w:r>
      <w:r w:rsidRPr="00350FE4">
        <w:rPr>
          <w:rFonts w:ascii="Arial" w:hAnsi="Arial" w:cs="Arial"/>
          <w:sz w:val="18"/>
          <w:szCs w:val="18"/>
        </w:rPr>
        <w:t>, -</w:t>
      </w:r>
      <w:r w:rsidRPr="00040AA9">
        <w:rPr>
          <w:rFonts w:ascii="Arial" w:hAnsi="Arial" w:cs="Arial"/>
          <w:sz w:val="18"/>
          <w:szCs w:val="18"/>
        </w:rPr>
        <w:t>0.9 proj. (2016/17). Note that the IMF and GoJ figures agree for 2015/16 but the IMF projects a slightly higher deficit for 2016/17</w:t>
      </w:r>
    </w:p>
  </w:footnote>
  <w:footnote w:id="49">
    <w:p w14:paraId="307B3919" w14:textId="514195FF" w:rsidR="00D64D1A" w:rsidRPr="00040AA9" w:rsidRDefault="00D64D1A" w:rsidP="00040AA9">
      <w:pPr>
        <w:widowControl w:val="0"/>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GoJ FPP projects a 1.6% growth rate for FY2016/17. By way of comparison the IMF (1</w:t>
      </w:r>
      <w:r w:rsidRPr="00040AA9">
        <w:rPr>
          <w:rFonts w:ascii="Arial" w:hAnsi="Arial" w:cs="Arial"/>
          <w:sz w:val="18"/>
          <w:szCs w:val="18"/>
          <w:vertAlign w:val="superscript"/>
        </w:rPr>
        <w:t>st</w:t>
      </w:r>
      <w:r w:rsidRPr="00040AA9">
        <w:rPr>
          <w:rFonts w:ascii="Arial" w:hAnsi="Arial" w:cs="Arial"/>
          <w:sz w:val="18"/>
          <w:szCs w:val="18"/>
        </w:rPr>
        <w:t xml:space="preserve"> Review Under the SBA, Apr. 2017 Table 1, p. 21) reports the following estimates of GDP growth: 1.1 prel. (2015/16), 1.7 proj (2016/17).</w:t>
      </w:r>
    </w:p>
    <w:p w14:paraId="114575E7" w14:textId="03E38A4E" w:rsidR="00D64D1A" w:rsidRPr="006D7EE4" w:rsidRDefault="00D64D1A">
      <w:pPr>
        <w:pStyle w:val="FootnoteText"/>
        <w:rPr>
          <w:rFonts w:ascii="Arial" w:hAnsi="Arial" w:cs="Arial"/>
          <w:lang w:val="en-US"/>
        </w:rPr>
      </w:pPr>
    </w:p>
  </w:footnote>
  <w:footnote w:id="50">
    <w:p w14:paraId="412D75BA" w14:textId="60876E1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figure shown includes the impact of the tax reform (equivalent to 1% of GDP) plus other revenue measures included in FY2016/17.</w:t>
      </w:r>
    </w:p>
  </w:footnote>
  <w:footnote w:id="51">
    <w:p w14:paraId="4C580736" w14:textId="2E6B5C43"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IMF (1</w:t>
      </w:r>
      <w:r w:rsidRPr="00040AA9">
        <w:rPr>
          <w:rFonts w:ascii="Arial" w:hAnsi="Arial" w:cs="Arial"/>
          <w:sz w:val="18"/>
          <w:szCs w:val="18"/>
          <w:vertAlign w:val="superscript"/>
        </w:rPr>
        <w:t>st</w:t>
      </w:r>
      <w:r w:rsidRPr="00040AA9">
        <w:rPr>
          <w:rFonts w:ascii="Arial" w:hAnsi="Arial" w:cs="Arial"/>
          <w:sz w:val="18"/>
          <w:szCs w:val="18"/>
        </w:rPr>
        <w:t xml:space="preserve"> Review Under the SBA, Apr. 2017 Table 1, p. 21) reports: 24.5% prelm (2015/16), 25.6% proj. </w:t>
      </w:r>
      <w:r w:rsidRPr="00040AA9">
        <w:rPr>
          <w:rFonts w:ascii="Arial" w:hAnsi="Arial" w:cs="Arial"/>
          <w:color w:val="000000"/>
          <w:sz w:val="18"/>
          <w:szCs w:val="18"/>
        </w:rPr>
        <w:t>(2016/17)</w:t>
      </w:r>
    </w:p>
  </w:footnote>
  <w:footnote w:id="52">
    <w:p w14:paraId="080A3F95" w14:textId="7178F7F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Baseline estimate (of 8.6%) drawn from FISPEG project team </w:t>
      </w:r>
      <w:r w:rsidRPr="00040AA9">
        <w:rPr>
          <w:rFonts w:ascii="Arial" w:hAnsi="Arial" w:cs="Arial"/>
          <w:i/>
          <w:sz w:val="18"/>
          <w:szCs w:val="18"/>
          <w:lang w:val="en-US"/>
        </w:rPr>
        <w:t>Jamaica Tariff Reform Report [prepared in] 2013,</w:t>
      </w:r>
      <w:r w:rsidRPr="00040AA9">
        <w:rPr>
          <w:rFonts w:ascii="Arial" w:hAnsi="Arial" w:cs="Arial"/>
          <w:sz w:val="18"/>
          <w:szCs w:val="18"/>
          <w:lang w:val="en-US"/>
        </w:rPr>
        <w:t xml:space="preserve"> ¶5</w:t>
      </w:r>
    </w:p>
  </w:footnote>
  <w:footnote w:id="53">
    <w:p w14:paraId="0C35F6E5" w14:textId="0BA7E85B"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Planned EOP value drawn from FISPEG project team </w:t>
      </w:r>
      <w:r w:rsidRPr="00040AA9">
        <w:rPr>
          <w:rFonts w:ascii="Arial" w:hAnsi="Arial" w:cs="Arial"/>
          <w:i/>
          <w:sz w:val="18"/>
          <w:szCs w:val="18"/>
          <w:lang w:val="en-US"/>
        </w:rPr>
        <w:t xml:space="preserve">Jamaica Tariff Reform Report 2013, </w:t>
      </w:r>
      <w:r w:rsidRPr="00040AA9">
        <w:rPr>
          <w:rFonts w:ascii="Arial" w:hAnsi="Arial" w:cs="Arial"/>
          <w:sz w:val="18"/>
          <w:szCs w:val="18"/>
          <w:lang w:val="en-US"/>
        </w:rPr>
        <w:t>¶16 “</w:t>
      </w:r>
      <w:r w:rsidRPr="00040AA9">
        <w:rPr>
          <w:rFonts w:ascii="Arial" w:eastAsia="SimSun" w:hAnsi="Arial" w:cs="Arial"/>
          <w:sz w:val="18"/>
          <w:szCs w:val="18"/>
          <w:lang w:val="en-US" w:eastAsia="ja-JP"/>
        </w:rPr>
        <w:t>The tariff structure reforms will result in additional revenue estimated at J$ 980 million and the effective tariff rate (on the taxable imports) will increase from 8.6% to 8.9 percent.”</w:t>
      </w:r>
    </w:p>
  </w:footnote>
  <w:footnote w:id="54">
    <w:p w14:paraId="7FEABE13" w14:textId="31B76E8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Actual EOP (2016) </w:t>
      </w:r>
      <w:r w:rsidRPr="00040AA9">
        <w:rPr>
          <w:rFonts w:ascii="Arial" w:hAnsi="Arial" w:cs="Arial"/>
          <w:b/>
          <w:sz w:val="18"/>
          <w:szCs w:val="18"/>
          <w:lang w:val="en-US"/>
        </w:rPr>
        <w:t>effective</w:t>
      </w:r>
      <w:r w:rsidRPr="00040AA9">
        <w:rPr>
          <w:rFonts w:ascii="Arial" w:hAnsi="Arial" w:cs="Arial"/>
          <w:sz w:val="18"/>
          <w:szCs w:val="18"/>
          <w:lang w:val="en-US"/>
        </w:rPr>
        <w:t xml:space="preserve"> tariff rate (of 6.15%) drawn from J. Baca Excel spreadsheets based on data provided to PCR team by JCA </w:t>
      </w:r>
    </w:p>
  </w:footnote>
  <w:footnote w:id="55">
    <w:p w14:paraId="1416B42F" w14:textId="3137D74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value of JD$ 89,659 that was reported in the original FISPEG Results Matrix in fact refers to gross revenue. (It should also be noted that based on subsequent improvements in data quality, a more accurate estimate of gross revenues for FY2012/13 is J$96,398m as reported in JBaca compilation of MoF data. See “Tax Reform Assessment” Table 2, p. 44) –The GoJ FY2014/15 Fiscal Policy Paper contains the same estimate (see table 3D) -- However government purchases during the base year were zero rated, thus GCT revenues from these purchases were essentially zero. (FISPEG I Financial Evaluation based on the Policy Reform ¶4.9). </w:t>
      </w:r>
      <w:r w:rsidRPr="00350FE4">
        <w:rPr>
          <w:rFonts w:ascii="Arial" w:hAnsi="Arial" w:cs="Arial"/>
          <w:sz w:val="18"/>
          <w:szCs w:val="18"/>
          <w:lang w:val="en-US"/>
        </w:rPr>
        <w:t>Therefore,</w:t>
      </w:r>
      <w:r w:rsidRPr="00040AA9">
        <w:rPr>
          <w:rFonts w:ascii="Arial" w:hAnsi="Arial" w:cs="Arial"/>
          <w:sz w:val="18"/>
          <w:szCs w:val="18"/>
          <w:lang w:val="en-US"/>
        </w:rPr>
        <w:t xml:space="preserve"> the baseline value should be interpreted as GCT revenues without the application of the tax on government revenues.  The provision to charge GCT on government purchases at the standard rate was approved in Oct. 2014 in fulfilment of a FISPEG II loan condition (General Consumption Tax (Amendment) Act, 2014, Oct. 1, 2014). The expected increase in revenue from this change in the GCT law was JD$3,629.40 million (See FISPEG I Financial Evaluation based on the Policy Reform, table following ¶4.11)</w:t>
      </w:r>
    </w:p>
  </w:footnote>
  <w:footnote w:id="56">
    <w:p w14:paraId="2926D4B6" w14:textId="4FE9F486"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Planned target level for this indicator (as amended) is derived as follows: </w:t>
      </w:r>
    </w:p>
    <w:p w14:paraId="1328A223" w14:textId="2F6A09BE"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Planned level as stated in original FISPEG I RM:     J$ 93,289 m</w:t>
      </w:r>
    </w:p>
    <w:p w14:paraId="30D08B1A" w14:textId="59EA3EDF"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Baseline level as stated in original FISPEG I RM:         89,659 m</w:t>
      </w:r>
    </w:p>
    <w:p w14:paraId="0EC67DF3" w14:textId="31F6F790"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Implicit expected increase as stated in original RM:        3,630 m</w:t>
      </w:r>
    </w:p>
  </w:footnote>
  <w:footnote w:id="57">
    <w:p w14:paraId="1AA2F731" w14:textId="7FFF3016" w:rsidR="00D64D1A" w:rsidRPr="00040AA9" w:rsidRDefault="00D64D1A" w:rsidP="00040AA9">
      <w:pPr>
        <w:ind w:left="360" w:hanging="360"/>
        <w:jc w:val="both"/>
        <w:rPr>
          <w:rFonts w:ascii="Arial" w:hAnsi="Arial" w:cs="Arial"/>
          <w:sz w:val="18"/>
          <w:szCs w:val="18"/>
          <w:lang w:val="es-ES"/>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Independently the TAJ reported to the Project team that GCT revenue on Gvt purchase averaged JD$ 11,700m / year for FY 2015/16 &amp; 2016/17. </w:t>
      </w:r>
      <w:r w:rsidRPr="00040AA9">
        <w:rPr>
          <w:rFonts w:ascii="Arial" w:hAnsi="Arial" w:cs="Arial"/>
          <w:i/>
          <w:color w:val="222222"/>
          <w:sz w:val="18"/>
          <w:szCs w:val="18"/>
          <w:shd w:val="clear" w:color="auto" w:fill="FFFFFF"/>
          <w:lang w:val="es-ES"/>
        </w:rPr>
        <w:t>El</w:t>
      </w:r>
      <w:r w:rsidRPr="00040AA9">
        <w:rPr>
          <w:rFonts w:ascii="Arial" w:hAnsi="Arial" w:cs="Arial"/>
          <w:color w:val="222222"/>
          <w:sz w:val="18"/>
          <w:szCs w:val="18"/>
          <w:shd w:val="clear" w:color="auto" w:fill="FFFFFF"/>
          <w:lang w:val="es-ES"/>
        </w:rPr>
        <w:t xml:space="preserve"> withholding process </w:t>
      </w:r>
      <w:r w:rsidRPr="00040AA9">
        <w:rPr>
          <w:rFonts w:ascii="Arial" w:hAnsi="Arial" w:cs="Arial"/>
          <w:i/>
          <w:color w:val="222222"/>
          <w:sz w:val="18"/>
          <w:szCs w:val="18"/>
          <w:shd w:val="clear" w:color="auto" w:fill="FFFFFF"/>
          <w:lang w:val="es-ES"/>
        </w:rPr>
        <w:t>de</w:t>
      </w:r>
      <w:r w:rsidRPr="00040AA9">
        <w:rPr>
          <w:rFonts w:ascii="Arial" w:hAnsi="Arial" w:cs="Arial"/>
          <w:color w:val="222222"/>
          <w:sz w:val="18"/>
          <w:szCs w:val="18"/>
          <w:shd w:val="clear" w:color="auto" w:fill="FFFFFF"/>
          <w:lang w:val="es-ES"/>
        </w:rPr>
        <w:t xml:space="preserve">l GCT </w:t>
      </w:r>
      <w:r w:rsidRPr="00040AA9">
        <w:rPr>
          <w:rFonts w:ascii="Arial" w:hAnsi="Arial" w:cs="Arial"/>
          <w:i/>
          <w:color w:val="222222"/>
          <w:sz w:val="18"/>
          <w:szCs w:val="18"/>
          <w:shd w:val="clear" w:color="auto" w:fill="FFFFFF"/>
          <w:lang w:val="es-ES"/>
        </w:rPr>
        <w:t>de</w:t>
      </w:r>
      <w:r w:rsidRPr="00040AA9">
        <w:rPr>
          <w:rFonts w:ascii="Arial" w:hAnsi="Arial" w:cs="Arial"/>
          <w:color w:val="222222"/>
          <w:sz w:val="18"/>
          <w:szCs w:val="18"/>
          <w:shd w:val="clear" w:color="auto" w:fill="FFFFFF"/>
          <w:lang w:val="es-ES"/>
        </w:rPr>
        <w:t xml:space="preserve"> government purchases </w:t>
      </w:r>
      <w:r w:rsidRPr="00040AA9">
        <w:rPr>
          <w:rFonts w:ascii="Arial" w:hAnsi="Arial" w:cs="Arial"/>
          <w:i/>
          <w:color w:val="222222"/>
          <w:sz w:val="18"/>
          <w:szCs w:val="18"/>
          <w:shd w:val="clear" w:color="auto" w:fill="FFFFFF"/>
          <w:lang w:val="es-ES"/>
        </w:rPr>
        <w:t xml:space="preserve">ha sido un proceso progresivo (inicialmente no todas las entidades estatales y empresas publicas lo hicieron). </w:t>
      </w:r>
      <w:r w:rsidRPr="00040AA9">
        <w:rPr>
          <w:rFonts w:ascii="Arial" w:hAnsi="Arial" w:cs="Arial"/>
          <w:i/>
          <w:color w:val="222222"/>
          <w:sz w:val="18"/>
          <w:szCs w:val="18"/>
          <w:shd w:val="clear" w:color="auto" w:fill="FFFFFF"/>
          <w:lang w:val="es"/>
        </w:rPr>
        <w:t xml:space="preserve">Por lo tanto, lo </w:t>
      </w:r>
      <w:r w:rsidRPr="00435749">
        <w:rPr>
          <w:rFonts w:ascii="Arial" w:hAnsi="Arial" w:cs="Arial"/>
          <w:i/>
          <w:color w:val="222222"/>
          <w:sz w:val="18"/>
          <w:szCs w:val="18"/>
          <w:shd w:val="clear" w:color="auto" w:fill="FFFFFF"/>
          <w:lang w:val="es"/>
        </w:rPr>
        <w:t>más</w:t>
      </w:r>
      <w:r w:rsidRPr="00040AA9">
        <w:rPr>
          <w:rFonts w:ascii="Arial" w:hAnsi="Arial" w:cs="Arial"/>
          <w:i/>
          <w:color w:val="222222"/>
          <w:sz w:val="18"/>
          <w:szCs w:val="18"/>
          <w:shd w:val="clear" w:color="auto" w:fill="FFFFFF"/>
          <w:lang w:val="es"/>
        </w:rPr>
        <w:t xml:space="preserve"> probable es que sea un promedio de los ultimos 2 años fiscales o en todo caso el dato del </w:t>
      </w:r>
      <w:r w:rsidRPr="00435749">
        <w:rPr>
          <w:rFonts w:ascii="Arial" w:hAnsi="Arial" w:cs="Arial"/>
          <w:i/>
          <w:color w:val="222222"/>
          <w:sz w:val="18"/>
          <w:szCs w:val="18"/>
          <w:shd w:val="clear" w:color="auto" w:fill="FFFFFF"/>
          <w:lang w:val="es"/>
        </w:rPr>
        <w:t>último</w:t>
      </w:r>
      <w:r w:rsidRPr="00040AA9">
        <w:rPr>
          <w:rFonts w:ascii="Arial" w:hAnsi="Arial" w:cs="Arial"/>
          <w:i/>
          <w:color w:val="222222"/>
          <w:sz w:val="18"/>
          <w:szCs w:val="18"/>
          <w:shd w:val="clear" w:color="auto" w:fill="FFFFFF"/>
          <w:lang w:val="es"/>
        </w:rPr>
        <w:t xml:space="preserve"> año fiscal pero no la suma acumulada de los ultimos 2 años</w:t>
      </w:r>
      <w:r w:rsidRPr="00040AA9">
        <w:rPr>
          <w:rFonts w:ascii="Arial" w:hAnsi="Arial" w:cs="Arial"/>
          <w:color w:val="222222"/>
          <w:sz w:val="18"/>
          <w:szCs w:val="18"/>
          <w:shd w:val="clear" w:color="auto" w:fill="FFFFFF"/>
          <w:lang w:val="es"/>
        </w:rPr>
        <w:t xml:space="preserve"> (JBC e-Mail 17-8-15)</w:t>
      </w:r>
    </w:p>
  </w:footnote>
  <w:footnote w:id="58">
    <w:p w14:paraId="712849E1" w14:textId="23C57798"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FISPEG I value used here for consistency, but it should be noted that a subsequent rigorous review of updated statistics yielded a value of 35,798 (per J.Baca compilation of MoF data) This latter estimated may be deemed to be more reliable.</w:t>
      </w:r>
    </w:p>
  </w:footnote>
  <w:footnote w:id="59">
    <w:p w14:paraId="7527B226" w14:textId="0FD86A24"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MoF&amp;PS as reproduced in </w:t>
      </w:r>
      <w:r w:rsidRPr="00040AA9">
        <w:rPr>
          <w:rFonts w:ascii="Arial" w:hAnsi="Arial" w:cs="Arial"/>
          <w:i/>
          <w:sz w:val="18"/>
          <w:szCs w:val="18"/>
        </w:rPr>
        <w:t xml:space="preserve">J. Baca-C Jamaica Tax Reform </w:t>
      </w:r>
      <w:r w:rsidRPr="00435749">
        <w:rPr>
          <w:rFonts w:ascii="Arial" w:hAnsi="Arial" w:cs="Arial"/>
          <w:i/>
          <w:sz w:val="18"/>
          <w:szCs w:val="18"/>
        </w:rPr>
        <w:t>Assessment</w:t>
      </w:r>
      <w:r w:rsidRPr="00435749">
        <w:rPr>
          <w:rFonts w:ascii="Arial" w:hAnsi="Arial" w:cs="Arial"/>
          <w:sz w:val="18"/>
          <w:szCs w:val="18"/>
        </w:rPr>
        <w:t xml:space="preserve"> Sept.</w:t>
      </w:r>
      <w:r w:rsidRPr="00040AA9">
        <w:rPr>
          <w:rFonts w:ascii="Arial" w:hAnsi="Arial" w:cs="Arial"/>
          <w:sz w:val="18"/>
          <w:szCs w:val="18"/>
        </w:rPr>
        <w:t xml:space="preserve"> 2017, Final Version Table 2, p. 44.</w:t>
      </w:r>
    </w:p>
  </w:footnote>
  <w:footnote w:id="60">
    <w:p w14:paraId="31A72CC2" w14:textId="61CABFA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Large taxpayers are defined as those who earn an annual gross receipt larger than J$500 million that are not under the jurisdiction of the Medium Taxpayer Office (MTO). Medium Taxpayers are defined as those with annual gross receipt larger than J$30 million that are not under the jurisdiction of the Large Taxpayer Office (LTO).</w:t>
      </w:r>
    </w:p>
  </w:footnote>
  <w:footnote w:id="61">
    <w:p w14:paraId="103953DC" w14:textId="7C6C9A1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TAJ Commissioner General to Bank, in a letter dated July 20, 2016, states that “Mandatory e-filing continues to be enforced for all tax types…" However, this is not supported by the finding in the J. Baca study that while 100% of large taxpayers are filing electronically, for the universe of taxpayers as a whole, only 37% do so. </w:t>
      </w:r>
    </w:p>
  </w:footnote>
  <w:footnote w:id="62">
    <w:p w14:paraId="477B70E6" w14:textId="7D7D516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There are no separate EOP data available on filing rates for medium and large (i.e. excluding small and micro) taxpayers</w:t>
      </w:r>
    </w:p>
  </w:footnote>
  <w:footnote w:id="63">
    <w:p w14:paraId="756CD73B" w14:textId="7AF6DAD9"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Two TAJ letters imply 100% compliance: (i)</w:t>
      </w:r>
      <w:r w:rsidRPr="00040AA9">
        <w:rPr>
          <w:rFonts w:ascii="Arial" w:hAnsi="Arial" w:cs="Arial"/>
          <w:sz w:val="18"/>
          <w:szCs w:val="18"/>
          <w:lang w:val="en-CA"/>
        </w:rPr>
        <w:t xml:space="preserve">- Letter dated 21 May 2015 from TAJ Commissioner General to Bank stating that mandatory e-filing of all taxes for large taxpayers including payroll tax was implemented in March 2014. (ii) - Letter dated July 20, 2016 from TAJ Commissioner General to Bank stating that “Mandatory e-filing continues to be enforced for all taxes…” This is confirmed in the J. Baca report which further clarifies whether the large taxpayers file electronically via the internet or on computers located at the LTO </w:t>
      </w:r>
    </w:p>
  </w:footnote>
  <w:footnote w:id="64">
    <w:p w14:paraId="32390FEF" w14:textId="7470073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Originally specified target was 3.3%for FY2016/17 </w:t>
      </w:r>
    </w:p>
  </w:footnote>
  <w:footnote w:id="65">
    <w:p w14:paraId="0D2B6017" w14:textId="316CB70B"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Note: CY 2015 is the most recent year for which data on this indicator are available (See MoF&amp;PS Taxation Policy Division, </w:t>
      </w:r>
      <w:r w:rsidRPr="00040AA9">
        <w:rPr>
          <w:rFonts w:ascii="Arial" w:hAnsi="Arial" w:cs="Arial"/>
          <w:i/>
          <w:sz w:val="18"/>
          <w:szCs w:val="18"/>
          <w:lang w:val="en-US"/>
        </w:rPr>
        <w:t xml:space="preserve">Tax Expenditure Estimates 2013-2015, </w:t>
      </w:r>
      <w:r w:rsidRPr="00040AA9">
        <w:rPr>
          <w:rFonts w:ascii="Arial" w:hAnsi="Arial" w:cs="Arial"/>
          <w:sz w:val="18"/>
          <w:szCs w:val="18"/>
          <w:lang w:val="en-US"/>
        </w:rPr>
        <w:t>Feb. 2017)</w:t>
      </w:r>
    </w:p>
  </w:footnote>
  <w:footnote w:id="66">
    <w:p w14:paraId="7D88804E" w14:textId="273497A9"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percentage achievement is measured against the expected (planned) level of this indicator in the year (FY2015/16) for which the latest actual value is available.</w:t>
      </w:r>
    </w:p>
  </w:footnote>
  <w:footnote w:id="67">
    <w:p w14:paraId="525FA3A5" w14:textId="54297846" w:rsidR="00D64D1A" w:rsidRPr="00040AA9" w:rsidRDefault="00D64D1A" w:rsidP="00040AA9">
      <w:pPr>
        <w:pStyle w:val="FootnoteText"/>
        <w:ind w:left="360" w:hanging="360"/>
        <w:jc w:val="both"/>
        <w:rPr>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435749">
        <w:rPr>
          <w:rFonts w:ascii="Arial" w:hAnsi="Arial" w:cs="Arial"/>
          <w:sz w:val="18"/>
          <w:szCs w:val="18"/>
          <w:lang w:val="en-US"/>
        </w:rPr>
        <w:tab/>
      </w:r>
      <w:r w:rsidRPr="00040AA9">
        <w:rPr>
          <w:rFonts w:ascii="Arial" w:hAnsi="Arial" w:cs="Arial"/>
          <w:sz w:val="18"/>
          <w:szCs w:val="18"/>
          <w:lang w:val="en-US"/>
        </w:rPr>
        <w:t xml:space="preserve">It should be noted that this </w:t>
      </w:r>
      <w:r w:rsidRPr="00040AA9">
        <w:rPr>
          <w:rFonts w:ascii="Arial" w:hAnsi="Arial" w:cs="Arial"/>
          <w:i/>
          <w:sz w:val="18"/>
          <w:szCs w:val="18"/>
          <w:lang w:val="en-US"/>
        </w:rPr>
        <w:t>Assessment</w:t>
      </w:r>
      <w:r w:rsidRPr="00040AA9">
        <w:rPr>
          <w:rFonts w:ascii="Arial" w:hAnsi="Arial" w:cs="Arial"/>
          <w:sz w:val="18"/>
          <w:szCs w:val="18"/>
          <w:lang w:val="en-US"/>
        </w:rPr>
        <w:t xml:space="preserve"> reports a level of 3.49% for CY 2014</w:t>
      </w:r>
    </w:p>
  </w:footnote>
  <w:footnote w:id="68">
    <w:p w14:paraId="7A937B3A" w14:textId="01B4DB5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Central government’s wage bill is the total amount paid by the government on all subjects related to central government public servants’ salaries and pensions</w:t>
      </w:r>
      <w:r>
        <w:rPr>
          <w:rFonts w:ascii="Arial" w:hAnsi="Arial" w:cs="Arial"/>
          <w:sz w:val="18"/>
          <w:szCs w:val="18"/>
          <w:lang w:val="en-US"/>
        </w:rPr>
        <w:t xml:space="preserve"> (This is referred to as “Compensation of Employees” in the annual GoJ Fiscal Policy Papers and includes wages &amp; salaries and employer’s contribution)</w:t>
      </w:r>
    </w:p>
  </w:footnote>
  <w:footnote w:id="69">
    <w:p w14:paraId="32F933E4" w14:textId="6D60CC08"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Note: The name of the indicator used in the FSPG II &amp; </w:t>
      </w:r>
      <w:r w:rsidRPr="00435749">
        <w:rPr>
          <w:rFonts w:ascii="Arial" w:hAnsi="Arial" w:cs="Arial"/>
          <w:sz w:val="18"/>
          <w:szCs w:val="18"/>
          <w:lang w:val="en-US"/>
        </w:rPr>
        <w:t>III operations</w:t>
      </w:r>
      <w:r w:rsidRPr="00040AA9">
        <w:rPr>
          <w:rFonts w:ascii="Arial" w:hAnsi="Arial" w:cs="Arial"/>
          <w:sz w:val="18"/>
          <w:szCs w:val="18"/>
          <w:lang w:val="en-US"/>
        </w:rPr>
        <w:t xml:space="preserve"> is more complete and accurate, therefore it is the name used in Convergence</w:t>
      </w:r>
    </w:p>
  </w:footnote>
  <w:footnote w:id="70">
    <w:p w14:paraId="19A2DEB1" w14:textId="0738E55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CA"/>
        </w:rPr>
        <w:t>Baseline value contained in FISPEG II &amp; II results matrices is more reliable due to its having been reviewed and validated in subsequent years – See Fiscal Policy Paper 2014/15 table 3G</w:t>
      </w:r>
    </w:p>
  </w:footnote>
  <w:footnote w:id="71">
    <w:p w14:paraId="53E43915" w14:textId="1C516A0E"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GoJ FPP reports 10.0% for FY 2015/16. By way of comparison the IMF (</w:t>
      </w:r>
      <w:r w:rsidRPr="00040AA9">
        <w:rPr>
          <w:rFonts w:ascii="Arial" w:hAnsi="Arial" w:cs="Arial"/>
          <w:i/>
          <w:sz w:val="18"/>
          <w:szCs w:val="18"/>
        </w:rPr>
        <w:t>1</w:t>
      </w:r>
      <w:r w:rsidRPr="00040AA9">
        <w:rPr>
          <w:rFonts w:ascii="Arial" w:hAnsi="Arial" w:cs="Arial"/>
          <w:i/>
          <w:sz w:val="18"/>
          <w:szCs w:val="18"/>
          <w:vertAlign w:val="superscript"/>
        </w:rPr>
        <w:t>st</w:t>
      </w:r>
      <w:r w:rsidRPr="00040AA9">
        <w:rPr>
          <w:rFonts w:ascii="Arial" w:hAnsi="Arial" w:cs="Arial"/>
          <w:i/>
          <w:sz w:val="18"/>
          <w:szCs w:val="18"/>
        </w:rPr>
        <w:t xml:space="preserve"> Review Under the SBA, Apr. 2017</w:t>
      </w:r>
      <w:r w:rsidRPr="00040AA9">
        <w:rPr>
          <w:rFonts w:ascii="Arial" w:hAnsi="Arial" w:cs="Arial"/>
          <w:sz w:val="18"/>
          <w:szCs w:val="18"/>
        </w:rPr>
        <w:t xml:space="preserve"> </w:t>
      </w:r>
      <w:r w:rsidRPr="00040AA9">
        <w:rPr>
          <w:rFonts w:ascii="Arial" w:hAnsi="Arial" w:cs="Arial"/>
          <w:sz w:val="18"/>
          <w:szCs w:val="18"/>
          <w:lang w:val="en-CA"/>
        </w:rPr>
        <w:t xml:space="preserve">Table 3: “Jamaica: Summary of Central Government Operations” p. 23) reports 10.2% prel. </w:t>
      </w:r>
      <w:r w:rsidRPr="00040AA9">
        <w:rPr>
          <w:rFonts w:ascii="Arial" w:hAnsi="Arial" w:cs="Arial"/>
          <w:sz w:val="18"/>
          <w:szCs w:val="18"/>
        </w:rPr>
        <w:t>(2015/16).</w:t>
      </w:r>
      <w:r>
        <w:rPr>
          <w:rFonts w:ascii="Arial" w:hAnsi="Arial" w:cs="Arial"/>
          <w:sz w:val="18"/>
          <w:szCs w:val="18"/>
        </w:rPr>
        <w:t xml:space="preserve"> Note: The reported central government compensation of employees as % of GDP in 2016/17 was revised downward slightly to 10.0% in the GoJ Fiscal Policy Paper FY2018/19, 15</w:t>
      </w:r>
      <w:r w:rsidRPr="00472226">
        <w:rPr>
          <w:rFonts w:ascii="Arial" w:hAnsi="Arial" w:cs="Arial"/>
          <w:sz w:val="18"/>
          <w:szCs w:val="18"/>
          <w:vertAlign w:val="superscript"/>
        </w:rPr>
        <w:t>th</w:t>
      </w:r>
      <w:r>
        <w:rPr>
          <w:rFonts w:ascii="Arial" w:hAnsi="Arial" w:cs="Arial"/>
          <w:sz w:val="18"/>
          <w:szCs w:val="18"/>
        </w:rPr>
        <w:t xml:space="preserve"> February 2018 (see FPP Table 3K)</w:t>
      </w:r>
    </w:p>
  </w:footnote>
  <w:footnote w:id="72">
    <w:p w14:paraId="478D0C75" w14:textId="2B7BB274" w:rsidR="00D64D1A" w:rsidRPr="00040AA9" w:rsidRDefault="00D64D1A" w:rsidP="00040AA9">
      <w:pPr>
        <w:pStyle w:val="p1"/>
        <w:ind w:left="360" w:hanging="360"/>
        <w:jc w:val="both"/>
        <w:rPr>
          <w:rFonts w:ascii="Arial" w:hAnsi="Arial" w:cs="Arial"/>
        </w:rPr>
      </w:pPr>
      <w:r w:rsidRPr="00040AA9">
        <w:rPr>
          <w:rStyle w:val="FootnoteReference"/>
          <w:rFonts w:ascii="Arial" w:hAnsi="Arial" w:cs="Arial"/>
        </w:rPr>
        <w:footnoteRef/>
      </w:r>
      <w:r w:rsidRPr="00040AA9">
        <w:rPr>
          <w:rFonts w:ascii="Arial" w:hAnsi="Arial" w:cs="Arial"/>
        </w:rPr>
        <w:t xml:space="preserve"> </w:t>
      </w:r>
      <w:r>
        <w:rPr>
          <w:rFonts w:ascii="Arial" w:hAnsi="Arial" w:cs="Arial"/>
        </w:rPr>
        <w:tab/>
      </w:r>
      <w:r w:rsidRPr="00040AA9">
        <w:rPr>
          <w:rFonts w:ascii="Arial" w:hAnsi="Arial" w:cs="Arial"/>
        </w:rPr>
        <w:t>As of FY2017/18 there are approximately 190 (self and non-self-financing) P</w:t>
      </w:r>
      <w:r>
        <w:rPr>
          <w:rFonts w:ascii="Arial" w:hAnsi="Arial" w:cs="Arial"/>
        </w:rPr>
        <w:t>Bs</w:t>
      </w:r>
      <w:r w:rsidRPr="00040AA9">
        <w:rPr>
          <w:rFonts w:ascii="Arial" w:hAnsi="Arial" w:cs="Arial"/>
        </w:rPr>
        <w:t xml:space="preserve"> of which the MoF&amp;PS (Public Enterprises Division) actively monitors the performance of 58 self-financing PBs (reduced from 65 in FY 2015/16 to 64 in 2016/17 due to privatizations and transfer of some PBs to the Central Government accounts. (Source: MoF&amp;PS Jamaica P</w:t>
      </w:r>
      <w:r>
        <w:rPr>
          <w:rFonts w:ascii="Arial" w:hAnsi="Arial" w:cs="Arial"/>
        </w:rPr>
        <w:t>Bs</w:t>
      </w:r>
      <w:r w:rsidRPr="00040AA9">
        <w:rPr>
          <w:rFonts w:ascii="Arial" w:hAnsi="Arial" w:cs="Arial"/>
        </w:rPr>
        <w:t>: Estimates of Revenue and Expenditure for the Year(s) Ending March</w:t>
      </w:r>
      <w:r w:rsidRPr="00040AA9">
        <w:rPr>
          <w:rFonts w:ascii="Arial" w:hAnsi="Arial" w:cs="Arial"/>
          <w:i/>
        </w:rPr>
        <w:t xml:space="preserve"> 2016, 2017, &amp; </w:t>
      </w:r>
      <w:r w:rsidRPr="00435749">
        <w:rPr>
          <w:rFonts w:ascii="Arial" w:hAnsi="Arial" w:cs="Arial"/>
          <w:i/>
        </w:rPr>
        <w:t xml:space="preserve">2018 </w:t>
      </w:r>
      <w:r w:rsidRPr="00435749">
        <w:rPr>
          <w:rFonts w:ascii="Arial" w:hAnsi="Arial" w:cs="Arial"/>
        </w:rPr>
        <w:t>p.</w:t>
      </w:r>
      <w:r>
        <w:rPr>
          <w:rFonts w:ascii="Arial" w:hAnsi="Arial" w:cs="Arial"/>
        </w:rPr>
        <w:t> </w:t>
      </w:r>
      <w:r w:rsidRPr="00040AA9">
        <w:rPr>
          <w:rFonts w:ascii="Arial" w:hAnsi="Arial" w:cs="Arial"/>
        </w:rPr>
        <w:t>1) Note: This annual publication does NOT report on the number of PBs that present their statements on time – See following footnote.</w:t>
      </w:r>
      <w:r>
        <w:rPr>
          <w:rFonts w:ascii="Arial" w:hAnsi="Arial" w:cs="Arial"/>
        </w:rPr>
        <w:t xml:space="preserve"> </w:t>
      </w:r>
      <w:r w:rsidRPr="00B037EB">
        <w:t>Furthermore “</w:t>
      </w:r>
      <w:r>
        <w:t>…</w:t>
      </w:r>
      <w:r w:rsidRPr="00D366E7">
        <w:rPr>
          <w:rFonts w:eastAsia="Calibri"/>
          <w:lang w:val="en-029"/>
        </w:rPr>
        <w:t xml:space="preserve">care must be taken in concluding that PED </w:t>
      </w:r>
      <w:r>
        <w:rPr>
          <w:rFonts w:eastAsia="Calibri"/>
          <w:lang w:val="en-029"/>
        </w:rPr>
        <w:t xml:space="preserve">[fully] </w:t>
      </w:r>
      <w:r w:rsidRPr="00D366E7">
        <w:rPr>
          <w:rFonts w:eastAsia="Calibri"/>
          <w:lang w:val="en-029"/>
        </w:rPr>
        <w:t>monitors</w:t>
      </w:r>
      <w:r>
        <w:rPr>
          <w:rFonts w:eastAsia="Calibri"/>
          <w:lang w:val="en-029"/>
        </w:rPr>
        <w:t xml:space="preserve"> [all]</w:t>
      </w:r>
      <w:r w:rsidRPr="00D366E7">
        <w:rPr>
          <w:rFonts w:eastAsia="Calibri"/>
          <w:lang w:val="en-029"/>
        </w:rPr>
        <w:t xml:space="preserve"> 58 self-financing PBs as the footnotes in the various Estimates</w:t>
      </w:r>
      <w:r>
        <w:rPr>
          <w:rFonts w:eastAsia="Calibri"/>
          <w:lang w:val="en-029"/>
        </w:rPr>
        <w:t xml:space="preserve"> [of Revenue and Expenditure] </w:t>
      </w:r>
      <w:r w:rsidRPr="00D366E7">
        <w:rPr>
          <w:rFonts w:eastAsia="Calibri"/>
          <w:lang w:val="en-029"/>
        </w:rPr>
        <w:t>indicate that summarised Corporate Plans for some PBs were not included</w:t>
      </w:r>
      <w:r>
        <w:rPr>
          <w:rFonts w:eastAsia="Calibri"/>
          <w:lang w:val="en-029"/>
        </w:rPr>
        <w:t>.” (Clarification provided by the GoJ – see OEL #7, p.2)</w:t>
      </w:r>
    </w:p>
  </w:footnote>
  <w:footnote w:id="73">
    <w:p w14:paraId="37D2DEFD" w14:textId="272BDF74"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A special report prepared by the M</w:t>
      </w:r>
      <w:r w:rsidRPr="00040AA9">
        <w:rPr>
          <w:rFonts w:ascii="Arial" w:hAnsi="Arial" w:cs="Arial"/>
          <w:sz w:val="18"/>
          <w:szCs w:val="18"/>
          <w:lang w:val="en-CA"/>
        </w:rPr>
        <w:t>oF&amp;PS / PED entitled “Submission of Annual Reports to Parent Ministries” and submitted to the FISPEG team in February 2017 documented</w:t>
      </w:r>
      <w:r>
        <w:rPr>
          <w:rFonts w:ascii="Arial" w:hAnsi="Arial" w:cs="Arial"/>
          <w:sz w:val="18"/>
          <w:szCs w:val="18"/>
          <w:lang w:val="en-CA"/>
        </w:rPr>
        <w:t xml:space="preserve"> </w:t>
      </w:r>
      <w:r w:rsidRPr="00D64D1A">
        <w:rPr>
          <w:rFonts w:ascii="Arial" w:hAnsi="Arial" w:cs="Arial"/>
          <w:sz w:val="18"/>
        </w:rPr>
        <w:t>that out of 68 SFPBs that were tallied for FY 2015/16, there were</w:t>
      </w:r>
      <w:r w:rsidRPr="001322C1">
        <w:rPr>
          <w:rFonts w:ascii="Arial" w:hAnsi="Arial" w:cs="Arial"/>
          <w:sz w:val="18"/>
          <w:szCs w:val="18"/>
          <w:lang w:val="en-CA"/>
        </w:rPr>
        <w:t xml:space="preserve"> 45 </w:t>
      </w:r>
      <w:r w:rsidRPr="001322C1">
        <w:rPr>
          <w:rFonts w:ascii="Arial" w:hAnsi="Arial" w:cs="Arial"/>
          <w:sz w:val="18"/>
          <w:szCs w:val="18"/>
        </w:rPr>
        <w:t xml:space="preserve">SFPBs that submitted their annual reports within </w:t>
      </w:r>
      <w:r w:rsidRPr="00D64D1A">
        <w:rPr>
          <w:rFonts w:ascii="Arial" w:hAnsi="Arial" w:cs="Arial"/>
          <w:sz w:val="18"/>
        </w:rPr>
        <w:t>the deadline (as agreed with the IDB) of no more than 6 months after the end of the FY. (Note, the discrepancy between the 65 SFPBs reported by the PED for FY 2015/16 in its annual publication “Estimates of Revenue and Expenditure” vs. the 68 SFPBs reported in the aforementioned special report is due to the latter including entities such as FINSAC and Financial Institutions Services that were in the process of being wound up.)</w:t>
      </w:r>
    </w:p>
  </w:footnote>
  <w:footnote w:id="74">
    <w:p w14:paraId="7B8D1EDE" w14:textId="592823EE" w:rsidR="00D64D1A" w:rsidRPr="00466088"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1322C1">
        <w:rPr>
          <w:rFonts w:ascii="Arial" w:hAnsi="Arial" w:cs="Arial"/>
          <w:sz w:val="18"/>
          <w:szCs w:val="18"/>
          <w:lang w:val="en-US"/>
        </w:rPr>
        <w:t>Originally specified tar</w:t>
      </w:r>
      <w:r w:rsidRPr="00466088">
        <w:rPr>
          <w:rFonts w:ascii="Arial" w:hAnsi="Arial" w:cs="Arial"/>
          <w:sz w:val="18"/>
          <w:szCs w:val="18"/>
          <w:lang w:val="en-US"/>
        </w:rPr>
        <w:t xml:space="preserve">get </w:t>
      </w:r>
      <w:r w:rsidRPr="00D64D1A">
        <w:rPr>
          <w:rFonts w:ascii="Arial" w:hAnsi="Arial" w:cs="Arial"/>
          <w:sz w:val="18"/>
          <w:lang w:val="en-US"/>
        </w:rPr>
        <w:t xml:space="preserve">in the FISPEG II and III Results Matrix </w:t>
      </w:r>
      <w:r w:rsidRPr="001322C1">
        <w:rPr>
          <w:rFonts w:ascii="Arial" w:hAnsi="Arial" w:cs="Arial"/>
          <w:sz w:val="18"/>
          <w:szCs w:val="18"/>
          <w:lang w:val="en-US"/>
        </w:rPr>
        <w:t>was 88% for FY2016/17</w:t>
      </w:r>
      <w:r w:rsidRPr="00466088">
        <w:rPr>
          <w:rFonts w:ascii="Arial" w:hAnsi="Arial" w:cs="Arial"/>
          <w:sz w:val="18"/>
          <w:szCs w:val="18"/>
          <w:lang w:val="en-US"/>
        </w:rPr>
        <w:t>.</w:t>
      </w:r>
      <w:r w:rsidRPr="00D64D1A">
        <w:rPr>
          <w:rFonts w:ascii="Arial" w:hAnsi="Arial" w:cs="Arial"/>
          <w:sz w:val="18"/>
          <w:lang w:val="en-US"/>
        </w:rPr>
        <w:t xml:space="preserve"> However, the P value for FY2015/16 is </w:t>
      </w:r>
      <w:r>
        <w:rPr>
          <w:rFonts w:ascii="Arial" w:hAnsi="Arial" w:cs="Arial"/>
          <w:sz w:val="18"/>
          <w:lang w:val="en-US"/>
        </w:rPr>
        <w:t>used</w:t>
      </w:r>
      <w:r w:rsidRPr="00D64D1A">
        <w:rPr>
          <w:rFonts w:ascii="Arial" w:hAnsi="Arial" w:cs="Arial"/>
          <w:sz w:val="18"/>
          <w:lang w:val="en-US"/>
        </w:rPr>
        <w:t xml:space="preserve"> for the purpose of comparability to the actual values achieved. (See following footnote.)</w:t>
      </w:r>
      <w:r w:rsidRPr="001322C1">
        <w:rPr>
          <w:rFonts w:ascii="Arial" w:hAnsi="Arial" w:cs="Arial"/>
          <w:sz w:val="18"/>
          <w:szCs w:val="18"/>
          <w:lang w:val="en-US"/>
        </w:rPr>
        <w:t xml:space="preserve"> </w:t>
      </w:r>
    </w:p>
  </w:footnote>
  <w:footnote w:id="75">
    <w:p w14:paraId="07F1140B" w14:textId="0B6E754F"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percentage achievement is measured against the expected (planned) level of this indicator in the year (FY2015/16)</w:t>
      </w:r>
      <w:r>
        <w:rPr>
          <w:rFonts w:ascii="Arial" w:hAnsi="Arial" w:cs="Arial"/>
          <w:sz w:val="18"/>
          <w:szCs w:val="18"/>
          <w:lang w:val="en-US"/>
        </w:rPr>
        <w:t>,</w:t>
      </w:r>
      <w:r w:rsidRPr="00040AA9">
        <w:rPr>
          <w:rFonts w:ascii="Arial" w:hAnsi="Arial" w:cs="Arial"/>
          <w:sz w:val="18"/>
          <w:szCs w:val="18"/>
          <w:lang w:val="en-US"/>
        </w:rPr>
        <w:t xml:space="preserve"> which </w:t>
      </w:r>
      <w:r>
        <w:rPr>
          <w:rFonts w:ascii="Arial" w:hAnsi="Arial" w:cs="Arial"/>
          <w:sz w:val="18"/>
          <w:szCs w:val="18"/>
          <w:lang w:val="en-US"/>
        </w:rPr>
        <w:t xml:space="preserve">is </w:t>
      </w:r>
      <w:r w:rsidRPr="00040AA9">
        <w:rPr>
          <w:rFonts w:ascii="Arial" w:hAnsi="Arial" w:cs="Arial"/>
          <w:sz w:val="18"/>
          <w:szCs w:val="18"/>
          <w:lang w:val="en-US"/>
        </w:rPr>
        <w:t xml:space="preserve">the latest </w:t>
      </w:r>
      <w:r>
        <w:rPr>
          <w:rFonts w:ascii="Arial" w:hAnsi="Arial" w:cs="Arial"/>
          <w:sz w:val="18"/>
          <w:szCs w:val="18"/>
          <w:lang w:val="en-US"/>
        </w:rPr>
        <w:t xml:space="preserve">year for which </w:t>
      </w:r>
      <w:r w:rsidRPr="00040AA9">
        <w:rPr>
          <w:rFonts w:ascii="Arial" w:hAnsi="Arial" w:cs="Arial"/>
          <w:sz w:val="18"/>
          <w:szCs w:val="18"/>
          <w:lang w:val="en-US"/>
        </w:rPr>
        <w:t>actual</w:t>
      </w:r>
      <w:r>
        <w:rPr>
          <w:rFonts w:ascii="Arial" w:hAnsi="Arial" w:cs="Arial"/>
          <w:sz w:val="18"/>
          <w:szCs w:val="18"/>
          <w:lang w:val="en-US"/>
        </w:rPr>
        <w:t>-</w:t>
      </w:r>
      <w:r w:rsidRPr="00040AA9">
        <w:rPr>
          <w:rFonts w:ascii="Arial" w:hAnsi="Arial" w:cs="Arial"/>
          <w:sz w:val="18"/>
          <w:szCs w:val="18"/>
          <w:lang w:val="en-US"/>
        </w:rPr>
        <w:t>value</w:t>
      </w:r>
      <w:r>
        <w:rPr>
          <w:rFonts w:ascii="Arial" w:hAnsi="Arial" w:cs="Arial"/>
          <w:sz w:val="18"/>
          <w:szCs w:val="18"/>
          <w:lang w:val="en-US"/>
        </w:rPr>
        <w:t xml:space="preserve"> data were</w:t>
      </w:r>
      <w:r w:rsidRPr="00040AA9">
        <w:rPr>
          <w:rFonts w:ascii="Arial" w:hAnsi="Arial" w:cs="Arial"/>
          <w:sz w:val="18"/>
          <w:szCs w:val="18"/>
          <w:lang w:val="en-US"/>
        </w:rPr>
        <w:t xml:space="preserve"> available</w:t>
      </w:r>
      <w:r>
        <w:rPr>
          <w:rFonts w:ascii="Arial" w:hAnsi="Arial" w:cs="Arial"/>
          <w:sz w:val="18"/>
          <w:szCs w:val="18"/>
          <w:lang w:val="en-US"/>
        </w:rPr>
        <w:t xml:space="preserve"> as of the date of preparation of the PCR</w:t>
      </w:r>
      <w:r w:rsidRPr="00040AA9">
        <w:rPr>
          <w:rFonts w:ascii="Arial" w:hAnsi="Arial" w:cs="Arial"/>
          <w:sz w:val="18"/>
          <w:szCs w:val="18"/>
          <w:lang w:val="en-US"/>
        </w:rPr>
        <w:t>.</w:t>
      </w:r>
    </w:p>
  </w:footnote>
  <w:footnote w:id="76">
    <w:p w14:paraId="0FA6735A" w14:textId="2797027C"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CA"/>
        </w:rPr>
        <w:t>Data on on-time reporting are NOT available for FY 2016/17 due to PBs having differing FYs and t</w:t>
      </w:r>
      <w:r>
        <w:rPr>
          <w:rFonts w:ascii="Arial" w:hAnsi="Arial" w:cs="Arial"/>
          <w:sz w:val="18"/>
          <w:szCs w:val="18"/>
          <w:lang w:val="en-CA"/>
        </w:rPr>
        <w:t>he provision that allows for a six-</w:t>
      </w:r>
      <w:r w:rsidRPr="00040AA9">
        <w:rPr>
          <w:rFonts w:ascii="Arial" w:hAnsi="Arial" w:cs="Arial"/>
          <w:sz w:val="18"/>
          <w:szCs w:val="18"/>
          <w:lang w:val="en-CA"/>
        </w:rPr>
        <w:t xml:space="preserve">month grace period for producing the annual report after the end of the FY for the respective PB. </w:t>
      </w:r>
    </w:p>
  </w:footnote>
  <w:footnote w:id="77">
    <w:p w14:paraId="58D8F580" w14:textId="16CB44FB" w:rsidR="00D64D1A" w:rsidRPr="0013701F" w:rsidRDefault="00D64D1A">
      <w:pPr>
        <w:pStyle w:val="FootnoteText"/>
        <w:rPr>
          <w:rFonts w:ascii="Arial" w:hAnsi="Arial" w:cs="Arial"/>
          <w:sz w:val="16"/>
          <w:szCs w:val="16"/>
          <w:lang w:val="en-US"/>
        </w:rPr>
      </w:pPr>
      <w:r w:rsidRPr="007C5299">
        <w:rPr>
          <w:rStyle w:val="FootnoteReference"/>
          <w:rFonts w:ascii="Arial" w:hAnsi="Arial" w:cs="Arial"/>
          <w:sz w:val="16"/>
          <w:szCs w:val="16"/>
        </w:rPr>
        <w:footnoteRef/>
      </w:r>
      <w:r w:rsidRPr="007C5299">
        <w:rPr>
          <w:rFonts w:ascii="Arial" w:hAnsi="Arial" w:cs="Arial"/>
          <w:sz w:val="16"/>
          <w:szCs w:val="16"/>
          <w:lang w:val="en-US"/>
        </w:rPr>
        <w:t xml:space="preserve"> No actual values available for because N</w:t>
      </w:r>
      <w:r w:rsidRPr="0013701F">
        <w:rPr>
          <w:rFonts w:ascii="Arial" w:hAnsi="Arial" w:cs="Arial"/>
          <w:sz w:val="16"/>
          <w:szCs w:val="16"/>
          <w:lang w:val="en-US"/>
        </w:rPr>
        <w:t>IS has not updated actuarial analysis since 2012/13</w:t>
      </w:r>
    </w:p>
  </w:footnote>
  <w:footnote w:id="78">
    <w:p w14:paraId="74B98ACA" w14:textId="4DB38AF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Value of “1” assigned because there is an automatic correction mechanism embedded in legislation that would result in corrective action being taken within this time period. (See next footnote.) </w:t>
      </w:r>
    </w:p>
  </w:footnote>
  <w:footnote w:id="79">
    <w:p w14:paraId="768795C3" w14:textId="5A767EBF" w:rsidR="00D64D1A" w:rsidRPr="00040AA9" w:rsidRDefault="00D64D1A" w:rsidP="00040AA9">
      <w:pPr>
        <w:pStyle w:val="p1"/>
        <w:ind w:left="360" w:hanging="360"/>
        <w:jc w:val="both"/>
        <w:rPr>
          <w:rFonts w:ascii="Arial" w:hAnsi="Arial" w:cs="Arial"/>
        </w:rPr>
      </w:pPr>
      <w:r w:rsidRPr="00040AA9">
        <w:rPr>
          <w:rStyle w:val="FootnoteReference"/>
          <w:rFonts w:ascii="Arial" w:hAnsi="Arial" w:cs="Arial"/>
        </w:rPr>
        <w:footnoteRef/>
      </w:r>
      <w:r w:rsidRPr="00040AA9">
        <w:rPr>
          <w:rFonts w:ascii="Arial" w:hAnsi="Arial" w:cs="Arial"/>
        </w:rPr>
        <w:t xml:space="preserve"> </w:t>
      </w:r>
      <w:r>
        <w:rPr>
          <w:rFonts w:ascii="Arial" w:hAnsi="Arial" w:cs="Arial"/>
        </w:rPr>
        <w:tab/>
      </w:r>
      <w:r w:rsidRPr="00040AA9">
        <w:rPr>
          <w:rFonts w:ascii="Arial" w:hAnsi="Arial" w:cs="Arial"/>
        </w:rPr>
        <w:t xml:space="preserve">MoF&amp;PS Fiscal Policy Paper 2017 “The enhanced fiscal rules provide for a National Account into which cumulative deviations from targeted fiscal balances, whether positive or negative, will be recorded. This particular element of the enhanced fiscal governance framework becomes effective in FY 2017/18. The </w:t>
      </w:r>
      <w:r w:rsidRPr="00040AA9">
        <w:rPr>
          <w:rFonts w:ascii="Arial" w:hAnsi="Arial" w:cs="Arial"/>
          <w:i/>
        </w:rPr>
        <w:t>rules will also allow for an automatic correction should deviations get to a pre-defined threshold</w:t>
      </w:r>
      <w:r w:rsidRPr="00040AA9">
        <w:rPr>
          <w:rFonts w:ascii="Arial" w:hAnsi="Arial" w:cs="Arial"/>
        </w:rPr>
        <w:t>. The legislation also includes provisions for suspension of the rules under specific circumstances, with authentication from the Auditor General and the approval of Parliament.” p. 12 (emphasis added)</w:t>
      </w:r>
    </w:p>
  </w:footnote>
  <w:footnote w:id="80">
    <w:p w14:paraId="5560902F" w14:textId="5E682A88" w:rsidR="00D64D1A" w:rsidRPr="00040AA9" w:rsidRDefault="00D64D1A" w:rsidP="00435749">
      <w:pPr>
        <w:spacing w:before="3" w:line="206" w:lineRule="exact"/>
        <w:ind w:left="360" w:right="115"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Observation from FISPEG II Results Mtx: The indicator measures the primary expenditure as a percent of GDP as a </w:t>
      </w:r>
      <w:r w:rsidRPr="00040AA9">
        <w:rPr>
          <w:rFonts w:ascii="Arial" w:hAnsi="Arial" w:cs="Arial"/>
          <w:i/>
          <w:sz w:val="18"/>
          <w:szCs w:val="18"/>
        </w:rPr>
        <w:t>result of the implementation of fiscal rules – Component V</w:t>
      </w:r>
      <w:r w:rsidRPr="00040AA9">
        <w:rPr>
          <w:rFonts w:ascii="Arial" w:hAnsi="Arial" w:cs="Arial"/>
          <w:sz w:val="18"/>
          <w:szCs w:val="18"/>
        </w:rPr>
        <w:t>. This will be achieved by “</w:t>
      </w:r>
      <w:r w:rsidRPr="00040AA9">
        <w:rPr>
          <w:rFonts w:ascii="Arial" w:hAnsi="Arial" w:cs="Arial"/>
          <w:spacing w:val="-3"/>
          <w:sz w:val="18"/>
          <w:szCs w:val="18"/>
        </w:rPr>
        <w:t xml:space="preserve">The </w:t>
      </w:r>
      <w:r w:rsidRPr="00040AA9">
        <w:rPr>
          <w:rFonts w:ascii="Arial" w:hAnsi="Arial" w:cs="Arial"/>
          <w:spacing w:val="-4"/>
          <w:sz w:val="18"/>
          <w:szCs w:val="18"/>
        </w:rPr>
        <w:t>government…</w:t>
      </w:r>
      <w:r w:rsidRPr="00040AA9">
        <w:rPr>
          <w:rFonts w:ascii="Arial" w:hAnsi="Arial" w:cs="Arial"/>
          <w:sz w:val="18"/>
          <w:szCs w:val="18"/>
        </w:rPr>
        <w:t xml:space="preserve"> </w:t>
      </w:r>
      <w:r w:rsidRPr="00040AA9">
        <w:rPr>
          <w:rFonts w:ascii="Arial" w:hAnsi="Arial" w:cs="Arial"/>
          <w:spacing w:val="-3"/>
          <w:sz w:val="18"/>
          <w:szCs w:val="18"/>
        </w:rPr>
        <w:t xml:space="preserve">calibrating the </w:t>
      </w:r>
      <w:r w:rsidRPr="00040AA9">
        <w:rPr>
          <w:rFonts w:ascii="Arial" w:hAnsi="Arial" w:cs="Arial"/>
          <w:spacing w:val="-4"/>
          <w:sz w:val="18"/>
          <w:szCs w:val="18"/>
        </w:rPr>
        <w:t xml:space="preserve">macro-fiscal indicators </w:t>
      </w:r>
      <w:r w:rsidRPr="00040AA9">
        <w:rPr>
          <w:rFonts w:ascii="Arial" w:hAnsi="Arial" w:cs="Arial"/>
          <w:spacing w:val="-3"/>
          <w:sz w:val="18"/>
          <w:szCs w:val="18"/>
        </w:rPr>
        <w:t xml:space="preserve">to estimate </w:t>
      </w:r>
      <w:r w:rsidRPr="00040AA9">
        <w:rPr>
          <w:rFonts w:ascii="Arial" w:hAnsi="Arial" w:cs="Arial"/>
          <w:spacing w:val="-4"/>
          <w:sz w:val="18"/>
          <w:szCs w:val="18"/>
        </w:rPr>
        <w:t xml:space="preserve">the </w:t>
      </w:r>
      <w:r w:rsidRPr="00040AA9">
        <w:rPr>
          <w:rFonts w:ascii="Arial" w:hAnsi="Arial" w:cs="Arial"/>
          <w:spacing w:val="-3"/>
          <w:sz w:val="18"/>
          <w:szCs w:val="18"/>
        </w:rPr>
        <w:t xml:space="preserve">overall </w:t>
      </w:r>
      <w:r w:rsidRPr="00040AA9">
        <w:rPr>
          <w:rFonts w:ascii="Arial" w:hAnsi="Arial" w:cs="Arial"/>
          <w:spacing w:val="-4"/>
          <w:sz w:val="18"/>
          <w:szCs w:val="18"/>
        </w:rPr>
        <w:t xml:space="preserve">balance </w:t>
      </w:r>
      <w:r w:rsidRPr="00040AA9">
        <w:rPr>
          <w:rFonts w:ascii="Arial" w:hAnsi="Arial" w:cs="Arial"/>
          <w:spacing w:val="-3"/>
          <w:sz w:val="18"/>
          <w:szCs w:val="18"/>
        </w:rPr>
        <w:t xml:space="preserve">path </w:t>
      </w:r>
      <w:r w:rsidRPr="00040AA9">
        <w:rPr>
          <w:rFonts w:ascii="Arial" w:hAnsi="Arial" w:cs="Arial"/>
          <w:sz w:val="18"/>
          <w:szCs w:val="18"/>
        </w:rPr>
        <w:t xml:space="preserve">to </w:t>
      </w:r>
      <w:r w:rsidRPr="00040AA9">
        <w:rPr>
          <w:rFonts w:ascii="Arial" w:hAnsi="Arial" w:cs="Arial"/>
          <w:spacing w:val="-3"/>
          <w:sz w:val="18"/>
          <w:szCs w:val="18"/>
        </w:rPr>
        <w:t xml:space="preserve">comply with </w:t>
      </w:r>
      <w:r w:rsidRPr="00040AA9">
        <w:rPr>
          <w:rFonts w:ascii="Arial" w:hAnsi="Arial" w:cs="Arial"/>
          <w:sz w:val="18"/>
          <w:szCs w:val="18"/>
        </w:rPr>
        <w:t xml:space="preserve">the </w:t>
      </w:r>
      <w:r w:rsidRPr="00040AA9">
        <w:rPr>
          <w:rFonts w:ascii="Arial" w:hAnsi="Arial" w:cs="Arial"/>
          <w:spacing w:val="-3"/>
          <w:sz w:val="18"/>
          <w:szCs w:val="18"/>
        </w:rPr>
        <w:t xml:space="preserve">debt ceiling. </w:t>
      </w:r>
      <w:r w:rsidRPr="00040AA9">
        <w:rPr>
          <w:rFonts w:ascii="Arial" w:hAnsi="Arial" w:cs="Arial"/>
          <w:sz w:val="18"/>
          <w:szCs w:val="18"/>
        </w:rPr>
        <w:t xml:space="preserve">It is </w:t>
      </w:r>
      <w:r w:rsidRPr="00040AA9">
        <w:rPr>
          <w:rFonts w:ascii="Arial" w:hAnsi="Arial" w:cs="Arial"/>
          <w:spacing w:val="-3"/>
          <w:sz w:val="18"/>
          <w:szCs w:val="18"/>
        </w:rPr>
        <w:t xml:space="preserve">also </w:t>
      </w:r>
      <w:r w:rsidRPr="00040AA9">
        <w:rPr>
          <w:rFonts w:ascii="Arial" w:hAnsi="Arial" w:cs="Arial"/>
          <w:spacing w:val="-4"/>
          <w:sz w:val="18"/>
          <w:szCs w:val="18"/>
        </w:rPr>
        <w:t xml:space="preserve">strengthening </w:t>
      </w:r>
      <w:r w:rsidRPr="00040AA9">
        <w:rPr>
          <w:rFonts w:ascii="Arial" w:hAnsi="Arial" w:cs="Arial"/>
          <w:spacing w:val="-3"/>
          <w:sz w:val="18"/>
          <w:szCs w:val="18"/>
        </w:rPr>
        <w:t xml:space="preserve">the </w:t>
      </w:r>
      <w:r w:rsidRPr="00040AA9">
        <w:rPr>
          <w:rFonts w:ascii="Arial" w:hAnsi="Arial" w:cs="Arial"/>
          <w:spacing w:val="-4"/>
          <w:sz w:val="18"/>
          <w:szCs w:val="18"/>
        </w:rPr>
        <w:t xml:space="preserve">institutional framework </w:t>
      </w:r>
      <w:r w:rsidRPr="00040AA9">
        <w:rPr>
          <w:rFonts w:ascii="Arial" w:hAnsi="Arial" w:cs="Arial"/>
          <w:spacing w:val="-3"/>
          <w:sz w:val="18"/>
          <w:szCs w:val="18"/>
        </w:rPr>
        <w:t xml:space="preserve">to: (i) improve the </w:t>
      </w:r>
      <w:r w:rsidRPr="00040AA9">
        <w:rPr>
          <w:rFonts w:ascii="Arial" w:hAnsi="Arial" w:cs="Arial"/>
          <w:spacing w:val="-4"/>
          <w:sz w:val="18"/>
          <w:szCs w:val="18"/>
        </w:rPr>
        <w:t xml:space="preserve">budgetary procedures; </w:t>
      </w:r>
      <w:r w:rsidRPr="00040AA9">
        <w:rPr>
          <w:rFonts w:ascii="Arial" w:hAnsi="Arial" w:cs="Arial"/>
          <w:spacing w:val="-3"/>
          <w:sz w:val="18"/>
          <w:szCs w:val="18"/>
        </w:rPr>
        <w:t xml:space="preserve">exclude the </w:t>
      </w:r>
      <w:r w:rsidRPr="00040AA9">
        <w:rPr>
          <w:rFonts w:ascii="Arial" w:hAnsi="Arial" w:cs="Arial"/>
          <w:spacing w:val="-4"/>
          <w:sz w:val="18"/>
          <w:szCs w:val="18"/>
        </w:rPr>
        <w:t xml:space="preserve">selected commercial </w:t>
      </w:r>
      <w:r w:rsidRPr="00040AA9">
        <w:rPr>
          <w:rFonts w:ascii="Arial" w:hAnsi="Arial" w:cs="Arial"/>
          <w:spacing w:val="-3"/>
          <w:sz w:val="18"/>
          <w:szCs w:val="18"/>
        </w:rPr>
        <w:t>PBs from the fiscal rule; (iii)</w:t>
      </w:r>
      <w:r>
        <w:rPr>
          <w:rFonts w:ascii="Arial" w:hAnsi="Arial" w:cs="Arial"/>
          <w:spacing w:val="-3"/>
          <w:sz w:val="18"/>
          <w:szCs w:val="18"/>
        </w:rPr>
        <w:t> </w:t>
      </w:r>
      <w:r w:rsidRPr="00040AA9">
        <w:rPr>
          <w:rFonts w:ascii="Arial" w:hAnsi="Arial" w:cs="Arial"/>
          <w:spacing w:val="-4"/>
          <w:sz w:val="18"/>
          <w:szCs w:val="18"/>
        </w:rPr>
        <w:t xml:space="preserve">bolster </w:t>
      </w:r>
      <w:r w:rsidRPr="00040AA9">
        <w:rPr>
          <w:rFonts w:ascii="Arial" w:hAnsi="Arial" w:cs="Arial"/>
          <w:spacing w:val="-3"/>
          <w:sz w:val="18"/>
          <w:szCs w:val="18"/>
        </w:rPr>
        <w:t xml:space="preserve">the capacity </w:t>
      </w:r>
      <w:r w:rsidRPr="00040AA9">
        <w:rPr>
          <w:rFonts w:ascii="Arial" w:hAnsi="Arial" w:cs="Arial"/>
          <w:sz w:val="18"/>
          <w:szCs w:val="18"/>
        </w:rPr>
        <w:t xml:space="preserve">at </w:t>
      </w:r>
      <w:r w:rsidRPr="00040AA9">
        <w:rPr>
          <w:rFonts w:ascii="Arial" w:hAnsi="Arial" w:cs="Arial"/>
          <w:spacing w:val="-3"/>
          <w:sz w:val="18"/>
          <w:szCs w:val="18"/>
        </w:rPr>
        <w:t xml:space="preserve">the Office of </w:t>
      </w:r>
      <w:r w:rsidRPr="00040AA9">
        <w:rPr>
          <w:rFonts w:ascii="Arial" w:hAnsi="Arial" w:cs="Arial"/>
          <w:spacing w:val="-4"/>
          <w:sz w:val="18"/>
          <w:szCs w:val="18"/>
        </w:rPr>
        <w:t xml:space="preserve">the </w:t>
      </w:r>
      <w:r w:rsidRPr="00040AA9">
        <w:rPr>
          <w:rFonts w:ascii="Arial" w:hAnsi="Arial" w:cs="Arial"/>
          <w:spacing w:val="-3"/>
          <w:sz w:val="18"/>
          <w:szCs w:val="18"/>
        </w:rPr>
        <w:t xml:space="preserve">Auditor General; and (iv) design </w:t>
      </w:r>
      <w:r w:rsidRPr="00040AA9">
        <w:rPr>
          <w:rFonts w:ascii="Arial" w:hAnsi="Arial" w:cs="Arial"/>
          <w:sz w:val="18"/>
          <w:szCs w:val="18"/>
        </w:rPr>
        <w:t xml:space="preserve">a </w:t>
      </w:r>
      <w:r w:rsidRPr="00040AA9">
        <w:rPr>
          <w:rFonts w:ascii="Arial" w:hAnsi="Arial" w:cs="Arial"/>
          <w:spacing w:val="-4"/>
          <w:sz w:val="18"/>
          <w:szCs w:val="18"/>
        </w:rPr>
        <w:t xml:space="preserve">sanctions </w:t>
      </w:r>
      <w:r w:rsidRPr="00040AA9">
        <w:rPr>
          <w:rFonts w:ascii="Arial" w:hAnsi="Arial" w:cs="Arial"/>
          <w:spacing w:val="-3"/>
          <w:sz w:val="18"/>
          <w:szCs w:val="18"/>
        </w:rPr>
        <w:t>regime for infringement of the</w:t>
      </w:r>
      <w:r w:rsidRPr="00040AA9">
        <w:rPr>
          <w:rFonts w:ascii="Arial" w:hAnsi="Arial" w:cs="Arial"/>
          <w:spacing w:val="-28"/>
          <w:sz w:val="18"/>
          <w:szCs w:val="18"/>
        </w:rPr>
        <w:t xml:space="preserve"> </w:t>
      </w:r>
      <w:r w:rsidRPr="00040AA9">
        <w:rPr>
          <w:rFonts w:ascii="Arial" w:hAnsi="Arial" w:cs="Arial"/>
          <w:spacing w:val="-3"/>
          <w:sz w:val="18"/>
          <w:szCs w:val="18"/>
        </w:rPr>
        <w:t>rule. (FISPEG II Loan Proposal ¶1.32, footnote 23)</w:t>
      </w:r>
    </w:p>
  </w:footnote>
  <w:footnote w:id="81">
    <w:p w14:paraId="79C80F80" w14:textId="5D3487F5" w:rsidR="00D64D1A" w:rsidRPr="00040AA9" w:rsidRDefault="00D64D1A" w:rsidP="00435749">
      <w:pPr>
        <w:ind w:left="360" w:hanging="360"/>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FISPEG I &amp; II baseline values are 20.4% and 20.3% respectively. FISPEG III baseline value of 20.4% is used because it is most reliable.</w:t>
      </w:r>
    </w:p>
  </w:footnote>
  <w:footnote w:id="82">
    <w:p w14:paraId="10E8D9FD" w14:textId="2C743134" w:rsidR="00D64D1A" w:rsidRPr="00040AA9" w:rsidRDefault="00D64D1A" w:rsidP="00435749">
      <w:pPr>
        <w:pStyle w:val="FootnoteText"/>
        <w:ind w:left="360" w:hanging="360"/>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In the column “Goals FY2016/17” of the FISPEG III results matrix this value is stated as 20.5%, i.e. 0.1% above the baseline value of 20.4%, which acknowledges that the original intended result of </w:t>
      </w:r>
      <w:r w:rsidRPr="00040AA9">
        <w:rPr>
          <w:rFonts w:ascii="Arial" w:hAnsi="Arial" w:cs="Arial"/>
          <w:sz w:val="18"/>
          <w:szCs w:val="18"/>
          <w:u w:val="single"/>
          <w:lang w:val="en-US"/>
        </w:rPr>
        <w:t>decreasing</w:t>
      </w:r>
      <w:r w:rsidRPr="00040AA9">
        <w:rPr>
          <w:rFonts w:ascii="Arial" w:hAnsi="Arial" w:cs="Arial"/>
          <w:sz w:val="18"/>
          <w:szCs w:val="18"/>
          <w:lang w:val="en-US"/>
        </w:rPr>
        <w:t xml:space="preserve"> primary expenditure could not be met and that a new expected EOP value representing a moderate increase was appropriate. </w:t>
      </w:r>
    </w:p>
  </w:footnote>
  <w:footnote w:id="83">
    <w:p w14:paraId="624B611E" w14:textId="6DC76C2E" w:rsidR="00D64D1A" w:rsidRPr="00040AA9" w:rsidRDefault="00D64D1A" w:rsidP="00435749">
      <w:pPr>
        <w:ind w:left="360" w:hanging="360"/>
        <w:rPr>
          <w:rFonts w:ascii="Arial" w:hAnsi="Arial" w:cs="Arial"/>
          <w:sz w:val="18"/>
          <w:szCs w:val="18"/>
          <w:lang w:val="en-CA"/>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Note: This agrees with IMF </w:t>
      </w:r>
      <w:r>
        <w:rPr>
          <w:rFonts w:ascii="Arial" w:hAnsi="Arial" w:cs="Arial"/>
          <w:sz w:val="18"/>
          <w:szCs w:val="18"/>
        </w:rPr>
        <w:t xml:space="preserve">estimate </w:t>
      </w:r>
      <w:r w:rsidRPr="00040AA9">
        <w:rPr>
          <w:rFonts w:ascii="Arial" w:hAnsi="Arial" w:cs="Arial"/>
          <w:sz w:val="18"/>
          <w:szCs w:val="18"/>
        </w:rPr>
        <w:t>for 2016/17 of 20.</w:t>
      </w:r>
      <w:r>
        <w:rPr>
          <w:rFonts w:ascii="Arial" w:hAnsi="Arial" w:cs="Arial"/>
          <w:sz w:val="18"/>
          <w:szCs w:val="18"/>
        </w:rPr>
        <w:t>4</w:t>
      </w:r>
      <w:r w:rsidRPr="00040AA9">
        <w:rPr>
          <w:rFonts w:ascii="Arial" w:hAnsi="Arial" w:cs="Arial"/>
          <w:sz w:val="18"/>
          <w:szCs w:val="18"/>
        </w:rPr>
        <w:t xml:space="preserve">% (Source: </w:t>
      </w:r>
      <w:r>
        <w:rPr>
          <w:rFonts w:ascii="Arial" w:hAnsi="Arial" w:cs="Arial"/>
          <w:sz w:val="18"/>
          <w:szCs w:val="18"/>
        </w:rPr>
        <w:t>2</w:t>
      </w:r>
      <w:r>
        <w:rPr>
          <w:rFonts w:ascii="Arial" w:hAnsi="Arial" w:cs="Arial"/>
          <w:i/>
          <w:sz w:val="18"/>
          <w:szCs w:val="18"/>
          <w:vertAlign w:val="superscript"/>
        </w:rPr>
        <w:t>nd</w:t>
      </w:r>
      <w:r w:rsidRPr="00040AA9">
        <w:rPr>
          <w:rFonts w:ascii="Arial" w:hAnsi="Arial" w:cs="Arial"/>
          <w:i/>
          <w:sz w:val="18"/>
          <w:szCs w:val="18"/>
        </w:rPr>
        <w:t xml:space="preserve"> Review Under the SBA, </w:t>
      </w:r>
      <w:r>
        <w:rPr>
          <w:rFonts w:ascii="Arial" w:hAnsi="Arial" w:cs="Arial"/>
          <w:i/>
          <w:sz w:val="18"/>
          <w:szCs w:val="18"/>
        </w:rPr>
        <w:t>Oct</w:t>
      </w:r>
      <w:r w:rsidRPr="00040AA9">
        <w:rPr>
          <w:rFonts w:ascii="Arial" w:hAnsi="Arial" w:cs="Arial"/>
          <w:i/>
          <w:sz w:val="18"/>
          <w:szCs w:val="18"/>
        </w:rPr>
        <w:t>. 2017</w:t>
      </w:r>
      <w:r w:rsidRPr="00040AA9">
        <w:rPr>
          <w:rFonts w:ascii="Arial" w:hAnsi="Arial" w:cs="Arial"/>
          <w:sz w:val="18"/>
          <w:szCs w:val="18"/>
        </w:rPr>
        <w:t xml:space="preserve"> </w:t>
      </w:r>
      <w:r w:rsidRPr="00040AA9">
        <w:rPr>
          <w:rFonts w:ascii="Arial" w:hAnsi="Arial" w:cs="Arial"/>
          <w:sz w:val="18"/>
          <w:szCs w:val="18"/>
          <w:lang w:val="en-CA"/>
        </w:rPr>
        <w:t>Table 3: “Jamaica: Summary of Central Government Operations” p. 2</w:t>
      </w:r>
      <w:r>
        <w:rPr>
          <w:rFonts w:ascii="Arial" w:hAnsi="Arial" w:cs="Arial"/>
          <w:sz w:val="18"/>
          <w:szCs w:val="18"/>
          <w:lang w:val="en-CA"/>
        </w:rPr>
        <w:t>2</w:t>
      </w:r>
      <w:r w:rsidRPr="00040AA9">
        <w:rPr>
          <w:rFonts w:ascii="Arial" w:hAnsi="Arial" w:cs="Arial"/>
          <w:sz w:val="18"/>
          <w:szCs w:val="18"/>
          <w:lang w:val="en-CA"/>
        </w:rPr>
        <w:t>)</w:t>
      </w:r>
    </w:p>
  </w:footnote>
  <w:footnote w:id="84">
    <w:p w14:paraId="10340F3B" w14:textId="285B5F11" w:rsidR="00D64D1A" w:rsidRPr="00040AA9" w:rsidRDefault="00D64D1A" w:rsidP="00435749">
      <w:pPr>
        <w:ind w:left="360" w:hanging="360"/>
        <w:rPr>
          <w:rFonts w:ascii="Arial" w:hAnsi="Arial" w:cs="Arial"/>
          <w:sz w:val="18"/>
          <w:szCs w:val="18"/>
          <w:lang w:val="en-CA"/>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Primary expenditure as % of GDP is not listed separately in this table. It is computed as the sum of Employee compensation + Program expenditure + Capital expenditure, as follows:</w:t>
      </w:r>
    </w:p>
    <w:tbl>
      <w:tblPr>
        <w:tblW w:w="11610" w:type="dxa"/>
        <w:tblInd w:w="630" w:type="dxa"/>
        <w:tblLayout w:type="fixed"/>
        <w:tblLook w:val="04A0" w:firstRow="1" w:lastRow="0" w:firstColumn="1" w:lastColumn="0" w:noHBand="0" w:noVBand="1"/>
      </w:tblPr>
      <w:tblGrid>
        <w:gridCol w:w="5670"/>
        <w:gridCol w:w="900"/>
        <w:gridCol w:w="900"/>
        <w:gridCol w:w="900"/>
        <w:gridCol w:w="1080"/>
        <w:gridCol w:w="1080"/>
        <w:gridCol w:w="1080"/>
      </w:tblGrid>
      <w:tr w:rsidR="00D64D1A" w:rsidRPr="00435749" w14:paraId="013A59BD" w14:textId="77777777" w:rsidTr="00AA778C">
        <w:trPr>
          <w:trHeight w:val="73"/>
          <w:tblHeader/>
        </w:trPr>
        <w:tc>
          <w:tcPr>
            <w:tcW w:w="11610" w:type="dxa"/>
            <w:gridSpan w:val="7"/>
            <w:shd w:val="clear" w:color="auto" w:fill="auto"/>
            <w:noWrap/>
            <w:vAlign w:val="bottom"/>
            <w:hideMark/>
          </w:tcPr>
          <w:p w14:paraId="38391729" w14:textId="6F7FAE7D" w:rsidR="00D64D1A" w:rsidRPr="006031C5" w:rsidRDefault="00D64D1A" w:rsidP="00A27AD1">
            <w:pPr>
              <w:rPr>
                <w:rFonts w:ascii="Arial" w:eastAsia="Times New Roman" w:hAnsi="Arial" w:cs="Arial"/>
                <w:color w:val="000000"/>
                <w:sz w:val="16"/>
                <w:szCs w:val="16"/>
              </w:rPr>
            </w:pPr>
            <w:r w:rsidRPr="006031C5">
              <w:rPr>
                <w:rFonts w:ascii="Arial" w:eastAsia="Times New Roman" w:hAnsi="Arial" w:cs="Arial"/>
                <w:color w:val="000000"/>
                <w:sz w:val="16"/>
                <w:szCs w:val="16"/>
              </w:rPr>
              <w:t>Abstract from TABLEs 3K &amp; 3J: CENTRAL GOVERNMENT SUMMARY ACCOUNTS (MoF&amp;PS FPP FY2017/18 p. 59)</w:t>
            </w:r>
          </w:p>
        </w:tc>
      </w:tr>
      <w:tr w:rsidR="00D64D1A" w:rsidRPr="00435749" w14:paraId="7C246FB5" w14:textId="77777777" w:rsidTr="00774A3E">
        <w:trPr>
          <w:trHeight w:val="243"/>
        </w:trPr>
        <w:tc>
          <w:tcPr>
            <w:tcW w:w="5670" w:type="dxa"/>
            <w:shd w:val="clear" w:color="auto" w:fill="auto"/>
            <w:noWrap/>
            <w:vAlign w:val="bottom"/>
          </w:tcPr>
          <w:p w14:paraId="0028CD7D" w14:textId="77777777" w:rsidR="00D64D1A" w:rsidRPr="006031C5" w:rsidRDefault="00D64D1A" w:rsidP="00A27AD1">
            <w:pPr>
              <w:rPr>
                <w:rFonts w:ascii="Arial" w:eastAsia="Times New Roman" w:hAnsi="Arial" w:cs="Arial"/>
                <w:color w:val="000000"/>
                <w:sz w:val="16"/>
                <w:szCs w:val="16"/>
              </w:rPr>
            </w:pPr>
          </w:p>
        </w:tc>
        <w:tc>
          <w:tcPr>
            <w:tcW w:w="2700" w:type="dxa"/>
            <w:gridSpan w:val="3"/>
            <w:shd w:val="clear" w:color="auto" w:fill="auto"/>
            <w:noWrap/>
            <w:vAlign w:val="center"/>
          </w:tcPr>
          <w:p w14:paraId="385FE7BD" w14:textId="4350B911" w:rsidR="00D64D1A" w:rsidRPr="006031C5" w:rsidRDefault="00D64D1A" w:rsidP="00A27AD1">
            <w:pPr>
              <w:jc w:val="center"/>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 xml:space="preserve">As a percentage of GDP </w:t>
            </w:r>
          </w:p>
        </w:tc>
        <w:tc>
          <w:tcPr>
            <w:tcW w:w="3240" w:type="dxa"/>
            <w:gridSpan w:val="3"/>
            <w:vAlign w:val="center"/>
          </w:tcPr>
          <w:p w14:paraId="524A0165" w14:textId="77777777" w:rsidR="00D64D1A" w:rsidRPr="006031C5" w:rsidRDefault="00D64D1A" w:rsidP="00A27AD1">
            <w:pPr>
              <w:jc w:val="center"/>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Millions of Jamaican Dollars (J$mn)</w:t>
            </w:r>
          </w:p>
        </w:tc>
      </w:tr>
      <w:tr w:rsidR="00D64D1A" w:rsidRPr="00435749" w14:paraId="342292A7" w14:textId="77777777" w:rsidTr="00774A3E">
        <w:trPr>
          <w:trHeight w:val="198"/>
        </w:trPr>
        <w:tc>
          <w:tcPr>
            <w:tcW w:w="5670" w:type="dxa"/>
            <w:shd w:val="clear" w:color="auto" w:fill="auto"/>
            <w:noWrap/>
            <w:vAlign w:val="bottom"/>
            <w:hideMark/>
          </w:tcPr>
          <w:p w14:paraId="1A5AB072" w14:textId="60AAE041" w:rsidR="00D64D1A" w:rsidRPr="006031C5" w:rsidRDefault="00D64D1A" w:rsidP="00A27AD1">
            <w:pPr>
              <w:rPr>
                <w:rFonts w:ascii="Arial" w:eastAsia="Times New Roman" w:hAnsi="Arial" w:cs="Arial"/>
                <w:color w:val="000000"/>
                <w:sz w:val="16"/>
                <w:szCs w:val="16"/>
              </w:rPr>
            </w:pPr>
            <w:r w:rsidRPr="006031C5">
              <w:rPr>
                <w:rFonts w:ascii="Arial" w:eastAsia="Times New Roman" w:hAnsi="Arial" w:cs="Arial"/>
                <w:color w:val="000000"/>
                <w:sz w:val="16"/>
                <w:szCs w:val="16"/>
              </w:rPr>
              <w:t>Primary Expenditure components</w:t>
            </w:r>
          </w:p>
        </w:tc>
        <w:tc>
          <w:tcPr>
            <w:tcW w:w="900" w:type="dxa"/>
            <w:shd w:val="clear" w:color="auto" w:fill="auto"/>
            <w:noWrap/>
            <w:vAlign w:val="bottom"/>
            <w:hideMark/>
          </w:tcPr>
          <w:p w14:paraId="242FB705" w14:textId="77777777" w:rsidR="00D64D1A" w:rsidRPr="006031C5" w:rsidRDefault="00D64D1A" w:rsidP="00A27AD1">
            <w:pPr>
              <w:jc w:val="right"/>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2014/15</w:t>
            </w:r>
          </w:p>
        </w:tc>
        <w:tc>
          <w:tcPr>
            <w:tcW w:w="900" w:type="dxa"/>
            <w:shd w:val="clear" w:color="auto" w:fill="auto"/>
            <w:noWrap/>
            <w:vAlign w:val="bottom"/>
            <w:hideMark/>
          </w:tcPr>
          <w:p w14:paraId="558CF7BB" w14:textId="77777777" w:rsidR="00D64D1A" w:rsidRPr="006031C5" w:rsidRDefault="00D64D1A" w:rsidP="00A27AD1">
            <w:pPr>
              <w:jc w:val="right"/>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2015/16</w:t>
            </w:r>
          </w:p>
        </w:tc>
        <w:tc>
          <w:tcPr>
            <w:tcW w:w="900" w:type="dxa"/>
            <w:shd w:val="clear" w:color="auto" w:fill="auto"/>
            <w:noWrap/>
            <w:vAlign w:val="bottom"/>
            <w:hideMark/>
          </w:tcPr>
          <w:p w14:paraId="1C08B4A0" w14:textId="77777777" w:rsidR="00D64D1A" w:rsidRPr="006031C5" w:rsidRDefault="00D64D1A" w:rsidP="00A27AD1">
            <w:pPr>
              <w:jc w:val="right"/>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2016/17</w:t>
            </w:r>
          </w:p>
        </w:tc>
        <w:tc>
          <w:tcPr>
            <w:tcW w:w="1080" w:type="dxa"/>
            <w:vAlign w:val="bottom"/>
          </w:tcPr>
          <w:p w14:paraId="150622FD" w14:textId="77777777" w:rsidR="00D64D1A" w:rsidRPr="006031C5" w:rsidRDefault="00D64D1A" w:rsidP="00A27AD1">
            <w:pPr>
              <w:jc w:val="right"/>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2014/15</w:t>
            </w:r>
          </w:p>
        </w:tc>
        <w:tc>
          <w:tcPr>
            <w:tcW w:w="1080" w:type="dxa"/>
            <w:vAlign w:val="bottom"/>
          </w:tcPr>
          <w:p w14:paraId="2778F49E" w14:textId="77777777" w:rsidR="00D64D1A" w:rsidRPr="006031C5" w:rsidRDefault="00D64D1A" w:rsidP="00A27AD1">
            <w:pPr>
              <w:jc w:val="right"/>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2015/16</w:t>
            </w:r>
          </w:p>
        </w:tc>
        <w:tc>
          <w:tcPr>
            <w:tcW w:w="1080" w:type="dxa"/>
            <w:vAlign w:val="bottom"/>
          </w:tcPr>
          <w:p w14:paraId="664D076B" w14:textId="77777777" w:rsidR="00D64D1A" w:rsidRPr="006031C5" w:rsidRDefault="00D64D1A" w:rsidP="00A27AD1">
            <w:pPr>
              <w:jc w:val="right"/>
              <w:rPr>
                <w:rFonts w:ascii="Arial" w:eastAsia="Times New Roman" w:hAnsi="Arial" w:cs="Arial"/>
                <w:color w:val="000000"/>
                <w:sz w:val="16"/>
                <w:szCs w:val="16"/>
                <w:u w:val="single"/>
              </w:rPr>
            </w:pPr>
            <w:r w:rsidRPr="006031C5">
              <w:rPr>
                <w:rFonts w:ascii="Arial" w:eastAsia="Times New Roman" w:hAnsi="Arial" w:cs="Arial"/>
                <w:color w:val="000000"/>
                <w:sz w:val="16"/>
                <w:szCs w:val="16"/>
                <w:u w:val="single"/>
              </w:rPr>
              <w:t>2016/17</w:t>
            </w:r>
          </w:p>
        </w:tc>
      </w:tr>
      <w:tr w:rsidR="00D64D1A" w:rsidRPr="00435749" w14:paraId="7012FFD3" w14:textId="77777777" w:rsidTr="00774A3E">
        <w:trPr>
          <w:trHeight w:val="59"/>
        </w:trPr>
        <w:tc>
          <w:tcPr>
            <w:tcW w:w="5670" w:type="dxa"/>
            <w:shd w:val="clear" w:color="auto" w:fill="auto"/>
            <w:noWrap/>
            <w:vAlign w:val="bottom"/>
            <w:hideMark/>
          </w:tcPr>
          <w:p w14:paraId="763FFADE" w14:textId="5A3249F6" w:rsidR="00D64D1A" w:rsidRPr="006031C5" w:rsidRDefault="00D64D1A" w:rsidP="00A27AD1">
            <w:pPr>
              <w:rPr>
                <w:rFonts w:ascii="Arial" w:eastAsia="Times New Roman" w:hAnsi="Arial" w:cs="Arial"/>
                <w:color w:val="000000"/>
                <w:sz w:val="16"/>
                <w:szCs w:val="16"/>
              </w:rPr>
            </w:pPr>
            <w:r w:rsidRPr="006031C5">
              <w:rPr>
                <w:rFonts w:ascii="Arial" w:eastAsia="Times New Roman" w:hAnsi="Arial" w:cs="Arial"/>
                <w:color w:val="000000"/>
                <w:sz w:val="16"/>
                <w:szCs w:val="16"/>
              </w:rPr>
              <w:t xml:space="preserve"> Compensation of Employees </w:t>
            </w:r>
          </w:p>
        </w:tc>
        <w:tc>
          <w:tcPr>
            <w:tcW w:w="900" w:type="dxa"/>
            <w:shd w:val="clear" w:color="auto" w:fill="auto"/>
            <w:noWrap/>
            <w:vAlign w:val="bottom"/>
            <w:hideMark/>
          </w:tcPr>
          <w:p w14:paraId="0F88041F"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10.1</w:t>
            </w:r>
          </w:p>
        </w:tc>
        <w:tc>
          <w:tcPr>
            <w:tcW w:w="900" w:type="dxa"/>
            <w:shd w:val="clear" w:color="auto" w:fill="auto"/>
            <w:noWrap/>
            <w:vAlign w:val="bottom"/>
            <w:hideMark/>
          </w:tcPr>
          <w:p w14:paraId="7012DB45"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10.0</w:t>
            </w:r>
          </w:p>
        </w:tc>
        <w:tc>
          <w:tcPr>
            <w:tcW w:w="900" w:type="dxa"/>
            <w:shd w:val="clear" w:color="auto" w:fill="auto"/>
            <w:noWrap/>
            <w:vAlign w:val="bottom"/>
            <w:hideMark/>
          </w:tcPr>
          <w:p w14:paraId="1E72E73F"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10.2</w:t>
            </w:r>
          </w:p>
        </w:tc>
        <w:tc>
          <w:tcPr>
            <w:tcW w:w="1080" w:type="dxa"/>
            <w:vAlign w:val="bottom"/>
          </w:tcPr>
          <w:p w14:paraId="391E150F" w14:textId="77777777" w:rsidR="00D64D1A" w:rsidRPr="006031C5" w:rsidRDefault="00D64D1A" w:rsidP="00A27AD1">
            <w:pPr>
              <w:jc w:val="right"/>
              <w:rPr>
                <w:rFonts w:ascii="Arial" w:eastAsia="Times New Roman" w:hAnsi="Arial" w:cs="Arial"/>
                <w:color w:val="000000"/>
                <w:sz w:val="16"/>
                <w:szCs w:val="16"/>
              </w:rPr>
            </w:pPr>
            <w:r w:rsidRPr="006031C5">
              <w:rPr>
                <w:rFonts w:ascii="Arial" w:hAnsi="Arial" w:cs="Arial"/>
                <w:sz w:val="16"/>
                <w:szCs w:val="16"/>
              </w:rPr>
              <w:t xml:space="preserve">158,758.6 </w:t>
            </w:r>
          </w:p>
        </w:tc>
        <w:tc>
          <w:tcPr>
            <w:tcW w:w="1080" w:type="dxa"/>
            <w:vAlign w:val="bottom"/>
          </w:tcPr>
          <w:p w14:paraId="521AAAA1" w14:textId="77777777" w:rsidR="00D64D1A" w:rsidRPr="006031C5" w:rsidRDefault="00D64D1A" w:rsidP="00A27AD1">
            <w:pPr>
              <w:jc w:val="right"/>
              <w:rPr>
                <w:rFonts w:ascii="Arial" w:eastAsia="Times New Roman" w:hAnsi="Arial" w:cs="Arial"/>
                <w:color w:val="000000"/>
                <w:sz w:val="16"/>
                <w:szCs w:val="16"/>
              </w:rPr>
            </w:pPr>
            <w:r w:rsidRPr="006031C5">
              <w:rPr>
                <w:rFonts w:ascii="Arial" w:hAnsi="Arial" w:cs="Arial"/>
                <w:sz w:val="16"/>
                <w:szCs w:val="16"/>
              </w:rPr>
              <w:t xml:space="preserve">168,790.2 </w:t>
            </w:r>
          </w:p>
        </w:tc>
        <w:tc>
          <w:tcPr>
            <w:tcW w:w="1080" w:type="dxa"/>
            <w:vAlign w:val="bottom"/>
          </w:tcPr>
          <w:p w14:paraId="6410B595" w14:textId="77777777" w:rsidR="00D64D1A" w:rsidRPr="006031C5" w:rsidRDefault="00D64D1A" w:rsidP="00A27AD1">
            <w:pPr>
              <w:jc w:val="right"/>
              <w:rPr>
                <w:rFonts w:ascii="Arial" w:eastAsia="Times New Roman" w:hAnsi="Arial" w:cs="Arial"/>
                <w:color w:val="000000"/>
                <w:sz w:val="16"/>
                <w:szCs w:val="16"/>
              </w:rPr>
            </w:pPr>
            <w:r w:rsidRPr="006031C5">
              <w:rPr>
                <w:rFonts w:ascii="Arial" w:hAnsi="Arial" w:cs="Arial"/>
                <w:sz w:val="16"/>
                <w:szCs w:val="16"/>
              </w:rPr>
              <w:t>179,933.6</w:t>
            </w:r>
          </w:p>
        </w:tc>
      </w:tr>
      <w:tr w:rsidR="00D64D1A" w:rsidRPr="00435749" w14:paraId="2B2C6767" w14:textId="77777777" w:rsidTr="00774A3E">
        <w:trPr>
          <w:trHeight w:val="216"/>
        </w:trPr>
        <w:tc>
          <w:tcPr>
            <w:tcW w:w="5670" w:type="dxa"/>
            <w:shd w:val="clear" w:color="auto" w:fill="auto"/>
            <w:noWrap/>
            <w:vAlign w:val="bottom"/>
            <w:hideMark/>
          </w:tcPr>
          <w:p w14:paraId="5E0A5711" w14:textId="6DE04D5E" w:rsidR="00D64D1A" w:rsidRPr="006031C5" w:rsidRDefault="00D64D1A" w:rsidP="00A27AD1">
            <w:pPr>
              <w:rPr>
                <w:rFonts w:ascii="Arial" w:eastAsia="Times New Roman" w:hAnsi="Arial" w:cs="Arial"/>
                <w:sz w:val="16"/>
                <w:szCs w:val="16"/>
              </w:rPr>
            </w:pPr>
            <w:r w:rsidRPr="006031C5">
              <w:rPr>
                <w:rFonts w:ascii="Arial" w:eastAsia="Times New Roman" w:hAnsi="Arial" w:cs="Arial"/>
                <w:color w:val="000000"/>
                <w:sz w:val="16"/>
                <w:szCs w:val="16"/>
              </w:rPr>
              <w:t>Programs</w:t>
            </w:r>
          </w:p>
        </w:tc>
        <w:tc>
          <w:tcPr>
            <w:tcW w:w="900" w:type="dxa"/>
            <w:shd w:val="clear" w:color="auto" w:fill="auto"/>
            <w:noWrap/>
            <w:vAlign w:val="bottom"/>
            <w:hideMark/>
          </w:tcPr>
          <w:p w14:paraId="4DBB03F0"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7.2</w:t>
            </w:r>
          </w:p>
        </w:tc>
        <w:tc>
          <w:tcPr>
            <w:tcW w:w="900" w:type="dxa"/>
            <w:shd w:val="clear" w:color="auto" w:fill="auto"/>
            <w:noWrap/>
            <w:vAlign w:val="bottom"/>
            <w:hideMark/>
          </w:tcPr>
          <w:p w14:paraId="1A92E315"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7.9</w:t>
            </w:r>
          </w:p>
        </w:tc>
        <w:tc>
          <w:tcPr>
            <w:tcW w:w="900" w:type="dxa"/>
            <w:shd w:val="clear" w:color="auto" w:fill="auto"/>
            <w:noWrap/>
            <w:vAlign w:val="bottom"/>
            <w:hideMark/>
          </w:tcPr>
          <w:p w14:paraId="101E6EC1"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8.2</w:t>
            </w:r>
          </w:p>
        </w:tc>
        <w:tc>
          <w:tcPr>
            <w:tcW w:w="1080" w:type="dxa"/>
          </w:tcPr>
          <w:p w14:paraId="7A8B9895" w14:textId="77777777" w:rsidR="00D64D1A" w:rsidRPr="006031C5" w:rsidRDefault="00D64D1A" w:rsidP="00A27AD1">
            <w:pPr>
              <w:jc w:val="right"/>
              <w:rPr>
                <w:rFonts w:ascii="Arial" w:hAnsi="Arial" w:cs="Arial"/>
                <w:sz w:val="16"/>
                <w:szCs w:val="16"/>
              </w:rPr>
            </w:pPr>
            <w:r w:rsidRPr="006031C5">
              <w:rPr>
                <w:rFonts w:ascii="Arial" w:hAnsi="Arial" w:cs="Arial"/>
                <w:sz w:val="16"/>
                <w:szCs w:val="16"/>
              </w:rPr>
              <w:t>112,696.6</w:t>
            </w:r>
          </w:p>
        </w:tc>
        <w:tc>
          <w:tcPr>
            <w:tcW w:w="1080" w:type="dxa"/>
          </w:tcPr>
          <w:p w14:paraId="58698E5A" w14:textId="77777777" w:rsidR="00D64D1A" w:rsidRPr="006031C5" w:rsidRDefault="00D64D1A" w:rsidP="00A27AD1">
            <w:pPr>
              <w:jc w:val="right"/>
              <w:rPr>
                <w:rFonts w:ascii="Arial" w:hAnsi="Arial" w:cs="Arial"/>
                <w:sz w:val="16"/>
                <w:szCs w:val="16"/>
              </w:rPr>
            </w:pPr>
            <w:r w:rsidRPr="006031C5">
              <w:rPr>
                <w:rFonts w:ascii="Arial" w:hAnsi="Arial" w:cs="Arial"/>
                <w:sz w:val="16"/>
                <w:szCs w:val="16"/>
              </w:rPr>
              <w:t>133,502.4</w:t>
            </w:r>
          </w:p>
        </w:tc>
        <w:tc>
          <w:tcPr>
            <w:tcW w:w="1080" w:type="dxa"/>
          </w:tcPr>
          <w:p w14:paraId="64870735" w14:textId="77777777" w:rsidR="00D64D1A" w:rsidRPr="006031C5" w:rsidRDefault="00D64D1A" w:rsidP="00A27AD1">
            <w:pPr>
              <w:jc w:val="right"/>
              <w:rPr>
                <w:rFonts w:ascii="Arial" w:hAnsi="Arial" w:cs="Arial"/>
                <w:sz w:val="16"/>
                <w:szCs w:val="16"/>
              </w:rPr>
            </w:pPr>
            <w:r w:rsidRPr="006031C5">
              <w:rPr>
                <w:rFonts w:ascii="Arial" w:hAnsi="Arial" w:cs="Arial"/>
                <w:sz w:val="16"/>
                <w:szCs w:val="16"/>
              </w:rPr>
              <w:t>143,467.9</w:t>
            </w:r>
          </w:p>
        </w:tc>
      </w:tr>
      <w:tr w:rsidR="00D64D1A" w:rsidRPr="00435749" w14:paraId="0E402038" w14:textId="77777777" w:rsidTr="00774A3E">
        <w:trPr>
          <w:trHeight w:val="206"/>
        </w:trPr>
        <w:tc>
          <w:tcPr>
            <w:tcW w:w="5670" w:type="dxa"/>
            <w:shd w:val="clear" w:color="auto" w:fill="auto"/>
            <w:noWrap/>
            <w:vAlign w:val="bottom"/>
            <w:hideMark/>
          </w:tcPr>
          <w:p w14:paraId="2CA56A76" w14:textId="6459BB1E" w:rsidR="00D64D1A" w:rsidRPr="006031C5" w:rsidRDefault="00D64D1A" w:rsidP="00A27AD1">
            <w:pPr>
              <w:rPr>
                <w:rFonts w:ascii="Arial" w:eastAsia="Times New Roman" w:hAnsi="Arial" w:cs="Arial"/>
                <w:sz w:val="16"/>
                <w:szCs w:val="16"/>
              </w:rPr>
            </w:pPr>
            <w:r w:rsidRPr="006031C5">
              <w:rPr>
                <w:rFonts w:ascii="Arial" w:eastAsia="Times New Roman" w:hAnsi="Arial" w:cs="Arial"/>
                <w:color w:val="000000"/>
                <w:sz w:val="16"/>
                <w:szCs w:val="16"/>
              </w:rPr>
              <w:t>Capital Expenditure</w:t>
            </w:r>
          </w:p>
        </w:tc>
        <w:tc>
          <w:tcPr>
            <w:tcW w:w="900" w:type="dxa"/>
            <w:shd w:val="clear" w:color="auto" w:fill="auto"/>
            <w:noWrap/>
            <w:vAlign w:val="bottom"/>
            <w:hideMark/>
          </w:tcPr>
          <w:p w14:paraId="60F208E8"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1.5</w:t>
            </w:r>
          </w:p>
        </w:tc>
        <w:tc>
          <w:tcPr>
            <w:tcW w:w="900" w:type="dxa"/>
            <w:shd w:val="clear" w:color="auto" w:fill="auto"/>
            <w:noWrap/>
            <w:vAlign w:val="bottom"/>
            <w:hideMark/>
          </w:tcPr>
          <w:p w14:paraId="404C9688"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1.9</w:t>
            </w:r>
          </w:p>
        </w:tc>
        <w:tc>
          <w:tcPr>
            <w:tcW w:w="900" w:type="dxa"/>
            <w:shd w:val="clear" w:color="auto" w:fill="auto"/>
            <w:noWrap/>
            <w:vAlign w:val="bottom"/>
            <w:hideMark/>
          </w:tcPr>
          <w:p w14:paraId="5537A89C"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2.5</w:t>
            </w:r>
          </w:p>
        </w:tc>
        <w:tc>
          <w:tcPr>
            <w:tcW w:w="1080" w:type="dxa"/>
          </w:tcPr>
          <w:p w14:paraId="534C5445" w14:textId="77777777" w:rsidR="00D64D1A" w:rsidRPr="006031C5" w:rsidRDefault="00D64D1A" w:rsidP="00A27AD1">
            <w:pPr>
              <w:jc w:val="right"/>
              <w:rPr>
                <w:rFonts w:ascii="Arial" w:hAnsi="Arial" w:cs="Arial"/>
                <w:sz w:val="16"/>
                <w:szCs w:val="16"/>
              </w:rPr>
            </w:pPr>
            <w:r w:rsidRPr="006031C5">
              <w:rPr>
                <w:rFonts w:ascii="Arial" w:hAnsi="Arial" w:cs="Arial"/>
                <w:sz w:val="16"/>
                <w:szCs w:val="16"/>
              </w:rPr>
              <w:t>23,019.0</w:t>
            </w:r>
          </w:p>
        </w:tc>
        <w:tc>
          <w:tcPr>
            <w:tcW w:w="1080" w:type="dxa"/>
          </w:tcPr>
          <w:p w14:paraId="3249AE9D" w14:textId="77777777" w:rsidR="00D64D1A" w:rsidRPr="006031C5" w:rsidRDefault="00D64D1A" w:rsidP="00A27AD1">
            <w:pPr>
              <w:jc w:val="right"/>
              <w:rPr>
                <w:rFonts w:ascii="Arial" w:hAnsi="Arial" w:cs="Arial"/>
                <w:sz w:val="16"/>
                <w:szCs w:val="16"/>
              </w:rPr>
            </w:pPr>
            <w:r w:rsidRPr="006031C5">
              <w:rPr>
                <w:rFonts w:ascii="Arial" w:hAnsi="Arial" w:cs="Arial"/>
                <w:sz w:val="16"/>
                <w:szCs w:val="16"/>
              </w:rPr>
              <w:t>32,747.3</w:t>
            </w:r>
          </w:p>
        </w:tc>
        <w:tc>
          <w:tcPr>
            <w:tcW w:w="1080" w:type="dxa"/>
          </w:tcPr>
          <w:p w14:paraId="4FBC84D1" w14:textId="77777777" w:rsidR="00D64D1A" w:rsidRPr="006031C5" w:rsidRDefault="00D64D1A" w:rsidP="00A27AD1">
            <w:pPr>
              <w:jc w:val="right"/>
              <w:rPr>
                <w:rFonts w:ascii="Arial" w:hAnsi="Arial" w:cs="Arial"/>
                <w:sz w:val="16"/>
                <w:szCs w:val="16"/>
              </w:rPr>
            </w:pPr>
            <w:r w:rsidRPr="006031C5">
              <w:rPr>
                <w:rFonts w:ascii="Arial" w:hAnsi="Arial" w:cs="Arial"/>
                <w:sz w:val="16"/>
                <w:szCs w:val="16"/>
              </w:rPr>
              <w:t>44,801.6</w:t>
            </w:r>
          </w:p>
        </w:tc>
      </w:tr>
      <w:tr w:rsidR="00D64D1A" w:rsidRPr="00435749" w14:paraId="424C03FF" w14:textId="77777777" w:rsidTr="00774A3E">
        <w:trPr>
          <w:trHeight w:val="197"/>
        </w:trPr>
        <w:tc>
          <w:tcPr>
            <w:tcW w:w="5670" w:type="dxa"/>
            <w:shd w:val="clear" w:color="auto" w:fill="auto"/>
            <w:noWrap/>
            <w:vAlign w:val="bottom"/>
            <w:hideMark/>
          </w:tcPr>
          <w:p w14:paraId="4D20B319" w14:textId="77777777" w:rsidR="00D64D1A" w:rsidRPr="006031C5" w:rsidRDefault="00D64D1A" w:rsidP="006031C5">
            <w:pPr>
              <w:rPr>
                <w:rFonts w:ascii="Arial" w:eastAsia="Times New Roman" w:hAnsi="Arial" w:cs="Arial"/>
                <w:sz w:val="16"/>
                <w:szCs w:val="16"/>
              </w:rPr>
            </w:pPr>
            <w:r w:rsidRPr="006031C5">
              <w:rPr>
                <w:rFonts w:ascii="Arial" w:eastAsia="Times New Roman" w:hAnsi="Arial" w:cs="Arial"/>
                <w:color w:val="000000"/>
                <w:sz w:val="16"/>
                <w:szCs w:val="16"/>
              </w:rPr>
              <w:t>Total Primary expenditure (current)</w:t>
            </w:r>
          </w:p>
        </w:tc>
        <w:tc>
          <w:tcPr>
            <w:tcW w:w="900" w:type="dxa"/>
            <w:shd w:val="clear" w:color="auto" w:fill="auto"/>
            <w:noWrap/>
            <w:vAlign w:val="bottom"/>
            <w:hideMark/>
          </w:tcPr>
          <w:p w14:paraId="7A83AD1B"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18.8</w:t>
            </w:r>
          </w:p>
        </w:tc>
        <w:tc>
          <w:tcPr>
            <w:tcW w:w="900" w:type="dxa"/>
            <w:shd w:val="clear" w:color="auto" w:fill="auto"/>
            <w:noWrap/>
            <w:vAlign w:val="bottom"/>
            <w:hideMark/>
          </w:tcPr>
          <w:p w14:paraId="2894DBA6"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19.8</w:t>
            </w:r>
          </w:p>
        </w:tc>
        <w:tc>
          <w:tcPr>
            <w:tcW w:w="900" w:type="dxa"/>
            <w:shd w:val="clear" w:color="auto" w:fill="auto"/>
            <w:noWrap/>
            <w:vAlign w:val="bottom"/>
            <w:hideMark/>
          </w:tcPr>
          <w:p w14:paraId="71BB2613"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20.9</w:t>
            </w:r>
          </w:p>
        </w:tc>
        <w:tc>
          <w:tcPr>
            <w:tcW w:w="1080" w:type="dxa"/>
            <w:vAlign w:val="bottom"/>
          </w:tcPr>
          <w:p w14:paraId="33B09EA4"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294,474.2</w:t>
            </w:r>
          </w:p>
        </w:tc>
        <w:tc>
          <w:tcPr>
            <w:tcW w:w="1080" w:type="dxa"/>
            <w:vAlign w:val="bottom"/>
          </w:tcPr>
          <w:p w14:paraId="19C2B73F"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335,039.9</w:t>
            </w:r>
          </w:p>
        </w:tc>
        <w:tc>
          <w:tcPr>
            <w:tcW w:w="1080" w:type="dxa"/>
            <w:vAlign w:val="bottom"/>
          </w:tcPr>
          <w:p w14:paraId="5DFCB22B"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368,203.1</w:t>
            </w:r>
          </w:p>
        </w:tc>
      </w:tr>
      <w:tr w:rsidR="00D64D1A" w:rsidRPr="00435749" w14:paraId="1C5EF2B1" w14:textId="77777777" w:rsidTr="00774A3E">
        <w:trPr>
          <w:trHeight w:val="197"/>
        </w:trPr>
        <w:tc>
          <w:tcPr>
            <w:tcW w:w="5670" w:type="dxa"/>
            <w:shd w:val="clear" w:color="auto" w:fill="auto"/>
            <w:noWrap/>
            <w:vAlign w:val="bottom"/>
          </w:tcPr>
          <w:p w14:paraId="79422872" w14:textId="1A7D9B73" w:rsidR="00D64D1A" w:rsidRPr="006031C5" w:rsidRDefault="00D64D1A" w:rsidP="006031C5">
            <w:pPr>
              <w:rPr>
                <w:rFonts w:ascii="Arial" w:eastAsia="Times New Roman" w:hAnsi="Arial" w:cs="Arial"/>
                <w:sz w:val="16"/>
                <w:szCs w:val="16"/>
              </w:rPr>
            </w:pPr>
            <w:r w:rsidRPr="006031C5">
              <w:rPr>
                <w:rFonts w:ascii="Arial" w:eastAsia="Times New Roman" w:hAnsi="Arial" w:cs="Arial"/>
                <w:color w:val="000000"/>
                <w:sz w:val="16"/>
                <w:szCs w:val="16"/>
              </w:rPr>
              <w:t>CPI (Dec</w:t>
            </w:r>
            <w:r>
              <w:rPr>
                <w:rFonts w:ascii="Arial" w:eastAsia="Times New Roman" w:hAnsi="Arial" w:cs="Arial"/>
                <w:color w:val="000000"/>
                <w:sz w:val="16"/>
                <w:szCs w:val="16"/>
              </w:rPr>
              <w:t xml:space="preserve">. </w:t>
            </w:r>
            <w:r w:rsidRPr="006031C5">
              <w:rPr>
                <w:rFonts w:ascii="Arial" w:eastAsia="Times New Roman" w:hAnsi="Arial" w:cs="Arial"/>
                <w:color w:val="000000"/>
                <w:sz w:val="16"/>
                <w:szCs w:val="16"/>
              </w:rPr>
              <w:t xml:space="preserve">2006 = 100) (BoJ </w:t>
            </w:r>
            <w:r w:rsidRPr="006031C5">
              <w:rPr>
                <w:rFonts w:ascii="Arial" w:eastAsia="Times New Roman" w:hAnsi="Arial" w:cs="Arial"/>
                <w:color w:val="000000"/>
                <w:sz w:val="16"/>
                <w:szCs w:val="16"/>
                <w:u w:val="single"/>
              </w:rPr>
              <w:t>Econ Stats</w:t>
            </w:r>
            <w:r w:rsidRPr="006031C5">
              <w:rPr>
                <w:rFonts w:ascii="Arial" w:eastAsia="Times New Roman" w:hAnsi="Arial" w:cs="Arial"/>
                <w:color w:val="000000"/>
                <w:sz w:val="16"/>
                <w:szCs w:val="16"/>
              </w:rPr>
              <w:t xml:space="preserve"> table VIII)</w:t>
            </w:r>
          </w:p>
        </w:tc>
        <w:tc>
          <w:tcPr>
            <w:tcW w:w="900" w:type="dxa"/>
            <w:shd w:val="clear" w:color="auto" w:fill="auto"/>
            <w:noWrap/>
            <w:vAlign w:val="bottom"/>
          </w:tcPr>
          <w:p w14:paraId="7A16A34F" w14:textId="77777777" w:rsidR="00D64D1A" w:rsidRPr="006031C5" w:rsidRDefault="00D64D1A" w:rsidP="00A27AD1">
            <w:pPr>
              <w:jc w:val="right"/>
              <w:rPr>
                <w:rFonts w:ascii="Arial" w:eastAsia="Times New Roman" w:hAnsi="Arial" w:cs="Arial"/>
                <w:color w:val="000000"/>
                <w:sz w:val="16"/>
                <w:szCs w:val="16"/>
              </w:rPr>
            </w:pPr>
          </w:p>
        </w:tc>
        <w:tc>
          <w:tcPr>
            <w:tcW w:w="900" w:type="dxa"/>
            <w:shd w:val="clear" w:color="auto" w:fill="auto"/>
            <w:noWrap/>
            <w:vAlign w:val="bottom"/>
          </w:tcPr>
          <w:p w14:paraId="5183FE51" w14:textId="77777777" w:rsidR="00D64D1A" w:rsidRPr="006031C5" w:rsidRDefault="00D64D1A" w:rsidP="00A27AD1">
            <w:pPr>
              <w:jc w:val="right"/>
              <w:rPr>
                <w:rFonts w:ascii="Arial" w:eastAsia="Times New Roman" w:hAnsi="Arial" w:cs="Arial"/>
                <w:color w:val="000000"/>
                <w:sz w:val="16"/>
                <w:szCs w:val="16"/>
              </w:rPr>
            </w:pPr>
          </w:p>
        </w:tc>
        <w:tc>
          <w:tcPr>
            <w:tcW w:w="900" w:type="dxa"/>
            <w:shd w:val="clear" w:color="auto" w:fill="auto"/>
            <w:noWrap/>
            <w:vAlign w:val="bottom"/>
          </w:tcPr>
          <w:p w14:paraId="4FC04390" w14:textId="77777777" w:rsidR="00D64D1A" w:rsidRPr="006031C5" w:rsidRDefault="00D64D1A" w:rsidP="00A27AD1">
            <w:pPr>
              <w:jc w:val="right"/>
              <w:rPr>
                <w:rFonts w:ascii="Arial" w:eastAsia="Times New Roman" w:hAnsi="Arial" w:cs="Arial"/>
                <w:color w:val="000000"/>
                <w:sz w:val="16"/>
                <w:szCs w:val="16"/>
              </w:rPr>
            </w:pPr>
          </w:p>
        </w:tc>
        <w:tc>
          <w:tcPr>
            <w:tcW w:w="1080" w:type="dxa"/>
          </w:tcPr>
          <w:p w14:paraId="1DECD8DC" w14:textId="77777777" w:rsidR="00D64D1A" w:rsidRPr="006031C5" w:rsidRDefault="00D64D1A" w:rsidP="00A27AD1">
            <w:pPr>
              <w:pStyle w:val="NormalWeb"/>
              <w:jc w:val="right"/>
              <w:rPr>
                <w:rFonts w:ascii="Arial" w:eastAsia="Times New Roman" w:hAnsi="Arial" w:cs="Arial"/>
                <w:color w:val="000000"/>
                <w:sz w:val="16"/>
                <w:szCs w:val="16"/>
              </w:rPr>
            </w:pPr>
            <w:r w:rsidRPr="006031C5">
              <w:rPr>
                <w:rFonts w:ascii="Arial" w:hAnsi="Arial" w:cs="Arial"/>
                <w:sz w:val="16"/>
                <w:szCs w:val="16"/>
              </w:rPr>
              <w:t xml:space="preserve">223.1 </w:t>
            </w:r>
          </w:p>
        </w:tc>
        <w:tc>
          <w:tcPr>
            <w:tcW w:w="1080" w:type="dxa"/>
            <w:vAlign w:val="bottom"/>
          </w:tcPr>
          <w:p w14:paraId="224838D4"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229.6</w:t>
            </w:r>
          </w:p>
        </w:tc>
        <w:tc>
          <w:tcPr>
            <w:tcW w:w="1080" w:type="dxa"/>
            <w:vAlign w:val="bottom"/>
          </w:tcPr>
          <w:p w14:paraId="47B8ECBD" w14:textId="77777777" w:rsidR="00D64D1A" w:rsidRPr="006031C5" w:rsidRDefault="00D64D1A" w:rsidP="00A27AD1">
            <w:pPr>
              <w:jc w:val="right"/>
              <w:rPr>
                <w:rFonts w:ascii="Arial" w:eastAsia="Times New Roman" w:hAnsi="Arial" w:cs="Arial"/>
                <w:color w:val="000000"/>
                <w:sz w:val="16"/>
                <w:szCs w:val="16"/>
              </w:rPr>
            </w:pPr>
            <w:r w:rsidRPr="006031C5">
              <w:rPr>
                <w:rFonts w:ascii="Arial" w:eastAsia="Times New Roman" w:hAnsi="Arial" w:cs="Arial"/>
                <w:color w:val="000000"/>
                <w:sz w:val="16"/>
                <w:szCs w:val="16"/>
              </w:rPr>
              <w:t>237.8</w:t>
            </w:r>
          </w:p>
        </w:tc>
      </w:tr>
      <w:tr w:rsidR="00D64D1A" w:rsidRPr="00435749" w14:paraId="15E1C8E3" w14:textId="77777777" w:rsidTr="00774A3E">
        <w:trPr>
          <w:trHeight w:val="162"/>
        </w:trPr>
        <w:tc>
          <w:tcPr>
            <w:tcW w:w="5670" w:type="dxa"/>
            <w:shd w:val="clear" w:color="auto" w:fill="auto"/>
            <w:noWrap/>
            <w:vAlign w:val="bottom"/>
          </w:tcPr>
          <w:p w14:paraId="01913696" w14:textId="39CB35E6" w:rsidR="00D64D1A" w:rsidRPr="00AA778C" w:rsidRDefault="00D64D1A" w:rsidP="00071C53">
            <w:pPr>
              <w:rPr>
                <w:rFonts w:ascii="Arial" w:eastAsia="Times New Roman" w:hAnsi="Arial" w:cs="Arial"/>
                <w:sz w:val="16"/>
                <w:szCs w:val="16"/>
              </w:rPr>
            </w:pPr>
            <w:r w:rsidRPr="00AA778C">
              <w:rPr>
                <w:rFonts w:ascii="Arial" w:eastAsia="Times New Roman" w:hAnsi="Arial" w:cs="Arial"/>
                <w:color w:val="000000"/>
                <w:sz w:val="16"/>
                <w:szCs w:val="16"/>
              </w:rPr>
              <w:t xml:space="preserve"> Primary expenditure in constant 2006 J$</w:t>
            </w:r>
          </w:p>
        </w:tc>
        <w:tc>
          <w:tcPr>
            <w:tcW w:w="900" w:type="dxa"/>
            <w:shd w:val="clear" w:color="auto" w:fill="auto"/>
            <w:noWrap/>
            <w:vAlign w:val="bottom"/>
          </w:tcPr>
          <w:p w14:paraId="3AE7DA81" w14:textId="77777777" w:rsidR="00D64D1A" w:rsidRPr="00AA778C" w:rsidRDefault="00D64D1A" w:rsidP="00A27AD1">
            <w:pPr>
              <w:jc w:val="right"/>
              <w:rPr>
                <w:rFonts w:ascii="Arial" w:eastAsia="Times New Roman" w:hAnsi="Arial" w:cs="Arial"/>
                <w:color w:val="000000"/>
                <w:sz w:val="16"/>
                <w:szCs w:val="16"/>
              </w:rPr>
            </w:pPr>
          </w:p>
        </w:tc>
        <w:tc>
          <w:tcPr>
            <w:tcW w:w="900" w:type="dxa"/>
            <w:shd w:val="clear" w:color="auto" w:fill="auto"/>
            <w:noWrap/>
            <w:vAlign w:val="bottom"/>
          </w:tcPr>
          <w:p w14:paraId="6BB661AD" w14:textId="77777777" w:rsidR="00D64D1A" w:rsidRPr="00AA778C" w:rsidRDefault="00D64D1A" w:rsidP="00A27AD1">
            <w:pPr>
              <w:jc w:val="right"/>
              <w:rPr>
                <w:rFonts w:ascii="Arial" w:eastAsia="Times New Roman" w:hAnsi="Arial" w:cs="Arial"/>
                <w:color w:val="000000"/>
                <w:sz w:val="16"/>
                <w:szCs w:val="16"/>
              </w:rPr>
            </w:pPr>
          </w:p>
        </w:tc>
        <w:tc>
          <w:tcPr>
            <w:tcW w:w="900" w:type="dxa"/>
            <w:shd w:val="clear" w:color="auto" w:fill="auto"/>
            <w:noWrap/>
            <w:vAlign w:val="bottom"/>
          </w:tcPr>
          <w:p w14:paraId="4ECE14D8" w14:textId="77777777" w:rsidR="00D64D1A" w:rsidRPr="00AA778C" w:rsidRDefault="00D64D1A" w:rsidP="00A27AD1">
            <w:pPr>
              <w:jc w:val="right"/>
              <w:rPr>
                <w:rFonts w:ascii="Arial" w:eastAsia="Times New Roman" w:hAnsi="Arial" w:cs="Arial"/>
                <w:color w:val="000000"/>
                <w:sz w:val="16"/>
                <w:szCs w:val="16"/>
              </w:rPr>
            </w:pPr>
          </w:p>
        </w:tc>
        <w:tc>
          <w:tcPr>
            <w:tcW w:w="1080" w:type="dxa"/>
            <w:vAlign w:val="bottom"/>
          </w:tcPr>
          <w:p w14:paraId="53028AFE" w14:textId="77777777" w:rsidR="00D64D1A" w:rsidRPr="00AA778C" w:rsidRDefault="00D64D1A" w:rsidP="00A27AD1">
            <w:pPr>
              <w:jc w:val="right"/>
              <w:rPr>
                <w:rFonts w:ascii="Arial" w:eastAsia="Times New Roman" w:hAnsi="Arial" w:cs="Arial"/>
                <w:color w:val="000000"/>
                <w:sz w:val="16"/>
                <w:szCs w:val="16"/>
              </w:rPr>
            </w:pPr>
            <w:r w:rsidRPr="00AA778C">
              <w:rPr>
                <w:rFonts w:ascii="Arial" w:eastAsia="Times New Roman" w:hAnsi="Arial" w:cs="Arial"/>
                <w:color w:val="000000"/>
                <w:sz w:val="16"/>
                <w:szCs w:val="16"/>
              </w:rPr>
              <w:t>131,992.0</w:t>
            </w:r>
          </w:p>
        </w:tc>
        <w:tc>
          <w:tcPr>
            <w:tcW w:w="1080" w:type="dxa"/>
            <w:vAlign w:val="bottom"/>
          </w:tcPr>
          <w:p w14:paraId="239B1B06" w14:textId="77777777" w:rsidR="00D64D1A" w:rsidRPr="00AA778C" w:rsidRDefault="00D64D1A" w:rsidP="00A27AD1">
            <w:pPr>
              <w:jc w:val="right"/>
              <w:rPr>
                <w:rFonts w:ascii="Arial" w:eastAsia="Times New Roman" w:hAnsi="Arial" w:cs="Arial"/>
                <w:color w:val="000000"/>
                <w:sz w:val="16"/>
                <w:szCs w:val="16"/>
              </w:rPr>
            </w:pPr>
            <w:r w:rsidRPr="00AA778C">
              <w:rPr>
                <w:rFonts w:ascii="Arial" w:eastAsia="Times New Roman" w:hAnsi="Arial" w:cs="Arial"/>
                <w:color w:val="000000"/>
                <w:sz w:val="16"/>
                <w:szCs w:val="16"/>
              </w:rPr>
              <w:t>145,923.3</w:t>
            </w:r>
          </w:p>
        </w:tc>
        <w:tc>
          <w:tcPr>
            <w:tcW w:w="1080" w:type="dxa"/>
            <w:vAlign w:val="bottom"/>
          </w:tcPr>
          <w:p w14:paraId="10688C79" w14:textId="77777777" w:rsidR="00D64D1A" w:rsidRPr="00AA778C" w:rsidRDefault="00D64D1A" w:rsidP="00A27AD1">
            <w:pPr>
              <w:jc w:val="right"/>
              <w:rPr>
                <w:rFonts w:ascii="Arial" w:eastAsia="Times New Roman" w:hAnsi="Arial" w:cs="Arial"/>
                <w:color w:val="000000"/>
                <w:sz w:val="16"/>
                <w:szCs w:val="16"/>
              </w:rPr>
            </w:pPr>
            <w:r w:rsidRPr="00AA778C">
              <w:rPr>
                <w:rFonts w:ascii="Arial" w:eastAsia="Times New Roman" w:hAnsi="Arial" w:cs="Arial"/>
                <w:color w:val="000000"/>
                <w:sz w:val="16"/>
                <w:szCs w:val="16"/>
              </w:rPr>
              <w:t>154,837.3</w:t>
            </w:r>
          </w:p>
        </w:tc>
      </w:tr>
    </w:tbl>
    <w:p w14:paraId="2E77676C" w14:textId="3FB14F18" w:rsidR="00D64D1A" w:rsidRPr="009E6EDE" w:rsidRDefault="00D64D1A">
      <w:pPr>
        <w:pStyle w:val="FootnoteText"/>
        <w:rPr>
          <w:lang w:val="en-US"/>
        </w:rPr>
      </w:pPr>
    </w:p>
  </w:footnote>
  <w:footnote w:id="85">
    <w:p w14:paraId="15E9BE4F" w14:textId="79B375B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“FSPG I, II, &amp; III” refer to the respective FISPEG operations. The term “product” followed by a number refers to the products (outputs) that are specified in the Results Matrix of the corresponding operation. The term “contract section” refers to the section of the respective Loan Contract</w:t>
      </w:r>
    </w:p>
  </w:footnote>
  <w:footnote w:id="86">
    <w:p w14:paraId="15772902" w14:textId="21037CDC" w:rsidR="00D64D1A" w:rsidRPr="00040AA9" w:rsidRDefault="00D64D1A" w:rsidP="00040AA9">
      <w:pPr>
        <w:pStyle w:val="FootnoteText"/>
        <w:ind w:left="360" w:hanging="360"/>
        <w:jc w:val="both"/>
        <w:rPr>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This proclamation supersedes and can be considered a satisfactory substitute for the specified “work plan”</w:t>
      </w:r>
    </w:p>
  </w:footnote>
  <w:footnote w:id="87">
    <w:p w14:paraId="7DFA365A" w14:textId="43DF8BF3"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No “indicator of std. deviation” was developed as such, but the MOV only calls for a “letter from the FS…” which arguably is satisfied by the evidence submitted, to wit: The following documents were submitted as providing evidence: (a) The Customs Tariff (Revision) (Amendment) Resolution, 2013, (b) The Stamp Duty (Amendment of Schedule) Order, 2013. (Note: the 5% represents most basic consumption goods. See evidence supplied (National </w:t>
      </w:r>
      <w:r w:rsidRPr="00A7697F">
        <w:rPr>
          <w:rFonts w:ascii="Arial" w:hAnsi="Arial" w:cs="Arial"/>
          <w:sz w:val="18"/>
          <w:szCs w:val="18"/>
        </w:rPr>
        <w:t>Tariff Amendment</w:t>
      </w:r>
      <w:r w:rsidRPr="00040AA9">
        <w:rPr>
          <w:rFonts w:ascii="Arial" w:hAnsi="Arial" w:cs="Arial"/>
          <w:sz w:val="18"/>
          <w:szCs w:val="18"/>
        </w:rPr>
        <w:t xml:space="preserve"> No 3 Resolution 2013 (JA-L1038))</w:t>
      </w:r>
    </w:p>
  </w:footnote>
  <w:footnote w:id="88">
    <w:p w14:paraId="2DF8C9A7" w14:textId="033B4AF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FS’s Nov. 8</w:t>
      </w:r>
      <w:r>
        <w:rPr>
          <w:rFonts w:ascii="Arial" w:hAnsi="Arial" w:cs="Arial"/>
          <w:sz w:val="18"/>
          <w:szCs w:val="18"/>
          <w:lang w:val="en-US"/>
        </w:rPr>
        <w:t>,</w:t>
      </w:r>
      <w:r w:rsidRPr="00040AA9">
        <w:rPr>
          <w:rFonts w:ascii="Arial" w:hAnsi="Arial" w:cs="Arial"/>
          <w:sz w:val="18"/>
          <w:szCs w:val="18"/>
          <w:lang w:val="en-US"/>
        </w:rPr>
        <w:t xml:space="preserve"> 2016 letter includes the following attachment: Report on the Fiscal Incentives Regime. The letter makes reference to the Customs Tariff (Revision) (Amendment) Resolution, 2013 which had been provided previously.</w:t>
      </w:r>
    </w:p>
  </w:footnote>
  <w:footnote w:id="89">
    <w:p w14:paraId="0311E97E" w14:textId="644367DE"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FS’s Nov. 8</w:t>
      </w:r>
      <w:r>
        <w:rPr>
          <w:rFonts w:ascii="Arial" w:hAnsi="Arial" w:cs="Arial"/>
          <w:sz w:val="18"/>
          <w:szCs w:val="18"/>
          <w:lang w:val="en-US"/>
        </w:rPr>
        <w:t>,</w:t>
      </w:r>
      <w:r w:rsidRPr="00040AA9">
        <w:rPr>
          <w:rFonts w:ascii="Arial" w:hAnsi="Arial" w:cs="Arial"/>
          <w:sz w:val="18"/>
          <w:szCs w:val="18"/>
          <w:lang w:val="en-US"/>
        </w:rPr>
        <w:t xml:space="preserve"> 2016 letter makes reference to the Customs Tariff (Revision) (Amendment) Resolution, 2013 which had been provided previously.</w:t>
      </w:r>
    </w:p>
  </w:footnote>
  <w:footnote w:id="90">
    <w:p w14:paraId="35B82974" w14:textId="7951BDFF" w:rsidR="00D64D1A" w:rsidRPr="00040AA9" w:rsidRDefault="00D64D1A" w:rsidP="00040AA9">
      <w:pPr>
        <w:pStyle w:val="FootnoteText"/>
        <w:ind w:left="360" w:hanging="360"/>
        <w:jc w:val="both"/>
        <w:rPr>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This Act manifests the results of the work plan, thereby can be considered to be a satisfactory substitute for the specified “work plan</w:t>
      </w:r>
    </w:p>
  </w:footnote>
  <w:footnote w:id="91">
    <w:p w14:paraId="54292831" w14:textId="0E1D492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Nov. 8, 2016 letter from the FS to the Bank refers to the Fiscal Incentives (Miscellaneous Provisions) Act of 2013 which originally stipulated this provision. </w:t>
      </w:r>
    </w:p>
  </w:footnote>
  <w:footnote w:id="92">
    <w:p w14:paraId="66539C35" w14:textId="48CB78F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FS’s Nov. 8 2016 letter includes the required TAJ letter as follows: Letter dated July 20, 2016 from the Commissioner General of the TAJ which refers (in Section C1 of the TAJ letter) to maintaining the provisions of the Charities Act and Fiscal Incentives Act, both approved in 2013.</w:t>
      </w:r>
    </w:p>
  </w:footnote>
  <w:footnote w:id="93">
    <w:p w14:paraId="5C0DA694" w14:textId="7208C97C" w:rsidR="00D64D1A" w:rsidRPr="00040AA9" w:rsidRDefault="00D64D1A" w:rsidP="009007DC">
      <w:pPr>
        <w:suppressAutoHyphens/>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Included at the end of the Act is a </w:t>
      </w:r>
      <w:r w:rsidRPr="00040AA9">
        <w:rPr>
          <w:rFonts w:ascii="Arial" w:hAnsi="Arial" w:cs="Arial"/>
          <w:i/>
          <w:sz w:val="18"/>
          <w:szCs w:val="18"/>
        </w:rPr>
        <w:t>Memorandum of Objects and Reasons</w:t>
      </w:r>
      <w:r w:rsidRPr="00040AA9">
        <w:rPr>
          <w:rFonts w:ascii="Arial" w:hAnsi="Arial" w:cs="Arial"/>
          <w:sz w:val="18"/>
          <w:szCs w:val="18"/>
        </w:rPr>
        <w:t xml:space="preserve"> which states: “This Bill seeks to make permanent the minimum business tax that was initially imposed by Orders made under the </w:t>
      </w:r>
      <w:r w:rsidRPr="00040AA9">
        <w:rPr>
          <w:rFonts w:ascii="Arial" w:hAnsi="Arial" w:cs="Arial"/>
          <w:i/>
          <w:sz w:val="18"/>
          <w:szCs w:val="18"/>
        </w:rPr>
        <w:t>Provisional Collection of Tax Act. …</w:t>
      </w:r>
      <w:r w:rsidRPr="00A7697F">
        <w:rPr>
          <w:rFonts w:ascii="Arial" w:hAnsi="Arial" w:cs="Arial"/>
          <w:sz w:val="18"/>
          <w:szCs w:val="18"/>
        </w:rPr>
        <w:t>By</w:t>
      </w:r>
      <w:r w:rsidRPr="00040AA9">
        <w:rPr>
          <w:rFonts w:ascii="Arial" w:hAnsi="Arial" w:cs="Arial"/>
          <w:sz w:val="18"/>
          <w:szCs w:val="18"/>
        </w:rPr>
        <w:t xml:space="preserve"> the Orders not having been confirmed by resolution of the House of Representatives as statutorily required, this Bill also provides for the validation of the imposition and collection of the tax prior to the coming into operation of this Act” Peter D. Phillips M.P Minister of Finance and Planning</w:t>
      </w:r>
    </w:p>
  </w:footnote>
  <w:footnote w:id="94">
    <w:p w14:paraId="38EFD95C" w14:textId="656A2A37"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FS’s Nov. 8</w:t>
      </w:r>
      <w:r>
        <w:rPr>
          <w:rFonts w:ascii="Arial" w:hAnsi="Arial" w:cs="Arial"/>
          <w:sz w:val="18"/>
          <w:szCs w:val="18"/>
          <w:lang w:val="en-US"/>
        </w:rPr>
        <w:t>,</w:t>
      </w:r>
      <w:r w:rsidRPr="00040AA9">
        <w:rPr>
          <w:rFonts w:ascii="Arial" w:hAnsi="Arial" w:cs="Arial"/>
          <w:sz w:val="18"/>
          <w:szCs w:val="18"/>
          <w:lang w:val="en-US"/>
        </w:rPr>
        <w:t xml:space="preserve"> 2016 letter includes the following attachment: a copy of the Minimum Business Tax Act</w:t>
      </w:r>
    </w:p>
  </w:footnote>
  <w:footnote w:id="95">
    <w:p w14:paraId="09451F32" w14:textId="28672708"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Note: While the recommendations of the Bank-sponsored study were considered (per evidence submitted in compliance with Indicator II.5.1) and thereby demonstrating achievement of Indicator II.5.2, no further action on these recommendations was taken for the following reason: Rather than implementing the agreed recommendations of the Bank sponsored study, as stipulated in the policy matrix for FISPEG II, it was agreed for the third operation that a new Special Consumption Tax (SCT) for LNG would be implemented because “According to the Ministry of Finance, the recommendation to implement GCT would pose an administrative burden and would put the tax revenues at risk. SCT is collected from only three taxpayers and therefore according to the MOF, tax collection is a more effective approach.”</w:t>
      </w:r>
      <w:r w:rsidRPr="00040AA9">
        <w:rPr>
          <w:rStyle w:val="FootnoteReference"/>
          <w:rFonts w:ascii="Arial" w:hAnsi="Arial" w:cs="Arial"/>
          <w:sz w:val="18"/>
          <w:szCs w:val="18"/>
          <w:lang w:val="en-US"/>
        </w:rPr>
        <w:t xml:space="preserve"> </w:t>
      </w:r>
      <w:r w:rsidRPr="00040AA9">
        <w:rPr>
          <w:rFonts w:ascii="Arial" w:hAnsi="Arial" w:cs="Arial"/>
          <w:sz w:val="18"/>
          <w:szCs w:val="18"/>
          <w:lang w:val="en-US"/>
        </w:rPr>
        <w:t xml:space="preserve">(Comparative Policy </w:t>
      </w:r>
      <w:r w:rsidRPr="00A25A0A">
        <w:rPr>
          <w:rFonts w:ascii="Arial" w:hAnsi="Arial" w:cs="Arial"/>
          <w:sz w:val="18"/>
          <w:szCs w:val="18"/>
          <w:lang w:val="en-US"/>
        </w:rPr>
        <w:t>Matrix -</w:t>
      </w:r>
      <w:r w:rsidRPr="00040AA9">
        <w:rPr>
          <w:rFonts w:ascii="Arial" w:hAnsi="Arial" w:cs="Arial"/>
          <w:sz w:val="18"/>
          <w:szCs w:val="18"/>
          <w:lang w:val="en-US"/>
        </w:rPr>
        <w:t xml:space="preserve"> JA-L1055, p. 1). Proof of compliance with this revised FISPEG III loan condition is provided in </w:t>
      </w:r>
      <w:r w:rsidRPr="00A25A0A">
        <w:rPr>
          <w:rFonts w:ascii="Arial" w:hAnsi="Arial" w:cs="Arial"/>
          <w:sz w:val="18"/>
          <w:szCs w:val="18"/>
          <w:lang w:val="en-US"/>
        </w:rPr>
        <w:t>the Official</w:t>
      </w:r>
      <w:r w:rsidRPr="00040AA9">
        <w:rPr>
          <w:rFonts w:ascii="Arial" w:hAnsi="Arial" w:cs="Arial"/>
          <w:sz w:val="18"/>
          <w:szCs w:val="18"/>
          <w:lang w:val="en-US"/>
        </w:rPr>
        <w:t xml:space="preserve"> letter from Financial Secretary (FS) to the Bank dated Nov. 8, 2016 (part II.1.c.E) providing evidence of compliance with section 2.03.I.(a)(v) of the FISPEG III loan contract by way of transmitting</w:t>
      </w:r>
      <w:r>
        <w:rPr>
          <w:rFonts w:ascii="Arial" w:hAnsi="Arial" w:cs="Arial"/>
          <w:sz w:val="18"/>
          <w:szCs w:val="18"/>
          <w:lang w:val="en-US"/>
        </w:rPr>
        <w:t>:</w:t>
      </w:r>
      <w:r w:rsidRPr="00040AA9">
        <w:rPr>
          <w:rFonts w:ascii="Arial" w:hAnsi="Arial" w:cs="Arial"/>
          <w:sz w:val="18"/>
          <w:szCs w:val="18"/>
          <w:lang w:val="en-US"/>
        </w:rPr>
        <w:t xml:space="preserve"> (i) Ministry paper 33/16 containing “Revenue Measures for F</w:t>
      </w:r>
      <w:r>
        <w:rPr>
          <w:rFonts w:ascii="Arial" w:hAnsi="Arial" w:cs="Arial"/>
          <w:sz w:val="18"/>
          <w:szCs w:val="18"/>
          <w:lang w:val="en-US"/>
        </w:rPr>
        <w:t>Y</w:t>
      </w:r>
      <w:r w:rsidRPr="00040AA9">
        <w:rPr>
          <w:rFonts w:ascii="Arial" w:hAnsi="Arial" w:cs="Arial"/>
          <w:sz w:val="18"/>
          <w:szCs w:val="18"/>
          <w:lang w:val="en-US"/>
        </w:rPr>
        <w:t xml:space="preserve"> 2016/17” dated 12</w:t>
      </w:r>
      <w:r w:rsidRPr="00040AA9">
        <w:rPr>
          <w:rFonts w:ascii="Arial" w:hAnsi="Arial" w:cs="Arial"/>
          <w:sz w:val="18"/>
          <w:szCs w:val="18"/>
          <w:vertAlign w:val="superscript"/>
          <w:lang w:val="en-US"/>
        </w:rPr>
        <w:t>th</w:t>
      </w:r>
      <w:r w:rsidRPr="00040AA9">
        <w:rPr>
          <w:rFonts w:ascii="Arial" w:hAnsi="Arial" w:cs="Arial"/>
          <w:sz w:val="18"/>
          <w:szCs w:val="18"/>
          <w:lang w:val="en-US"/>
        </w:rPr>
        <w:t xml:space="preserve"> May 2016, and (ii)</w:t>
      </w:r>
      <w:r>
        <w:rPr>
          <w:rFonts w:ascii="Arial" w:hAnsi="Arial" w:cs="Arial"/>
          <w:sz w:val="18"/>
          <w:szCs w:val="18"/>
          <w:lang w:val="en-US"/>
        </w:rPr>
        <w:t> </w:t>
      </w:r>
      <w:r w:rsidRPr="00040AA9">
        <w:rPr>
          <w:rFonts w:ascii="Arial" w:hAnsi="Arial" w:cs="Arial"/>
          <w:i/>
          <w:sz w:val="18"/>
          <w:szCs w:val="18"/>
          <w:lang w:val="en-US"/>
        </w:rPr>
        <w:t xml:space="preserve">Provisional Collection of Tax (General Consumption Tax) Order, 201. </w:t>
      </w:r>
      <w:r w:rsidRPr="00040AA9">
        <w:rPr>
          <w:rFonts w:ascii="Arial" w:hAnsi="Arial" w:cs="Arial"/>
          <w:sz w:val="18"/>
          <w:szCs w:val="18"/>
          <w:lang w:val="en-US"/>
        </w:rPr>
        <w:t xml:space="preserve">See also Fiscal Policy Paper FY 2016/17 table 3A, p. 42 “Summary of Recommended Revenue Measures for FY 2015/16” </w:t>
      </w:r>
    </w:p>
  </w:footnote>
  <w:footnote w:id="96">
    <w:p w14:paraId="1EC37DD0" w14:textId="3F825557" w:rsidR="00D64D1A" w:rsidRPr="00040AA9" w:rsidRDefault="00D64D1A" w:rsidP="00040AA9">
      <w:pPr>
        <w:pStyle w:val="p1"/>
        <w:ind w:left="360" w:hanging="360"/>
        <w:jc w:val="both"/>
        <w:rPr>
          <w:rFonts w:ascii="Arial" w:hAnsi="Arial" w:cs="Arial"/>
        </w:rPr>
      </w:pPr>
      <w:r w:rsidRPr="00040AA9">
        <w:rPr>
          <w:rStyle w:val="FootnoteReference"/>
          <w:rFonts w:ascii="Arial" w:hAnsi="Arial" w:cs="Arial"/>
        </w:rPr>
        <w:footnoteRef/>
      </w:r>
      <w:r w:rsidRPr="00040AA9">
        <w:rPr>
          <w:rFonts w:ascii="Arial" w:hAnsi="Arial" w:cs="Arial"/>
        </w:rPr>
        <w:t xml:space="preserve"> </w:t>
      </w:r>
      <w:r w:rsidRPr="00040AA9">
        <w:rPr>
          <w:rFonts w:ascii="Arial" w:hAnsi="Arial" w:cs="Arial"/>
        </w:rPr>
        <w:tab/>
        <w:t>Section 2.03(b)(i) of the FISPEG I loan contract states: “The Borrower undertakes tax administration improvements to: (i) strengthen Tax Administration of Jamaica (TAJ) and Jamaica Customs Agency (JCA) enforcement capabilities by (A) Increasing the Large Taxpayer Office (LTO) professional staff from 90 to 120; (B) Strengthening powers to TAJ to mandate taxpayers e-filing; and (C) Issuing instructions for e-filing for all large taxpayers, all employers with 20 or more employees and GCT refund claims </w:t>
      </w:r>
    </w:p>
  </w:footnote>
  <w:footnote w:id="97">
    <w:p w14:paraId="47C317DE" w14:textId="4D21501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040AA9">
        <w:rPr>
          <w:rFonts w:ascii="Arial" w:hAnsi="Arial" w:cs="Arial"/>
          <w:sz w:val="18"/>
          <w:szCs w:val="18"/>
          <w:lang w:val="en-US"/>
        </w:rPr>
        <w:tab/>
        <w:t>Section 2.03 (b)(ii) of FISPEG I loan contract states: “The Borrower undertakes comprehensive tax administration improvements to... (ii) Strengthen the revenue administration agencies through improvements to their IT systems by: (A) Cabinet approval for TAJ to issue a contract for the integrated IT system; and (B) Cabinet approves JCA issuing a contract to implement an integrated customs IT system.”</w:t>
      </w:r>
    </w:p>
  </w:footnote>
  <w:footnote w:id="98">
    <w:p w14:paraId="6A941D33" w14:textId="6CD215A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040AA9">
        <w:rPr>
          <w:rFonts w:ascii="Arial" w:hAnsi="Arial" w:cs="Arial"/>
          <w:sz w:val="18"/>
          <w:szCs w:val="18"/>
          <w:lang w:val="en-US"/>
        </w:rPr>
        <w:tab/>
        <w:t>No JCA report is available as such regarding achievements under aegis of FISPEG I, but as ACCPAC is a major component of the JCA IT system, its implementation is implicit in the certification of compliance with section 2.03(b)(ii)(B) of the loan contract (see above)</w:t>
      </w:r>
    </w:p>
  </w:footnote>
  <w:footnote w:id="99">
    <w:p w14:paraId="25F96E1F" w14:textId="61B359BF"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sidRPr="00040AA9">
        <w:rPr>
          <w:rFonts w:ascii="Arial" w:hAnsi="Arial" w:cs="Arial"/>
          <w:sz w:val="18"/>
          <w:szCs w:val="18"/>
        </w:rPr>
        <w:tab/>
        <w:t>Full ACCPAC (computer software package) implementation was certified as an achievement under the aegis of FISPEG II. Operational modules included: - Financial statements, - Payables, - Inventory, - Receivables, - Bank Services, - Bank Reconciliation, - Fixed Assets, - General Ledger, - Purchase Order</w:t>
      </w:r>
    </w:p>
  </w:footnote>
  <w:footnote w:id="100">
    <w:p w14:paraId="01E12292" w14:textId="5FF3C7DF"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040AA9">
        <w:rPr>
          <w:rFonts w:ascii="Arial" w:hAnsi="Arial" w:cs="Arial"/>
          <w:sz w:val="18"/>
          <w:szCs w:val="18"/>
          <w:lang w:val="en-US"/>
        </w:rPr>
        <w:tab/>
        <w:t>The letter is from the FS (MoF) rather than from the TAJ commissioner, and supporting evidence includes a press releases dated Feb. 9, 2015, Dec. 7, 2015 and Jun. 23, 2016</w:t>
      </w:r>
    </w:p>
  </w:footnote>
  <w:footnote w:id="101">
    <w:p w14:paraId="0F052998" w14:textId="3319E0FE"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Included with the FS letter of Nov. 8, 2016 is a JCA letter dated Sept. 20, 2016 attaching press releases.</w:t>
      </w:r>
    </w:p>
  </w:footnote>
  <w:footnote w:id="102">
    <w:p w14:paraId="5593EF5F" w14:textId="2A13FBBC" w:rsidR="00D64D1A" w:rsidRPr="00040AA9" w:rsidRDefault="00D64D1A" w:rsidP="00040AA9">
      <w:pPr>
        <w:pStyle w:val="FootnoteText"/>
        <w:ind w:left="360" w:hanging="360"/>
        <w:jc w:val="both"/>
        <w:rPr>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proposed target values for this output include </w:t>
      </w:r>
      <w:r w:rsidRPr="00A25A0A">
        <w:rPr>
          <w:rFonts w:ascii="Arial" w:hAnsi="Arial" w:cs="Arial"/>
          <w:sz w:val="18"/>
          <w:szCs w:val="18"/>
          <w:lang w:val="en-US"/>
        </w:rPr>
        <w:t>one report</w:t>
      </w:r>
      <w:r w:rsidRPr="00040AA9">
        <w:rPr>
          <w:rFonts w:ascii="Arial" w:hAnsi="Arial" w:cs="Arial"/>
          <w:sz w:val="18"/>
          <w:szCs w:val="18"/>
          <w:lang w:val="en-US"/>
        </w:rPr>
        <w:t xml:space="preserve"> for FY 2014/15 and one for FY 2015/16. The report presented documenting the achievements is dated May 2015, thereby falling in the </w:t>
      </w:r>
      <w:r>
        <w:rPr>
          <w:rFonts w:ascii="Arial" w:hAnsi="Arial" w:cs="Arial"/>
          <w:sz w:val="18"/>
          <w:szCs w:val="18"/>
          <w:lang w:val="en-US"/>
        </w:rPr>
        <w:t>FY</w:t>
      </w:r>
      <w:r w:rsidRPr="00040AA9">
        <w:rPr>
          <w:rFonts w:ascii="Arial" w:hAnsi="Arial" w:cs="Arial"/>
          <w:sz w:val="18"/>
          <w:szCs w:val="18"/>
          <w:lang w:val="en-US"/>
        </w:rPr>
        <w:t xml:space="preserve"> 2015/16 and superseding, though falling chronologically close to, the report that would have been produced regarding the LTO staffing levels in FY 2014/15.</w:t>
      </w:r>
    </w:p>
  </w:footnote>
  <w:footnote w:id="103">
    <w:p w14:paraId="1E8D6B72" w14:textId="6C170A38"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Nov. 8, 2016 letter from the FS makes reference to a letter from the TAJ Commissioner General and includes copy of Press release dated March 17, 2016. Nonetheless the Revenue Administration (Amendment) Act of 2013 maintains the power of the TAJ to mandate taxpayers e-filing. </w:t>
      </w:r>
    </w:p>
  </w:footnote>
  <w:footnote w:id="104">
    <w:p w14:paraId="4FD6A70F" w14:textId="5BAD1F5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Although the FS letter is dated Nov 2016, the Act authorizing this provision became effective in 2013. (See next footnote). </w:t>
      </w:r>
      <w:r w:rsidRPr="00A25A0A">
        <w:rPr>
          <w:rFonts w:ascii="Arial" w:hAnsi="Arial" w:cs="Arial"/>
          <w:sz w:val="18"/>
          <w:szCs w:val="18"/>
          <w:lang w:val="en-US"/>
        </w:rPr>
        <w:t>Thus,</w:t>
      </w:r>
      <w:r w:rsidRPr="00040AA9">
        <w:rPr>
          <w:rFonts w:ascii="Arial" w:hAnsi="Arial" w:cs="Arial"/>
          <w:sz w:val="18"/>
          <w:szCs w:val="18"/>
          <w:lang w:val="en-US"/>
        </w:rPr>
        <w:t xml:space="preserve"> the targeted planned startup date for the indicator of FY 2014/15 was met.</w:t>
      </w:r>
    </w:p>
  </w:footnote>
  <w:footnote w:id="105">
    <w:p w14:paraId="0EB3B9C9" w14:textId="2F6586A6" w:rsidR="00D64D1A" w:rsidRPr="00040AA9" w:rsidRDefault="00D64D1A" w:rsidP="00040AA9">
      <w:pPr>
        <w:ind w:left="360" w:hanging="360"/>
        <w:jc w:val="both"/>
        <w:rPr>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Nov. 8, 2016 letter from the FS makes reference to a letter from the TAJ Commissioner General and includes copies of - </w:t>
      </w:r>
      <w:r w:rsidRPr="00040AA9">
        <w:rPr>
          <w:rFonts w:ascii="Arial" w:hAnsi="Arial" w:cs="Arial"/>
          <w:i/>
          <w:sz w:val="18"/>
          <w:szCs w:val="18"/>
        </w:rPr>
        <w:t>Revenue Administration (Amendment) Act, 2013 -</w:t>
      </w:r>
      <w:r w:rsidRPr="00040AA9">
        <w:rPr>
          <w:rFonts w:ascii="Arial" w:hAnsi="Arial" w:cs="Arial"/>
          <w:sz w:val="18"/>
          <w:szCs w:val="18"/>
        </w:rPr>
        <w:t xml:space="preserve"> Press release, dated March 14, 2016</w:t>
      </w:r>
    </w:p>
  </w:footnote>
  <w:footnote w:id="106">
    <w:p w14:paraId="54FD1814" w14:textId="1B97D706"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Although the FS letter is dated Nov 2016, the Act authorizing this provision became effective in 2013. (See next footnote.) </w:t>
      </w:r>
      <w:r w:rsidRPr="00A25A0A">
        <w:rPr>
          <w:rFonts w:ascii="Arial" w:hAnsi="Arial" w:cs="Arial"/>
          <w:sz w:val="18"/>
          <w:szCs w:val="18"/>
          <w:lang w:val="en-US"/>
        </w:rPr>
        <w:t>Thus,</w:t>
      </w:r>
      <w:r w:rsidRPr="00040AA9">
        <w:rPr>
          <w:rFonts w:ascii="Arial" w:hAnsi="Arial" w:cs="Arial"/>
          <w:sz w:val="18"/>
          <w:szCs w:val="18"/>
          <w:lang w:val="en-US"/>
        </w:rPr>
        <w:t xml:space="preserve"> the targeted planned startup date for the indicator of FY 2014/15 was met.</w:t>
      </w:r>
    </w:p>
  </w:footnote>
  <w:footnote w:id="107">
    <w:p w14:paraId="6BAC168D" w14:textId="4077602A"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Nov. 8, 2016 letter from the FS makes reference to the </w:t>
      </w:r>
      <w:r w:rsidRPr="00040AA9">
        <w:rPr>
          <w:rFonts w:ascii="Arial" w:hAnsi="Arial" w:cs="Arial"/>
          <w:i/>
          <w:sz w:val="18"/>
          <w:szCs w:val="18"/>
        </w:rPr>
        <w:t>Fiscal Incentives (Miscellaneous Provisions) Act, 2013</w:t>
      </w:r>
    </w:p>
  </w:footnote>
  <w:footnote w:id="108">
    <w:p w14:paraId="35C5301D" w14:textId="5F8F7673"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Nov. 8, 2016 letter from the FS makes reference to the General Consumption Tax (Amendment) Regulations, 2015, dated August 26, 2015</w:t>
      </w:r>
    </w:p>
  </w:footnote>
  <w:footnote w:id="109">
    <w:p w14:paraId="7C8791D5" w14:textId="72B77B4D"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Cessation of granting of new categories of ministerial waivers was originally stipulated in FISPEG I loan contract section 2.03.I.(a)(iii)(B). The GoJ was judged to have adequately complied with these conditions by February 2014. [Memorandum from Gerardo Reyes Tagle, PTL</w:t>
      </w:r>
      <w:r>
        <w:rPr>
          <w:rFonts w:ascii="Arial" w:hAnsi="Arial" w:cs="Arial"/>
          <w:sz w:val="18"/>
          <w:szCs w:val="18"/>
        </w:rPr>
        <w:t>,</w:t>
      </w:r>
      <w:r w:rsidRPr="00040AA9">
        <w:rPr>
          <w:rFonts w:ascii="Arial" w:hAnsi="Arial" w:cs="Arial"/>
          <w:sz w:val="18"/>
          <w:szCs w:val="18"/>
        </w:rPr>
        <w:t xml:space="preserve"> to Theresa Turner-Jones</w:t>
      </w:r>
      <w:r>
        <w:rPr>
          <w:rFonts w:ascii="Arial" w:hAnsi="Arial" w:cs="Arial"/>
          <w:sz w:val="18"/>
          <w:szCs w:val="18"/>
        </w:rPr>
        <w:t>, IDB Representative in Jamaica,</w:t>
      </w:r>
      <w:r w:rsidRPr="00040AA9">
        <w:rPr>
          <w:rFonts w:ascii="Arial" w:hAnsi="Arial" w:cs="Arial"/>
          <w:sz w:val="18"/>
          <w:szCs w:val="18"/>
        </w:rPr>
        <w:t xml:space="preserve"> dated February 10</w:t>
      </w:r>
      <w:r w:rsidRPr="00040AA9">
        <w:rPr>
          <w:rFonts w:ascii="Arial" w:hAnsi="Arial" w:cs="Arial"/>
          <w:sz w:val="18"/>
          <w:szCs w:val="18"/>
          <w:vertAlign w:val="superscript"/>
        </w:rPr>
        <w:t>th</w:t>
      </w:r>
      <w:r w:rsidRPr="00040AA9">
        <w:rPr>
          <w:rFonts w:ascii="Arial" w:hAnsi="Arial" w:cs="Arial"/>
          <w:sz w:val="18"/>
          <w:szCs w:val="18"/>
        </w:rPr>
        <w:t>, 2014 (ref. IFD/FMM/41/2014)] This provision was reiterated in FISPEG II loan contract section 2.03.I.(a)(iii)(B) with which the GoJ was certified as being in compliance on Aug. 10, 2015. [Memorandum from Gerardo Reyes Tagle, PTL, to Theresa Turner-Jones of August 10</w:t>
      </w:r>
      <w:r w:rsidRPr="00040AA9">
        <w:rPr>
          <w:rFonts w:ascii="Arial" w:hAnsi="Arial" w:cs="Arial"/>
          <w:sz w:val="18"/>
          <w:szCs w:val="18"/>
          <w:vertAlign w:val="superscript"/>
        </w:rPr>
        <w:t>th</w:t>
      </w:r>
      <w:r w:rsidRPr="00A25A0A">
        <w:rPr>
          <w:rFonts w:ascii="Arial" w:hAnsi="Arial" w:cs="Arial"/>
          <w:sz w:val="18"/>
          <w:szCs w:val="18"/>
        </w:rPr>
        <w:t>, 2015</w:t>
      </w:r>
      <w:r w:rsidRPr="00040AA9">
        <w:rPr>
          <w:rFonts w:ascii="Arial" w:hAnsi="Arial" w:cs="Arial"/>
          <w:sz w:val="18"/>
          <w:szCs w:val="18"/>
        </w:rPr>
        <w:t xml:space="preserve"> (ref. IFD/FMM/119/2015)] Thus the targeted planned startup date of FY 2014/</w:t>
      </w:r>
      <w:r w:rsidRPr="00A25A0A">
        <w:rPr>
          <w:rFonts w:ascii="Arial" w:hAnsi="Arial" w:cs="Arial"/>
          <w:sz w:val="18"/>
          <w:szCs w:val="18"/>
        </w:rPr>
        <w:t>15 and</w:t>
      </w:r>
      <w:r w:rsidRPr="00040AA9">
        <w:rPr>
          <w:rFonts w:ascii="Arial" w:hAnsi="Arial" w:cs="Arial"/>
          <w:sz w:val="18"/>
          <w:szCs w:val="18"/>
        </w:rPr>
        <w:t xml:space="preserve"> continued enforcement of the indicator was met. </w:t>
      </w:r>
    </w:p>
  </w:footnote>
  <w:footnote w:id="110">
    <w:p w14:paraId="0D2473B2" w14:textId="395B89C9" w:rsidR="00D64D1A" w:rsidRPr="006D7EE4" w:rsidRDefault="00D64D1A" w:rsidP="00040AA9">
      <w:pPr>
        <w:ind w:left="360" w:hanging="360"/>
        <w:jc w:val="both"/>
        <w:rPr>
          <w:rFonts w:ascii="Arial" w:hAnsi="Arial" w:cs="Arial"/>
          <w:sz w:val="16"/>
          <w:szCs w:val="16"/>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Nov. 8, 2016 letter from the FS makes reference to a hyperlink to the webpage of the Ministry of Finance and the Public Service’s website. </w:t>
      </w:r>
      <w:hyperlink r:id="rId1" w:history="1">
        <w:r w:rsidRPr="00040AA9">
          <w:rPr>
            <w:rStyle w:val="Hyperlink"/>
            <w:rFonts w:ascii="Arial" w:hAnsi="Arial" w:cs="Arial"/>
            <w:sz w:val="18"/>
            <w:szCs w:val="18"/>
          </w:rPr>
          <w:t>www.mof.gov.jm/revenues/tax-waivers.html</w:t>
        </w:r>
      </w:hyperlink>
    </w:p>
  </w:footnote>
  <w:footnote w:id="111">
    <w:p w14:paraId="325C2F80" w14:textId="1E28F4E6"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No MOF Tax Policy Division work group report is available as such, but the preparation (and implementation) of its plan is implicit in the FS’s May </w:t>
      </w:r>
      <w:r w:rsidRPr="00A25A0A">
        <w:rPr>
          <w:rFonts w:ascii="Arial" w:hAnsi="Arial" w:cs="Arial"/>
          <w:sz w:val="18"/>
          <w:szCs w:val="18"/>
          <w:lang w:val="en-US"/>
        </w:rPr>
        <w:t>27,</w:t>
      </w:r>
      <w:r w:rsidRPr="00040AA9">
        <w:rPr>
          <w:rFonts w:ascii="Arial" w:hAnsi="Arial" w:cs="Arial"/>
          <w:sz w:val="18"/>
          <w:szCs w:val="18"/>
          <w:lang w:val="en-US"/>
        </w:rPr>
        <w:t xml:space="preserve"> 2015 letter.</w:t>
      </w:r>
    </w:p>
  </w:footnote>
  <w:footnote w:id="112">
    <w:p w14:paraId="2DBFE35F" w14:textId="2447CCA2"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Although the FS letter is dated Nov 2016, the Act authorizing this provision became effective in 2013. </w:t>
      </w:r>
      <w:r w:rsidRPr="00A25A0A">
        <w:rPr>
          <w:rFonts w:ascii="Arial" w:hAnsi="Arial" w:cs="Arial"/>
          <w:sz w:val="18"/>
          <w:szCs w:val="18"/>
          <w:lang w:val="en-US"/>
        </w:rPr>
        <w:t>Thus,</w:t>
      </w:r>
      <w:r w:rsidRPr="00040AA9">
        <w:rPr>
          <w:rFonts w:ascii="Arial" w:hAnsi="Arial" w:cs="Arial"/>
          <w:sz w:val="18"/>
          <w:szCs w:val="18"/>
          <w:lang w:val="en-US"/>
        </w:rPr>
        <w:t xml:space="preserve"> the targeted planned startup date for the indicator of FY 2014/15 was met.</w:t>
      </w:r>
    </w:p>
  </w:footnote>
  <w:footnote w:id="113">
    <w:p w14:paraId="0EE1DC3A" w14:textId="076E7171" w:rsidR="00D64D1A" w:rsidRPr="00040AA9" w:rsidRDefault="00D64D1A" w:rsidP="00040AA9">
      <w:pPr>
        <w:ind w:left="360" w:hanging="360"/>
        <w:jc w:val="both"/>
        <w:rPr>
          <w:rFonts w:ascii="Arial" w:hAnsi="Arial" w:cs="Arial"/>
          <w:i/>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Nov. 8, 2016 letter from the FS makes reference to the </w:t>
      </w:r>
      <w:r w:rsidRPr="00040AA9">
        <w:rPr>
          <w:rFonts w:ascii="Arial" w:hAnsi="Arial" w:cs="Arial"/>
          <w:i/>
          <w:sz w:val="18"/>
          <w:szCs w:val="18"/>
        </w:rPr>
        <w:t>Fiscal incentives (Miscellaneous Provisions) Act, 2013</w:t>
      </w:r>
    </w:p>
    <w:p w14:paraId="0BEFEE44" w14:textId="6E990E42" w:rsidR="00D64D1A" w:rsidRPr="00040AA9" w:rsidRDefault="00D64D1A" w:rsidP="00040AA9">
      <w:pPr>
        <w:pStyle w:val="FootnoteText"/>
        <w:jc w:val="both"/>
        <w:rPr>
          <w:sz w:val="18"/>
          <w:szCs w:val="18"/>
          <w:lang w:val="en-US"/>
        </w:rPr>
      </w:pPr>
    </w:p>
  </w:footnote>
  <w:footnote w:id="114">
    <w:p w14:paraId="13B7CCD6" w14:textId="3F608058"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agreement extends from 2012 through </w:t>
      </w:r>
      <w:r w:rsidRPr="00A25A0A">
        <w:rPr>
          <w:rFonts w:ascii="Arial" w:hAnsi="Arial" w:cs="Arial"/>
          <w:sz w:val="18"/>
          <w:szCs w:val="18"/>
        </w:rPr>
        <w:t>March</w:t>
      </w:r>
      <w:r w:rsidRPr="00040AA9">
        <w:rPr>
          <w:rFonts w:ascii="Arial" w:hAnsi="Arial" w:cs="Arial"/>
          <w:sz w:val="18"/>
          <w:szCs w:val="18"/>
        </w:rPr>
        <w:t xml:space="preserve"> 2016. </w:t>
      </w:r>
      <w:r w:rsidRPr="00A25A0A">
        <w:rPr>
          <w:rFonts w:ascii="Arial" w:hAnsi="Arial" w:cs="Arial"/>
          <w:sz w:val="18"/>
          <w:szCs w:val="18"/>
        </w:rPr>
        <w:t>Thus,</w:t>
      </w:r>
      <w:r w:rsidRPr="00040AA9">
        <w:rPr>
          <w:rFonts w:ascii="Arial" w:hAnsi="Arial" w:cs="Arial"/>
          <w:sz w:val="18"/>
          <w:szCs w:val="18"/>
        </w:rPr>
        <w:t xml:space="preserve"> the agreement remains in force for FY2015/16. The agreement is entitled “Heads of Agreement for the Contract Period 2012-2015 concluded between the Government of Jamaica on the one hand and the Jamaica Confederation of Trade Unions and other Unions and Staff Associations Representing Public Sector Workers on the other hand” signed on Wednesday 6</w:t>
      </w:r>
      <w:r w:rsidRPr="00040AA9">
        <w:rPr>
          <w:rFonts w:ascii="Arial" w:hAnsi="Arial" w:cs="Arial"/>
          <w:sz w:val="18"/>
          <w:szCs w:val="18"/>
          <w:vertAlign w:val="superscript"/>
        </w:rPr>
        <w:t>th</w:t>
      </w:r>
      <w:r w:rsidRPr="00040AA9">
        <w:rPr>
          <w:rFonts w:ascii="Arial" w:hAnsi="Arial" w:cs="Arial"/>
          <w:sz w:val="18"/>
          <w:szCs w:val="18"/>
        </w:rPr>
        <w:t xml:space="preserve"> day of March 2013 at the Office of the Prime Minister, Jamaica House.</w:t>
      </w:r>
    </w:p>
  </w:footnote>
  <w:footnote w:id="115">
    <w:p w14:paraId="347176DE" w14:textId="7428804A"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sidRPr="00A25A0A">
        <w:rPr>
          <w:rFonts w:ascii="Arial" w:hAnsi="Arial" w:cs="Arial"/>
          <w:sz w:val="18"/>
          <w:szCs w:val="18"/>
        </w:rPr>
        <w:tab/>
      </w:r>
      <w:r w:rsidRPr="00040AA9">
        <w:rPr>
          <w:rFonts w:ascii="Arial" w:hAnsi="Arial" w:cs="Arial"/>
          <w:sz w:val="18"/>
          <w:szCs w:val="18"/>
        </w:rPr>
        <w:t>The Nov. 8, 2016 letter from the FS makes reference to the Copy of Central Government Summary Accounts</w:t>
      </w:r>
    </w:p>
  </w:footnote>
  <w:footnote w:id="116">
    <w:p w14:paraId="69AA2170" w14:textId="77A41128" w:rsidR="00D64D1A" w:rsidRPr="00040AA9" w:rsidRDefault="00D64D1A" w:rsidP="00040AA9">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sidRPr="00A25A0A">
        <w:rPr>
          <w:rFonts w:ascii="Arial" w:hAnsi="Arial" w:cs="Arial"/>
          <w:sz w:val="18"/>
          <w:szCs w:val="18"/>
          <w:lang w:val="en-US"/>
        </w:rPr>
        <w:tab/>
      </w:r>
      <w:r w:rsidRPr="00040AA9">
        <w:rPr>
          <w:rFonts w:ascii="Arial" w:hAnsi="Arial" w:cs="Arial"/>
          <w:sz w:val="18"/>
          <w:szCs w:val="18"/>
          <w:lang w:val="en-US"/>
        </w:rPr>
        <w:t>No report from the PED is available as such, but the development of a work plan is implicit in the updated Master Rationalization Plan, Page 1 (Overview 1.1) of which reads: “The Action for the Rationalization of P</w:t>
      </w:r>
      <w:r>
        <w:rPr>
          <w:rFonts w:ascii="Arial" w:hAnsi="Arial" w:cs="Arial"/>
          <w:sz w:val="18"/>
          <w:szCs w:val="18"/>
          <w:lang w:val="en-US"/>
        </w:rPr>
        <w:t>Bs</w:t>
      </w:r>
      <w:r w:rsidRPr="00040AA9">
        <w:rPr>
          <w:rFonts w:ascii="Arial" w:hAnsi="Arial" w:cs="Arial"/>
          <w:sz w:val="18"/>
          <w:szCs w:val="18"/>
          <w:lang w:val="en-US"/>
        </w:rPr>
        <w:t xml:space="preserve"> was approved by Cabinet via Decision #19/09 of May 4, 2009. The Plan sought to: (a)</w:t>
      </w:r>
      <w:r>
        <w:rPr>
          <w:rFonts w:ascii="Arial" w:hAnsi="Arial" w:cs="Arial"/>
          <w:sz w:val="18"/>
          <w:szCs w:val="18"/>
          <w:lang w:val="en-US"/>
        </w:rPr>
        <w:t> </w:t>
      </w:r>
      <w:r w:rsidRPr="00040AA9">
        <w:rPr>
          <w:rFonts w:ascii="Arial" w:hAnsi="Arial" w:cs="Arial"/>
          <w:sz w:val="18"/>
          <w:szCs w:val="18"/>
          <w:lang w:val="en-US"/>
        </w:rPr>
        <w:t xml:space="preserve">restructure/merge some </w:t>
      </w:r>
      <w:r>
        <w:rPr>
          <w:rFonts w:ascii="Arial" w:hAnsi="Arial" w:cs="Arial"/>
          <w:sz w:val="18"/>
          <w:szCs w:val="18"/>
          <w:lang w:val="en-US"/>
        </w:rPr>
        <w:t>PBs</w:t>
      </w:r>
      <w:r w:rsidRPr="00040AA9">
        <w:rPr>
          <w:rFonts w:ascii="Arial" w:hAnsi="Arial" w:cs="Arial"/>
          <w:sz w:val="18"/>
          <w:szCs w:val="18"/>
          <w:lang w:val="en-US"/>
        </w:rPr>
        <w:t xml:space="preserve"> to eliminate waste and duplication of functions, (b) wind-up inactive </w:t>
      </w:r>
      <w:r>
        <w:rPr>
          <w:rFonts w:ascii="Arial" w:hAnsi="Arial" w:cs="Arial"/>
          <w:sz w:val="18"/>
          <w:szCs w:val="18"/>
          <w:lang w:val="en-US"/>
        </w:rPr>
        <w:t>PBs;</w:t>
      </w:r>
      <w:r w:rsidRPr="00040AA9">
        <w:rPr>
          <w:rFonts w:ascii="Arial" w:hAnsi="Arial" w:cs="Arial"/>
          <w:sz w:val="18"/>
          <w:szCs w:val="18"/>
          <w:lang w:val="en-US"/>
        </w:rPr>
        <w:t xml:space="preserve"> and (c) </w:t>
      </w:r>
      <w:r w:rsidRPr="00A25A0A">
        <w:rPr>
          <w:rFonts w:ascii="Arial" w:hAnsi="Arial" w:cs="Arial"/>
          <w:sz w:val="18"/>
          <w:szCs w:val="18"/>
          <w:lang w:val="en-US"/>
        </w:rPr>
        <w:t>privatize</w:t>
      </w:r>
      <w:r w:rsidRPr="00040AA9">
        <w:rPr>
          <w:rFonts w:ascii="Arial" w:hAnsi="Arial" w:cs="Arial"/>
          <w:sz w:val="18"/>
          <w:szCs w:val="18"/>
          <w:lang w:val="en-US"/>
        </w:rPr>
        <w:t xml:space="preserve"> </w:t>
      </w:r>
      <w:r>
        <w:rPr>
          <w:rFonts w:ascii="Arial" w:hAnsi="Arial" w:cs="Arial"/>
          <w:sz w:val="18"/>
          <w:szCs w:val="18"/>
          <w:lang w:val="en-US"/>
        </w:rPr>
        <w:t>PBs</w:t>
      </w:r>
      <w:r w:rsidRPr="00040AA9">
        <w:rPr>
          <w:rFonts w:ascii="Arial" w:hAnsi="Arial" w:cs="Arial"/>
          <w:sz w:val="18"/>
          <w:szCs w:val="18"/>
          <w:lang w:val="en-US"/>
        </w:rPr>
        <w:t xml:space="preserve"> that are of a commercial nature.</w:t>
      </w:r>
    </w:p>
  </w:footnote>
  <w:footnote w:id="117">
    <w:p w14:paraId="125803A4" w14:textId="705E43F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Approval of an update of the 2010 MRP was stipulated in </w:t>
      </w:r>
      <w:r w:rsidRPr="00040AA9">
        <w:rPr>
          <w:rFonts w:ascii="Arial" w:hAnsi="Arial" w:cs="Arial"/>
          <w:sz w:val="18"/>
          <w:szCs w:val="18"/>
          <w:u w:val="single"/>
          <w:lang w:val="en-US"/>
        </w:rPr>
        <w:t>FISPEG I</w:t>
      </w:r>
      <w:r w:rsidRPr="00040AA9">
        <w:rPr>
          <w:rFonts w:ascii="Arial" w:hAnsi="Arial" w:cs="Arial"/>
          <w:sz w:val="18"/>
          <w:szCs w:val="18"/>
          <w:lang w:val="en-US"/>
        </w:rPr>
        <w:t xml:space="preserve"> loan contract section 2.03.II.(d). The GoJ was judged to have adequately complied with these conditions by February 2014. [Memorandum from </w:t>
      </w:r>
      <w:r>
        <w:rPr>
          <w:rFonts w:ascii="Arial" w:hAnsi="Arial" w:cs="Arial"/>
          <w:sz w:val="18"/>
          <w:szCs w:val="18"/>
          <w:lang w:val="en-US"/>
        </w:rPr>
        <w:t xml:space="preserve">PTL, </w:t>
      </w:r>
      <w:r w:rsidRPr="00040AA9">
        <w:rPr>
          <w:rFonts w:ascii="Arial" w:hAnsi="Arial" w:cs="Arial"/>
          <w:sz w:val="18"/>
          <w:szCs w:val="18"/>
          <w:lang w:val="en-US"/>
        </w:rPr>
        <w:t xml:space="preserve">Gerardo Reyes Tagle, to </w:t>
      </w:r>
      <w:r>
        <w:rPr>
          <w:rFonts w:ascii="Arial" w:hAnsi="Arial" w:cs="Arial"/>
          <w:sz w:val="18"/>
          <w:szCs w:val="18"/>
          <w:lang w:val="en-US"/>
        </w:rPr>
        <w:t xml:space="preserve">Representative, </w:t>
      </w:r>
      <w:r w:rsidRPr="00040AA9">
        <w:rPr>
          <w:rFonts w:ascii="Arial" w:hAnsi="Arial" w:cs="Arial"/>
          <w:sz w:val="18"/>
          <w:szCs w:val="18"/>
          <w:lang w:val="en-US"/>
        </w:rPr>
        <w:t>Theresa Turner-Jones</w:t>
      </w:r>
      <w:r>
        <w:rPr>
          <w:rFonts w:ascii="Arial" w:hAnsi="Arial" w:cs="Arial"/>
          <w:sz w:val="18"/>
          <w:szCs w:val="18"/>
          <w:lang w:val="en-US"/>
        </w:rPr>
        <w:t>,</w:t>
      </w:r>
      <w:r w:rsidRPr="00040AA9">
        <w:rPr>
          <w:rFonts w:ascii="Arial" w:hAnsi="Arial" w:cs="Arial"/>
          <w:sz w:val="18"/>
          <w:szCs w:val="18"/>
          <w:lang w:val="en-US"/>
        </w:rPr>
        <w:t xml:space="preserve"> dated February 10</w:t>
      </w:r>
      <w:r w:rsidRPr="00040AA9">
        <w:rPr>
          <w:rFonts w:ascii="Arial" w:hAnsi="Arial" w:cs="Arial"/>
          <w:sz w:val="18"/>
          <w:szCs w:val="18"/>
          <w:vertAlign w:val="superscript"/>
          <w:lang w:val="en-US"/>
        </w:rPr>
        <w:t>th</w:t>
      </w:r>
      <w:r w:rsidRPr="00040AA9">
        <w:rPr>
          <w:rFonts w:ascii="Arial" w:hAnsi="Arial" w:cs="Arial"/>
          <w:sz w:val="18"/>
          <w:szCs w:val="18"/>
          <w:lang w:val="en-US"/>
        </w:rPr>
        <w:t>, 2014 (ref. IFD/FMM/41/2014)]</w:t>
      </w:r>
      <w:r>
        <w:rPr>
          <w:rFonts w:ascii="Arial" w:hAnsi="Arial" w:cs="Arial"/>
          <w:sz w:val="18"/>
          <w:szCs w:val="18"/>
          <w:lang w:val="en-US"/>
        </w:rPr>
        <w:t xml:space="preserve"> </w:t>
      </w:r>
      <w:r w:rsidRPr="00040AA9">
        <w:rPr>
          <w:rFonts w:ascii="Arial" w:hAnsi="Arial" w:cs="Arial"/>
          <w:sz w:val="18"/>
          <w:szCs w:val="18"/>
          <w:lang w:val="en-US"/>
        </w:rPr>
        <w:t xml:space="preserve">Implementation of interim benchmarks of the MRP was stipulated in the </w:t>
      </w:r>
      <w:r w:rsidRPr="00040AA9">
        <w:rPr>
          <w:rFonts w:ascii="Arial" w:hAnsi="Arial" w:cs="Arial"/>
          <w:sz w:val="18"/>
          <w:szCs w:val="18"/>
          <w:u w:val="single"/>
          <w:lang w:val="en-US"/>
        </w:rPr>
        <w:t>FISPEG II</w:t>
      </w:r>
      <w:r w:rsidRPr="00040AA9">
        <w:rPr>
          <w:rFonts w:ascii="Arial" w:hAnsi="Arial" w:cs="Arial"/>
          <w:sz w:val="18"/>
          <w:szCs w:val="18"/>
          <w:lang w:val="en-US"/>
        </w:rPr>
        <w:t xml:space="preserve"> loan contract section 2.03.II.(b) with which the GoJ was certified as being in compliance on Aug. 10, 2015 [Memorandum from Gerardo Reyes Tagle, PTL to Theresa Turner-Jones of August 10</w:t>
      </w:r>
      <w:r w:rsidRPr="00040AA9">
        <w:rPr>
          <w:rFonts w:ascii="Arial" w:hAnsi="Arial" w:cs="Arial"/>
          <w:sz w:val="18"/>
          <w:szCs w:val="18"/>
          <w:vertAlign w:val="superscript"/>
          <w:lang w:val="en-US"/>
        </w:rPr>
        <w:t>th</w:t>
      </w:r>
      <w:r w:rsidRPr="00040AA9">
        <w:rPr>
          <w:rFonts w:ascii="Arial" w:hAnsi="Arial" w:cs="Arial"/>
          <w:sz w:val="18"/>
          <w:szCs w:val="18"/>
          <w:lang w:val="en-US"/>
        </w:rPr>
        <w:t xml:space="preserve"> 2015 (ref. IFD/FMM/119/2015)]</w:t>
      </w:r>
      <w:r>
        <w:rPr>
          <w:rFonts w:ascii="Arial" w:hAnsi="Arial" w:cs="Arial"/>
          <w:sz w:val="18"/>
          <w:szCs w:val="18"/>
          <w:lang w:val="en-US"/>
        </w:rPr>
        <w:t xml:space="preserve"> </w:t>
      </w:r>
      <w:r w:rsidRPr="00A25A0A">
        <w:rPr>
          <w:rFonts w:ascii="Arial" w:hAnsi="Arial" w:cs="Arial"/>
          <w:sz w:val="18"/>
          <w:szCs w:val="18"/>
          <w:lang w:val="en-US"/>
        </w:rPr>
        <w:t>Thus,</w:t>
      </w:r>
      <w:r w:rsidRPr="00040AA9">
        <w:rPr>
          <w:rFonts w:ascii="Arial" w:hAnsi="Arial" w:cs="Arial"/>
          <w:sz w:val="18"/>
          <w:szCs w:val="18"/>
          <w:lang w:val="en-US"/>
        </w:rPr>
        <w:t xml:space="preserve"> the targeted planned startup date of FY 2014/</w:t>
      </w:r>
      <w:r w:rsidRPr="00A25A0A">
        <w:rPr>
          <w:rFonts w:ascii="Arial" w:hAnsi="Arial" w:cs="Arial"/>
          <w:sz w:val="18"/>
          <w:szCs w:val="18"/>
          <w:lang w:val="en-US"/>
        </w:rPr>
        <w:t>15 and</w:t>
      </w:r>
      <w:r w:rsidRPr="00040AA9">
        <w:rPr>
          <w:rFonts w:ascii="Arial" w:hAnsi="Arial" w:cs="Arial"/>
          <w:sz w:val="18"/>
          <w:szCs w:val="18"/>
          <w:lang w:val="en-US"/>
        </w:rPr>
        <w:t xml:space="preserve"> continued enforcement of the indicator has been met.</w:t>
      </w:r>
    </w:p>
  </w:footnote>
  <w:footnote w:id="118">
    <w:p w14:paraId="77481054" w14:textId="5D5AF48E"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Nov. 8, 2016 letter from the FS makes reference to a Status Report showing progress made in divestments of PBs during FY 2015/16.</w:t>
      </w:r>
    </w:p>
  </w:footnote>
  <w:footnote w:id="119">
    <w:p w14:paraId="318AB47C" w14:textId="4F1D34B4"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No report from the PED is available as such, but the development of a compliance system is implicit in the model letter (from the Director, Legal Affairs for the FS to the Attorney General, dated 2014, Jan. 6) which is attached to the list of SF-PBs. The model letter reads in part “The Ministry wishes your assistance in commencing enforcement action, under section 25 of the PBMA Act, against a number of </w:t>
      </w:r>
      <w:r>
        <w:rPr>
          <w:rFonts w:ascii="Arial" w:hAnsi="Arial" w:cs="Arial"/>
          <w:sz w:val="18"/>
          <w:szCs w:val="18"/>
        </w:rPr>
        <w:t>PBs</w:t>
      </w:r>
      <w:r w:rsidRPr="00040AA9">
        <w:rPr>
          <w:rFonts w:ascii="Arial" w:hAnsi="Arial" w:cs="Arial"/>
          <w:sz w:val="18"/>
          <w:szCs w:val="18"/>
        </w:rPr>
        <w:t xml:space="preserve"> for non-compliance with the requirements of the PBMA Act in relation to the preparation and submission of Annual Reports.”</w:t>
      </w:r>
    </w:p>
    <w:p w14:paraId="496CF94F" w14:textId="7EC06F40" w:rsidR="00D64D1A" w:rsidRPr="00040AA9" w:rsidRDefault="00D64D1A" w:rsidP="00040AA9">
      <w:pPr>
        <w:pStyle w:val="FootnoteText"/>
        <w:jc w:val="both"/>
        <w:rPr>
          <w:sz w:val="18"/>
          <w:szCs w:val="18"/>
          <w:lang w:val="en-US"/>
        </w:rPr>
      </w:pPr>
    </w:p>
  </w:footnote>
  <w:footnote w:id="120">
    <w:p w14:paraId="745D9CFE" w14:textId="6F99459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This report covers </w:t>
      </w:r>
      <w:r>
        <w:rPr>
          <w:rFonts w:ascii="Arial" w:hAnsi="Arial" w:cs="Arial"/>
          <w:sz w:val="18"/>
          <w:szCs w:val="18"/>
          <w:lang w:val="en-US"/>
        </w:rPr>
        <w:t>s</w:t>
      </w:r>
      <w:r w:rsidRPr="00040AA9">
        <w:rPr>
          <w:rFonts w:ascii="Arial" w:hAnsi="Arial" w:cs="Arial"/>
          <w:sz w:val="18"/>
          <w:szCs w:val="18"/>
          <w:lang w:val="en-US"/>
        </w:rPr>
        <w:t>elf</w:t>
      </w:r>
      <w:r>
        <w:rPr>
          <w:rFonts w:ascii="Arial" w:hAnsi="Arial" w:cs="Arial"/>
          <w:sz w:val="18"/>
          <w:szCs w:val="18"/>
          <w:lang w:val="en-US"/>
        </w:rPr>
        <w:t>-f</w:t>
      </w:r>
      <w:r w:rsidRPr="00040AA9">
        <w:rPr>
          <w:rFonts w:ascii="Arial" w:hAnsi="Arial" w:cs="Arial"/>
          <w:sz w:val="18"/>
          <w:szCs w:val="18"/>
          <w:lang w:val="en-US"/>
        </w:rPr>
        <w:t>inancing P</w:t>
      </w:r>
      <w:r>
        <w:rPr>
          <w:rFonts w:ascii="Arial" w:hAnsi="Arial" w:cs="Arial"/>
          <w:sz w:val="18"/>
          <w:szCs w:val="18"/>
          <w:lang w:val="en-US"/>
        </w:rPr>
        <w:t>B</w:t>
      </w:r>
      <w:r w:rsidRPr="00040AA9">
        <w:rPr>
          <w:rFonts w:ascii="Arial" w:hAnsi="Arial" w:cs="Arial"/>
          <w:sz w:val="18"/>
          <w:szCs w:val="18"/>
          <w:lang w:val="en-US"/>
        </w:rPr>
        <w:t xml:space="preserve">. </w:t>
      </w:r>
    </w:p>
  </w:footnote>
  <w:footnote w:id="121">
    <w:p w14:paraId="1A9A4F76" w14:textId="29EB88BB"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Reporting on tardy submission of SFPBs’ annual reports was stipulated in FISPEG I loan contract section 2.03.II.(e). The GoJ was judged to have adequately complied with these conditions by February 2014. [Memorandum from Gerardo Reyes Tagle, PTL</w:t>
      </w:r>
      <w:r>
        <w:rPr>
          <w:rFonts w:ascii="Arial" w:hAnsi="Arial" w:cs="Arial"/>
          <w:sz w:val="18"/>
          <w:szCs w:val="18"/>
          <w:lang w:val="en-US"/>
        </w:rPr>
        <w:t>,</w:t>
      </w:r>
      <w:r w:rsidRPr="00040AA9">
        <w:rPr>
          <w:rFonts w:ascii="Arial" w:hAnsi="Arial" w:cs="Arial"/>
          <w:sz w:val="18"/>
          <w:szCs w:val="18"/>
          <w:lang w:val="en-US"/>
        </w:rPr>
        <w:t xml:space="preserve"> to Theresa Turner-Jones</w:t>
      </w:r>
      <w:r>
        <w:rPr>
          <w:rFonts w:ascii="Arial" w:hAnsi="Arial" w:cs="Arial"/>
          <w:sz w:val="18"/>
          <w:szCs w:val="18"/>
          <w:lang w:val="en-US"/>
        </w:rPr>
        <w:t xml:space="preserve"> </w:t>
      </w:r>
      <w:r w:rsidRPr="00040AA9">
        <w:rPr>
          <w:rFonts w:ascii="Arial" w:hAnsi="Arial" w:cs="Arial"/>
          <w:sz w:val="18"/>
          <w:szCs w:val="18"/>
          <w:lang w:val="en-US"/>
        </w:rPr>
        <w:t>dated February 10</w:t>
      </w:r>
      <w:r w:rsidRPr="00040AA9">
        <w:rPr>
          <w:rFonts w:ascii="Arial" w:hAnsi="Arial" w:cs="Arial"/>
          <w:sz w:val="18"/>
          <w:szCs w:val="18"/>
          <w:vertAlign w:val="superscript"/>
          <w:lang w:val="en-US"/>
        </w:rPr>
        <w:t>th</w:t>
      </w:r>
      <w:r w:rsidRPr="00040AA9">
        <w:rPr>
          <w:rFonts w:ascii="Arial" w:hAnsi="Arial" w:cs="Arial"/>
          <w:sz w:val="18"/>
          <w:szCs w:val="18"/>
          <w:lang w:val="en-US"/>
        </w:rPr>
        <w:t xml:space="preserve">, 2014 (ref. IFD/FMM/41/2014)] </w:t>
      </w:r>
    </w:p>
    <w:p w14:paraId="7118BC60" w14:textId="27A60898"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 xml:space="preserve">Enforcement of the timely presentation of PBs’ annual was stipulated in the FISPEG II loan contract section 2.03.II.(c) with which the GoJ was certified as being in compliance on Aug. 10, 2015. [Memorandum from </w:t>
      </w:r>
      <w:r>
        <w:rPr>
          <w:rFonts w:ascii="Arial" w:hAnsi="Arial" w:cs="Arial"/>
          <w:sz w:val="18"/>
          <w:szCs w:val="18"/>
          <w:lang w:val="en-US"/>
        </w:rPr>
        <w:t xml:space="preserve">PTL, </w:t>
      </w:r>
      <w:r w:rsidRPr="00040AA9">
        <w:rPr>
          <w:rFonts w:ascii="Arial" w:hAnsi="Arial" w:cs="Arial"/>
          <w:sz w:val="18"/>
          <w:szCs w:val="18"/>
          <w:lang w:val="en-US"/>
        </w:rPr>
        <w:t xml:space="preserve">Gerardo Reyes Tagle to </w:t>
      </w:r>
      <w:r>
        <w:rPr>
          <w:rFonts w:ascii="Arial" w:hAnsi="Arial" w:cs="Arial"/>
          <w:sz w:val="18"/>
          <w:szCs w:val="18"/>
          <w:lang w:val="en-US"/>
        </w:rPr>
        <w:t xml:space="preserve">Representative, </w:t>
      </w:r>
      <w:r w:rsidRPr="00040AA9">
        <w:rPr>
          <w:rFonts w:ascii="Arial" w:hAnsi="Arial" w:cs="Arial"/>
          <w:sz w:val="18"/>
          <w:szCs w:val="18"/>
          <w:lang w:val="en-US"/>
        </w:rPr>
        <w:t>Theresa Turner-Jones</w:t>
      </w:r>
      <w:r>
        <w:rPr>
          <w:rFonts w:ascii="Arial" w:hAnsi="Arial" w:cs="Arial"/>
          <w:sz w:val="18"/>
          <w:szCs w:val="18"/>
          <w:lang w:val="en-US"/>
        </w:rPr>
        <w:t>,</w:t>
      </w:r>
      <w:r w:rsidRPr="00040AA9">
        <w:rPr>
          <w:rFonts w:ascii="Arial" w:hAnsi="Arial" w:cs="Arial"/>
          <w:sz w:val="18"/>
          <w:szCs w:val="18"/>
          <w:lang w:val="en-US"/>
        </w:rPr>
        <w:t xml:space="preserve"> of August 10</w:t>
      </w:r>
      <w:r w:rsidRPr="00040AA9">
        <w:rPr>
          <w:rFonts w:ascii="Arial" w:hAnsi="Arial" w:cs="Arial"/>
          <w:sz w:val="18"/>
          <w:szCs w:val="18"/>
          <w:vertAlign w:val="superscript"/>
          <w:lang w:val="en-US"/>
        </w:rPr>
        <w:t>th</w:t>
      </w:r>
      <w:r w:rsidRPr="000509A1">
        <w:rPr>
          <w:rFonts w:ascii="Arial" w:hAnsi="Arial" w:cs="Arial"/>
          <w:sz w:val="18"/>
          <w:szCs w:val="18"/>
          <w:lang w:val="en-US"/>
        </w:rPr>
        <w:t>,</w:t>
      </w:r>
      <w:r w:rsidRPr="00040AA9">
        <w:rPr>
          <w:rFonts w:ascii="Arial" w:hAnsi="Arial" w:cs="Arial"/>
          <w:sz w:val="18"/>
          <w:szCs w:val="18"/>
          <w:lang w:val="en-US"/>
        </w:rPr>
        <w:t xml:space="preserve"> 2015 (ref. IFD/FMM/119/2015)]</w:t>
      </w:r>
    </w:p>
    <w:p w14:paraId="2F3D2217" w14:textId="67AC380B" w:rsidR="00D64D1A" w:rsidRPr="00040AA9" w:rsidRDefault="00D64D1A" w:rsidP="00040AA9">
      <w:pPr>
        <w:pStyle w:val="FootnoteText"/>
        <w:ind w:left="360"/>
        <w:jc w:val="both"/>
        <w:rPr>
          <w:rFonts w:ascii="Arial" w:hAnsi="Arial" w:cs="Arial"/>
          <w:sz w:val="18"/>
          <w:szCs w:val="18"/>
          <w:lang w:val="en-US"/>
        </w:rPr>
      </w:pPr>
      <w:r w:rsidRPr="00F863A4">
        <w:rPr>
          <w:rFonts w:ascii="Arial" w:hAnsi="Arial" w:cs="Arial"/>
          <w:sz w:val="18"/>
          <w:szCs w:val="18"/>
          <w:lang w:val="en-US"/>
        </w:rPr>
        <w:t>Thus,</w:t>
      </w:r>
      <w:r w:rsidRPr="00040AA9">
        <w:rPr>
          <w:rFonts w:ascii="Arial" w:hAnsi="Arial" w:cs="Arial"/>
          <w:sz w:val="18"/>
          <w:szCs w:val="18"/>
          <w:lang w:val="en-US"/>
        </w:rPr>
        <w:t xml:space="preserve"> the targeted planned startup date of FY 2014/15 and continued enforcement of the indicator has been met.</w:t>
      </w:r>
    </w:p>
  </w:footnote>
  <w:footnote w:id="122">
    <w:p w14:paraId="5CFDB80E" w14:textId="78349F58"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Nov. 8, 2016 letter from the FS makes reference to a “Report showing compliance of PBs for FY2014/15 compared with FY 2013/14.”</w:t>
      </w:r>
    </w:p>
  </w:footnote>
  <w:footnote w:id="123">
    <w:p w14:paraId="67A1B389" w14:textId="52B03CBB" w:rsidR="00D64D1A" w:rsidRPr="00040AA9" w:rsidRDefault="00D64D1A" w:rsidP="00040AA9">
      <w:pPr>
        <w:pStyle w:val="p1"/>
        <w:ind w:left="360" w:hanging="360"/>
        <w:jc w:val="both"/>
        <w:rPr>
          <w:rFonts w:ascii="Arial" w:hAnsi="Arial" w:cs="Arial"/>
        </w:rPr>
      </w:pPr>
      <w:r w:rsidRPr="00040AA9">
        <w:rPr>
          <w:rStyle w:val="FootnoteReference"/>
          <w:rFonts w:ascii="Arial" w:hAnsi="Arial" w:cs="Arial"/>
        </w:rPr>
        <w:footnoteRef/>
      </w:r>
      <w:r w:rsidRPr="00040AA9">
        <w:rPr>
          <w:rFonts w:ascii="Arial" w:hAnsi="Arial" w:cs="Arial"/>
        </w:rPr>
        <w:t xml:space="preserve"> </w:t>
      </w:r>
      <w:r>
        <w:rPr>
          <w:rFonts w:ascii="Arial" w:hAnsi="Arial" w:cs="Arial"/>
        </w:rPr>
        <w:tab/>
      </w:r>
      <w:r w:rsidRPr="00040AA9">
        <w:rPr>
          <w:rFonts w:ascii="Arial" w:hAnsi="Arial" w:cs="Arial"/>
        </w:rPr>
        <w:t>The PED statement reads in part: “Jamaica, under its current transformation program is seeking to enhance the efficiency and accountability of its own P</w:t>
      </w:r>
      <w:r>
        <w:rPr>
          <w:rFonts w:ascii="Arial" w:hAnsi="Arial" w:cs="Arial"/>
        </w:rPr>
        <w:t>B</w:t>
      </w:r>
      <w:r w:rsidRPr="00040AA9">
        <w:rPr>
          <w:rFonts w:ascii="Arial" w:hAnsi="Arial" w:cs="Arial"/>
        </w:rPr>
        <w:t>s; this is a continual exercise. Accordingly, the P</w:t>
      </w:r>
      <w:r>
        <w:rPr>
          <w:rFonts w:ascii="Arial" w:hAnsi="Arial" w:cs="Arial"/>
        </w:rPr>
        <w:t>ED</w:t>
      </w:r>
      <w:r w:rsidRPr="00040AA9">
        <w:rPr>
          <w:rFonts w:ascii="Arial" w:hAnsi="Arial" w:cs="Arial"/>
        </w:rPr>
        <w:t xml:space="preserve"> is liaising with the Office of the Cabinet to </w:t>
      </w:r>
      <w:r w:rsidRPr="00F863A4">
        <w:rPr>
          <w:rFonts w:ascii="Arial" w:hAnsi="Arial" w:cs="Arial"/>
        </w:rPr>
        <w:t>formalize</w:t>
      </w:r>
      <w:r w:rsidRPr="00040AA9">
        <w:rPr>
          <w:rFonts w:ascii="Arial" w:hAnsi="Arial" w:cs="Arial"/>
        </w:rPr>
        <w:t xml:space="preserve"> a Risk Based M</w:t>
      </w:r>
      <w:r>
        <w:rPr>
          <w:rFonts w:ascii="Arial" w:hAnsi="Arial" w:cs="Arial"/>
        </w:rPr>
        <w:t>EF</w:t>
      </w:r>
      <w:r w:rsidRPr="00040AA9">
        <w:rPr>
          <w:rFonts w:ascii="Arial" w:hAnsi="Arial" w:cs="Arial"/>
        </w:rPr>
        <w:t>. It is expected that this will inform us of the requirements for any development of/enhancement to an IT system. Where select aspects of the</w:t>
      </w:r>
      <w:r>
        <w:rPr>
          <w:rFonts w:ascii="Arial" w:hAnsi="Arial" w:cs="Arial"/>
        </w:rPr>
        <w:t xml:space="preserve"> </w:t>
      </w:r>
      <w:r w:rsidRPr="00040AA9">
        <w:rPr>
          <w:rFonts w:ascii="Arial" w:hAnsi="Arial" w:cs="Arial"/>
        </w:rPr>
        <w:t>Korean</w:t>
      </w:r>
      <w:r>
        <w:rPr>
          <w:rFonts w:ascii="Arial" w:hAnsi="Arial" w:cs="Arial"/>
        </w:rPr>
        <w:t xml:space="preserve"> [knowledge-sharing]</w:t>
      </w:r>
      <w:r w:rsidRPr="00040AA9">
        <w:rPr>
          <w:rFonts w:ascii="Arial" w:hAnsi="Arial" w:cs="Arial"/>
        </w:rPr>
        <w:t xml:space="preserve"> model/framework may be incorporated in the future, these will be considered.” Statement contained in email of Aug. 21, 2017 from</w:t>
      </w:r>
      <w:r>
        <w:rPr>
          <w:rFonts w:ascii="Arial" w:hAnsi="Arial" w:cs="Arial"/>
        </w:rPr>
        <w:t xml:space="preserve"> an</w:t>
      </w:r>
      <w:r w:rsidRPr="00040AA9">
        <w:rPr>
          <w:rFonts w:ascii="Arial" w:hAnsi="Arial" w:cs="Arial"/>
        </w:rPr>
        <w:t xml:space="preserve"> MoF&amp;PS /PED</w:t>
      </w:r>
      <w:r>
        <w:rPr>
          <w:rFonts w:ascii="Arial" w:hAnsi="Arial" w:cs="Arial"/>
        </w:rPr>
        <w:t xml:space="preserve"> official</w:t>
      </w:r>
      <w:r w:rsidRPr="00040AA9">
        <w:rPr>
          <w:rFonts w:ascii="Arial" w:hAnsi="Arial" w:cs="Arial"/>
        </w:rPr>
        <w:t xml:space="preserve">, to </w:t>
      </w:r>
      <w:r>
        <w:rPr>
          <w:rFonts w:ascii="Arial" w:hAnsi="Arial" w:cs="Arial"/>
        </w:rPr>
        <w:t>the PCR team</w:t>
      </w:r>
      <w:r w:rsidRPr="00040AA9">
        <w:rPr>
          <w:rFonts w:ascii="Arial" w:hAnsi="Arial" w:cs="Arial"/>
        </w:rPr>
        <w:t>.</w:t>
      </w:r>
    </w:p>
  </w:footnote>
  <w:footnote w:id="124">
    <w:p w14:paraId="02F9BB3D" w14:textId="4D060F3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evidence called for in this MOV stipulates only that the GoJ provide comments on the [Bank sponsored] report while the wording of the indicator implies that the GoJ is to carry out the economic and financial analysis on its own and then present this analysis to the Bank</w:t>
      </w:r>
    </w:p>
  </w:footnote>
  <w:footnote w:id="125">
    <w:p w14:paraId="5575FA04" w14:textId="060F124C"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MOF comments were prepared (dated May 26, 2015) and made available to the Bank</w:t>
      </w:r>
    </w:p>
  </w:footnote>
  <w:footnote w:id="126">
    <w:p w14:paraId="231AF54B" w14:textId="6ADCEACB"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This indicator is awarded a 100% achievement score given the wording of the indicator and MOV. (See following footnotes.)</w:t>
      </w:r>
    </w:p>
  </w:footnote>
  <w:footnote w:id="127">
    <w:p w14:paraId="1A8351E0" w14:textId="6F76DF30"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FISPEG III loan contract calls for implementation of efficiency measures consistent with relevant conclusions of the study. By virtue of compliance with this condition, the borrower has implicitly met the MOV for the indicator as originally planned.</w:t>
      </w:r>
    </w:p>
  </w:footnote>
  <w:footnote w:id="128">
    <w:p w14:paraId="4E5CAE25" w14:textId="4E16A30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Achievement of the indicator in terms of the wording of the MOV as originally stated is considered to be 100%. </w:t>
      </w:r>
      <w:r w:rsidRPr="00F863A4">
        <w:rPr>
          <w:rFonts w:ascii="Arial" w:hAnsi="Arial" w:cs="Arial"/>
          <w:sz w:val="18"/>
          <w:szCs w:val="18"/>
          <w:lang w:val="en-US"/>
        </w:rPr>
        <w:t>However,</w:t>
      </w:r>
      <w:r w:rsidRPr="00040AA9">
        <w:rPr>
          <w:rFonts w:ascii="Arial" w:hAnsi="Arial" w:cs="Arial"/>
          <w:sz w:val="18"/>
          <w:szCs w:val="18"/>
          <w:lang w:val="en-US"/>
        </w:rPr>
        <w:t xml:space="preserve"> to fully appreciate the “back story” of this indicator it is useful take into account the evolution of the related conditionality in the policy matrices for FISPEG II and III.  Originally the wording of the condition regarding the Bank-sponsored study for the third operation</w:t>
      </w:r>
      <w:r>
        <w:rPr>
          <w:rFonts w:ascii="Arial" w:hAnsi="Arial" w:cs="Arial"/>
          <w:sz w:val="18"/>
          <w:szCs w:val="18"/>
          <w:lang w:val="en-US"/>
        </w:rPr>
        <w:t>, as stated</w:t>
      </w:r>
      <w:r w:rsidRPr="00040AA9">
        <w:rPr>
          <w:rFonts w:ascii="Arial" w:hAnsi="Arial" w:cs="Arial"/>
          <w:sz w:val="18"/>
          <w:szCs w:val="18"/>
          <w:lang w:val="en-US"/>
        </w:rPr>
        <w:t xml:space="preserve"> in the policy matrix included with FISPEG II loan proposal</w:t>
      </w:r>
      <w:r>
        <w:rPr>
          <w:rFonts w:ascii="Arial" w:hAnsi="Arial" w:cs="Arial"/>
          <w:sz w:val="18"/>
          <w:szCs w:val="18"/>
          <w:lang w:val="en-US"/>
        </w:rPr>
        <w:t>,</w:t>
      </w:r>
      <w:r w:rsidRPr="00040AA9">
        <w:rPr>
          <w:rFonts w:ascii="Arial" w:hAnsi="Arial" w:cs="Arial"/>
          <w:sz w:val="18"/>
          <w:szCs w:val="18"/>
          <w:lang w:val="en-US"/>
        </w:rPr>
        <w:t xml:space="preserve"> was as follows: </w:t>
      </w:r>
    </w:p>
    <w:p w14:paraId="54919B21" w14:textId="77777777" w:rsidR="00D64D1A" w:rsidRPr="00040AA9" w:rsidRDefault="00D64D1A" w:rsidP="00127901">
      <w:pPr>
        <w:pStyle w:val="FootnoteText"/>
        <w:ind w:left="1440" w:hanging="720"/>
        <w:jc w:val="both"/>
        <w:rPr>
          <w:rFonts w:ascii="Arial" w:hAnsi="Arial" w:cs="Arial"/>
          <w:sz w:val="18"/>
          <w:szCs w:val="18"/>
          <w:lang w:val="en-US"/>
        </w:rPr>
      </w:pPr>
      <w:r w:rsidRPr="00040AA9">
        <w:rPr>
          <w:rFonts w:ascii="Arial" w:hAnsi="Arial" w:cs="Arial"/>
          <w:sz w:val="18"/>
          <w:szCs w:val="18"/>
          <w:lang w:val="en-US"/>
        </w:rPr>
        <w:t>- III.4.c: Implement the agreed recommendations of the Bank sponsored study to the extent possible within the context of maintaining consistency with the FRF.</w:t>
      </w:r>
    </w:p>
    <w:p w14:paraId="70F92B16" w14:textId="77777777"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By mutual agreement this wording was adjusted in the policy matrix (and loan contract) for FISPEG III as follows:</w:t>
      </w:r>
    </w:p>
    <w:p w14:paraId="21F6CCA0" w14:textId="1D3401CC" w:rsidR="00D64D1A" w:rsidRPr="00040AA9" w:rsidRDefault="00D64D1A" w:rsidP="00127901">
      <w:pPr>
        <w:pStyle w:val="FootnoteText"/>
        <w:ind w:left="720"/>
        <w:jc w:val="both"/>
        <w:rPr>
          <w:rFonts w:ascii="Arial" w:hAnsi="Arial" w:cs="Arial"/>
          <w:sz w:val="18"/>
          <w:szCs w:val="18"/>
          <w:lang w:val="en-US"/>
        </w:rPr>
      </w:pPr>
      <w:r>
        <w:rPr>
          <w:rFonts w:ascii="Arial" w:hAnsi="Arial" w:cs="Arial"/>
          <w:sz w:val="18"/>
          <w:szCs w:val="18"/>
          <w:lang w:val="en-US"/>
        </w:rPr>
        <w:t xml:space="preserve">- </w:t>
      </w:r>
      <w:r w:rsidRPr="00040AA9">
        <w:rPr>
          <w:rFonts w:ascii="Arial" w:hAnsi="Arial" w:cs="Arial"/>
          <w:sz w:val="18"/>
          <w:szCs w:val="18"/>
          <w:lang w:val="en-US"/>
        </w:rPr>
        <w:t xml:space="preserve">III.4.c: </w:t>
      </w:r>
      <w:r w:rsidRPr="00040AA9">
        <w:rPr>
          <w:rFonts w:ascii="Arial" w:hAnsi="Arial" w:cs="Arial"/>
          <w:sz w:val="18"/>
          <w:szCs w:val="18"/>
          <w:lang w:val="en-GB"/>
        </w:rPr>
        <w:t>Implement specific efficiency measures at the JUTC and NWC consistent with the conclusions of the Bank sponsored study</w:t>
      </w:r>
      <w:r w:rsidRPr="00040AA9">
        <w:rPr>
          <w:rFonts w:ascii="Arial" w:hAnsi="Arial" w:cs="Arial"/>
          <w:sz w:val="18"/>
          <w:szCs w:val="18"/>
          <w:lang w:val="en-US"/>
        </w:rPr>
        <w:t>.</w:t>
      </w:r>
    </w:p>
    <w:p w14:paraId="1414E3AE" w14:textId="77777777"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 xml:space="preserve">The explanation for the change in wording was as follows: </w:t>
      </w:r>
    </w:p>
    <w:p w14:paraId="006F3D9E" w14:textId="55784BBB" w:rsidR="00D64D1A" w:rsidRPr="00040AA9" w:rsidRDefault="00D64D1A" w:rsidP="00127901">
      <w:pPr>
        <w:suppressAutoHyphens/>
        <w:ind w:left="540"/>
        <w:jc w:val="both"/>
        <w:rPr>
          <w:rFonts w:ascii="Arial" w:hAnsi="Arial" w:cs="Arial"/>
          <w:sz w:val="18"/>
          <w:szCs w:val="18"/>
        </w:rPr>
      </w:pPr>
      <w:r w:rsidRPr="00040AA9">
        <w:rPr>
          <w:rFonts w:ascii="Arial" w:hAnsi="Arial" w:cs="Arial"/>
          <w:sz w:val="18"/>
          <w:szCs w:val="18"/>
        </w:rPr>
        <w:t xml:space="preserve">- The Bank and MoFPS have agreed on efficiency measures to be undertaken at JUTC and NWC that are consistent with the conclusions of the study, </w:t>
      </w:r>
      <w:r>
        <w:rPr>
          <w:rFonts w:ascii="Arial" w:hAnsi="Arial" w:cs="Arial"/>
          <w:sz w:val="18"/>
          <w:szCs w:val="18"/>
        </w:rPr>
        <w:t>namely;</w:t>
      </w:r>
      <w:r w:rsidRPr="00040AA9">
        <w:rPr>
          <w:rFonts w:ascii="Arial" w:hAnsi="Arial" w:cs="Arial"/>
          <w:sz w:val="18"/>
          <w:szCs w:val="18"/>
        </w:rPr>
        <w:t xml:space="preserve"> </w:t>
      </w:r>
    </w:p>
    <w:p w14:paraId="469B7ABD" w14:textId="5D286478" w:rsidR="00D64D1A" w:rsidRPr="00040AA9" w:rsidRDefault="00D64D1A" w:rsidP="00127901">
      <w:pPr>
        <w:pStyle w:val="MediumGrid1-Accent21"/>
        <w:suppressAutoHyphens/>
        <w:spacing w:after="0" w:line="240" w:lineRule="auto"/>
        <w:ind w:left="630"/>
        <w:contextualSpacing w:val="0"/>
        <w:jc w:val="both"/>
        <w:rPr>
          <w:rFonts w:ascii="Arial" w:hAnsi="Arial" w:cs="Arial"/>
          <w:sz w:val="18"/>
          <w:szCs w:val="18"/>
          <w:lang w:val="en-US"/>
        </w:rPr>
      </w:pPr>
      <w:r>
        <w:rPr>
          <w:rFonts w:ascii="Arial" w:hAnsi="Arial" w:cs="Arial"/>
          <w:sz w:val="18"/>
          <w:szCs w:val="18"/>
          <w:lang w:val="en-US"/>
        </w:rPr>
        <w:t xml:space="preserve">i - </w:t>
      </w:r>
      <w:r w:rsidRPr="00040AA9">
        <w:rPr>
          <w:rFonts w:ascii="Arial" w:hAnsi="Arial" w:cs="Arial"/>
          <w:sz w:val="18"/>
          <w:szCs w:val="18"/>
          <w:lang w:val="en-US"/>
        </w:rPr>
        <w:t>JUTC –reduce bus loading time, implement operating cost-savings measures, and improve maintenance of buses in order to extend their service life; and</w:t>
      </w:r>
    </w:p>
    <w:p w14:paraId="55C0822C" w14:textId="52682A2F" w:rsidR="00D64D1A" w:rsidRPr="00040AA9" w:rsidRDefault="00D64D1A" w:rsidP="00127901">
      <w:pPr>
        <w:pStyle w:val="MediumGrid1-Accent21"/>
        <w:suppressAutoHyphens/>
        <w:spacing w:after="0" w:line="240" w:lineRule="auto"/>
        <w:ind w:left="630"/>
        <w:contextualSpacing w:val="0"/>
        <w:jc w:val="both"/>
        <w:rPr>
          <w:rFonts w:ascii="Arial" w:hAnsi="Arial" w:cs="Arial"/>
          <w:sz w:val="18"/>
          <w:szCs w:val="18"/>
          <w:lang w:val="en-US"/>
        </w:rPr>
      </w:pPr>
      <w:r>
        <w:rPr>
          <w:rFonts w:ascii="Arial" w:hAnsi="Arial" w:cs="Arial"/>
          <w:sz w:val="18"/>
          <w:szCs w:val="18"/>
          <w:lang w:val="en-US"/>
        </w:rPr>
        <w:t xml:space="preserve">ii - </w:t>
      </w:r>
      <w:r w:rsidRPr="00040AA9">
        <w:rPr>
          <w:rFonts w:ascii="Arial" w:hAnsi="Arial" w:cs="Arial"/>
          <w:sz w:val="18"/>
          <w:szCs w:val="18"/>
          <w:lang w:val="en-US"/>
        </w:rPr>
        <w:t>NWC – improve labor productivity, decrease bill payment delinquencies, and reduce non-revenue water [NRW].</w:t>
      </w:r>
    </w:p>
    <w:p w14:paraId="554EAB4C" w14:textId="02FE3422"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 xml:space="preserve">This change in wording reflects an underlying disagreement of the authorities with the conclusions of the study per se. </w:t>
      </w:r>
      <w:r w:rsidRPr="00F863A4">
        <w:rPr>
          <w:rFonts w:ascii="Arial" w:hAnsi="Arial" w:cs="Arial"/>
          <w:sz w:val="18"/>
          <w:szCs w:val="18"/>
          <w:lang w:val="en-US"/>
        </w:rPr>
        <w:t>However,</w:t>
      </w:r>
      <w:r w:rsidRPr="00040AA9">
        <w:rPr>
          <w:rFonts w:ascii="Arial" w:hAnsi="Arial" w:cs="Arial"/>
          <w:sz w:val="18"/>
          <w:szCs w:val="18"/>
          <w:lang w:val="en-US"/>
        </w:rPr>
        <w:t xml:space="preserve"> the authorities did acknowledge the broad principles behind the conclusions of the study as regards efficiency improvement, better management, etc. and the Bank therefore agreed to modify the wording of the condition for the third operation. </w:t>
      </w:r>
      <w:r w:rsidRPr="00F863A4">
        <w:rPr>
          <w:rFonts w:ascii="Arial" w:hAnsi="Arial" w:cs="Arial"/>
          <w:sz w:val="18"/>
          <w:szCs w:val="18"/>
          <w:lang w:val="en-US"/>
        </w:rPr>
        <w:t>However,</w:t>
      </w:r>
      <w:r w:rsidRPr="00040AA9">
        <w:rPr>
          <w:rFonts w:ascii="Arial" w:hAnsi="Arial" w:cs="Arial"/>
          <w:sz w:val="18"/>
          <w:szCs w:val="18"/>
          <w:lang w:val="en-US"/>
        </w:rPr>
        <w:t xml:space="preserve"> it should be observed that this change in focus of the conditionality strictly speaking does NOT affect the degree of achievement of Indicator III.5.2 as the latter does not address the issue of implementation of the conclusions/recommendations of the study but only that they be considered by the authorities, which they were</w:t>
      </w:r>
      <w:r>
        <w:rPr>
          <w:rFonts w:ascii="Arial" w:hAnsi="Arial" w:cs="Arial"/>
          <w:sz w:val="18"/>
          <w:szCs w:val="18"/>
          <w:lang w:val="en-US"/>
        </w:rPr>
        <w:t>,</w:t>
      </w:r>
      <w:r w:rsidRPr="00040AA9">
        <w:rPr>
          <w:rFonts w:ascii="Arial" w:hAnsi="Arial" w:cs="Arial"/>
          <w:sz w:val="18"/>
          <w:szCs w:val="18"/>
          <w:lang w:val="en-US"/>
        </w:rPr>
        <w:t xml:space="preserve"> albeit </w:t>
      </w:r>
      <w:r>
        <w:rPr>
          <w:rFonts w:ascii="Arial" w:hAnsi="Arial" w:cs="Arial"/>
          <w:sz w:val="18"/>
          <w:szCs w:val="18"/>
          <w:lang w:val="en-US"/>
        </w:rPr>
        <w:t>only broadly</w:t>
      </w:r>
      <w:r w:rsidRPr="00040AA9">
        <w:rPr>
          <w:rFonts w:ascii="Arial" w:hAnsi="Arial" w:cs="Arial"/>
          <w:sz w:val="18"/>
          <w:szCs w:val="18"/>
          <w:lang w:val="en-US"/>
        </w:rPr>
        <w:t xml:space="preserve">. </w:t>
      </w:r>
    </w:p>
    <w:p w14:paraId="460E703B" w14:textId="77777777" w:rsidR="00D64D1A" w:rsidRPr="007852F5" w:rsidRDefault="00D64D1A" w:rsidP="008A16F1">
      <w:pPr>
        <w:pStyle w:val="FootnoteText"/>
        <w:rPr>
          <w:rFonts w:ascii="Arial" w:hAnsi="Arial" w:cs="Arial"/>
          <w:sz w:val="16"/>
          <w:szCs w:val="16"/>
          <w:lang w:val="en-US"/>
        </w:rPr>
      </w:pPr>
    </w:p>
  </w:footnote>
  <w:footnote w:id="129">
    <w:p w14:paraId="4DAB442C" w14:textId="6D229EBE"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letter reads “The Cabinet Office is in receipt of the following documents: Concept Paper on the Reform of the National Insurance Scheme (NIS)”. The Concept Paper – Page 8 reads “The aim of these studies was to independently assess the strengths and weaknesses of the NIS as the first level of pension coverage in Jamaica and to identify the administrative and other challenges being faced and the possible solutions. The studies were all very comprehensive and were strategically requested in order to specifically assess those challenges identified by the Ministry as posing the greatest threats to the NIS.”</w:t>
      </w:r>
    </w:p>
  </w:footnote>
  <w:footnote w:id="130">
    <w:p w14:paraId="28697D79" w14:textId="77A49C50"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FS’s Nov. 8 letter notes that the Position Paper includes recommendations for implementation regarding: the contribution rate, pension benefits and increasing coverage. The Nov 8 letter makes reference to (i) a letter dated Oct. 31, 2016 from the MLSS advising that the Position Paper was approved by Cabinet on Oct. 10, 2016, and (ii) a letter dated Oct. 13, 2016 from Cabinet Offices confirming Cabinet approval of the Position Paper.</w:t>
      </w:r>
    </w:p>
  </w:footnote>
  <w:footnote w:id="131">
    <w:p w14:paraId="561BD388" w14:textId="1EA8701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Paragraph 3.3 reads as follows: “The MOFPS is coordinating all the reforms under the FISPEG, except for the pension reform, which is executed by the NIS. The MOFPS coordinates with the NIS and chairs the stakeholder-working group, which originally included the MLSS, Planning Institute of Jamaica (PIOJ), the Cabinet Office, the Jamaica government Pensioners’ Association, the Jamaica Confederation of Trade Unions, and the Jamaica Employers Federation, in addition to members from civil society and academia. Following a Cabinet recommendation, the Working Group (WG) was restructured to include only the MOFPS, MLSS and the PIOJ. The WG has met on a regular basis to discuss the progress and next steps of the NIS reform.”</w:t>
      </w:r>
    </w:p>
    <w:p w14:paraId="62D1B56A" w14:textId="57F73B91" w:rsidR="00D64D1A" w:rsidRPr="00040AA9" w:rsidRDefault="00D64D1A" w:rsidP="00040AA9">
      <w:pPr>
        <w:pStyle w:val="FootnoteText"/>
        <w:ind w:left="360"/>
        <w:jc w:val="both"/>
        <w:rPr>
          <w:rFonts w:ascii="Arial" w:hAnsi="Arial" w:cs="Arial"/>
          <w:sz w:val="18"/>
          <w:szCs w:val="18"/>
          <w:lang w:val="en-US"/>
        </w:rPr>
      </w:pPr>
      <w:r w:rsidRPr="00040AA9">
        <w:rPr>
          <w:rFonts w:ascii="Arial" w:hAnsi="Arial" w:cs="Arial"/>
          <w:sz w:val="18"/>
          <w:szCs w:val="18"/>
          <w:lang w:val="en-US"/>
        </w:rPr>
        <w:t>The “Comparative Policy Matrix” (Optional Link 18 to the Loan Proposal) also makes extensive reference to the working groups in the Explanation for Changes in Component IV between the Triggers for the Third Operation as originally stated in the Loan Proposal for the Second Operation (JA-L1051</w:t>
      </w:r>
      <w:r w:rsidRPr="00F863A4">
        <w:rPr>
          <w:rFonts w:ascii="Arial" w:hAnsi="Arial" w:cs="Arial"/>
          <w:sz w:val="18"/>
          <w:szCs w:val="18"/>
          <w:lang w:val="en-US"/>
        </w:rPr>
        <w:t>) vs.</w:t>
      </w:r>
      <w:r w:rsidRPr="00040AA9">
        <w:rPr>
          <w:rFonts w:ascii="Arial" w:hAnsi="Arial" w:cs="Arial"/>
          <w:sz w:val="18"/>
          <w:szCs w:val="18"/>
          <w:lang w:val="en-US"/>
        </w:rPr>
        <w:t xml:space="preserve"> the Third Operation (JA-L1055) Current Conditions.</w:t>
      </w:r>
    </w:p>
  </w:footnote>
  <w:footnote w:id="132">
    <w:p w14:paraId="69851C97" w14:textId="69D31DEE"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Specifically, the Cabinet Secretary’s letter advised of the approval of Cabinet for issue of drafting instructions for the amendment of the National Insurance Act to allow for an actuarial review of the National Insurance Scheme to be conducted every three (3) years instead of five (5) years.</w:t>
      </w:r>
    </w:p>
  </w:footnote>
  <w:footnote w:id="133">
    <w:p w14:paraId="1263DC10" w14:textId="31CD3855"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CA"/>
        </w:rPr>
        <w:t>The next actuarial analysis is just getting started (bids rec’d in May 2017). It is not expected to be completed until April 2018</w:t>
      </w:r>
    </w:p>
  </w:footnote>
  <w:footnote w:id="134">
    <w:p w14:paraId="7B15FFE8" w14:textId="42B5114D" w:rsidR="00D64D1A" w:rsidRPr="00040AA9" w:rsidRDefault="00D64D1A" w:rsidP="00040AA9">
      <w:pPr>
        <w:ind w:left="360" w:hanging="360"/>
        <w:jc w:val="both"/>
        <w:rPr>
          <w:rFonts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Nov. 8, 2016 letter from the FS makes reference to: (a) Letter dated Oct. 31, 2016 from the MLSS informing of the tabling of the Bill in the House of Representatives on July 19, 2016, (b) Letter dated July 26, 2016 from the Clerk of the Houses of Parliament attaching an Extract from the Minutes of the Sitting of the House of Representatives on July 19, 20</w:t>
      </w:r>
      <w:r w:rsidRPr="00040AA9">
        <w:rPr>
          <w:rFonts w:cs="Arial"/>
          <w:sz w:val="18"/>
          <w:szCs w:val="18"/>
        </w:rPr>
        <w:t>16</w:t>
      </w:r>
    </w:p>
  </w:footnote>
  <w:footnote w:id="135">
    <w:p w14:paraId="235278C9" w14:textId="3846ABA4"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Wording in brackets added to better characterize the nature of this indicator (IV.3.1)</w:t>
      </w:r>
    </w:p>
  </w:footnote>
  <w:footnote w:id="136">
    <w:p w14:paraId="7D461A52" w14:textId="4FA4DF65" w:rsidR="00D64D1A" w:rsidRPr="00040AA9" w:rsidRDefault="00D64D1A" w:rsidP="00040AA9">
      <w:pPr>
        <w:pStyle w:val="FootnoteText"/>
        <w:ind w:left="360" w:hanging="360"/>
        <w:jc w:val="both"/>
        <w:rPr>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The </w:t>
      </w:r>
      <w:r w:rsidRPr="00F863A4">
        <w:rPr>
          <w:rFonts w:ascii="Arial" w:hAnsi="Arial" w:cs="Arial"/>
          <w:sz w:val="18"/>
          <w:szCs w:val="18"/>
          <w:lang w:val="en-US"/>
        </w:rPr>
        <w:t>overview to</w:t>
      </w:r>
      <w:r w:rsidRPr="00040AA9">
        <w:rPr>
          <w:rFonts w:ascii="Arial" w:hAnsi="Arial" w:cs="Arial"/>
          <w:sz w:val="18"/>
          <w:szCs w:val="18"/>
          <w:lang w:val="en-US"/>
        </w:rPr>
        <w:t xml:space="preserve"> the assessment report (p. i), entitled “Information Technology Diagnosis of the Jamaica National Insurance Scheme (NIS)” page reads “The objective of this individual consultancy is to diagnose the state of the IT systems of the NIS and to propose possible improvements.”</w:t>
      </w:r>
    </w:p>
  </w:footnote>
  <w:footnote w:id="137">
    <w:p w14:paraId="111A22DE" w14:textId="304389B1"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PS/MLSS letter also attached a copy of the advertisement to be placed inviting “Expression of Interest” from interested IT firms.</w:t>
      </w:r>
    </w:p>
  </w:footnote>
  <w:footnote w:id="138">
    <w:p w14:paraId="54724F7A" w14:textId="031B127E"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The Jan. 6, 2014 letter reads “At its meeting of 16 December 2013, and by Cabinet Decision No. 42/13, Cabinet approved the following: The Go</w:t>
      </w:r>
      <w:r>
        <w:rPr>
          <w:rFonts w:ascii="Arial" w:hAnsi="Arial" w:cs="Arial"/>
          <w:sz w:val="18"/>
          <w:szCs w:val="18"/>
          <w:lang w:val="en-US"/>
        </w:rPr>
        <w:t>J</w:t>
      </w:r>
      <w:r w:rsidRPr="00040AA9">
        <w:rPr>
          <w:rFonts w:ascii="Arial" w:hAnsi="Arial" w:cs="Arial"/>
          <w:sz w:val="18"/>
          <w:szCs w:val="18"/>
          <w:lang w:val="en-US"/>
        </w:rPr>
        <w:t>’s Conceptual Framework for Enhanced Rules-Based Fiscal Governance in Jamaica that was submitted to the International Monetary Fund at the end of August 2013 in compliance with the Memorandum of Economic and Financial Policies.”</w:t>
      </w:r>
    </w:p>
  </w:footnote>
  <w:footnote w:id="139">
    <w:p w14:paraId="3999CEA9" w14:textId="44CFA3DA" w:rsidR="00D64D1A" w:rsidRPr="00040AA9" w:rsidRDefault="00D64D1A" w:rsidP="00040AA9">
      <w:pPr>
        <w:ind w:left="360" w:hanging="360"/>
        <w:jc w:val="both"/>
        <w:rPr>
          <w:rFonts w:ascii="Arial" w:hAnsi="Arial"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The evidence presented supersedes and subsumes indicator V.1.2 as worded, however it is consistent with MOV as stated. Attached to the May 27 letter are copies of the two acts and a notation that certain elements of the amendments listed in section 8 of the FAA were not to take effect until April 1, 2017</w:t>
      </w:r>
    </w:p>
  </w:footnote>
  <w:footnote w:id="140">
    <w:p w14:paraId="009279AB" w14:textId="7EBD3CFE" w:rsidR="00D64D1A" w:rsidRPr="00040AA9" w:rsidRDefault="00D64D1A" w:rsidP="00040AA9">
      <w:pPr>
        <w:ind w:left="360" w:hanging="360"/>
        <w:jc w:val="both"/>
        <w:rPr>
          <w:rFonts w:cs="Arial"/>
          <w:sz w:val="18"/>
          <w:szCs w:val="18"/>
        </w:rPr>
      </w:pPr>
      <w:r w:rsidRPr="00040AA9">
        <w:rPr>
          <w:rStyle w:val="FootnoteReference"/>
          <w:rFonts w:ascii="Arial" w:hAnsi="Arial" w:cs="Arial"/>
          <w:sz w:val="18"/>
          <w:szCs w:val="18"/>
        </w:rPr>
        <w:footnoteRef/>
      </w:r>
      <w:r w:rsidRPr="00040AA9">
        <w:rPr>
          <w:rFonts w:ascii="Arial" w:hAnsi="Arial" w:cs="Arial"/>
          <w:sz w:val="18"/>
          <w:szCs w:val="18"/>
        </w:rPr>
        <w:t xml:space="preserve"> </w:t>
      </w:r>
      <w:r>
        <w:rPr>
          <w:rFonts w:ascii="Arial" w:hAnsi="Arial" w:cs="Arial"/>
          <w:sz w:val="18"/>
          <w:szCs w:val="18"/>
        </w:rPr>
        <w:tab/>
      </w:r>
      <w:r w:rsidRPr="00040AA9">
        <w:rPr>
          <w:rFonts w:ascii="Arial" w:hAnsi="Arial" w:cs="Arial"/>
          <w:sz w:val="18"/>
          <w:szCs w:val="18"/>
        </w:rPr>
        <w:t xml:space="preserve">The Nov. 8, 2016 letter from the FS makes reference to: (a) Financial Administration and Audit (Amendment) Act, 2014, (b) Financial Administration and Audit (Fiscal Responsibility </w:t>
      </w:r>
      <w:r w:rsidRPr="00F863A4">
        <w:rPr>
          <w:rFonts w:ascii="Arial" w:hAnsi="Arial" w:cs="Arial"/>
          <w:sz w:val="18"/>
          <w:szCs w:val="18"/>
        </w:rPr>
        <w:t>Framework) (</w:t>
      </w:r>
      <w:r w:rsidRPr="00040AA9">
        <w:rPr>
          <w:rFonts w:ascii="Arial" w:hAnsi="Arial" w:cs="Arial"/>
          <w:sz w:val="18"/>
          <w:szCs w:val="18"/>
        </w:rPr>
        <w:t xml:space="preserve">Amendment) Regulations, 2015, (c) Fiscal Policy Paper FY 2016/17 dated Apr. 14, 2016; and (d) Interim Fiscal Policy Paper FY 2016/17 dated Sept. </w:t>
      </w:r>
      <w:r w:rsidRPr="00F863A4">
        <w:rPr>
          <w:rFonts w:ascii="Arial" w:hAnsi="Arial" w:cs="Arial"/>
          <w:sz w:val="18"/>
          <w:szCs w:val="18"/>
        </w:rPr>
        <w:t>28,</w:t>
      </w:r>
      <w:r w:rsidRPr="00040AA9">
        <w:rPr>
          <w:rFonts w:ascii="Arial" w:hAnsi="Arial" w:cs="Arial"/>
          <w:sz w:val="18"/>
          <w:szCs w:val="18"/>
        </w:rPr>
        <w:t xml:space="preserve"> 2016.</w:t>
      </w:r>
    </w:p>
  </w:footnote>
  <w:footnote w:id="141">
    <w:p w14:paraId="4BC1C93B" w14:textId="444DCFEA"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In section 3.3 below on Efficiency, the separate impact on tax revenues of the FISPEG operation alone is also estimated. </w:t>
      </w:r>
    </w:p>
  </w:footnote>
  <w:footnote w:id="142">
    <w:p w14:paraId="31CE6675" w14:textId="0B95F563"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See Annex III - J Baca </w:t>
      </w:r>
      <w:r w:rsidRPr="00040AA9">
        <w:rPr>
          <w:rFonts w:ascii="Arial" w:hAnsi="Arial" w:cs="Arial"/>
          <w:i/>
          <w:sz w:val="18"/>
          <w:szCs w:val="18"/>
          <w:lang w:val="en-US"/>
        </w:rPr>
        <w:t>Jamaica Tax Reform Assessment</w:t>
      </w:r>
      <w:r w:rsidRPr="00040AA9">
        <w:rPr>
          <w:rFonts w:ascii="Arial" w:hAnsi="Arial" w:cs="Arial"/>
          <w:sz w:val="18"/>
          <w:szCs w:val="18"/>
          <w:lang w:val="en-US"/>
        </w:rPr>
        <w:t xml:space="preserve">, Appendix I “Jamaica </w:t>
      </w:r>
      <w:r>
        <w:rPr>
          <w:rFonts w:ascii="Arial" w:hAnsi="Arial" w:cs="Arial"/>
          <w:sz w:val="18"/>
          <w:szCs w:val="18"/>
          <w:lang w:val="en-US"/>
        </w:rPr>
        <w:t>DCGE</w:t>
      </w:r>
      <w:r w:rsidRPr="00040AA9">
        <w:rPr>
          <w:rFonts w:ascii="Arial" w:hAnsi="Arial" w:cs="Arial"/>
          <w:sz w:val="18"/>
          <w:szCs w:val="18"/>
          <w:lang w:val="en-US"/>
        </w:rPr>
        <w:t xml:space="preserve"> Model” p. 98 ff. for a discussion of how the model was used to derive these results. </w:t>
      </w:r>
    </w:p>
  </w:footnote>
  <w:footnote w:id="143">
    <w:p w14:paraId="48C66898" w14:textId="658EA2F5" w:rsidR="00D64D1A" w:rsidRPr="009C086E" w:rsidRDefault="00D64D1A">
      <w:pPr>
        <w:pStyle w:val="FootnoteText"/>
        <w:rPr>
          <w:rFonts w:ascii="Arial" w:hAnsi="Arial" w:cs="Arial"/>
          <w:sz w:val="18"/>
          <w:szCs w:val="18"/>
          <w:lang w:val="en-US"/>
        </w:rPr>
      </w:pPr>
      <w:r w:rsidRPr="009C086E">
        <w:rPr>
          <w:rStyle w:val="FootnoteReference"/>
          <w:rFonts w:ascii="Arial" w:hAnsi="Arial" w:cs="Arial"/>
          <w:sz w:val="18"/>
          <w:szCs w:val="18"/>
        </w:rPr>
        <w:footnoteRef/>
      </w:r>
      <w:r w:rsidRPr="009C086E">
        <w:rPr>
          <w:rFonts w:ascii="Arial" w:hAnsi="Arial" w:cs="Arial"/>
          <w:sz w:val="18"/>
          <w:szCs w:val="18"/>
          <w:lang w:val="en-US"/>
        </w:rPr>
        <w:t xml:space="preserve"> See Annex V </w:t>
      </w:r>
      <w:r>
        <w:rPr>
          <w:rFonts w:ascii="Arial" w:hAnsi="Arial" w:cs="Arial"/>
          <w:sz w:val="18"/>
          <w:szCs w:val="18"/>
          <w:lang w:val="en-US"/>
        </w:rPr>
        <w:t xml:space="preserve">for the complete </w:t>
      </w:r>
      <w:r w:rsidRPr="009C086E">
        <w:rPr>
          <w:rFonts w:ascii="Arial" w:hAnsi="Arial" w:cs="Arial"/>
          <w:sz w:val="18"/>
          <w:szCs w:val="18"/>
          <w:lang w:val="en-US"/>
        </w:rPr>
        <w:t>reference</w:t>
      </w:r>
      <w:r>
        <w:rPr>
          <w:rFonts w:ascii="Arial" w:hAnsi="Arial" w:cs="Arial"/>
          <w:sz w:val="18"/>
          <w:szCs w:val="18"/>
          <w:lang w:val="en-US"/>
        </w:rPr>
        <w:t>s to the literature cited.</w:t>
      </w:r>
    </w:p>
  </w:footnote>
  <w:footnote w:id="144">
    <w:p w14:paraId="44272FDD" w14:textId="077C0704" w:rsidR="00D64D1A" w:rsidRPr="00522E3F" w:rsidRDefault="00D64D1A">
      <w:pPr>
        <w:pStyle w:val="FootnoteText"/>
        <w:rPr>
          <w:rFonts w:ascii="Arial" w:hAnsi="Arial" w:cs="Arial"/>
          <w:sz w:val="18"/>
          <w:szCs w:val="18"/>
          <w:lang w:val="en-US"/>
        </w:rPr>
      </w:pPr>
      <w:r w:rsidRPr="00522E3F">
        <w:rPr>
          <w:rStyle w:val="FootnoteReference"/>
          <w:rFonts w:ascii="Arial" w:hAnsi="Arial" w:cs="Arial"/>
          <w:sz w:val="18"/>
          <w:szCs w:val="18"/>
        </w:rPr>
        <w:footnoteRef/>
      </w:r>
      <w:r w:rsidRPr="00522E3F">
        <w:rPr>
          <w:rFonts w:ascii="Arial" w:hAnsi="Arial" w:cs="Arial"/>
          <w:i/>
          <w:sz w:val="18"/>
          <w:szCs w:val="18"/>
          <w:lang w:val="en-US"/>
        </w:rPr>
        <w:t xml:space="preserve"> </w:t>
      </w:r>
      <w:r w:rsidRPr="00522E3F">
        <w:rPr>
          <w:rFonts w:ascii="Arial" w:hAnsi="Arial" w:cs="Arial"/>
          <w:sz w:val="18"/>
          <w:szCs w:val="18"/>
          <w:lang w:val="en-US"/>
        </w:rPr>
        <w:t>OECD</w:t>
      </w:r>
      <w:r w:rsidRPr="00522E3F">
        <w:rPr>
          <w:rFonts w:ascii="Arial" w:hAnsi="Arial" w:cs="Arial"/>
          <w:i/>
          <w:sz w:val="18"/>
          <w:szCs w:val="18"/>
          <w:lang w:val="en-US"/>
        </w:rPr>
        <w:t xml:space="preserve"> Guidelines on Corporate Governance of State-Owned Enterprises</w:t>
      </w:r>
      <w:r w:rsidRPr="00522E3F">
        <w:rPr>
          <w:rFonts w:ascii="Arial" w:hAnsi="Arial" w:cs="Arial"/>
          <w:sz w:val="18"/>
          <w:szCs w:val="18"/>
          <w:lang w:val="en-US"/>
        </w:rPr>
        <w:t xml:space="preserve"> 2015 Edition.</w:t>
      </w:r>
      <w:r w:rsidRPr="00522E3F">
        <w:rPr>
          <w:rFonts w:ascii="Arial" w:hAnsi="Arial" w:cs="Arial"/>
          <w:i/>
          <w:sz w:val="18"/>
          <w:szCs w:val="18"/>
          <w:lang w:val="en-US"/>
        </w:rPr>
        <w:t xml:space="preserve"> </w:t>
      </w:r>
      <w:r w:rsidRPr="00522E3F">
        <w:rPr>
          <w:rFonts w:ascii="Arial" w:hAnsi="Arial" w:cs="Arial"/>
          <w:sz w:val="18"/>
          <w:szCs w:val="18"/>
          <w:lang w:val="en-US"/>
        </w:rPr>
        <w:t>p. 18</w:t>
      </w:r>
    </w:p>
  </w:footnote>
  <w:footnote w:id="145">
    <w:p w14:paraId="15D7CF7B" w14:textId="71714E7C" w:rsidR="00D64D1A" w:rsidRPr="00522E3F" w:rsidRDefault="00D64D1A">
      <w:pPr>
        <w:pStyle w:val="FootnoteText"/>
        <w:rPr>
          <w:rFonts w:ascii="Arial" w:hAnsi="Arial" w:cs="Arial"/>
          <w:sz w:val="18"/>
          <w:szCs w:val="18"/>
          <w:lang w:val="en-US"/>
        </w:rPr>
      </w:pPr>
      <w:r w:rsidRPr="00522E3F">
        <w:rPr>
          <w:rStyle w:val="FootnoteReference"/>
          <w:rFonts w:ascii="Arial" w:hAnsi="Arial" w:cs="Arial"/>
          <w:sz w:val="18"/>
          <w:szCs w:val="18"/>
        </w:rPr>
        <w:footnoteRef/>
      </w:r>
      <w:r w:rsidRPr="00522E3F">
        <w:rPr>
          <w:rFonts w:ascii="Arial" w:hAnsi="Arial" w:cs="Arial"/>
          <w:sz w:val="18"/>
          <w:szCs w:val="18"/>
          <w:lang w:val="en-US"/>
        </w:rPr>
        <w:t xml:space="preserve"> ibid, p. 19</w:t>
      </w:r>
    </w:p>
  </w:footnote>
  <w:footnote w:id="146">
    <w:p w14:paraId="48769FAA" w14:textId="23941D19" w:rsidR="00D64D1A" w:rsidRPr="00522E3F" w:rsidRDefault="00D64D1A">
      <w:pPr>
        <w:pStyle w:val="FootnoteText"/>
        <w:rPr>
          <w:rFonts w:ascii="Arial" w:hAnsi="Arial" w:cs="Arial"/>
          <w:sz w:val="18"/>
          <w:szCs w:val="18"/>
          <w:lang w:val="en-US"/>
        </w:rPr>
      </w:pPr>
      <w:r w:rsidRPr="00522E3F">
        <w:rPr>
          <w:rStyle w:val="FootnoteReference"/>
          <w:rFonts w:ascii="Arial" w:hAnsi="Arial" w:cs="Arial"/>
          <w:sz w:val="18"/>
          <w:szCs w:val="18"/>
        </w:rPr>
        <w:footnoteRef/>
      </w:r>
      <w:r w:rsidRPr="00522E3F">
        <w:rPr>
          <w:rFonts w:ascii="Arial" w:hAnsi="Arial" w:cs="Arial"/>
          <w:sz w:val="18"/>
          <w:szCs w:val="18"/>
          <w:lang w:val="en-US"/>
        </w:rPr>
        <w:t xml:space="preserve"> ibid, p. 41</w:t>
      </w:r>
    </w:p>
  </w:footnote>
  <w:footnote w:id="147">
    <w:p w14:paraId="13756BA0" w14:textId="4BFF9F0D" w:rsidR="00D64D1A" w:rsidRPr="00522E3F" w:rsidRDefault="00D64D1A">
      <w:pPr>
        <w:pStyle w:val="FootnoteText"/>
        <w:rPr>
          <w:rFonts w:ascii="Arial" w:hAnsi="Arial" w:cs="Arial"/>
          <w:sz w:val="18"/>
          <w:szCs w:val="18"/>
          <w:lang w:val="en-US"/>
        </w:rPr>
      </w:pPr>
      <w:r w:rsidRPr="00522E3F">
        <w:rPr>
          <w:rStyle w:val="FootnoteReference"/>
          <w:rFonts w:ascii="Arial" w:hAnsi="Arial" w:cs="Arial"/>
          <w:sz w:val="18"/>
          <w:szCs w:val="18"/>
        </w:rPr>
        <w:footnoteRef/>
      </w:r>
      <w:r w:rsidRPr="00522E3F">
        <w:rPr>
          <w:rFonts w:ascii="Arial" w:hAnsi="Arial" w:cs="Arial"/>
          <w:sz w:val="18"/>
          <w:szCs w:val="18"/>
          <w:lang w:val="en-US"/>
        </w:rPr>
        <w:t xml:space="preserve"> ibid, p. 66</w:t>
      </w:r>
    </w:p>
  </w:footnote>
  <w:footnote w:id="148">
    <w:p w14:paraId="0AD126DD" w14:textId="3A304E5D" w:rsidR="00D64D1A" w:rsidRPr="00522E3F" w:rsidRDefault="00D64D1A">
      <w:pPr>
        <w:pStyle w:val="FootnoteText"/>
        <w:rPr>
          <w:lang w:val="en-US"/>
        </w:rPr>
      </w:pPr>
      <w:r w:rsidRPr="00522E3F">
        <w:rPr>
          <w:rStyle w:val="FootnoteReference"/>
          <w:rFonts w:ascii="Arial" w:hAnsi="Arial" w:cs="Arial"/>
          <w:sz w:val="18"/>
          <w:szCs w:val="18"/>
        </w:rPr>
        <w:footnoteRef/>
      </w:r>
      <w:r w:rsidRPr="00522E3F">
        <w:rPr>
          <w:rFonts w:ascii="Arial" w:hAnsi="Arial" w:cs="Arial"/>
          <w:sz w:val="18"/>
          <w:szCs w:val="18"/>
          <w:lang w:val="en-US"/>
        </w:rPr>
        <w:t xml:space="preserve"> Asia Development Bank </w:t>
      </w:r>
      <w:r w:rsidRPr="00522E3F">
        <w:rPr>
          <w:rFonts w:ascii="Arial" w:hAnsi="Arial" w:cs="Arial"/>
          <w:i/>
          <w:sz w:val="18"/>
          <w:szCs w:val="18"/>
          <w:lang w:val="en-US"/>
        </w:rPr>
        <w:t xml:space="preserve">Finding Balance 2016: </w:t>
      </w:r>
      <w:r w:rsidRPr="00522E3F">
        <w:rPr>
          <w:rStyle w:val="apple-converted-space"/>
          <w:rFonts w:ascii="Arial" w:hAnsi="Arial" w:cs="Arial"/>
          <w:i/>
          <w:sz w:val="18"/>
          <w:szCs w:val="18"/>
          <w:lang w:val="en-US"/>
        </w:rPr>
        <w:t> </w:t>
      </w:r>
      <w:r w:rsidRPr="00522E3F">
        <w:rPr>
          <w:rFonts w:ascii="Arial" w:hAnsi="Arial" w:cs="Arial"/>
          <w:i/>
          <w:sz w:val="18"/>
          <w:szCs w:val="18"/>
          <w:lang w:val="en-US"/>
        </w:rPr>
        <w:t>Benchmarking the Performance of State-Owned Enterprises in Island Countries</w:t>
      </w:r>
      <w:r w:rsidRPr="00522E3F">
        <w:rPr>
          <w:rStyle w:val="apple-converted-space"/>
          <w:rFonts w:ascii="Arial" w:hAnsi="Arial" w:cs="Arial"/>
          <w:i/>
          <w:sz w:val="18"/>
          <w:szCs w:val="18"/>
          <w:lang w:val="en-US"/>
        </w:rPr>
        <w:t> </w:t>
      </w:r>
      <w:r w:rsidRPr="00522E3F">
        <w:rPr>
          <w:rFonts w:ascii="Arial" w:hAnsi="Arial" w:cs="Arial"/>
          <w:sz w:val="18"/>
          <w:szCs w:val="18"/>
          <w:lang w:val="en-US"/>
        </w:rPr>
        <w:t>p. 28</w:t>
      </w:r>
    </w:p>
  </w:footnote>
  <w:footnote w:id="149">
    <w:p w14:paraId="6313D271" w14:textId="6E011169" w:rsidR="00D64D1A" w:rsidRPr="00040AA9" w:rsidRDefault="00D64D1A" w:rsidP="00040AA9">
      <w:pPr>
        <w:pStyle w:val="FootnoteText"/>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See Annex IV, Table IV-3, line C and associated discussion. See also Table IV-6, which summarizes the benefit and cost PVs. </w:t>
      </w:r>
    </w:p>
  </w:footnote>
  <w:footnote w:id="150">
    <w:p w14:paraId="37F0D730" w14:textId="0DFBC313" w:rsidR="00D64D1A" w:rsidRPr="00040AA9" w:rsidRDefault="00D64D1A" w:rsidP="003606E2">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While the implementation (administrative and logistical) costs of the FCP operation were not calculated they may be conservatively set at a similar (if not lower) level as those estimated for FISPEG. Given that the IMF interventions in the tax reform area closely paralleled those of the IDB, those marginal costs would not be great. Thus, a very rough estimate for the costs associated with the combined set of FCP and FISPEG interventions might on the order of US$250 – 300 million, i.e. at most one fifth of the estimated benefits. </w:t>
      </w:r>
    </w:p>
  </w:footnote>
  <w:footnote w:id="151">
    <w:p w14:paraId="49353321" w14:textId="5C3E2D6D" w:rsidR="00D64D1A" w:rsidRPr="00040AA9" w:rsidRDefault="00D64D1A" w:rsidP="003606E2">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See Annex IV, Table IV-6, line 5 compared to line 1.</w:t>
      </w:r>
    </w:p>
  </w:footnote>
  <w:footnote w:id="152">
    <w:p w14:paraId="21B5A8F6" w14:textId="12F381AD" w:rsidR="00D64D1A" w:rsidRPr="00040AA9" w:rsidRDefault="00D64D1A" w:rsidP="003606E2">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As freely available foreign exchange not allocated to project implementation, these loan amounts are unrelated to the actual cost of carrying out the reforms of the FISPEG PBP series. (See discussion in Annex </w:t>
      </w:r>
      <w:r w:rsidRPr="009F2EE8">
        <w:rPr>
          <w:rFonts w:ascii="Arial" w:hAnsi="Arial" w:cs="Arial"/>
          <w:sz w:val="18"/>
          <w:szCs w:val="18"/>
          <w:lang w:val="en-US"/>
        </w:rPr>
        <w:t>IV, particularly</w:t>
      </w:r>
      <w:r w:rsidRPr="00040AA9">
        <w:rPr>
          <w:rFonts w:ascii="Arial" w:hAnsi="Arial" w:cs="Arial"/>
          <w:sz w:val="18"/>
          <w:szCs w:val="18"/>
          <w:lang w:val="en-US"/>
        </w:rPr>
        <w:t xml:space="preserve"> footnote 4)</w:t>
      </w:r>
    </w:p>
  </w:footnote>
  <w:footnote w:id="153">
    <w:p w14:paraId="480ED031" w14:textId="22C291DB" w:rsidR="00D64D1A" w:rsidRPr="00040AA9" w:rsidRDefault="00D64D1A" w:rsidP="009007DC">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See summary of UIS themes presented in </w:t>
      </w:r>
      <w:r w:rsidRPr="00040AA9">
        <w:rPr>
          <w:rStyle w:val="s1"/>
          <w:rFonts w:ascii="Arial" w:hAnsi="Arial" w:cs="Arial"/>
          <w:i/>
          <w:sz w:val="18"/>
          <w:szCs w:val="18"/>
          <w:lang w:val="en-US"/>
        </w:rPr>
        <w:t>P</w:t>
      </w:r>
      <w:r w:rsidRPr="00040AA9">
        <w:rPr>
          <w:rFonts w:ascii="Arial" w:hAnsi="Arial" w:cs="Arial"/>
          <w:i/>
          <w:sz w:val="18"/>
          <w:szCs w:val="18"/>
          <w:lang w:val="en-US"/>
        </w:rPr>
        <w:t xml:space="preserve">roject </w:t>
      </w:r>
      <w:r w:rsidRPr="00040AA9">
        <w:rPr>
          <w:rStyle w:val="s1"/>
          <w:rFonts w:ascii="Arial" w:hAnsi="Arial" w:cs="Arial"/>
          <w:i/>
          <w:sz w:val="18"/>
          <w:szCs w:val="18"/>
          <w:lang w:val="en-US"/>
        </w:rPr>
        <w:t>C</w:t>
      </w:r>
      <w:r w:rsidRPr="00040AA9">
        <w:rPr>
          <w:rFonts w:ascii="Arial" w:hAnsi="Arial" w:cs="Arial"/>
          <w:i/>
          <w:sz w:val="18"/>
          <w:szCs w:val="18"/>
          <w:lang w:val="en-US"/>
        </w:rPr>
        <w:t xml:space="preserve">ompletion </w:t>
      </w:r>
      <w:r w:rsidRPr="00040AA9">
        <w:rPr>
          <w:rStyle w:val="s1"/>
          <w:rFonts w:ascii="Arial" w:hAnsi="Arial" w:cs="Arial"/>
          <w:i/>
          <w:sz w:val="18"/>
          <w:szCs w:val="18"/>
          <w:lang w:val="en-US"/>
        </w:rPr>
        <w:t>R</w:t>
      </w:r>
      <w:r w:rsidRPr="00040AA9">
        <w:rPr>
          <w:rFonts w:ascii="Arial" w:hAnsi="Arial" w:cs="Arial"/>
          <w:i/>
          <w:sz w:val="18"/>
          <w:szCs w:val="18"/>
          <w:lang w:val="en-US"/>
        </w:rPr>
        <w:t xml:space="preserve">eport: </w:t>
      </w:r>
      <w:r w:rsidRPr="00040AA9">
        <w:rPr>
          <w:rStyle w:val="s1"/>
          <w:rFonts w:ascii="Arial" w:hAnsi="Arial" w:cs="Arial"/>
          <w:i/>
          <w:sz w:val="18"/>
          <w:szCs w:val="18"/>
          <w:lang w:val="en-US"/>
        </w:rPr>
        <w:t>P</w:t>
      </w:r>
      <w:r w:rsidRPr="00040AA9">
        <w:rPr>
          <w:rFonts w:ascii="Arial" w:hAnsi="Arial" w:cs="Arial"/>
          <w:i/>
          <w:sz w:val="18"/>
          <w:szCs w:val="18"/>
          <w:lang w:val="en-US"/>
        </w:rPr>
        <w:t xml:space="preserve">rinciples </w:t>
      </w:r>
      <w:r w:rsidRPr="002905E0">
        <w:rPr>
          <w:rFonts w:ascii="Arial" w:hAnsi="Arial" w:cs="Arial"/>
          <w:i/>
          <w:sz w:val="18"/>
          <w:szCs w:val="18"/>
          <w:lang w:val="en-US"/>
        </w:rPr>
        <w:t>and</w:t>
      </w:r>
      <w:r w:rsidRPr="00040AA9">
        <w:rPr>
          <w:rFonts w:ascii="Arial" w:hAnsi="Arial" w:cs="Arial"/>
          <w:i/>
          <w:sz w:val="18"/>
          <w:szCs w:val="18"/>
          <w:lang w:val="en-US"/>
        </w:rPr>
        <w:t xml:space="preserve"> </w:t>
      </w:r>
      <w:r w:rsidRPr="00040AA9">
        <w:rPr>
          <w:rStyle w:val="s1"/>
          <w:rFonts w:ascii="Arial" w:hAnsi="Arial" w:cs="Arial"/>
          <w:i/>
          <w:sz w:val="18"/>
          <w:szCs w:val="18"/>
          <w:lang w:val="en-US"/>
        </w:rPr>
        <w:t>G</w:t>
      </w:r>
      <w:r w:rsidRPr="00040AA9">
        <w:rPr>
          <w:rFonts w:ascii="Arial" w:hAnsi="Arial" w:cs="Arial"/>
          <w:i/>
          <w:sz w:val="18"/>
          <w:szCs w:val="18"/>
          <w:lang w:val="en-US"/>
        </w:rPr>
        <w:t>uidelines</w:t>
      </w:r>
      <w:r w:rsidRPr="00040AA9">
        <w:rPr>
          <w:rFonts w:ascii="Arial" w:hAnsi="Arial" w:cs="Arial"/>
          <w:sz w:val="18"/>
          <w:szCs w:val="18"/>
          <w:lang w:val="en-US"/>
        </w:rPr>
        <w:t xml:space="preserve"> (Op-1242-5) </w:t>
      </w:r>
      <w:r w:rsidRPr="00040AA9">
        <w:rPr>
          <w:rStyle w:val="s2"/>
          <w:rFonts w:ascii="Arial" w:hAnsi="Arial" w:cs="Arial"/>
          <w:sz w:val="18"/>
          <w:szCs w:val="18"/>
          <w:lang w:val="en-US"/>
        </w:rPr>
        <w:t>N</w:t>
      </w:r>
      <w:r w:rsidRPr="00040AA9">
        <w:rPr>
          <w:rFonts w:ascii="Arial" w:hAnsi="Arial" w:cs="Arial"/>
          <w:sz w:val="18"/>
          <w:szCs w:val="18"/>
          <w:lang w:val="en-US"/>
        </w:rPr>
        <w:t xml:space="preserve">ovember </w:t>
      </w:r>
      <w:r w:rsidRPr="00040AA9">
        <w:rPr>
          <w:rStyle w:val="s2"/>
          <w:rFonts w:ascii="Arial" w:hAnsi="Arial" w:cs="Arial"/>
          <w:sz w:val="18"/>
          <w:szCs w:val="18"/>
          <w:lang w:val="en-US"/>
        </w:rPr>
        <w:t>2016</w:t>
      </w:r>
      <w:r w:rsidRPr="00040AA9">
        <w:rPr>
          <w:rFonts w:ascii="Arial" w:hAnsi="Arial" w:cs="Arial"/>
          <w:sz w:val="18"/>
          <w:szCs w:val="18"/>
          <w:lang w:val="en-US"/>
        </w:rPr>
        <w:t xml:space="preserve"> ¶4.1, p. 14</w:t>
      </w:r>
    </w:p>
  </w:footnote>
  <w:footnote w:id="154">
    <w:p w14:paraId="18747C19" w14:textId="781A0F64" w:rsidR="00D64D1A" w:rsidRPr="00040AA9" w:rsidRDefault="00D64D1A" w:rsidP="009007DC">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Several of these business-environment oriented tax reform measures were originally supported by the Jamaica Competitiveness Enhancement Program (JCEP) series of three PBLs (JA-L1001, L010, and L1014) carried out between April 2008 and February 2014.</w:t>
      </w:r>
    </w:p>
  </w:footnote>
  <w:footnote w:id="155">
    <w:p w14:paraId="20967225" w14:textId="69623FDD" w:rsidR="00D64D1A" w:rsidRPr="00040AA9" w:rsidRDefault="00D64D1A" w:rsidP="009007DC">
      <w:pPr>
        <w:pStyle w:val="FootnoteText"/>
        <w:suppressAutoHyphens/>
        <w:ind w:left="360" w:hanging="360"/>
        <w:jc w:val="both"/>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See Baca </w:t>
      </w:r>
      <w:r w:rsidRPr="00040AA9">
        <w:rPr>
          <w:rFonts w:ascii="Arial" w:hAnsi="Arial" w:cs="Arial"/>
          <w:i/>
          <w:sz w:val="18"/>
          <w:szCs w:val="18"/>
          <w:lang w:val="en-US"/>
        </w:rPr>
        <w:t>op cit</w:t>
      </w:r>
      <w:r w:rsidRPr="00040AA9">
        <w:rPr>
          <w:rFonts w:ascii="Arial" w:hAnsi="Arial" w:cs="Arial"/>
          <w:sz w:val="18"/>
          <w:szCs w:val="18"/>
          <w:lang w:val="en-US"/>
        </w:rPr>
        <w:t xml:space="preserve">. p. 28 and charts on p. 59, </w:t>
      </w:r>
    </w:p>
  </w:footnote>
  <w:footnote w:id="156">
    <w:p w14:paraId="130F45BC" w14:textId="4BE94599" w:rsidR="00D64D1A" w:rsidRPr="00040AA9" w:rsidRDefault="00D64D1A" w:rsidP="002905E0">
      <w:pPr>
        <w:pStyle w:val="FootnoteText"/>
        <w:ind w:left="360" w:hanging="360"/>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040AA9">
        <w:rPr>
          <w:rFonts w:ascii="Arial" w:hAnsi="Arial" w:cs="Arial"/>
          <w:sz w:val="18"/>
          <w:szCs w:val="18"/>
          <w:lang w:val="en-US"/>
        </w:rPr>
        <w:t xml:space="preserve">See Monitoring and Evaluation Plan as annexed to the FISPEG I Loan Proposal </w:t>
      </w:r>
    </w:p>
  </w:footnote>
  <w:footnote w:id="157">
    <w:p w14:paraId="6AFB6493" w14:textId="5E599015" w:rsidR="00D64D1A" w:rsidRPr="00040AA9" w:rsidRDefault="00D64D1A" w:rsidP="002905E0">
      <w:pPr>
        <w:pStyle w:val="FootnoteText"/>
        <w:ind w:left="360" w:hanging="360"/>
        <w:rPr>
          <w:rFonts w:ascii="Arial" w:hAnsi="Arial" w:cs="Arial"/>
          <w:sz w:val="18"/>
          <w:szCs w:val="18"/>
          <w:lang w:val="en-US"/>
        </w:rPr>
      </w:pPr>
      <w:r w:rsidRPr="00040AA9">
        <w:rPr>
          <w:rStyle w:val="FootnoteReference"/>
          <w:rFonts w:ascii="Arial" w:hAnsi="Arial" w:cs="Arial"/>
          <w:sz w:val="18"/>
          <w:szCs w:val="18"/>
        </w:rPr>
        <w:footnoteRef/>
      </w:r>
      <w:r w:rsidRPr="00040AA9">
        <w:rPr>
          <w:rFonts w:ascii="Arial" w:hAnsi="Arial" w:cs="Arial"/>
          <w:sz w:val="18"/>
          <w:szCs w:val="18"/>
          <w:lang w:val="en-US"/>
        </w:rPr>
        <w:t xml:space="preserve"> </w:t>
      </w:r>
      <w:r>
        <w:rPr>
          <w:rFonts w:ascii="Arial" w:hAnsi="Arial" w:cs="Arial"/>
          <w:sz w:val="18"/>
          <w:szCs w:val="18"/>
          <w:lang w:val="en-US"/>
        </w:rPr>
        <w:tab/>
      </w:r>
      <w:r w:rsidRPr="002905E0">
        <w:rPr>
          <w:rFonts w:ascii="Arial" w:hAnsi="Arial" w:cs="Arial"/>
          <w:i/>
          <w:sz w:val="18"/>
          <w:szCs w:val="18"/>
          <w:lang w:val="en-US"/>
        </w:rPr>
        <w:t>ibid</w:t>
      </w:r>
      <w:r w:rsidRPr="002905E0">
        <w:rPr>
          <w:rFonts w:ascii="Arial" w:hAnsi="Arial" w:cs="Arial"/>
          <w:sz w:val="18"/>
          <w:szCs w:val="18"/>
          <w:lang w:val="en-US"/>
        </w:rPr>
        <w:t xml:space="preserve"> ¶</w:t>
      </w:r>
      <w:r w:rsidRPr="00040AA9">
        <w:rPr>
          <w:rFonts w:ascii="Arial" w:hAnsi="Arial" w:cs="Arial"/>
          <w:sz w:val="18"/>
          <w:szCs w:val="18"/>
          <w:lang w:val="en-US"/>
        </w:rPr>
        <w:t>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412C"/>
    <w:multiLevelType w:val="hybridMultilevel"/>
    <w:tmpl w:val="3E581CCC"/>
    <w:lvl w:ilvl="0" w:tplc="8FF058E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56066"/>
    <w:multiLevelType w:val="hybridMultilevel"/>
    <w:tmpl w:val="6584E9CA"/>
    <w:lvl w:ilvl="0" w:tplc="F968D5EC">
      <w:start w:val="1"/>
      <w:numFmt w:val="lowerLetter"/>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15:restartNumberingAfterBreak="0">
    <w:nsid w:val="0BC53A98"/>
    <w:multiLevelType w:val="hybridMultilevel"/>
    <w:tmpl w:val="38740A70"/>
    <w:lvl w:ilvl="0" w:tplc="A8567168">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27F37"/>
    <w:multiLevelType w:val="hybridMultilevel"/>
    <w:tmpl w:val="74B8200A"/>
    <w:lvl w:ilvl="0" w:tplc="8FF058E4">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555A7D"/>
    <w:multiLevelType w:val="hybridMultilevel"/>
    <w:tmpl w:val="6B24CDBA"/>
    <w:lvl w:ilvl="0" w:tplc="BCA4860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B61E3"/>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1F634960"/>
    <w:multiLevelType w:val="hybridMultilevel"/>
    <w:tmpl w:val="31E21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57CEA"/>
    <w:multiLevelType w:val="hybridMultilevel"/>
    <w:tmpl w:val="F80229D4"/>
    <w:lvl w:ilvl="0" w:tplc="F3547C0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134E32"/>
    <w:multiLevelType w:val="hybridMultilevel"/>
    <w:tmpl w:val="96DE6070"/>
    <w:lvl w:ilvl="0" w:tplc="330A711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32725"/>
    <w:multiLevelType w:val="hybridMultilevel"/>
    <w:tmpl w:val="7E10914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901C0"/>
    <w:multiLevelType w:val="hybridMultilevel"/>
    <w:tmpl w:val="F97A54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878F0"/>
    <w:multiLevelType w:val="hybridMultilevel"/>
    <w:tmpl w:val="E8883678"/>
    <w:lvl w:ilvl="0" w:tplc="BCA4860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E2302"/>
    <w:multiLevelType w:val="hybridMultilevel"/>
    <w:tmpl w:val="A4BC357E"/>
    <w:lvl w:ilvl="0" w:tplc="9F74BC0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8068D9"/>
    <w:multiLevelType w:val="hybridMultilevel"/>
    <w:tmpl w:val="5C9A1B62"/>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8F375A"/>
    <w:multiLevelType w:val="multilevel"/>
    <w:tmpl w:val="451EFCD0"/>
    <w:lvl w:ilvl="0">
      <w:start w:val="1"/>
      <w:numFmt w:val="upperRoman"/>
      <w:pStyle w:val="Heading1"/>
      <w:lvlText w:val="%1."/>
      <w:lvlJc w:val="left"/>
      <w:pPr>
        <w:ind w:left="360" w:hanging="360"/>
      </w:pPr>
      <w:rPr>
        <w:rFonts w:ascii="Arial" w:hAnsi="Arial" w:hint="default"/>
        <w:b/>
        <w:i w:val="0"/>
        <w:color w:val="auto"/>
        <w:sz w:val="22"/>
        <w:lang w:val="es-MX"/>
      </w:rPr>
    </w:lvl>
    <w:lvl w:ilvl="1">
      <w:start w:val="1"/>
      <w:numFmt w:val="decimal"/>
      <w:isLgl/>
      <w:lvlText w:val="%1.%2"/>
      <w:lvlJc w:val="left"/>
      <w:pPr>
        <w:ind w:left="1800" w:hanging="720"/>
      </w:pPr>
      <w:rPr>
        <w:color w:val="auto"/>
      </w:rPr>
    </w:lvl>
    <w:lvl w:ilvl="2">
      <w:start w:val="1"/>
      <w:numFmt w:val="decimal"/>
      <w:isLgl/>
      <w:lvlText w:val="%1.%2.%3"/>
      <w:lvlJc w:val="left"/>
      <w:pPr>
        <w:ind w:left="2520" w:hanging="720"/>
      </w:pPr>
    </w:lvl>
    <w:lvl w:ilvl="3">
      <w:start w:val="1"/>
      <w:numFmt w:val="decimal"/>
      <w:isLgl/>
      <w:lvlText w:val="%1.%2.%3.%4"/>
      <w:lvlJc w:val="left"/>
      <w:pPr>
        <w:ind w:left="3600" w:hanging="1080"/>
      </w:pPr>
    </w:lvl>
    <w:lvl w:ilvl="4">
      <w:start w:val="1"/>
      <w:numFmt w:val="decimal"/>
      <w:isLgl/>
      <w:lvlText w:val="%1.%2.%3.%4.%5"/>
      <w:lvlJc w:val="left"/>
      <w:pPr>
        <w:ind w:left="4320" w:hanging="1080"/>
      </w:pPr>
    </w:lvl>
    <w:lvl w:ilvl="5">
      <w:start w:val="1"/>
      <w:numFmt w:val="decimal"/>
      <w:isLgl/>
      <w:lvlText w:val="%1.%2.%3.%4.%5.%6"/>
      <w:lvlJc w:val="left"/>
      <w:pPr>
        <w:ind w:left="5400" w:hanging="1440"/>
      </w:pPr>
    </w:lvl>
    <w:lvl w:ilvl="6">
      <w:start w:val="1"/>
      <w:numFmt w:val="decimal"/>
      <w:isLgl/>
      <w:lvlText w:val="%1.%2.%3.%4.%5.%6.%7"/>
      <w:lvlJc w:val="left"/>
      <w:pPr>
        <w:ind w:left="6480" w:hanging="1800"/>
      </w:pPr>
    </w:lvl>
    <w:lvl w:ilvl="7">
      <w:start w:val="1"/>
      <w:numFmt w:val="decimal"/>
      <w:isLgl/>
      <w:lvlText w:val="%1.%2.%3.%4.%5.%6.%7.%8"/>
      <w:lvlJc w:val="left"/>
      <w:pPr>
        <w:ind w:left="7200" w:hanging="1800"/>
      </w:pPr>
    </w:lvl>
    <w:lvl w:ilvl="8">
      <w:start w:val="1"/>
      <w:numFmt w:val="decimal"/>
      <w:isLgl/>
      <w:lvlText w:val="%1.%2.%3.%4.%5.%6.%7.%8.%9"/>
      <w:lvlJc w:val="left"/>
      <w:pPr>
        <w:ind w:left="8280" w:hanging="2160"/>
      </w:pPr>
    </w:lvl>
  </w:abstractNum>
  <w:abstractNum w:abstractNumId="15" w15:restartNumberingAfterBreak="0">
    <w:nsid w:val="3AB45110"/>
    <w:multiLevelType w:val="hybridMultilevel"/>
    <w:tmpl w:val="45182574"/>
    <w:lvl w:ilvl="0" w:tplc="0409001B">
      <w:start w:val="1"/>
      <w:numFmt w:val="lowerRoman"/>
      <w:lvlText w:val="%1."/>
      <w:lvlJc w:val="right"/>
      <w:pPr>
        <w:ind w:left="11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16" w15:restartNumberingAfterBreak="0">
    <w:nsid w:val="402514CF"/>
    <w:multiLevelType w:val="hybridMultilevel"/>
    <w:tmpl w:val="1896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610AE6"/>
    <w:multiLevelType w:val="hybridMultilevel"/>
    <w:tmpl w:val="ADF88EA2"/>
    <w:lvl w:ilvl="0" w:tplc="8FF058E4">
      <w:start w:val="2"/>
      <w:numFmt w:val="bullet"/>
      <w:lvlText w:val="-"/>
      <w:lvlJc w:val="left"/>
      <w:pPr>
        <w:ind w:left="1548" w:hanging="360"/>
      </w:pPr>
      <w:rPr>
        <w:rFonts w:ascii="Arial" w:eastAsiaTheme="minorHAnsi" w:hAnsi="Arial" w:cs="Arial" w:hint="default"/>
      </w:rPr>
    </w:lvl>
    <w:lvl w:ilvl="1" w:tplc="04090003">
      <w:start w:val="1"/>
      <w:numFmt w:val="bullet"/>
      <w:lvlText w:val="o"/>
      <w:lvlJc w:val="left"/>
      <w:pPr>
        <w:ind w:left="2268" w:hanging="360"/>
      </w:pPr>
      <w:rPr>
        <w:rFonts w:ascii="Courier New" w:hAnsi="Courier New" w:cs="Courier New" w:hint="default"/>
      </w:rPr>
    </w:lvl>
    <w:lvl w:ilvl="2" w:tplc="04090005">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8" w15:restartNumberingAfterBreak="0">
    <w:nsid w:val="47E97817"/>
    <w:multiLevelType w:val="hybridMultilevel"/>
    <w:tmpl w:val="112E66FA"/>
    <w:lvl w:ilvl="0" w:tplc="04090019">
      <w:start w:val="1"/>
      <w:numFmt w:val="lowerLetter"/>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9" w15:restartNumberingAfterBreak="0">
    <w:nsid w:val="483D0686"/>
    <w:multiLevelType w:val="hybridMultilevel"/>
    <w:tmpl w:val="112E66FA"/>
    <w:lvl w:ilvl="0" w:tplc="04090019">
      <w:start w:val="1"/>
      <w:numFmt w:val="lowerLetter"/>
      <w:lvlText w:val="%1."/>
      <w:lvlJc w:val="left"/>
      <w:pPr>
        <w:ind w:left="180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0" w15:restartNumberingAfterBreak="0">
    <w:nsid w:val="525D726A"/>
    <w:multiLevelType w:val="hybridMultilevel"/>
    <w:tmpl w:val="112E66FA"/>
    <w:lvl w:ilvl="0" w:tplc="04090019">
      <w:start w:val="1"/>
      <w:numFmt w:val="lowerLetter"/>
      <w:pStyle w:val="Heading3"/>
      <w:lvlText w:val="%1."/>
      <w:lvlJc w:val="left"/>
      <w:pPr>
        <w:ind w:left="1350" w:hanging="360"/>
      </w:pPr>
      <w:rPr>
        <w:rFonts w:hint="default"/>
        <w:vanish w:val="0"/>
        <w:color w:val="auto"/>
        <w:sz w:val="22"/>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1" w15:restartNumberingAfterBreak="0">
    <w:nsid w:val="58323F4A"/>
    <w:multiLevelType w:val="multilevel"/>
    <w:tmpl w:val="CE145D2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5BB57539"/>
    <w:multiLevelType w:val="hybridMultilevel"/>
    <w:tmpl w:val="6D860CF2"/>
    <w:lvl w:ilvl="0" w:tplc="5C663A56">
      <w:start w:val="1"/>
      <w:numFmt w:val="decimal"/>
      <w:lvlText w:val="%1."/>
      <w:lvlJc w:val="left"/>
      <w:pPr>
        <w:ind w:left="646" w:hanging="289"/>
      </w:pPr>
      <w:rPr>
        <w:rFonts w:ascii="Times New Roman" w:hAnsi="Times New Roman" w:cs="Times New Roman" w:hint="default"/>
        <w:b w:val="0"/>
        <w:sz w:val="24"/>
        <w:szCs w:val="24"/>
      </w:rPr>
    </w:lvl>
    <w:lvl w:ilvl="1" w:tplc="07D029DE">
      <w:start w:val="1"/>
      <w:numFmt w:val="lowerLetter"/>
      <w:lvlText w:val="%2."/>
      <w:lvlJc w:val="left"/>
      <w:pPr>
        <w:ind w:left="4680" w:hanging="360"/>
      </w:pPr>
      <w:rPr>
        <w:rFonts w:ascii="Times New Roman" w:eastAsia="Calibri" w:hAnsi="Times New Roman" w:cs="Times New Roman"/>
      </w:rPr>
    </w:lvl>
    <w:lvl w:ilvl="2" w:tplc="2009001B" w:tentative="1">
      <w:start w:val="1"/>
      <w:numFmt w:val="lowerRoman"/>
      <w:lvlText w:val="%3."/>
      <w:lvlJc w:val="right"/>
      <w:pPr>
        <w:ind w:left="5400" w:hanging="180"/>
      </w:pPr>
    </w:lvl>
    <w:lvl w:ilvl="3" w:tplc="2009000F" w:tentative="1">
      <w:start w:val="1"/>
      <w:numFmt w:val="decimal"/>
      <w:lvlText w:val="%4."/>
      <w:lvlJc w:val="left"/>
      <w:pPr>
        <w:ind w:left="6120" w:hanging="360"/>
      </w:pPr>
    </w:lvl>
    <w:lvl w:ilvl="4" w:tplc="20090019" w:tentative="1">
      <w:start w:val="1"/>
      <w:numFmt w:val="lowerLetter"/>
      <w:lvlText w:val="%5."/>
      <w:lvlJc w:val="left"/>
      <w:pPr>
        <w:ind w:left="6840" w:hanging="360"/>
      </w:pPr>
    </w:lvl>
    <w:lvl w:ilvl="5" w:tplc="2009001B" w:tentative="1">
      <w:start w:val="1"/>
      <w:numFmt w:val="lowerRoman"/>
      <w:lvlText w:val="%6."/>
      <w:lvlJc w:val="right"/>
      <w:pPr>
        <w:ind w:left="7560" w:hanging="180"/>
      </w:pPr>
    </w:lvl>
    <w:lvl w:ilvl="6" w:tplc="2009000F" w:tentative="1">
      <w:start w:val="1"/>
      <w:numFmt w:val="decimal"/>
      <w:lvlText w:val="%7."/>
      <w:lvlJc w:val="left"/>
      <w:pPr>
        <w:ind w:left="8280" w:hanging="360"/>
      </w:pPr>
    </w:lvl>
    <w:lvl w:ilvl="7" w:tplc="20090019" w:tentative="1">
      <w:start w:val="1"/>
      <w:numFmt w:val="lowerLetter"/>
      <w:lvlText w:val="%8."/>
      <w:lvlJc w:val="left"/>
      <w:pPr>
        <w:ind w:left="9000" w:hanging="360"/>
      </w:pPr>
    </w:lvl>
    <w:lvl w:ilvl="8" w:tplc="2009001B" w:tentative="1">
      <w:start w:val="1"/>
      <w:numFmt w:val="lowerRoman"/>
      <w:lvlText w:val="%9."/>
      <w:lvlJc w:val="right"/>
      <w:pPr>
        <w:ind w:left="9720" w:hanging="180"/>
      </w:pPr>
    </w:lvl>
  </w:abstractNum>
  <w:abstractNum w:abstractNumId="23" w15:restartNumberingAfterBreak="0">
    <w:nsid w:val="61F424DB"/>
    <w:multiLevelType w:val="hybridMultilevel"/>
    <w:tmpl w:val="532AC452"/>
    <w:lvl w:ilvl="0" w:tplc="BCA4860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1E454A"/>
    <w:multiLevelType w:val="hybridMultilevel"/>
    <w:tmpl w:val="4C4691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AA4C11"/>
    <w:multiLevelType w:val="hybridMultilevel"/>
    <w:tmpl w:val="8E92F868"/>
    <w:lvl w:ilvl="0" w:tplc="E8CEA4EC">
      <w:start w:val="1"/>
      <w:numFmt w:val="bullet"/>
      <w:lvlText w:val="-"/>
      <w:lvlJc w:val="left"/>
      <w:pPr>
        <w:ind w:left="720" w:hanging="360"/>
      </w:pPr>
      <w:rPr>
        <w:rFonts w:ascii="Arial" w:eastAsia="SimSun"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03755E"/>
    <w:multiLevelType w:val="hybridMultilevel"/>
    <w:tmpl w:val="C30E9A64"/>
    <w:lvl w:ilvl="0" w:tplc="8FF058E4">
      <w:start w:val="2"/>
      <w:numFmt w:val="bullet"/>
      <w:lvlText w:val="-"/>
      <w:lvlJc w:val="left"/>
      <w:pPr>
        <w:ind w:left="1071" w:hanging="360"/>
      </w:pPr>
      <w:rPr>
        <w:rFonts w:ascii="Arial" w:eastAsiaTheme="minorHAnsi" w:hAnsi="Arial" w:cs="Aria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7" w15:restartNumberingAfterBreak="0">
    <w:nsid w:val="772346A1"/>
    <w:multiLevelType w:val="hybridMultilevel"/>
    <w:tmpl w:val="B13CED6E"/>
    <w:lvl w:ilvl="0" w:tplc="8B3CFD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1B4DC1"/>
    <w:multiLevelType w:val="hybridMultilevel"/>
    <w:tmpl w:val="1800F7B0"/>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A61BF8"/>
    <w:multiLevelType w:val="hybridMultilevel"/>
    <w:tmpl w:val="73D8C9CC"/>
    <w:lvl w:ilvl="0" w:tplc="6160193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E014F36"/>
    <w:multiLevelType w:val="hybridMultilevel"/>
    <w:tmpl w:val="0A54AA36"/>
    <w:lvl w:ilvl="0" w:tplc="BCA4860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5B4726"/>
    <w:multiLevelType w:val="hybridMultilevel"/>
    <w:tmpl w:val="7E226FE6"/>
    <w:lvl w:ilvl="0" w:tplc="BCA4860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47101E"/>
    <w:multiLevelType w:val="hybridMultilevel"/>
    <w:tmpl w:val="21BEC1A0"/>
    <w:lvl w:ilvl="0" w:tplc="BEC4026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20"/>
  </w:num>
  <w:num w:numId="4">
    <w:abstractNumId w:val="5"/>
  </w:num>
  <w:num w:numId="5">
    <w:abstractNumId w:val="8"/>
  </w:num>
  <w:num w:numId="6">
    <w:abstractNumId w:val="18"/>
  </w:num>
  <w:num w:numId="7">
    <w:abstractNumId w:val="1"/>
  </w:num>
  <w:num w:numId="8">
    <w:abstractNumId w:val="17"/>
  </w:num>
  <w:num w:numId="9">
    <w:abstractNumId w:val="7"/>
  </w:num>
  <w:num w:numId="10">
    <w:abstractNumId w:val="21"/>
  </w:num>
  <w:num w:numId="11">
    <w:abstractNumId w:val="16"/>
  </w:num>
  <w:num w:numId="12">
    <w:abstractNumId w:val="2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9"/>
  </w:num>
  <w:num w:numId="16">
    <w:abstractNumId w:val="25"/>
  </w:num>
  <w:num w:numId="17">
    <w:abstractNumId w:val="9"/>
  </w:num>
  <w:num w:numId="18">
    <w:abstractNumId w:val="28"/>
  </w:num>
  <w:num w:numId="19">
    <w:abstractNumId w:val="13"/>
  </w:num>
  <w:num w:numId="20">
    <w:abstractNumId w:val="24"/>
  </w:num>
  <w:num w:numId="21">
    <w:abstractNumId w:val="10"/>
  </w:num>
  <w:num w:numId="22">
    <w:abstractNumId w:val="23"/>
  </w:num>
  <w:num w:numId="23">
    <w:abstractNumId w:val="32"/>
  </w:num>
  <w:num w:numId="24">
    <w:abstractNumId w:val="11"/>
  </w:num>
  <w:num w:numId="25">
    <w:abstractNumId w:val="4"/>
  </w:num>
  <w:num w:numId="26">
    <w:abstractNumId w:val="30"/>
  </w:num>
  <w:num w:numId="27">
    <w:abstractNumId w:val="31"/>
  </w:num>
  <w:num w:numId="28">
    <w:abstractNumId w:val="27"/>
  </w:num>
  <w:num w:numId="29">
    <w:abstractNumId w:val="2"/>
  </w:num>
  <w:num w:numId="30">
    <w:abstractNumId w:val="6"/>
  </w:num>
  <w:num w:numId="31">
    <w:abstractNumId w:val="0"/>
  </w:num>
  <w:num w:numId="32">
    <w:abstractNumId w:val="3"/>
  </w:num>
  <w:num w:numId="3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D7A"/>
    <w:rsid w:val="000002CB"/>
    <w:rsid w:val="000005C3"/>
    <w:rsid w:val="000006D1"/>
    <w:rsid w:val="000013AC"/>
    <w:rsid w:val="0000263A"/>
    <w:rsid w:val="00002BCE"/>
    <w:rsid w:val="00002E7F"/>
    <w:rsid w:val="00003256"/>
    <w:rsid w:val="00003521"/>
    <w:rsid w:val="00004117"/>
    <w:rsid w:val="0000413B"/>
    <w:rsid w:val="00004E22"/>
    <w:rsid w:val="00005625"/>
    <w:rsid w:val="0000593B"/>
    <w:rsid w:val="000061C5"/>
    <w:rsid w:val="000066E3"/>
    <w:rsid w:val="000069C0"/>
    <w:rsid w:val="00007157"/>
    <w:rsid w:val="000073CE"/>
    <w:rsid w:val="0001043E"/>
    <w:rsid w:val="000111B5"/>
    <w:rsid w:val="000127CD"/>
    <w:rsid w:val="000129BC"/>
    <w:rsid w:val="00014AB8"/>
    <w:rsid w:val="00015910"/>
    <w:rsid w:val="00015B2F"/>
    <w:rsid w:val="00015C8E"/>
    <w:rsid w:val="0001630D"/>
    <w:rsid w:val="00016A0F"/>
    <w:rsid w:val="00016D33"/>
    <w:rsid w:val="00017A9E"/>
    <w:rsid w:val="00017FCE"/>
    <w:rsid w:val="00020127"/>
    <w:rsid w:val="0002110E"/>
    <w:rsid w:val="000217A1"/>
    <w:rsid w:val="00022142"/>
    <w:rsid w:val="00022960"/>
    <w:rsid w:val="000240A7"/>
    <w:rsid w:val="000248D9"/>
    <w:rsid w:val="000249D0"/>
    <w:rsid w:val="00024BD0"/>
    <w:rsid w:val="00025CDB"/>
    <w:rsid w:val="000267DC"/>
    <w:rsid w:val="000270D0"/>
    <w:rsid w:val="00027726"/>
    <w:rsid w:val="00027D15"/>
    <w:rsid w:val="00030ABC"/>
    <w:rsid w:val="00031288"/>
    <w:rsid w:val="00031DF2"/>
    <w:rsid w:val="000329DE"/>
    <w:rsid w:val="00034954"/>
    <w:rsid w:val="00034E90"/>
    <w:rsid w:val="00037888"/>
    <w:rsid w:val="000404FD"/>
    <w:rsid w:val="000405A1"/>
    <w:rsid w:val="00040AA9"/>
    <w:rsid w:val="00040DF6"/>
    <w:rsid w:val="00041424"/>
    <w:rsid w:val="000419DE"/>
    <w:rsid w:val="00041E99"/>
    <w:rsid w:val="0004212A"/>
    <w:rsid w:val="00042D6C"/>
    <w:rsid w:val="000431E1"/>
    <w:rsid w:val="00043341"/>
    <w:rsid w:val="000436F7"/>
    <w:rsid w:val="00044308"/>
    <w:rsid w:val="00046005"/>
    <w:rsid w:val="00046380"/>
    <w:rsid w:val="00046D37"/>
    <w:rsid w:val="00046E7A"/>
    <w:rsid w:val="00047E16"/>
    <w:rsid w:val="00047E26"/>
    <w:rsid w:val="000509A1"/>
    <w:rsid w:val="00050B5E"/>
    <w:rsid w:val="00051115"/>
    <w:rsid w:val="0005131E"/>
    <w:rsid w:val="00051462"/>
    <w:rsid w:val="0005250C"/>
    <w:rsid w:val="00052B38"/>
    <w:rsid w:val="00053711"/>
    <w:rsid w:val="00053B4B"/>
    <w:rsid w:val="00054E63"/>
    <w:rsid w:val="00055132"/>
    <w:rsid w:val="00055A43"/>
    <w:rsid w:val="00056121"/>
    <w:rsid w:val="0005656E"/>
    <w:rsid w:val="000566BC"/>
    <w:rsid w:val="000566D7"/>
    <w:rsid w:val="00056BA9"/>
    <w:rsid w:val="00056FDA"/>
    <w:rsid w:val="0006067B"/>
    <w:rsid w:val="00060EE0"/>
    <w:rsid w:val="00066B3A"/>
    <w:rsid w:val="00066DF6"/>
    <w:rsid w:val="00066FFD"/>
    <w:rsid w:val="000678DB"/>
    <w:rsid w:val="00067D63"/>
    <w:rsid w:val="000703A2"/>
    <w:rsid w:val="000706D8"/>
    <w:rsid w:val="00071C53"/>
    <w:rsid w:val="00071DE9"/>
    <w:rsid w:val="0007246F"/>
    <w:rsid w:val="00073344"/>
    <w:rsid w:val="00073544"/>
    <w:rsid w:val="00074074"/>
    <w:rsid w:val="00075C27"/>
    <w:rsid w:val="000763FC"/>
    <w:rsid w:val="0007654B"/>
    <w:rsid w:val="000773BA"/>
    <w:rsid w:val="00081663"/>
    <w:rsid w:val="0008174B"/>
    <w:rsid w:val="00082425"/>
    <w:rsid w:val="00082E0B"/>
    <w:rsid w:val="00083397"/>
    <w:rsid w:val="00083C94"/>
    <w:rsid w:val="00083EF9"/>
    <w:rsid w:val="000840AA"/>
    <w:rsid w:val="00085046"/>
    <w:rsid w:val="0008643E"/>
    <w:rsid w:val="000865C5"/>
    <w:rsid w:val="00086CB7"/>
    <w:rsid w:val="00086F27"/>
    <w:rsid w:val="00087480"/>
    <w:rsid w:val="00091484"/>
    <w:rsid w:val="00091B3C"/>
    <w:rsid w:val="00094C34"/>
    <w:rsid w:val="00094C79"/>
    <w:rsid w:val="00095167"/>
    <w:rsid w:val="000959DF"/>
    <w:rsid w:val="00095EBE"/>
    <w:rsid w:val="000964BA"/>
    <w:rsid w:val="00096BD2"/>
    <w:rsid w:val="000A11C0"/>
    <w:rsid w:val="000A1823"/>
    <w:rsid w:val="000A278C"/>
    <w:rsid w:val="000A3024"/>
    <w:rsid w:val="000A43EA"/>
    <w:rsid w:val="000A4CC5"/>
    <w:rsid w:val="000A61BF"/>
    <w:rsid w:val="000A7489"/>
    <w:rsid w:val="000A752D"/>
    <w:rsid w:val="000A788E"/>
    <w:rsid w:val="000A7C1D"/>
    <w:rsid w:val="000A7F9E"/>
    <w:rsid w:val="000B09F7"/>
    <w:rsid w:val="000B1855"/>
    <w:rsid w:val="000B1E2F"/>
    <w:rsid w:val="000B25F6"/>
    <w:rsid w:val="000B2F5C"/>
    <w:rsid w:val="000B3395"/>
    <w:rsid w:val="000B374B"/>
    <w:rsid w:val="000B596A"/>
    <w:rsid w:val="000B5B7C"/>
    <w:rsid w:val="000B786D"/>
    <w:rsid w:val="000C05F3"/>
    <w:rsid w:val="000C13FF"/>
    <w:rsid w:val="000C1DC2"/>
    <w:rsid w:val="000C2527"/>
    <w:rsid w:val="000C2554"/>
    <w:rsid w:val="000C2632"/>
    <w:rsid w:val="000C2996"/>
    <w:rsid w:val="000C2D99"/>
    <w:rsid w:val="000C2DED"/>
    <w:rsid w:val="000C3907"/>
    <w:rsid w:val="000C3DF8"/>
    <w:rsid w:val="000C5E16"/>
    <w:rsid w:val="000C5EF6"/>
    <w:rsid w:val="000C61E4"/>
    <w:rsid w:val="000C62E3"/>
    <w:rsid w:val="000C6D07"/>
    <w:rsid w:val="000C7A3E"/>
    <w:rsid w:val="000D057C"/>
    <w:rsid w:val="000D123B"/>
    <w:rsid w:val="000D2427"/>
    <w:rsid w:val="000D24E3"/>
    <w:rsid w:val="000D2B33"/>
    <w:rsid w:val="000D4640"/>
    <w:rsid w:val="000D4A88"/>
    <w:rsid w:val="000D4CEA"/>
    <w:rsid w:val="000D4F6C"/>
    <w:rsid w:val="000D5EB7"/>
    <w:rsid w:val="000D63FD"/>
    <w:rsid w:val="000D6C9A"/>
    <w:rsid w:val="000D74BD"/>
    <w:rsid w:val="000D7BC4"/>
    <w:rsid w:val="000E0522"/>
    <w:rsid w:val="000E06BC"/>
    <w:rsid w:val="000E06F9"/>
    <w:rsid w:val="000E0BB4"/>
    <w:rsid w:val="000E223A"/>
    <w:rsid w:val="000E2B6B"/>
    <w:rsid w:val="000E3915"/>
    <w:rsid w:val="000E4163"/>
    <w:rsid w:val="000E44B5"/>
    <w:rsid w:val="000E4C3E"/>
    <w:rsid w:val="000E5121"/>
    <w:rsid w:val="000E5795"/>
    <w:rsid w:val="000E651E"/>
    <w:rsid w:val="000E7E7E"/>
    <w:rsid w:val="000F1217"/>
    <w:rsid w:val="000F3A96"/>
    <w:rsid w:val="000F4478"/>
    <w:rsid w:val="000F4738"/>
    <w:rsid w:val="000F4CC9"/>
    <w:rsid w:val="000F4E13"/>
    <w:rsid w:val="000F55E5"/>
    <w:rsid w:val="000F5B5E"/>
    <w:rsid w:val="000F5C01"/>
    <w:rsid w:val="000F5C62"/>
    <w:rsid w:val="000F62DF"/>
    <w:rsid w:val="000F69F0"/>
    <w:rsid w:val="000F6ECD"/>
    <w:rsid w:val="000F7100"/>
    <w:rsid w:val="000F7625"/>
    <w:rsid w:val="000F7739"/>
    <w:rsid w:val="000F7AA9"/>
    <w:rsid w:val="001003F1"/>
    <w:rsid w:val="001004D4"/>
    <w:rsid w:val="00101FEA"/>
    <w:rsid w:val="0010306C"/>
    <w:rsid w:val="001048E7"/>
    <w:rsid w:val="00105051"/>
    <w:rsid w:val="00105282"/>
    <w:rsid w:val="00105C99"/>
    <w:rsid w:val="0010609A"/>
    <w:rsid w:val="00106D9E"/>
    <w:rsid w:val="00107BFE"/>
    <w:rsid w:val="00107E44"/>
    <w:rsid w:val="00107F33"/>
    <w:rsid w:val="0011071C"/>
    <w:rsid w:val="001126CB"/>
    <w:rsid w:val="00112A4E"/>
    <w:rsid w:val="00112EE2"/>
    <w:rsid w:val="00112F27"/>
    <w:rsid w:val="00112F9F"/>
    <w:rsid w:val="00113746"/>
    <w:rsid w:val="00115089"/>
    <w:rsid w:val="0011564C"/>
    <w:rsid w:val="00116588"/>
    <w:rsid w:val="001210E5"/>
    <w:rsid w:val="0012180F"/>
    <w:rsid w:val="00124A9F"/>
    <w:rsid w:val="00125343"/>
    <w:rsid w:val="0012588C"/>
    <w:rsid w:val="00125AAD"/>
    <w:rsid w:val="00125C16"/>
    <w:rsid w:val="00126258"/>
    <w:rsid w:val="001274C9"/>
    <w:rsid w:val="00127901"/>
    <w:rsid w:val="00130A7B"/>
    <w:rsid w:val="00131C3B"/>
    <w:rsid w:val="001322C1"/>
    <w:rsid w:val="00132404"/>
    <w:rsid w:val="00133E62"/>
    <w:rsid w:val="00133E86"/>
    <w:rsid w:val="00134772"/>
    <w:rsid w:val="00134D46"/>
    <w:rsid w:val="00135603"/>
    <w:rsid w:val="001357A1"/>
    <w:rsid w:val="001368EC"/>
    <w:rsid w:val="0013701F"/>
    <w:rsid w:val="00140CF5"/>
    <w:rsid w:val="00140FB8"/>
    <w:rsid w:val="00141247"/>
    <w:rsid w:val="00141A23"/>
    <w:rsid w:val="00141A69"/>
    <w:rsid w:val="001424E8"/>
    <w:rsid w:val="0014275B"/>
    <w:rsid w:val="0014291F"/>
    <w:rsid w:val="001431D4"/>
    <w:rsid w:val="00144380"/>
    <w:rsid w:val="00144EE7"/>
    <w:rsid w:val="00145FB2"/>
    <w:rsid w:val="0014615C"/>
    <w:rsid w:val="00146373"/>
    <w:rsid w:val="001466EE"/>
    <w:rsid w:val="001476A4"/>
    <w:rsid w:val="00147EE1"/>
    <w:rsid w:val="00150DD5"/>
    <w:rsid w:val="0015104B"/>
    <w:rsid w:val="001510D3"/>
    <w:rsid w:val="001515FB"/>
    <w:rsid w:val="00152046"/>
    <w:rsid w:val="00152E35"/>
    <w:rsid w:val="0015314A"/>
    <w:rsid w:val="001539CC"/>
    <w:rsid w:val="00153EA2"/>
    <w:rsid w:val="00154388"/>
    <w:rsid w:val="001544B6"/>
    <w:rsid w:val="00154A30"/>
    <w:rsid w:val="00157C7C"/>
    <w:rsid w:val="00157C97"/>
    <w:rsid w:val="001601D3"/>
    <w:rsid w:val="0016162A"/>
    <w:rsid w:val="001632C7"/>
    <w:rsid w:val="00165136"/>
    <w:rsid w:val="00165492"/>
    <w:rsid w:val="00166A9B"/>
    <w:rsid w:val="00166A9D"/>
    <w:rsid w:val="00166E81"/>
    <w:rsid w:val="00167336"/>
    <w:rsid w:val="00167536"/>
    <w:rsid w:val="001675FE"/>
    <w:rsid w:val="00167DE5"/>
    <w:rsid w:val="00170878"/>
    <w:rsid w:val="00170C3A"/>
    <w:rsid w:val="0017121B"/>
    <w:rsid w:val="00172399"/>
    <w:rsid w:val="0017369E"/>
    <w:rsid w:val="00173DD0"/>
    <w:rsid w:val="00174084"/>
    <w:rsid w:val="00174D98"/>
    <w:rsid w:val="00175122"/>
    <w:rsid w:val="00175256"/>
    <w:rsid w:val="001759E3"/>
    <w:rsid w:val="00176527"/>
    <w:rsid w:val="001765B7"/>
    <w:rsid w:val="0017672E"/>
    <w:rsid w:val="00176A44"/>
    <w:rsid w:val="00177134"/>
    <w:rsid w:val="001771B5"/>
    <w:rsid w:val="00180E86"/>
    <w:rsid w:val="00181FF7"/>
    <w:rsid w:val="00183092"/>
    <w:rsid w:val="001830B1"/>
    <w:rsid w:val="00183489"/>
    <w:rsid w:val="001838EC"/>
    <w:rsid w:val="00183AD9"/>
    <w:rsid w:val="00184451"/>
    <w:rsid w:val="0018452A"/>
    <w:rsid w:val="00184BB5"/>
    <w:rsid w:val="0018557D"/>
    <w:rsid w:val="00185BDD"/>
    <w:rsid w:val="00186580"/>
    <w:rsid w:val="00186A19"/>
    <w:rsid w:val="00187B84"/>
    <w:rsid w:val="00190B47"/>
    <w:rsid w:val="001916E9"/>
    <w:rsid w:val="001920CC"/>
    <w:rsid w:val="001922BA"/>
    <w:rsid w:val="00194533"/>
    <w:rsid w:val="00194C8E"/>
    <w:rsid w:val="00194E4E"/>
    <w:rsid w:val="0019654A"/>
    <w:rsid w:val="0019695E"/>
    <w:rsid w:val="00196B22"/>
    <w:rsid w:val="00196D2F"/>
    <w:rsid w:val="00196F9F"/>
    <w:rsid w:val="00197B79"/>
    <w:rsid w:val="001A069F"/>
    <w:rsid w:val="001A090B"/>
    <w:rsid w:val="001A0D48"/>
    <w:rsid w:val="001A15D1"/>
    <w:rsid w:val="001A24CE"/>
    <w:rsid w:val="001A24F5"/>
    <w:rsid w:val="001A25DA"/>
    <w:rsid w:val="001A2860"/>
    <w:rsid w:val="001A3109"/>
    <w:rsid w:val="001A36D9"/>
    <w:rsid w:val="001A6430"/>
    <w:rsid w:val="001A6B30"/>
    <w:rsid w:val="001A6F79"/>
    <w:rsid w:val="001A767F"/>
    <w:rsid w:val="001A789B"/>
    <w:rsid w:val="001A7DF4"/>
    <w:rsid w:val="001B0952"/>
    <w:rsid w:val="001B0F28"/>
    <w:rsid w:val="001B11B3"/>
    <w:rsid w:val="001B15F9"/>
    <w:rsid w:val="001B18D5"/>
    <w:rsid w:val="001B2682"/>
    <w:rsid w:val="001B285B"/>
    <w:rsid w:val="001B356C"/>
    <w:rsid w:val="001B46BE"/>
    <w:rsid w:val="001B52D6"/>
    <w:rsid w:val="001B5AFF"/>
    <w:rsid w:val="001B686A"/>
    <w:rsid w:val="001B6ED2"/>
    <w:rsid w:val="001B7C54"/>
    <w:rsid w:val="001C2226"/>
    <w:rsid w:val="001C34DC"/>
    <w:rsid w:val="001C3807"/>
    <w:rsid w:val="001C3DC0"/>
    <w:rsid w:val="001C57ED"/>
    <w:rsid w:val="001C5D02"/>
    <w:rsid w:val="001C5DFD"/>
    <w:rsid w:val="001C6210"/>
    <w:rsid w:val="001C6254"/>
    <w:rsid w:val="001C7DCD"/>
    <w:rsid w:val="001C7F83"/>
    <w:rsid w:val="001D03EE"/>
    <w:rsid w:val="001D0500"/>
    <w:rsid w:val="001D235D"/>
    <w:rsid w:val="001D27A0"/>
    <w:rsid w:val="001D3283"/>
    <w:rsid w:val="001D43C0"/>
    <w:rsid w:val="001D44D2"/>
    <w:rsid w:val="001D5845"/>
    <w:rsid w:val="001D6163"/>
    <w:rsid w:val="001D6580"/>
    <w:rsid w:val="001D6B0D"/>
    <w:rsid w:val="001D77B4"/>
    <w:rsid w:val="001D7C1A"/>
    <w:rsid w:val="001D7E3F"/>
    <w:rsid w:val="001E064A"/>
    <w:rsid w:val="001E082A"/>
    <w:rsid w:val="001E0ADA"/>
    <w:rsid w:val="001E0E70"/>
    <w:rsid w:val="001E1504"/>
    <w:rsid w:val="001E1BFA"/>
    <w:rsid w:val="001E1C8B"/>
    <w:rsid w:val="001E2420"/>
    <w:rsid w:val="001E2946"/>
    <w:rsid w:val="001E3283"/>
    <w:rsid w:val="001E3CF8"/>
    <w:rsid w:val="001E4AB2"/>
    <w:rsid w:val="001E5C3E"/>
    <w:rsid w:val="001E5E8B"/>
    <w:rsid w:val="001E7C97"/>
    <w:rsid w:val="001F1A2C"/>
    <w:rsid w:val="001F1CAC"/>
    <w:rsid w:val="001F1DE6"/>
    <w:rsid w:val="001F2771"/>
    <w:rsid w:val="001F2B7A"/>
    <w:rsid w:val="001F30C0"/>
    <w:rsid w:val="001F3177"/>
    <w:rsid w:val="001F3E21"/>
    <w:rsid w:val="001F4189"/>
    <w:rsid w:val="001F42F2"/>
    <w:rsid w:val="001F4307"/>
    <w:rsid w:val="001F465F"/>
    <w:rsid w:val="001F4C99"/>
    <w:rsid w:val="001F5D33"/>
    <w:rsid w:val="001F76CB"/>
    <w:rsid w:val="001F798F"/>
    <w:rsid w:val="00200915"/>
    <w:rsid w:val="00200FA9"/>
    <w:rsid w:val="00201EA1"/>
    <w:rsid w:val="00201ECB"/>
    <w:rsid w:val="00201F45"/>
    <w:rsid w:val="002020A7"/>
    <w:rsid w:val="002022B1"/>
    <w:rsid w:val="00202365"/>
    <w:rsid w:val="00202682"/>
    <w:rsid w:val="00202DFB"/>
    <w:rsid w:val="00202DFF"/>
    <w:rsid w:val="00203083"/>
    <w:rsid w:val="00203B2E"/>
    <w:rsid w:val="00204F66"/>
    <w:rsid w:val="00205118"/>
    <w:rsid w:val="00207880"/>
    <w:rsid w:val="00207D88"/>
    <w:rsid w:val="00207F78"/>
    <w:rsid w:val="002104F3"/>
    <w:rsid w:val="0021070D"/>
    <w:rsid w:val="0021087A"/>
    <w:rsid w:val="002117D8"/>
    <w:rsid w:val="00212CE3"/>
    <w:rsid w:val="00213132"/>
    <w:rsid w:val="0021313A"/>
    <w:rsid w:val="00213565"/>
    <w:rsid w:val="00213B77"/>
    <w:rsid w:val="00214CE6"/>
    <w:rsid w:val="00215102"/>
    <w:rsid w:val="00215449"/>
    <w:rsid w:val="0021619E"/>
    <w:rsid w:val="00217B33"/>
    <w:rsid w:val="002206EB"/>
    <w:rsid w:val="00220C90"/>
    <w:rsid w:val="002214B0"/>
    <w:rsid w:val="00221890"/>
    <w:rsid w:val="002230E8"/>
    <w:rsid w:val="0022327A"/>
    <w:rsid w:val="0022374E"/>
    <w:rsid w:val="002243BC"/>
    <w:rsid w:val="00224508"/>
    <w:rsid w:val="00224CE3"/>
    <w:rsid w:val="002253CB"/>
    <w:rsid w:val="00225439"/>
    <w:rsid w:val="00225FB6"/>
    <w:rsid w:val="002263DA"/>
    <w:rsid w:val="002266D6"/>
    <w:rsid w:val="00226D5B"/>
    <w:rsid w:val="00226F72"/>
    <w:rsid w:val="00227081"/>
    <w:rsid w:val="002270C4"/>
    <w:rsid w:val="00227E58"/>
    <w:rsid w:val="002305F2"/>
    <w:rsid w:val="00230A61"/>
    <w:rsid w:val="002314B3"/>
    <w:rsid w:val="00231552"/>
    <w:rsid w:val="00231BF2"/>
    <w:rsid w:val="00231C87"/>
    <w:rsid w:val="0023371F"/>
    <w:rsid w:val="00233D8D"/>
    <w:rsid w:val="00233F8E"/>
    <w:rsid w:val="00236250"/>
    <w:rsid w:val="002363BF"/>
    <w:rsid w:val="00236B01"/>
    <w:rsid w:val="00236D2D"/>
    <w:rsid w:val="002377FC"/>
    <w:rsid w:val="00237B38"/>
    <w:rsid w:val="002409DD"/>
    <w:rsid w:val="00240E2D"/>
    <w:rsid w:val="00240EDB"/>
    <w:rsid w:val="0024137A"/>
    <w:rsid w:val="00241500"/>
    <w:rsid w:val="002419C3"/>
    <w:rsid w:val="00241E24"/>
    <w:rsid w:val="00241FAE"/>
    <w:rsid w:val="0024323E"/>
    <w:rsid w:val="00243971"/>
    <w:rsid w:val="002439D5"/>
    <w:rsid w:val="00243D70"/>
    <w:rsid w:val="002440B0"/>
    <w:rsid w:val="002459BC"/>
    <w:rsid w:val="00245C24"/>
    <w:rsid w:val="00246F8C"/>
    <w:rsid w:val="00250731"/>
    <w:rsid w:val="00250986"/>
    <w:rsid w:val="00250B12"/>
    <w:rsid w:val="00250C09"/>
    <w:rsid w:val="00250FEF"/>
    <w:rsid w:val="00253D42"/>
    <w:rsid w:val="00253F98"/>
    <w:rsid w:val="0025531D"/>
    <w:rsid w:val="00255376"/>
    <w:rsid w:val="0025562B"/>
    <w:rsid w:val="002556B6"/>
    <w:rsid w:val="002557EA"/>
    <w:rsid w:val="00255805"/>
    <w:rsid w:val="00255B09"/>
    <w:rsid w:val="00255EA0"/>
    <w:rsid w:val="002562B6"/>
    <w:rsid w:val="002567FF"/>
    <w:rsid w:val="0025717F"/>
    <w:rsid w:val="00257989"/>
    <w:rsid w:val="002606AA"/>
    <w:rsid w:val="00260E16"/>
    <w:rsid w:val="00262FCE"/>
    <w:rsid w:val="00263748"/>
    <w:rsid w:val="00263E80"/>
    <w:rsid w:val="002642C1"/>
    <w:rsid w:val="002643EA"/>
    <w:rsid w:val="00264C46"/>
    <w:rsid w:val="00264D2F"/>
    <w:rsid w:val="00265300"/>
    <w:rsid w:val="002658BD"/>
    <w:rsid w:val="002663AE"/>
    <w:rsid w:val="0026693D"/>
    <w:rsid w:val="00266DB9"/>
    <w:rsid w:val="0026724D"/>
    <w:rsid w:val="00267622"/>
    <w:rsid w:val="002707FE"/>
    <w:rsid w:val="00270990"/>
    <w:rsid w:val="002714F4"/>
    <w:rsid w:val="0027181A"/>
    <w:rsid w:val="002719E4"/>
    <w:rsid w:val="00272BA6"/>
    <w:rsid w:val="00272DE7"/>
    <w:rsid w:val="0027306B"/>
    <w:rsid w:val="00274E05"/>
    <w:rsid w:val="00275523"/>
    <w:rsid w:val="00275755"/>
    <w:rsid w:val="00275A41"/>
    <w:rsid w:val="00275BA2"/>
    <w:rsid w:val="00275DB2"/>
    <w:rsid w:val="00276612"/>
    <w:rsid w:val="002769FC"/>
    <w:rsid w:val="00276D86"/>
    <w:rsid w:val="0028106F"/>
    <w:rsid w:val="00281592"/>
    <w:rsid w:val="00282387"/>
    <w:rsid w:val="00282EE7"/>
    <w:rsid w:val="00283233"/>
    <w:rsid w:val="00283530"/>
    <w:rsid w:val="00283818"/>
    <w:rsid w:val="002844D5"/>
    <w:rsid w:val="00284C5C"/>
    <w:rsid w:val="0028500D"/>
    <w:rsid w:val="00285459"/>
    <w:rsid w:val="0028585A"/>
    <w:rsid w:val="00285950"/>
    <w:rsid w:val="00286F84"/>
    <w:rsid w:val="002903FB"/>
    <w:rsid w:val="002905E0"/>
    <w:rsid w:val="00290F21"/>
    <w:rsid w:val="0029132B"/>
    <w:rsid w:val="002916B6"/>
    <w:rsid w:val="002931A2"/>
    <w:rsid w:val="002934DE"/>
    <w:rsid w:val="0029376F"/>
    <w:rsid w:val="00293DF3"/>
    <w:rsid w:val="00294D37"/>
    <w:rsid w:val="0029631A"/>
    <w:rsid w:val="00296A93"/>
    <w:rsid w:val="0029712B"/>
    <w:rsid w:val="002973EB"/>
    <w:rsid w:val="00297646"/>
    <w:rsid w:val="002A0023"/>
    <w:rsid w:val="002A0112"/>
    <w:rsid w:val="002A08C7"/>
    <w:rsid w:val="002A0A92"/>
    <w:rsid w:val="002A1206"/>
    <w:rsid w:val="002A22A0"/>
    <w:rsid w:val="002A3378"/>
    <w:rsid w:val="002A49D2"/>
    <w:rsid w:val="002A4D09"/>
    <w:rsid w:val="002A7FA3"/>
    <w:rsid w:val="002B0712"/>
    <w:rsid w:val="002B0B44"/>
    <w:rsid w:val="002B1F8B"/>
    <w:rsid w:val="002B2264"/>
    <w:rsid w:val="002B3619"/>
    <w:rsid w:val="002B3679"/>
    <w:rsid w:val="002B425D"/>
    <w:rsid w:val="002B4B1D"/>
    <w:rsid w:val="002B4E81"/>
    <w:rsid w:val="002B597D"/>
    <w:rsid w:val="002B5F31"/>
    <w:rsid w:val="002B6D4A"/>
    <w:rsid w:val="002B7563"/>
    <w:rsid w:val="002C0332"/>
    <w:rsid w:val="002C06D1"/>
    <w:rsid w:val="002C0BF8"/>
    <w:rsid w:val="002C2097"/>
    <w:rsid w:val="002C2C3C"/>
    <w:rsid w:val="002C310F"/>
    <w:rsid w:val="002C3982"/>
    <w:rsid w:val="002C3C3C"/>
    <w:rsid w:val="002C3C4A"/>
    <w:rsid w:val="002C3D0A"/>
    <w:rsid w:val="002C4CF0"/>
    <w:rsid w:val="002C4E50"/>
    <w:rsid w:val="002C5BE8"/>
    <w:rsid w:val="002C5F8D"/>
    <w:rsid w:val="002C6CB5"/>
    <w:rsid w:val="002C713E"/>
    <w:rsid w:val="002D1C75"/>
    <w:rsid w:val="002D24D2"/>
    <w:rsid w:val="002D3419"/>
    <w:rsid w:val="002D3FD0"/>
    <w:rsid w:val="002D4483"/>
    <w:rsid w:val="002D4DA7"/>
    <w:rsid w:val="002D5427"/>
    <w:rsid w:val="002D62E1"/>
    <w:rsid w:val="002E0243"/>
    <w:rsid w:val="002E040B"/>
    <w:rsid w:val="002E0903"/>
    <w:rsid w:val="002E0DE6"/>
    <w:rsid w:val="002E2CA7"/>
    <w:rsid w:val="002E3064"/>
    <w:rsid w:val="002E3580"/>
    <w:rsid w:val="002E44B8"/>
    <w:rsid w:val="002E53C0"/>
    <w:rsid w:val="002E6786"/>
    <w:rsid w:val="002E6851"/>
    <w:rsid w:val="002E76ED"/>
    <w:rsid w:val="002F0E82"/>
    <w:rsid w:val="002F10D7"/>
    <w:rsid w:val="002F370C"/>
    <w:rsid w:val="002F3F0A"/>
    <w:rsid w:val="002F57E9"/>
    <w:rsid w:val="002F6623"/>
    <w:rsid w:val="002F7154"/>
    <w:rsid w:val="002F768E"/>
    <w:rsid w:val="003002DF"/>
    <w:rsid w:val="00300EF3"/>
    <w:rsid w:val="00301146"/>
    <w:rsid w:val="003011A8"/>
    <w:rsid w:val="00301A53"/>
    <w:rsid w:val="00302254"/>
    <w:rsid w:val="003032B7"/>
    <w:rsid w:val="0030330D"/>
    <w:rsid w:val="00303C4C"/>
    <w:rsid w:val="00304782"/>
    <w:rsid w:val="00304B29"/>
    <w:rsid w:val="00304CD9"/>
    <w:rsid w:val="00305B51"/>
    <w:rsid w:val="00305BB8"/>
    <w:rsid w:val="00305FC1"/>
    <w:rsid w:val="00306118"/>
    <w:rsid w:val="003072EB"/>
    <w:rsid w:val="00310795"/>
    <w:rsid w:val="00310DC9"/>
    <w:rsid w:val="00312307"/>
    <w:rsid w:val="00312E2E"/>
    <w:rsid w:val="0031472E"/>
    <w:rsid w:val="00314E2D"/>
    <w:rsid w:val="00315D59"/>
    <w:rsid w:val="00315DCF"/>
    <w:rsid w:val="00315E74"/>
    <w:rsid w:val="00315EC4"/>
    <w:rsid w:val="00315F4F"/>
    <w:rsid w:val="00316307"/>
    <w:rsid w:val="003169BC"/>
    <w:rsid w:val="00316B44"/>
    <w:rsid w:val="00317327"/>
    <w:rsid w:val="0031750F"/>
    <w:rsid w:val="0031792C"/>
    <w:rsid w:val="00320996"/>
    <w:rsid w:val="0032149B"/>
    <w:rsid w:val="003221A4"/>
    <w:rsid w:val="0032347A"/>
    <w:rsid w:val="00323865"/>
    <w:rsid w:val="00323BBA"/>
    <w:rsid w:val="00323DA9"/>
    <w:rsid w:val="00324CAD"/>
    <w:rsid w:val="00325DA9"/>
    <w:rsid w:val="00325DF0"/>
    <w:rsid w:val="00325FBC"/>
    <w:rsid w:val="003269F0"/>
    <w:rsid w:val="00326EA4"/>
    <w:rsid w:val="00326F74"/>
    <w:rsid w:val="00327C11"/>
    <w:rsid w:val="00330256"/>
    <w:rsid w:val="00330D50"/>
    <w:rsid w:val="003315BD"/>
    <w:rsid w:val="0033189C"/>
    <w:rsid w:val="00331973"/>
    <w:rsid w:val="00333D6D"/>
    <w:rsid w:val="00333E8D"/>
    <w:rsid w:val="00335CE8"/>
    <w:rsid w:val="00335D29"/>
    <w:rsid w:val="00336E9E"/>
    <w:rsid w:val="0033761A"/>
    <w:rsid w:val="00337D87"/>
    <w:rsid w:val="00340104"/>
    <w:rsid w:val="00340C4F"/>
    <w:rsid w:val="0034100C"/>
    <w:rsid w:val="003426DC"/>
    <w:rsid w:val="0034329B"/>
    <w:rsid w:val="003439C1"/>
    <w:rsid w:val="00343AF7"/>
    <w:rsid w:val="003445D8"/>
    <w:rsid w:val="003447CF"/>
    <w:rsid w:val="00344A4F"/>
    <w:rsid w:val="00344A57"/>
    <w:rsid w:val="00345A9B"/>
    <w:rsid w:val="0034614A"/>
    <w:rsid w:val="003470FB"/>
    <w:rsid w:val="003477D8"/>
    <w:rsid w:val="00347B3A"/>
    <w:rsid w:val="00350FE4"/>
    <w:rsid w:val="003515F4"/>
    <w:rsid w:val="00351B1B"/>
    <w:rsid w:val="00351EDD"/>
    <w:rsid w:val="003520CB"/>
    <w:rsid w:val="00352363"/>
    <w:rsid w:val="00352A74"/>
    <w:rsid w:val="00353341"/>
    <w:rsid w:val="003535C2"/>
    <w:rsid w:val="00353C3A"/>
    <w:rsid w:val="003541F6"/>
    <w:rsid w:val="00354B43"/>
    <w:rsid w:val="0035587A"/>
    <w:rsid w:val="00355B41"/>
    <w:rsid w:val="00355DBC"/>
    <w:rsid w:val="00356E23"/>
    <w:rsid w:val="0035794C"/>
    <w:rsid w:val="003606E2"/>
    <w:rsid w:val="00360978"/>
    <w:rsid w:val="00361D7B"/>
    <w:rsid w:val="00363078"/>
    <w:rsid w:val="00363500"/>
    <w:rsid w:val="00364531"/>
    <w:rsid w:val="0036484E"/>
    <w:rsid w:val="0036563E"/>
    <w:rsid w:val="00367E13"/>
    <w:rsid w:val="00367E46"/>
    <w:rsid w:val="0037085A"/>
    <w:rsid w:val="00370906"/>
    <w:rsid w:val="00370A15"/>
    <w:rsid w:val="00370D73"/>
    <w:rsid w:val="00370F4B"/>
    <w:rsid w:val="00371470"/>
    <w:rsid w:val="00371BFC"/>
    <w:rsid w:val="0037297B"/>
    <w:rsid w:val="0037371C"/>
    <w:rsid w:val="00373A39"/>
    <w:rsid w:val="00374422"/>
    <w:rsid w:val="00374B70"/>
    <w:rsid w:val="00375897"/>
    <w:rsid w:val="00375ACB"/>
    <w:rsid w:val="00376563"/>
    <w:rsid w:val="00376AB2"/>
    <w:rsid w:val="00377704"/>
    <w:rsid w:val="00377B27"/>
    <w:rsid w:val="00377CA6"/>
    <w:rsid w:val="0038106F"/>
    <w:rsid w:val="003824D3"/>
    <w:rsid w:val="00382C32"/>
    <w:rsid w:val="00382DCA"/>
    <w:rsid w:val="00383503"/>
    <w:rsid w:val="003836F2"/>
    <w:rsid w:val="003839C8"/>
    <w:rsid w:val="00383B34"/>
    <w:rsid w:val="00384236"/>
    <w:rsid w:val="00385219"/>
    <w:rsid w:val="003853DD"/>
    <w:rsid w:val="00385A50"/>
    <w:rsid w:val="00386694"/>
    <w:rsid w:val="00386804"/>
    <w:rsid w:val="00386A79"/>
    <w:rsid w:val="00387929"/>
    <w:rsid w:val="00390311"/>
    <w:rsid w:val="003906F1"/>
    <w:rsid w:val="0039078D"/>
    <w:rsid w:val="00390886"/>
    <w:rsid w:val="003914EC"/>
    <w:rsid w:val="003916A4"/>
    <w:rsid w:val="00391E94"/>
    <w:rsid w:val="003920CC"/>
    <w:rsid w:val="0039335F"/>
    <w:rsid w:val="003934B1"/>
    <w:rsid w:val="003947A6"/>
    <w:rsid w:val="00394C0A"/>
    <w:rsid w:val="00394D88"/>
    <w:rsid w:val="00395144"/>
    <w:rsid w:val="0039607E"/>
    <w:rsid w:val="003964F5"/>
    <w:rsid w:val="00396DA6"/>
    <w:rsid w:val="00396EC1"/>
    <w:rsid w:val="003A02B9"/>
    <w:rsid w:val="003A1024"/>
    <w:rsid w:val="003A18A8"/>
    <w:rsid w:val="003A18AB"/>
    <w:rsid w:val="003A20D1"/>
    <w:rsid w:val="003A28E9"/>
    <w:rsid w:val="003A2D06"/>
    <w:rsid w:val="003A2D87"/>
    <w:rsid w:val="003A4B21"/>
    <w:rsid w:val="003A6AC3"/>
    <w:rsid w:val="003A754D"/>
    <w:rsid w:val="003B0344"/>
    <w:rsid w:val="003B0890"/>
    <w:rsid w:val="003B0C39"/>
    <w:rsid w:val="003B0F46"/>
    <w:rsid w:val="003B1344"/>
    <w:rsid w:val="003B1FAF"/>
    <w:rsid w:val="003B2469"/>
    <w:rsid w:val="003B3384"/>
    <w:rsid w:val="003B3847"/>
    <w:rsid w:val="003B3C8B"/>
    <w:rsid w:val="003B3EA8"/>
    <w:rsid w:val="003B4193"/>
    <w:rsid w:val="003B495A"/>
    <w:rsid w:val="003B4ECD"/>
    <w:rsid w:val="003B513D"/>
    <w:rsid w:val="003B522E"/>
    <w:rsid w:val="003B54CF"/>
    <w:rsid w:val="003B568B"/>
    <w:rsid w:val="003B69BE"/>
    <w:rsid w:val="003B714A"/>
    <w:rsid w:val="003B7693"/>
    <w:rsid w:val="003B77AC"/>
    <w:rsid w:val="003C04AE"/>
    <w:rsid w:val="003C111B"/>
    <w:rsid w:val="003C1BEA"/>
    <w:rsid w:val="003C22DC"/>
    <w:rsid w:val="003C27C1"/>
    <w:rsid w:val="003C2ABC"/>
    <w:rsid w:val="003C326D"/>
    <w:rsid w:val="003C380D"/>
    <w:rsid w:val="003C559D"/>
    <w:rsid w:val="003C6CB4"/>
    <w:rsid w:val="003D0C9D"/>
    <w:rsid w:val="003D1CB1"/>
    <w:rsid w:val="003D23FE"/>
    <w:rsid w:val="003D2A7F"/>
    <w:rsid w:val="003D3B6F"/>
    <w:rsid w:val="003D3C9D"/>
    <w:rsid w:val="003D4542"/>
    <w:rsid w:val="003D50AD"/>
    <w:rsid w:val="003D5659"/>
    <w:rsid w:val="003D5E4A"/>
    <w:rsid w:val="003D68D4"/>
    <w:rsid w:val="003D7290"/>
    <w:rsid w:val="003D7CAD"/>
    <w:rsid w:val="003E05B4"/>
    <w:rsid w:val="003E1AA1"/>
    <w:rsid w:val="003E1B91"/>
    <w:rsid w:val="003E282E"/>
    <w:rsid w:val="003E29F3"/>
    <w:rsid w:val="003E4212"/>
    <w:rsid w:val="003E4B2A"/>
    <w:rsid w:val="003E5263"/>
    <w:rsid w:val="003E6B15"/>
    <w:rsid w:val="003E6B16"/>
    <w:rsid w:val="003E7843"/>
    <w:rsid w:val="003E7BBB"/>
    <w:rsid w:val="003F0609"/>
    <w:rsid w:val="003F0A5A"/>
    <w:rsid w:val="003F1DFC"/>
    <w:rsid w:val="003F23F8"/>
    <w:rsid w:val="003F2755"/>
    <w:rsid w:val="003F2CAB"/>
    <w:rsid w:val="003F2EE0"/>
    <w:rsid w:val="003F36FA"/>
    <w:rsid w:val="003F4A63"/>
    <w:rsid w:val="003F57C2"/>
    <w:rsid w:val="003F6B34"/>
    <w:rsid w:val="003F6EFC"/>
    <w:rsid w:val="003F7525"/>
    <w:rsid w:val="004013FB"/>
    <w:rsid w:val="00401C2D"/>
    <w:rsid w:val="00401D3C"/>
    <w:rsid w:val="00402856"/>
    <w:rsid w:val="00403A36"/>
    <w:rsid w:val="00403AFE"/>
    <w:rsid w:val="00404907"/>
    <w:rsid w:val="00404C9B"/>
    <w:rsid w:val="00404F07"/>
    <w:rsid w:val="00405617"/>
    <w:rsid w:val="004059D9"/>
    <w:rsid w:val="00405AD3"/>
    <w:rsid w:val="00406946"/>
    <w:rsid w:val="00406A35"/>
    <w:rsid w:val="00407D71"/>
    <w:rsid w:val="004114AF"/>
    <w:rsid w:val="00411D9E"/>
    <w:rsid w:val="00412DF6"/>
    <w:rsid w:val="00413940"/>
    <w:rsid w:val="004142E4"/>
    <w:rsid w:val="004145A3"/>
    <w:rsid w:val="00414ED6"/>
    <w:rsid w:val="00415494"/>
    <w:rsid w:val="0041579D"/>
    <w:rsid w:val="00415BEE"/>
    <w:rsid w:val="00416A25"/>
    <w:rsid w:val="0041706F"/>
    <w:rsid w:val="00417264"/>
    <w:rsid w:val="004172EF"/>
    <w:rsid w:val="004179A7"/>
    <w:rsid w:val="00417C36"/>
    <w:rsid w:val="00417F2D"/>
    <w:rsid w:val="0042184D"/>
    <w:rsid w:val="00423BD0"/>
    <w:rsid w:val="00424154"/>
    <w:rsid w:val="004242B5"/>
    <w:rsid w:val="00424635"/>
    <w:rsid w:val="0042483E"/>
    <w:rsid w:val="00424F84"/>
    <w:rsid w:val="00425DFF"/>
    <w:rsid w:val="00426598"/>
    <w:rsid w:val="00426962"/>
    <w:rsid w:val="00426DD7"/>
    <w:rsid w:val="0042717A"/>
    <w:rsid w:val="00430B0E"/>
    <w:rsid w:val="00430C3A"/>
    <w:rsid w:val="00431534"/>
    <w:rsid w:val="00431BDF"/>
    <w:rsid w:val="00431F6C"/>
    <w:rsid w:val="00432559"/>
    <w:rsid w:val="004327CE"/>
    <w:rsid w:val="00432A8A"/>
    <w:rsid w:val="00432F17"/>
    <w:rsid w:val="0043369D"/>
    <w:rsid w:val="00433740"/>
    <w:rsid w:val="004345B9"/>
    <w:rsid w:val="00434BD8"/>
    <w:rsid w:val="00434CEC"/>
    <w:rsid w:val="0043521B"/>
    <w:rsid w:val="00435263"/>
    <w:rsid w:val="0043527B"/>
    <w:rsid w:val="00435749"/>
    <w:rsid w:val="00435A38"/>
    <w:rsid w:val="00436449"/>
    <w:rsid w:val="0043770C"/>
    <w:rsid w:val="00437A83"/>
    <w:rsid w:val="00437C13"/>
    <w:rsid w:val="00440082"/>
    <w:rsid w:val="004404C2"/>
    <w:rsid w:val="00440A3D"/>
    <w:rsid w:val="00440AC3"/>
    <w:rsid w:val="00441686"/>
    <w:rsid w:val="004417EA"/>
    <w:rsid w:val="00441A8A"/>
    <w:rsid w:val="00441C94"/>
    <w:rsid w:val="00442CB9"/>
    <w:rsid w:val="00442E38"/>
    <w:rsid w:val="0044366D"/>
    <w:rsid w:val="0044480E"/>
    <w:rsid w:val="00444A08"/>
    <w:rsid w:val="00445456"/>
    <w:rsid w:val="00445506"/>
    <w:rsid w:val="00445ADF"/>
    <w:rsid w:val="00447C1B"/>
    <w:rsid w:val="00447C1F"/>
    <w:rsid w:val="00447C48"/>
    <w:rsid w:val="00450FD9"/>
    <w:rsid w:val="004511CC"/>
    <w:rsid w:val="00451D69"/>
    <w:rsid w:val="004524B0"/>
    <w:rsid w:val="004525B8"/>
    <w:rsid w:val="00452E4B"/>
    <w:rsid w:val="00452FCD"/>
    <w:rsid w:val="00453028"/>
    <w:rsid w:val="0045359F"/>
    <w:rsid w:val="0045373A"/>
    <w:rsid w:val="00453903"/>
    <w:rsid w:val="00453CF7"/>
    <w:rsid w:val="00454A73"/>
    <w:rsid w:val="004557A4"/>
    <w:rsid w:val="00455BBE"/>
    <w:rsid w:val="004563E7"/>
    <w:rsid w:val="004565AD"/>
    <w:rsid w:val="00456E93"/>
    <w:rsid w:val="00457193"/>
    <w:rsid w:val="00460430"/>
    <w:rsid w:val="00461770"/>
    <w:rsid w:val="004621AE"/>
    <w:rsid w:val="004635CD"/>
    <w:rsid w:val="00463810"/>
    <w:rsid w:val="00463C67"/>
    <w:rsid w:val="00465324"/>
    <w:rsid w:val="00466088"/>
    <w:rsid w:val="004673B1"/>
    <w:rsid w:val="00467634"/>
    <w:rsid w:val="00467D0D"/>
    <w:rsid w:val="00467EA8"/>
    <w:rsid w:val="00467FA0"/>
    <w:rsid w:val="00467FAF"/>
    <w:rsid w:val="004704B2"/>
    <w:rsid w:val="00470634"/>
    <w:rsid w:val="004706E7"/>
    <w:rsid w:val="004707C6"/>
    <w:rsid w:val="004708D8"/>
    <w:rsid w:val="00470DEC"/>
    <w:rsid w:val="00470F63"/>
    <w:rsid w:val="004712B2"/>
    <w:rsid w:val="004712EC"/>
    <w:rsid w:val="004720A8"/>
    <w:rsid w:val="00472226"/>
    <w:rsid w:val="00472641"/>
    <w:rsid w:val="00472B3A"/>
    <w:rsid w:val="00473294"/>
    <w:rsid w:val="004739AD"/>
    <w:rsid w:val="004743DB"/>
    <w:rsid w:val="0047472B"/>
    <w:rsid w:val="004748DA"/>
    <w:rsid w:val="00474F28"/>
    <w:rsid w:val="00476709"/>
    <w:rsid w:val="004773DB"/>
    <w:rsid w:val="0048007E"/>
    <w:rsid w:val="0048196F"/>
    <w:rsid w:val="00481BE0"/>
    <w:rsid w:val="00481CB5"/>
    <w:rsid w:val="00482582"/>
    <w:rsid w:val="00483004"/>
    <w:rsid w:val="00483DC5"/>
    <w:rsid w:val="0048593C"/>
    <w:rsid w:val="00485FD5"/>
    <w:rsid w:val="004865C1"/>
    <w:rsid w:val="0048688B"/>
    <w:rsid w:val="00487538"/>
    <w:rsid w:val="00487762"/>
    <w:rsid w:val="00491098"/>
    <w:rsid w:val="004926A1"/>
    <w:rsid w:val="00493136"/>
    <w:rsid w:val="0049361A"/>
    <w:rsid w:val="0049434C"/>
    <w:rsid w:val="00495B96"/>
    <w:rsid w:val="0049738C"/>
    <w:rsid w:val="004A0315"/>
    <w:rsid w:val="004A0AFE"/>
    <w:rsid w:val="004A0D2E"/>
    <w:rsid w:val="004A0D8B"/>
    <w:rsid w:val="004A26E4"/>
    <w:rsid w:val="004A2F81"/>
    <w:rsid w:val="004A30F7"/>
    <w:rsid w:val="004A3767"/>
    <w:rsid w:val="004A400A"/>
    <w:rsid w:val="004A4073"/>
    <w:rsid w:val="004A5417"/>
    <w:rsid w:val="004A6181"/>
    <w:rsid w:val="004A784E"/>
    <w:rsid w:val="004A7C0B"/>
    <w:rsid w:val="004B06F8"/>
    <w:rsid w:val="004B1099"/>
    <w:rsid w:val="004B114E"/>
    <w:rsid w:val="004B2D6C"/>
    <w:rsid w:val="004B3EC1"/>
    <w:rsid w:val="004B5807"/>
    <w:rsid w:val="004B59A3"/>
    <w:rsid w:val="004B5DAA"/>
    <w:rsid w:val="004B694B"/>
    <w:rsid w:val="004B7418"/>
    <w:rsid w:val="004C088D"/>
    <w:rsid w:val="004C090C"/>
    <w:rsid w:val="004C13C2"/>
    <w:rsid w:val="004C28BC"/>
    <w:rsid w:val="004C456A"/>
    <w:rsid w:val="004C4608"/>
    <w:rsid w:val="004C59A8"/>
    <w:rsid w:val="004C71D7"/>
    <w:rsid w:val="004C7588"/>
    <w:rsid w:val="004C7825"/>
    <w:rsid w:val="004C78A5"/>
    <w:rsid w:val="004D11B7"/>
    <w:rsid w:val="004D11E2"/>
    <w:rsid w:val="004D27DB"/>
    <w:rsid w:val="004D3282"/>
    <w:rsid w:val="004D520D"/>
    <w:rsid w:val="004D67A2"/>
    <w:rsid w:val="004D6D7E"/>
    <w:rsid w:val="004D74F9"/>
    <w:rsid w:val="004D768D"/>
    <w:rsid w:val="004E007A"/>
    <w:rsid w:val="004E0C08"/>
    <w:rsid w:val="004E1718"/>
    <w:rsid w:val="004E1A54"/>
    <w:rsid w:val="004E3974"/>
    <w:rsid w:val="004E3A88"/>
    <w:rsid w:val="004E44E6"/>
    <w:rsid w:val="004E4793"/>
    <w:rsid w:val="004E49F3"/>
    <w:rsid w:val="004E5C37"/>
    <w:rsid w:val="004E5F87"/>
    <w:rsid w:val="004E6156"/>
    <w:rsid w:val="004E61EF"/>
    <w:rsid w:val="004E7312"/>
    <w:rsid w:val="004E732A"/>
    <w:rsid w:val="004E740C"/>
    <w:rsid w:val="004E7446"/>
    <w:rsid w:val="004F037D"/>
    <w:rsid w:val="004F1C7E"/>
    <w:rsid w:val="004F21B3"/>
    <w:rsid w:val="004F3037"/>
    <w:rsid w:val="004F37BE"/>
    <w:rsid w:val="004F3E1C"/>
    <w:rsid w:val="004F3FA5"/>
    <w:rsid w:val="004F4229"/>
    <w:rsid w:val="004F6780"/>
    <w:rsid w:val="004F71F4"/>
    <w:rsid w:val="004F732F"/>
    <w:rsid w:val="00501C81"/>
    <w:rsid w:val="00501CD1"/>
    <w:rsid w:val="00502B52"/>
    <w:rsid w:val="0050354C"/>
    <w:rsid w:val="00503617"/>
    <w:rsid w:val="00504525"/>
    <w:rsid w:val="00504B71"/>
    <w:rsid w:val="005053D4"/>
    <w:rsid w:val="0050559F"/>
    <w:rsid w:val="00505A2C"/>
    <w:rsid w:val="005061D9"/>
    <w:rsid w:val="00506568"/>
    <w:rsid w:val="00506ACE"/>
    <w:rsid w:val="00506D26"/>
    <w:rsid w:val="00510146"/>
    <w:rsid w:val="005101A7"/>
    <w:rsid w:val="00510410"/>
    <w:rsid w:val="00510482"/>
    <w:rsid w:val="0051072C"/>
    <w:rsid w:val="00510E0F"/>
    <w:rsid w:val="0051109C"/>
    <w:rsid w:val="005111C8"/>
    <w:rsid w:val="005112A2"/>
    <w:rsid w:val="005119B2"/>
    <w:rsid w:val="00511FFF"/>
    <w:rsid w:val="005123C2"/>
    <w:rsid w:val="00512417"/>
    <w:rsid w:val="005124B6"/>
    <w:rsid w:val="00512920"/>
    <w:rsid w:val="00512B74"/>
    <w:rsid w:val="00512E99"/>
    <w:rsid w:val="00513547"/>
    <w:rsid w:val="00515AEB"/>
    <w:rsid w:val="0051618E"/>
    <w:rsid w:val="0051637E"/>
    <w:rsid w:val="00516F97"/>
    <w:rsid w:val="0052020E"/>
    <w:rsid w:val="00520B13"/>
    <w:rsid w:val="005211FB"/>
    <w:rsid w:val="0052151E"/>
    <w:rsid w:val="00521837"/>
    <w:rsid w:val="005221F7"/>
    <w:rsid w:val="00522449"/>
    <w:rsid w:val="00522E3F"/>
    <w:rsid w:val="00523905"/>
    <w:rsid w:val="00523D90"/>
    <w:rsid w:val="00523DE6"/>
    <w:rsid w:val="0052464A"/>
    <w:rsid w:val="00526012"/>
    <w:rsid w:val="00527841"/>
    <w:rsid w:val="0053087B"/>
    <w:rsid w:val="00530D82"/>
    <w:rsid w:val="00531CFE"/>
    <w:rsid w:val="00531EB3"/>
    <w:rsid w:val="00532F1B"/>
    <w:rsid w:val="00533B2C"/>
    <w:rsid w:val="00534A46"/>
    <w:rsid w:val="00534E0B"/>
    <w:rsid w:val="00536133"/>
    <w:rsid w:val="005369C7"/>
    <w:rsid w:val="00536F04"/>
    <w:rsid w:val="00537AFC"/>
    <w:rsid w:val="00537DDE"/>
    <w:rsid w:val="00540E30"/>
    <w:rsid w:val="005412A1"/>
    <w:rsid w:val="00541F7D"/>
    <w:rsid w:val="00542F1F"/>
    <w:rsid w:val="00543497"/>
    <w:rsid w:val="005442E2"/>
    <w:rsid w:val="00545214"/>
    <w:rsid w:val="00545811"/>
    <w:rsid w:val="00545CC1"/>
    <w:rsid w:val="00545D2B"/>
    <w:rsid w:val="005461FF"/>
    <w:rsid w:val="005462C2"/>
    <w:rsid w:val="00547221"/>
    <w:rsid w:val="00547BF9"/>
    <w:rsid w:val="00550047"/>
    <w:rsid w:val="00550D5B"/>
    <w:rsid w:val="005514F2"/>
    <w:rsid w:val="005519DA"/>
    <w:rsid w:val="00553EC7"/>
    <w:rsid w:val="005542D2"/>
    <w:rsid w:val="00554709"/>
    <w:rsid w:val="005548F9"/>
    <w:rsid w:val="00554BEC"/>
    <w:rsid w:val="00554DA4"/>
    <w:rsid w:val="005553A0"/>
    <w:rsid w:val="00555A6B"/>
    <w:rsid w:val="00555A7B"/>
    <w:rsid w:val="00555DB3"/>
    <w:rsid w:val="0055691A"/>
    <w:rsid w:val="00557E9D"/>
    <w:rsid w:val="00560C67"/>
    <w:rsid w:val="00562426"/>
    <w:rsid w:val="00562627"/>
    <w:rsid w:val="005627DA"/>
    <w:rsid w:val="005627EC"/>
    <w:rsid w:val="00562FB7"/>
    <w:rsid w:val="005634C5"/>
    <w:rsid w:val="00564674"/>
    <w:rsid w:val="00565522"/>
    <w:rsid w:val="00565FE4"/>
    <w:rsid w:val="00566ACD"/>
    <w:rsid w:val="00566DB6"/>
    <w:rsid w:val="00570012"/>
    <w:rsid w:val="005704BC"/>
    <w:rsid w:val="0057119A"/>
    <w:rsid w:val="00571523"/>
    <w:rsid w:val="0057229C"/>
    <w:rsid w:val="00572B58"/>
    <w:rsid w:val="00572B60"/>
    <w:rsid w:val="005731A1"/>
    <w:rsid w:val="00574E93"/>
    <w:rsid w:val="00575D58"/>
    <w:rsid w:val="00576055"/>
    <w:rsid w:val="00576367"/>
    <w:rsid w:val="00577247"/>
    <w:rsid w:val="005773A8"/>
    <w:rsid w:val="00577529"/>
    <w:rsid w:val="00577E5C"/>
    <w:rsid w:val="00580AAD"/>
    <w:rsid w:val="005811F0"/>
    <w:rsid w:val="005813C0"/>
    <w:rsid w:val="00581FB3"/>
    <w:rsid w:val="005823ED"/>
    <w:rsid w:val="00582B6A"/>
    <w:rsid w:val="00582B94"/>
    <w:rsid w:val="00584AB1"/>
    <w:rsid w:val="0058633F"/>
    <w:rsid w:val="00586F72"/>
    <w:rsid w:val="00587272"/>
    <w:rsid w:val="00587531"/>
    <w:rsid w:val="00587FEA"/>
    <w:rsid w:val="00590042"/>
    <w:rsid w:val="005904CE"/>
    <w:rsid w:val="00590529"/>
    <w:rsid w:val="00590F14"/>
    <w:rsid w:val="00590FFE"/>
    <w:rsid w:val="005910DF"/>
    <w:rsid w:val="00591B28"/>
    <w:rsid w:val="0059272A"/>
    <w:rsid w:val="0059460A"/>
    <w:rsid w:val="00594905"/>
    <w:rsid w:val="00594B3D"/>
    <w:rsid w:val="00594FE9"/>
    <w:rsid w:val="00595878"/>
    <w:rsid w:val="0059614B"/>
    <w:rsid w:val="0059654F"/>
    <w:rsid w:val="005975F4"/>
    <w:rsid w:val="00597639"/>
    <w:rsid w:val="005A07AA"/>
    <w:rsid w:val="005A0E24"/>
    <w:rsid w:val="005A2709"/>
    <w:rsid w:val="005A2DAF"/>
    <w:rsid w:val="005A31D4"/>
    <w:rsid w:val="005A32A5"/>
    <w:rsid w:val="005A3C55"/>
    <w:rsid w:val="005A3E3C"/>
    <w:rsid w:val="005A3E98"/>
    <w:rsid w:val="005A4851"/>
    <w:rsid w:val="005A4E4C"/>
    <w:rsid w:val="005A4F2D"/>
    <w:rsid w:val="005A555F"/>
    <w:rsid w:val="005A5624"/>
    <w:rsid w:val="005A5CAF"/>
    <w:rsid w:val="005A5FB4"/>
    <w:rsid w:val="005A62FC"/>
    <w:rsid w:val="005A7DBA"/>
    <w:rsid w:val="005B065A"/>
    <w:rsid w:val="005B116C"/>
    <w:rsid w:val="005B2CFD"/>
    <w:rsid w:val="005B2F7F"/>
    <w:rsid w:val="005B339D"/>
    <w:rsid w:val="005B4834"/>
    <w:rsid w:val="005B4C26"/>
    <w:rsid w:val="005B59EF"/>
    <w:rsid w:val="005B5AF1"/>
    <w:rsid w:val="005B60A3"/>
    <w:rsid w:val="005B62D8"/>
    <w:rsid w:val="005B6C87"/>
    <w:rsid w:val="005B7016"/>
    <w:rsid w:val="005B7183"/>
    <w:rsid w:val="005B794F"/>
    <w:rsid w:val="005B79A4"/>
    <w:rsid w:val="005C0467"/>
    <w:rsid w:val="005C19CD"/>
    <w:rsid w:val="005C1D24"/>
    <w:rsid w:val="005C1D4F"/>
    <w:rsid w:val="005C2292"/>
    <w:rsid w:val="005C2677"/>
    <w:rsid w:val="005C2D92"/>
    <w:rsid w:val="005C2DA3"/>
    <w:rsid w:val="005C4451"/>
    <w:rsid w:val="005C4F88"/>
    <w:rsid w:val="005C520A"/>
    <w:rsid w:val="005C53F3"/>
    <w:rsid w:val="005C5843"/>
    <w:rsid w:val="005C587C"/>
    <w:rsid w:val="005C59FE"/>
    <w:rsid w:val="005C63E2"/>
    <w:rsid w:val="005C7CE9"/>
    <w:rsid w:val="005D02AB"/>
    <w:rsid w:val="005D1982"/>
    <w:rsid w:val="005D1F6F"/>
    <w:rsid w:val="005D2E59"/>
    <w:rsid w:val="005D30C8"/>
    <w:rsid w:val="005D3124"/>
    <w:rsid w:val="005D36CF"/>
    <w:rsid w:val="005D3704"/>
    <w:rsid w:val="005D3EB4"/>
    <w:rsid w:val="005D4DEA"/>
    <w:rsid w:val="005D4F78"/>
    <w:rsid w:val="005D5E60"/>
    <w:rsid w:val="005D5F0E"/>
    <w:rsid w:val="005D60F7"/>
    <w:rsid w:val="005D7212"/>
    <w:rsid w:val="005D7C66"/>
    <w:rsid w:val="005E0D38"/>
    <w:rsid w:val="005E22E3"/>
    <w:rsid w:val="005E2395"/>
    <w:rsid w:val="005E2CD2"/>
    <w:rsid w:val="005E3F35"/>
    <w:rsid w:val="005E4343"/>
    <w:rsid w:val="005E4B9E"/>
    <w:rsid w:val="005E5E5F"/>
    <w:rsid w:val="005E6D3A"/>
    <w:rsid w:val="005E7496"/>
    <w:rsid w:val="005E759C"/>
    <w:rsid w:val="005E7A7E"/>
    <w:rsid w:val="005F00C4"/>
    <w:rsid w:val="005F00ED"/>
    <w:rsid w:val="005F1249"/>
    <w:rsid w:val="005F14D9"/>
    <w:rsid w:val="005F1589"/>
    <w:rsid w:val="005F17AA"/>
    <w:rsid w:val="005F2EF5"/>
    <w:rsid w:val="005F4217"/>
    <w:rsid w:val="005F47E5"/>
    <w:rsid w:val="005F5016"/>
    <w:rsid w:val="005F5263"/>
    <w:rsid w:val="005F58B6"/>
    <w:rsid w:val="005F5C00"/>
    <w:rsid w:val="005F5CE7"/>
    <w:rsid w:val="005F5E56"/>
    <w:rsid w:val="005F60F2"/>
    <w:rsid w:val="005F64F8"/>
    <w:rsid w:val="005F680D"/>
    <w:rsid w:val="005F6A99"/>
    <w:rsid w:val="005F79C5"/>
    <w:rsid w:val="006014C5"/>
    <w:rsid w:val="00601B2B"/>
    <w:rsid w:val="00602252"/>
    <w:rsid w:val="006022A0"/>
    <w:rsid w:val="006023BB"/>
    <w:rsid w:val="006031C5"/>
    <w:rsid w:val="0060437F"/>
    <w:rsid w:val="00604E9A"/>
    <w:rsid w:val="006053EE"/>
    <w:rsid w:val="0060565E"/>
    <w:rsid w:val="0060585F"/>
    <w:rsid w:val="00605B35"/>
    <w:rsid w:val="00605C33"/>
    <w:rsid w:val="006074E5"/>
    <w:rsid w:val="006075E7"/>
    <w:rsid w:val="00607A8E"/>
    <w:rsid w:val="00610136"/>
    <w:rsid w:val="006109F3"/>
    <w:rsid w:val="006115DC"/>
    <w:rsid w:val="006117EC"/>
    <w:rsid w:val="006118F2"/>
    <w:rsid w:val="00611BE0"/>
    <w:rsid w:val="00613B46"/>
    <w:rsid w:val="00615BA3"/>
    <w:rsid w:val="00617522"/>
    <w:rsid w:val="00617C31"/>
    <w:rsid w:val="00617E27"/>
    <w:rsid w:val="00617E3B"/>
    <w:rsid w:val="00620104"/>
    <w:rsid w:val="00620C26"/>
    <w:rsid w:val="006217E4"/>
    <w:rsid w:val="00622ADB"/>
    <w:rsid w:val="006230B4"/>
    <w:rsid w:val="006235AE"/>
    <w:rsid w:val="00623D79"/>
    <w:rsid w:val="006245D3"/>
    <w:rsid w:val="00624987"/>
    <w:rsid w:val="00624EBD"/>
    <w:rsid w:val="00626171"/>
    <w:rsid w:val="006263AC"/>
    <w:rsid w:val="006272DE"/>
    <w:rsid w:val="0062760C"/>
    <w:rsid w:val="00630930"/>
    <w:rsid w:val="00630E75"/>
    <w:rsid w:val="00631530"/>
    <w:rsid w:val="00631F60"/>
    <w:rsid w:val="00631FEA"/>
    <w:rsid w:val="0063243B"/>
    <w:rsid w:val="0063281F"/>
    <w:rsid w:val="00632BE3"/>
    <w:rsid w:val="006333C0"/>
    <w:rsid w:val="00633FA6"/>
    <w:rsid w:val="0063510B"/>
    <w:rsid w:val="0063535E"/>
    <w:rsid w:val="006356B5"/>
    <w:rsid w:val="00635F8C"/>
    <w:rsid w:val="0063693A"/>
    <w:rsid w:val="00636D63"/>
    <w:rsid w:val="006378E8"/>
    <w:rsid w:val="00637B09"/>
    <w:rsid w:val="00637C7F"/>
    <w:rsid w:val="00642234"/>
    <w:rsid w:val="0064316F"/>
    <w:rsid w:val="00643403"/>
    <w:rsid w:val="00643F05"/>
    <w:rsid w:val="00644EC7"/>
    <w:rsid w:val="00645397"/>
    <w:rsid w:val="00645B30"/>
    <w:rsid w:val="00645E95"/>
    <w:rsid w:val="0064684F"/>
    <w:rsid w:val="006475FA"/>
    <w:rsid w:val="00647B81"/>
    <w:rsid w:val="00647EE6"/>
    <w:rsid w:val="00650528"/>
    <w:rsid w:val="00650ACE"/>
    <w:rsid w:val="006516B4"/>
    <w:rsid w:val="00651879"/>
    <w:rsid w:val="00651CD3"/>
    <w:rsid w:val="00652C10"/>
    <w:rsid w:val="00652D14"/>
    <w:rsid w:val="00652DC8"/>
    <w:rsid w:val="00652F88"/>
    <w:rsid w:val="00653027"/>
    <w:rsid w:val="00654049"/>
    <w:rsid w:val="0065589C"/>
    <w:rsid w:val="006559C6"/>
    <w:rsid w:val="00655FCA"/>
    <w:rsid w:val="006564E8"/>
    <w:rsid w:val="00656690"/>
    <w:rsid w:val="00656735"/>
    <w:rsid w:val="006571AA"/>
    <w:rsid w:val="00660078"/>
    <w:rsid w:val="006606D4"/>
    <w:rsid w:val="00660FF0"/>
    <w:rsid w:val="00661323"/>
    <w:rsid w:val="0066391D"/>
    <w:rsid w:val="006640B0"/>
    <w:rsid w:val="00664A5D"/>
    <w:rsid w:val="00664F55"/>
    <w:rsid w:val="006651D8"/>
    <w:rsid w:val="00665A4D"/>
    <w:rsid w:val="00665D39"/>
    <w:rsid w:val="006673C5"/>
    <w:rsid w:val="00667B8C"/>
    <w:rsid w:val="00670208"/>
    <w:rsid w:val="00672087"/>
    <w:rsid w:val="006722C8"/>
    <w:rsid w:val="00672404"/>
    <w:rsid w:val="006725C1"/>
    <w:rsid w:val="00672F0F"/>
    <w:rsid w:val="0067437C"/>
    <w:rsid w:val="0067446B"/>
    <w:rsid w:val="00674B1E"/>
    <w:rsid w:val="00675EF9"/>
    <w:rsid w:val="00676CBF"/>
    <w:rsid w:val="006772B1"/>
    <w:rsid w:val="0068019D"/>
    <w:rsid w:val="006802C6"/>
    <w:rsid w:val="00680DC3"/>
    <w:rsid w:val="00680DD8"/>
    <w:rsid w:val="00680DFB"/>
    <w:rsid w:val="00680F22"/>
    <w:rsid w:val="00682A44"/>
    <w:rsid w:val="00682BC0"/>
    <w:rsid w:val="00682FEC"/>
    <w:rsid w:val="0068370C"/>
    <w:rsid w:val="00683DC7"/>
    <w:rsid w:val="006840E6"/>
    <w:rsid w:val="00684175"/>
    <w:rsid w:val="0068467B"/>
    <w:rsid w:val="0069029E"/>
    <w:rsid w:val="006904DF"/>
    <w:rsid w:val="00690AA2"/>
    <w:rsid w:val="00690C35"/>
    <w:rsid w:val="00690F8D"/>
    <w:rsid w:val="0069143A"/>
    <w:rsid w:val="006920B3"/>
    <w:rsid w:val="00693307"/>
    <w:rsid w:val="00693A3A"/>
    <w:rsid w:val="00694595"/>
    <w:rsid w:val="00695B6E"/>
    <w:rsid w:val="00696070"/>
    <w:rsid w:val="00696799"/>
    <w:rsid w:val="00697CAF"/>
    <w:rsid w:val="006A0E0F"/>
    <w:rsid w:val="006A1227"/>
    <w:rsid w:val="006A1CF9"/>
    <w:rsid w:val="006A3C08"/>
    <w:rsid w:val="006A50B8"/>
    <w:rsid w:val="006A54B5"/>
    <w:rsid w:val="006A572B"/>
    <w:rsid w:val="006A5B24"/>
    <w:rsid w:val="006A5FC5"/>
    <w:rsid w:val="006A65D0"/>
    <w:rsid w:val="006A6920"/>
    <w:rsid w:val="006A7C22"/>
    <w:rsid w:val="006A7E29"/>
    <w:rsid w:val="006B020B"/>
    <w:rsid w:val="006B08B5"/>
    <w:rsid w:val="006B0A58"/>
    <w:rsid w:val="006B0D06"/>
    <w:rsid w:val="006B179D"/>
    <w:rsid w:val="006B2A8B"/>
    <w:rsid w:val="006B2CC6"/>
    <w:rsid w:val="006B30BD"/>
    <w:rsid w:val="006B340D"/>
    <w:rsid w:val="006B38A8"/>
    <w:rsid w:val="006B3EAB"/>
    <w:rsid w:val="006B4DAC"/>
    <w:rsid w:val="006B6740"/>
    <w:rsid w:val="006B6A05"/>
    <w:rsid w:val="006B7728"/>
    <w:rsid w:val="006C03F9"/>
    <w:rsid w:val="006C0624"/>
    <w:rsid w:val="006C0D9B"/>
    <w:rsid w:val="006C1329"/>
    <w:rsid w:val="006C148D"/>
    <w:rsid w:val="006C1DA3"/>
    <w:rsid w:val="006C292D"/>
    <w:rsid w:val="006C2DF5"/>
    <w:rsid w:val="006C32E9"/>
    <w:rsid w:val="006C38A4"/>
    <w:rsid w:val="006C44F2"/>
    <w:rsid w:val="006C480B"/>
    <w:rsid w:val="006C58B0"/>
    <w:rsid w:val="006C5906"/>
    <w:rsid w:val="006C5B91"/>
    <w:rsid w:val="006C5BD6"/>
    <w:rsid w:val="006C7B7F"/>
    <w:rsid w:val="006D0357"/>
    <w:rsid w:val="006D06F7"/>
    <w:rsid w:val="006D0DD6"/>
    <w:rsid w:val="006D1A95"/>
    <w:rsid w:val="006D2196"/>
    <w:rsid w:val="006D26ED"/>
    <w:rsid w:val="006D2A75"/>
    <w:rsid w:val="006D2B53"/>
    <w:rsid w:val="006D3B61"/>
    <w:rsid w:val="006D3BAA"/>
    <w:rsid w:val="006D4A37"/>
    <w:rsid w:val="006D5578"/>
    <w:rsid w:val="006D6F8A"/>
    <w:rsid w:val="006D75D4"/>
    <w:rsid w:val="006D7648"/>
    <w:rsid w:val="006D7964"/>
    <w:rsid w:val="006D7A72"/>
    <w:rsid w:val="006D7EE4"/>
    <w:rsid w:val="006E04EF"/>
    <w:rsid w:val="006E06EB"/>
    <w:rsid w:val="006E0A44"/>
    <w:rsid w:val="006E0B53"/>
    <w:rsid w:val="006E0F42"/>
    <w:rsid w:val="006E1106"/>
    <w:rsid w:val="006E16FC"/>
    <w:rsid w:val="006E1856"/>
    <w:rsid w:val="006E2083"/>
    <w:rsid w:val="006E2492"/>
    <w:rsid w:val="006E2C81"/>
    <w:rsid w:val="006E2EDD"/>
    <w:rsid w:val="006E3F30"/>
    <w:rsid w:val="006E4A97"/>
    <w:rsid w:val="006E52F1"/>
    <w:rsid w:val="006E5812"/>
    <w:rsid w:val="006E6A7D"/>
    <w:rsid w:val="006E6E45"/>
    <w:rsid w:val="006E7934"/>
    <w:rsid w:val="006F082D"/>
    <w:rsid w:val="006F086F"/>
    <w:rsid w:val="006F1428"/>
    <w:rsid w:val="006F1521"/>
    <w:rsid w:val="006F2877"/>
    <w:rsid w:val="006F2B5F"/>
    <w:rsid w:val="006F3D92"/>
    <w:rsid w:val="006F47E4"/>
    <w:rsid w:val="006F5091"/>
    <w:rsid w:val="006F5309"/>
    <w:rsid w:val="006F6C48"/>
    <w:rsid w:val="006F7030"/>
    <w:rsid w:val="006F79E5"/>
    <w:rsid w:val="006F7D2E"/>
    <w:rsid w:val="007000EC"/>
    <w:rsid w:val="007006D2"/>
    <w:rsid w:val="00701517"/>
    <w:rsid w:val="00701566"/>
    <w:rsid w:val="0070163C"/>
    <w:rsid w:val="00701784"/>
    <w:rsid w:val="0070209C"/>
    <w:rsid w:val="0070287F"/>
    <w:rsid w:val="00702891"/>
    <w:rsid w:val="00702955"/>
    <w:rsid w:val="00703213"/>
    <w:rsid w:val="0070321B"/>
    <w:rsid w:val="007038C7"/>
    <w:rsid w:val="00703B97"/>
    <w:rsid w:val="00703BD2"/>
    <w:rsid w:val="007040A5"/>
    <w:rsid w:val="0070608A"/>
    <w:rsid w:val="007060B7"/>
    <w:rsid w:val="00706B61"/>
    <w:rsid w:val="00707613"/>
    <w:rsid w:val="007077F3"/>
    <w:rsid w:val="00707A31"/>
    <w:rsid w:val="007110A4"/>
    <w:rsid w:val="00711EDE"/>
    <w:rsid w:val="00712A89"/>
    <w:rsid w:val="00713521"/>
    <w:rsid w:val="00713D41"/>
    <w:rsid w:val="00713DAE"/>
    <w:rsid w:val="007143AB"/>
    <w:rsid w:val="007147CA"/>
    <w:rsid w:val="00714BB5"/>
    <w:rsid w:val="007151DE"/>
    <w:rsid w:val="007156D7"/>
    <w:rsid w:val="0071590B"/>
    <w:rsid w:val="00715B05"/>
    <w:rsid w:val="00715F78"/>
    <w:rsid w:val="007161C4"/>
    <w:rsid w:val="007174AF"/>
    <w:rsid w:val="00717D5F"/>
    <w:rsid w:val="0072025B"/>
    <w:rsid w:val="00721326"/>
    <w:rsid w:val="00721D41"/>
    <w:rsid w:val="007223CC"/>
    <w:rsid w:val="0072248F"/>
    <w:rsid w:val="00722F57"/>
    <w:rsid w:val="00723A55"/>
    <w:rsid w:val="0072423D"/>
    <w:rsid w:val="00724778"/>
    <w:rsid w:val="00724D45"/>
    <w:rsid w:val="0072510C"/>
    <w:rsid w:val="00725D33"/>
    <w:rsid w:val="00725EF6"/>
    <w:rsid w:val="00726E57"/>
    <w:rsid w:val="0072772F"/>
    <w:rsid w:val="00730B1E"/>
    <w:rsid w:val="00730FF0"/>
    <w:rsid w:val="00732C11"/>
    <w:rsid w:val="007331F0"/>
    <w:rsid w:val="007334C1"/>
    <w:rsid w:val="00733F6D"/>
    <w:rsid w:val="00734C97"/>
    <w:rsid w:val="00735009"/>
    <w:rsid w:val="00735172"/>
    <w:rsid w:val="007353C8"/>
    <w:rsid w:val="00735A4A"/>
    <w:rsid w:val="00736310"/>
    <w:rsid w:val="00736496"/>
    <w:rsid w:val="00736B71"/>
    <w:rsid w:val="00737151"/>
    <w:rsid w:val="00737B7C"/>
    <w:rsid w:val="007403BF"/>
    <w:rsid w:val="00740791"/>
    <w:rsid w:val="00740993"/>
    <w:rsid w:val="007409C3"/>
    <w:rsid w:val="00740EE8"/>
    <w:rsid w:val="0074230E"/>
    <w:rsid w:val="00742439"/>
    <w:rsid w:val="00743682"/>
    <w:rsid w:val="00743DDB"/>
    <w:rsid w:val="00743FC2"/>
    <w:rsid w:val="0074495C"/>
    <w:rsid w:val="00744C27"/>
    <w:rsid w:val="00745150"/>
    <w:rsid w:val="00745755"/>
    <w:rsid w:val="00745C5B"/>
    <w:rsid w:val="00745D52"/>
    <w:rsid w:val="00745E47"/>
    <w:rsid w:val="007461EE"/>
    <w:rsid w:val="00746BCC"/>
    <w:rsid w:val="00746ED4"/>
    <w:rsid w:val="007473C2"/>
    <w:rsid w:val="00747AD0"/>
    <w:rsid w:val="0075043C"/>
    <w:rsid w:val="0075046B"/>
    <w:rsid w:val="007506BB"/>
    <w:rsid w:val="00751B1B"/>
    <w:rsid w:val="00751E3C"/>
    <w:rsid w:val="00753B34"/>
    <w:rsid w:val="00754809"/>
    <w:rsid w:val="00754E18"/>
    <w:rsid w:val="00757985"/>
    <w:rsid w:val="007601C9"/>
    <w:rsid w:val="00760871"/>
    <w:rsid w:val="00760938"/>
    <w:rsid w:val="00761351"/>
    <w:rsid w:val="007629E4"/>
    <w:rsid w:val="00762C2E"/>
    <w:rsid w:val="00763C17"/>
    <w:rsid w:val="00764724"/>
    <w:rsid w:val="00764899"/>
    <w:rsid w:val="007650DF"/>
    <w:rsid w:val="007652AD"/>
    <w:rsid w:val="007660D1"/>
    <w:rsid w:val="00767220"/>
    <w:rsid w:val="00767A93"/>
    <w:rsid w:val="007703A2"/>
    <w:rsid w:val="007706B7"/>
    <w:rsid w:val="007713D5"/>
    <w:rsid w:val="00771625"/>
    <w:rsid w:val="00771E5A"/>
    <w:rsid w:val="00772A2D"/>
    <w:rsid w:val="00773116"/>
    <w:rsid w:val="007735CD"/>
    <w:rsid w:val="00774A3E"/>
    <w:rsid w:val="00774ECB"/>
    <w:rsid w:val="00775303"/>
    <w:rsid w:val="00775309"/>
    <w:rsid w:val="00775DD9"/>
    <w:rsid w:val="00776BD7"/>
    <w:rsid w:val="00777217"/>
    <w:rsid w:val="00777D5E"/>
    <w:rsid w:val="00780503"/>
    <w:rsid w:val="00780547"/>
    <w:rsid w:val="00780641"/>
    <w:rsid w:val="00780753"/>
    <w:rsid w:val="0078177F"/>
    <w:rsid w:val="00781ACF"/>
    <w:rsid w:val="00782DAB"/>
    <w:rsid w:val="00782E57"/>
    <w:rsid w:val="00784847"/>
    <w:rsid w:val="00784A32"/>
    <w:rsid w:val="007851A3"/>
    <w:rsid w:val="007852F5"/>
    <w:rsid w:val="00785460"/>
    <w:rsid w:val="00785A17"/>
    <w:rsid w:val="00785FEA"/>
    <w:rsid w:val="007864DA"/>
    <w:rsid w:val="00786C2D"/>
    <w:rsid w:val="00786D66"/>
    <w:rsid w:val="007900F2"/>
    <w:rsid w:val="00791194"/>
    <w:rsid w:val="007917B0"/>
    <w:rsid w:val="007924C2"/>
    <w:rsid w:val="007925FB"/>
    <w:rsid w:val="007933D5"/>
    <w:rsid w:val="0079387C"/>
    <w:rsid w:val="0079433A"/>
    <w:rsid w:val="007950D3"/>
    <w:rsid w:val="007954DC"/>
    <w:rsid w:val="00796A16"/>
    <w:rsid w:val="00796A58"/>
    <w:rsid w:val="007973D6"/>
    <w:rsid w:val="00797F4C"/>
    <w:rsid w:val="007A1027"/>
    <w:rsid w:val="007A1766"/>
    <w:rsid w:val="007A214B"/>
    <w:rsid w:val="007A32EF"/>
    <w:rsid w:val="007A33B3"/>
    <w:rsid w:val="007A5699"/>
    <w:rsid w:val="007A5C74"/>
    <w:rsid w:val="007A5CF9"/>
    <w:rsid w:val="007A7309"/>
    <w:rsid w:val="007B03CF"/>
    <w:rsid w:val="007B0B1C"/>
    <w:rsid w:val="007B1005"/>
    <w:rsid w:val="007B13E1"/>
    <w:rsid w:val="007B1A36"/>
    <w:rsid w:val="007B1FCA"/>
    <w:rsid w:val="007B25E6"/>
    <w:rsid w:val="007B27FE"/>
    <w:rsid w:val="007B2D16"/>
    <w:rsid w:val="007B40DA"/>
    <w:rsid w:val="007B47AC"/>
    <w:rsid w:val="007B55FA"/>
    <w:rsid w:val="007B592F"/>
    <w:rsid w:val="007B5E00"/>
    <w:rsid w:val="007B77D2"/>
    <w:rsid w:val="007B7D8C"/>
    <w:rsid w:val="007C009E"/>
    <w:rsid w:val="007C135F"/>
    <w:rsid w:val="007C17E7"/>
    <w:rsid w:val="007C1B13"/>
    <w:rsid w:val="007C22D3"/>
    <w:rsid w:val="007C29B0"/>
    <w:rsid w:val="007C36C7"/>
    <w:rsid w:val="007C39A4"/>
    <w:rsid w:val="007C3F79"/>
    <w:rsid w:val="007C3FD9"/>
    <w:rsid w:val="007C4380"/>
    <w:rsid w:val="007C5299"/>
    <w:rsid w:val="007C66DC"/>
    <w:rsid w:val="007D08AA"/>
    <w:rsid w:val="007D0CFA"/>
    <w:rsid w:val="007D0F63"/>
    <w:rsid w:val="007D1860"/>
    <w:rsid w:val="007D1A9D"/>
    <w:rsid w:val="007D1E58"/>
    <w:rsid w:val="007D2401"/>
    <w:rsid w:val="007D2E01"/>
    <w:rsid w:val="007D42C6"/>
    <w:rsid w:val="007D46AB"/>
    <w:rsid w:val="007D46C7"/>
    <w:rsid w:val="007D4A31"/>
    <w:rsid w:val="007D53FE"/>
    <w:rsid w:val="007D5CB3"/>
    <w:rsid w:val="007D6029"/>
    <w:rsid w:val="007D6243"/>
    <w:rsid w:val="007D6FC7"/>
    <w:rsid w:val="007D7105"/>
    <w:rsid w:val="007D76BF"/>
    <w:rsid w:val="007D7D6E"/>
    <w:rsid w:val="007E0613"/>
    <w:rsid w:val="007E0FEF"/>
    <w:rsid w:val="007E1A7A"/>
    <w:rsid w:val="007E1D6D"/>
    <w:rsid w:val="007E2370"/>
    <w:rsid w:val="007E2956"/>
    <w:rsid w:val="007E336E"/>
    <w:rsid w:val="007E39BD"/>
    <w:rsid w:val="007E47F5"/>
    <w:rsid w:val="007E6404"/>
    <w:rsid w:val="007E6C3D"/>
    <w:rsid w:val="007E784E"/>
    <w:rsid w:val="007E7A37"/>
    <w:rsid w:val="007F18D4"/>
    <w:rsid w:val="007F1E01"/>
    <w:rsid w:val="007F2CCA"/>
    <w:rsid w:val="007F4F67"/>
    <w:rsid w:val="007F5836"/>
    <w:rsid w:val="007F5AE0"/>
    <w:rsid w:val="007F74B2"/>
    <w:rsid w:val="007F77E7"/>
    <w:rsid w:val="007F7E0F"/>
    <w:rsid w:val="00800210"/>
    <w:rsid w:val="008002A1"/>
    <w:rsid w:val="00800940"/>
    <w:rsid w:val="00800B2A"/>
    <w:rsid w:val="0080133C"/>
    <w:rsid w:val="00801AE5"/>
    <w:rsid w:val="00802696"/>
    <w:rsid w:val="00802BE1"/>
    <w:rsid w:val="00802DCC"/>
    <w:rsid w:val="008031CF"/>
    <w:rsid w:val="00803546"/>
    <w:rsid w:val="008038C3"/>
    <w:rsid w:val="00804303"/>
    <w:rsid w:val="00804BFE"/>
    <w:rsid w:val="00804D53"/>
    <w:rsid w:val="0080515F"/>
    <w:rsid w:val="00805CA2"/>
    <w:rsid w:val="00806345"/>
    <w:rsid w:val="00806E09"/>
    <w:rsid w:val="0080723E"/>
    <w:rsid w:val="008111E5"/>
    <w:rsid w:val="00811825"/>
    <w:rsid w:val="00811FFB"/>
    <w:rsid w:val="00812174"/>
    <w:rsid w:val="0081348F"/>
    <w:rsid w:val="00813501"/>
    <w:rsid w:val="00813A1A"/>
    <w:rsid w:val="008148CE"/>
    <w:rsid w:val="00815D1C"/>
    <w:rsid w:val="00816690"/>
    <w:rsid w:val="00816E72"/>
    <w:rsid w:val="00820714"/>
    <w:rsid w:val="00820B3F"/>
    <w:rsid w:val="00820E0B"/>
    <w:rsid w:val="008210B5"/>
    <w:rsid w:val="00821E8F"/>
    <w:rsid w:val="008239DD"/>
    <w:rsid w:val="0082442F"/>
    <w:rsid w:val="0082489D"/>
    <w:rsid w:val="00825707"/>
    <w:rsid w:val="00825A07"/>
    <w:rsid w:val="00825F2E"/>
    <w:rsid w:val="008265B4"/>
    <w:rsid w:val="0082794A"/>
    <w:rsid w:val="00827AC1"/>
    <w:rsid w:val="00830797"/>
    <w:rsid w:val="00830DCF"/>
    <w:rsid w:val="0083339A"/>
    <w:rsid w:val="00833B5A"/>
    <w:rsid w:val="00833D88"/>
    <w:rsid w:val="00834822"/>
    <w:rsid w:val="008350B5"/>
    <w:rsid w:val="0083516A"/>
    <w:rsid w:val="00835746"/>
    <w:rsid w:val="00835F21"/>
    <w:rsid w:val="00840309"/>
    <w:rsid w:val="00840404"/>
    <w:rsid w:val="008411AA"/>
    <w:rsid w:val="00841682"/>
    <w:rsid w:val="00841AB6"/>
    <w:rsid w:val="008424A4"/>
    <w:rsid w:val="00842734"/>
    <w:rsid w:val="00845110"/>
    <w:rsid w:val="00845738"/>
    <w:rsid w:val="0084590F"/>
    <w:rsid w:val="00845C53"/>
    <w:rsid w:val="008473EF"/>
    <w:rsid w:val="00847839"/>
    <w:rsid w:val="00851F95"/>
    <w:rsid w:val="00852F65"/>
    <w:rsid w:val="00853179"/>
    <w:rsid w:val="00853A05"/>
    <w:rsid w:val="00854285"/>
    <w:rsid w:val="00854816"/>
    <w:rsid w:val="008549C6"/>
    <w:rsid w:val="00854E45"/>
    <w:rsid w:val="00854EAB"/>
    <w:rsid w:val="0085557F"/>
    <w:rsid w:val="008555C2"/>
    <w:rsid w:val="00856156"/>
    <w:rsid w:val="008569F4"/>
    <w:rsid w:val="0086034C"/>
    <w:rsid w:val="008614CF"/>
    <w:rsid w:val="00861B3F"/>
    <w:rsid w:val="00862049"/>
    <w:rsid w:val="00863E7D"/>
    <w:rsid w:val="00864A1D"/>
    <w:rsid w:val="00864CCE"/>
    <w:rsid w:val="0086738B"/>
    <w:rsid w:val="008679D5"/>
    <w:rsid w:val="00867EDE"/>
    <w:rsid w:val="008701E0"/>
    <w:rsid w:val="008707D1"/>
    <w:rsid w:val="00870DB8"/>
    <w:rsid w:val="00870EDC"/>
    <w:rsid w:val="00871072"/>
    <w:rsid w:val="00873149"/>
    <w:rsid w:val="00873E45"/>
    <w:rsid w:val="0087636A"/>
    <w:rsid w:val="00876800"/>
    <w:rsid w:val="00877001"/>
    <w:rsid w:val="00877E59"/>
    <w:rsid w:val="008801E9"/>
    <w:rsid w:val="008807B4"/>
    <w:rsid w:val="0088085B"/>
    <w:rsid w:val="00880D67"/>
    <w:rsid w:val="00880F05"/>
    <w:rsid w:val="00881063"/>
    <w:rsid w:val="00882106"/>
    <w:rsid w:val="008827BA"/>
    <w:rsid w:val="0088349B"/>
    <w:rsid w:val="008841E9"/>
    <w:rsid w:val="00884C0D"/>
    <w:rsid w:val="00885602"/>
    <w:rsid w:val="00887007"/>
    <w:rsid w:val="00892C26"/>
    <w:rsid w:val="00892F3E"/>
    <w:rsid w:val="00893399"/>
    <w:rsid w:val="00893919"/>
    <w:rsid w:val="00893E23"/>
    <w:rsid w:val="00894040"/>
    <w:rsid w:val="00894293"/>
    <w:rsid w:val="00894380"/>
    <w:rsid w:val="00894BC7"/>
    <w:rsid w:val="008957C2"/>
    <w:rsid w:val="00897130"/>
    <w:rsid w:val="008973DB"/>
    <w:rsid w:val="008975AD"/>
    <w:rsid w:val="0089780F"/>
    <w:rsid w:val="008A042B"/>
    <w:rsid w:val="008A0C24"/>
    <w:rsid w:val="008A12CF"/>
    <w:rsid w:val="008A16F1"/>
    <w:rsid w:val="008A191D"/>
    <w:rsid w:val="008A2405"/>
    <w:rsid w:val="008A2544"/>
    <w:rsid w:val="008A29D4"/>
    <w:rsid w:val="008A2EC7"/>
    <w:rsid w:val="008A3AAF"/>
    <w:rsid w:val="008A3CCB"/>
    <w:rsid w:val="008A42C6"/>
    <w:rsid w:val="008A4A6D"/>
    <w:rsid w:val="008A4EDC"/>
    <w:rsid w:val="008A5368"/>
    <w:rsid w:val="008A5DE1"/>
    <w:rsid w:val="008A7199"/>
    <w:rsid w:val="008A7679"/>
    <w:rsid w:val="008A7E97"/>
    <w:rsid w:val="008B006F"/>
    <w:rsid w:val="008B1F16"/>
    <w:rsid w:val="008B3A15"/>
    <w:rsid w:val="008B3B95"/>
    <w:rsid w:val="008B43B8"/>
    <w:rsid w:val="008B4494"/>
    <w:rsid w:val="008B4E8F"/>
    <w:rsid w:val="008B593B"/>
    <w:rsid w:val="008B63D3"/>
    <w:rsid w:val="008B68BB"/>
    <w:rsid w:val="008C0302"/>
    <w:rsid w:val="008C05DF"/>
    <w:rsid w:val="008C280F"/>
    <w:rsid w:val="008C28A9"/>
    <w:rsid w:val="008C2AFC"/>
    <w:rsid w:val="008C2E1B"/>
    <w:rsid w:val="008C362E"/>
    <w:rsid w:val="008C396D"/>
    <w:rsid w:val="008C4189"/>
    <w:rsid w:val="008C4CF8"/>
    <w:rsid w:val="008C4D71"/>
    <w:rsid w:val="008C51AB"/>
    <w:rsid w:val="008C5564"/>
    <w:rsid w:val="008C5904"/>
    <w:rsid w:val="008C5CED"/>
    <w:rsid w:val="008C6A58"/>
    <w:rsid w:val="008C7CC8"/>
    <w:rsid w:val="008D00E5"/>
    <w:rsid w:val="008D02B7"/>
    <w:rsid w:val="008D0A32"/>
    <w:rsid w:val="008D0EB1"/>
    <w:rsid w:val="008D1302"/>
    <w:rsid w:val="008D2467"/>
    <w:rsid w:val="008D254E"/>
    <w:rsid w:val="008D2557"/>
    <w:rsid w:val="008D27FC"/>
    <w:rsid w:val="008D28D9"/>
    <w:rsid w:val="008D3971"/>
    <w:rsid w:val="008D3CA5"/>
    <w:rsid w:val="008D4026"/>
    <w:rsid w:val="008D4B64"/>
    <w:rsid w:val="008D5298"/>
    <w:rsid w:val="008D5C67"/>
    <w:rsid w:val="008D6E9B"/>
    <w:rsid w:val="008D7152"/>
    <w:rsid w:val="008D772E"/>
    <w:rsid w:val="008E0515"/>
    <w:rsid w:val="008E07F0"/>
    <w:rsid w:val="008E09DA"/>
    <w:rsid w:val="008E0C93"/>
    <w:rsid w:val="008E1C0D"/>
    <w:rsid w:val="008E26C0"/>
    <w:rsid w:val="008E3065"/>
    <w:rsid w:val="008E348B"/>
    <w:rsid w:val="008E3BC1"/>
    <w:rsid w:val="008E51EA"/>
    <w:rsid w:val="008E5B52"/>
    <w:rsid w:val="008E5E80"/>
    <w:rsid w:val="008E6039"/>
    <w:rsid w:val="008E6241"/>
    <w:rsid w:val="008E6281"/>
    <w:rsid w:val="008E699A"/>
    <w:rsid w:val="008E6BBE"/>
    <w:rsid w:val="008F050B"/>
    <w:rsid w:val="008F1095"/>
    <w:rsid w:val="008F185D"/>
    <w:rsid w:val="008F196B"/>
    <w:rsid w:val="008F296B"/>
    <w:rsid w:val="008F417A"/>
    <w:rsid w:val="008F5C1D"/>
    <w:rsid w:val="008F5FD4"/>
    <w:rsid w:val="008F6055"/>
    <w:rsid w:val="008F72D7"/>
    <w:rsid w:val="008F7734"/>
    <w:rsid w:val="008F7D83"/>
    <w:rsid w:val="008F7EFA"/>
    <w:rsid w:val="008F7F16"/>
    <w:rsid w:val="0090047C"/>
    <w:rsid w:val="0090048E"/>
    <w:rsid w:val="009007DC"/>
    <w:rsid w:val="0090087D"/>
    <w:rsid w:val="00900BC9"/>
    <w:rsid w:val="00901066"/>
    <w:rsid w:val="00902F0F"/>
    <w:rsid w:val="009030B8"/>
    <w:rsid w:val="0090321C"/>
    <w:rsid w:val="009033D3"/>
    <w:rsid w:val="0090364E"/>
    <w:rsid w:val="00903683"/>
    <w:rsid w:val="009065B2"/>
    <w:rsid w:val="00907BDF"/>
    <w:rsid w:val="00907CB2"/>
    <w:rsid w:val="009100C2"/>
    <w:rsid w:val="00910313"/>
    <w:rsid w:val="0091162A"/>
    <w:rsid w:val="00912415"/>
    <w:rsid w:val="00912B88"/>
    <w:rsid w:val="00912C9B"/>
    <w:rsid w:val="00912D77"/>
    <w:rsid w:val="00913C64"/>
    <w:rsid w:val="00913CCF"/>
    <w:rsid w:val="0091421D"/>
    <w:rsid w:val="0091444E"/>
    <w:rsid w:val="00914783"/>
    <w:rsid w:val="00915185"/>
    <w:rsid w:val="009157E5"/>
    <w:rsid w:val="00916221"/>
    <w:rsid w:val="00917056"/>
    <w:rsid w:val="009170F4"/>
    <w:rsid w:val="00917D04"/>
    <w:rsid w:val="00920BC0"/>
    <w:rsid w:val="00920BC6"/>
    <w:rsid w:val="009214A7"/>
    <w:rsid w:val="00921858"/>
    <w:rsid w:val="00921AF1"/>
    <w:rsid w:val="00922478"/>
    <w:rsid w:val="00922C7E"/>
    <w:rsid w:val="00923206"/>
    <w:rsid w:val="0092398D"/>
    <w:rsid w:val="009241E8"/>
    <w:rsid w:val="00926ADD"/>
    <w:rsid w:val="00926B02"/>
    <w:rsid w:val="00927F00"/>
    <w:rsid w:val="00930547"/>
    <w:rsid w:val="009309BB"/>
    <w:rsid w:val="00930D52"/>
    <w:rsid w:val="00931C73"/>
    <w:rsid w:val="009329CE"/>
    <w:rsid w:val="0093314D"/>
    <w:rsid w:val="00935237"/>
    <w:rsid w:val="0093570D"/>
    <w:rsid w:val="0093587D"/>
    <w:rsid w:val="009362A4"/>
    <w:rsid w:val="00937B68"/>
    <w:rsid w:val="00940845"/>
    <w:rsid w:val="00941BF5"/>
    <w:rsid w:val="00942079"/>
    <w:rsid w:val="00942879"/>
    <w:rsid w:val="0094332C"/>
    <w:rsid w:val="00943633"/>
    <w:rsid w:val="00943C6B"/>
    <w:rsid w:val="00943EC8"/>
    <w:rsid w:val="00944A4D"/>
    <w:rsid w:val="00944E46"/>
    <w:rsid w:val="00945ECE"/>
    <w:rsid w:val="00947F2D"/>
    <w:rsid w:val="00950169"/>
    <w:rsid w:val="00950E13"/>
    <w:rsid w:val="009511CB"/>
    <w:rsid w:val="009513FE"/>
    <w:rsid w:val="00951A3C"/>
    <w:rsid w:val="00951BE8"/>
    <w:rsid w:val="00952434"/>
    <w:rsid w:val="0095392E"/>
    <w:rsid w:val="009539D0"/>
    <w:rsid w:val="009540DE"/>
    <w:rsid w:val="009544B5"/>
    <w:rsid w:val="009546E7"/>
    <w:rsid w:val="00954885"/>
    <w:rsid w:val="00955E0F"/>
    <w:rsid w:val="0095621B"/>
    <w:rsid w:val="00956977"/>
    <w:rsid w:val="0095757A"/>
    <w:rsid w:val="009578E7"/>
    <w:rsid w:val="00960135"/>
    <w:rsid w:val="00962DFF"/>
    <w:rsid w:val="009637A7"/>
    <w:rsid w:val="0096423A"/>
    <w:rsid w:val="0096423C"/>
    <w:rsid w:val="009651BB"/>
    <w:rsid w:val="00965846"/>
    <w:rsid w:val="009666AC"/>
    <w:rsid w:val="00967D6F"/>
    <w:rsid w:val="00967E11"/>
    <w:rsid w:val="00967EBD"/>
    <w:rsid w:val="00970BB1"/>
    <w:rsid w:val="009714B4"/>
    <w:rsid w:val="009716C1"/>
    <w:rsid w:val="009728E7"/>
    <w:rsid w:val="009733F3"/>
    <w:rsid w:val="00973D73"/>
    <w:rsid w:val="0097452F"/>
    <w:rsid w:val="009746ED"/>
    <w:rsid w:val="00974E66"/>
    <w:rsid w:val="0097533A"/>
    <w:rsid w:val="0097534A"/>
    <w:rsid w:val="00976D91"/>
    <w:rsid w:val="0097720B"/>
    <w:rsid w:val="0098062D"/>
    <w:rsid w:val="00980D7A"/>
    <w:rsid w:val="009810EC"/>
    <w:rsid w:val="00981116"/>
    <w:rsid w:val="00981404"/>
    <w:rsid w:val="009817C4"/>
    <w:rsid w:val="00982680"/>
    <w:rsid w:val="009826E6"/>
    <w:rsid w:val="009827B3"/>
    <w:rsid w:val="00983958"/>
    <w:rsid w:val="00985264"/>
    <w:rsid w:val="009861AD"/>
    <w:rsid w:val="009861DF"/>
    <w:rsid w:val="009861EC"/>
    <w:rsid w:val="00986693"/>
    <w:rsid w:val="009878FA"/>
    <w:rsid w:val="00987C2A"/>
    <w:rsid w:val="0099015E"/>
    <w:rsid w:val="009908F9"/>
    <w:rsid w:val="00991BBE"/>
    <w:rsid w:val="00991E00"/>
    <w:rsid w:val="00991F47"/>
    <w:rsid w:val="009934AC"/>
    <w:rsid w:val="00993D73"/>
    <w:rsid w:val="0099401E"/>
    <w:rsid w:val="0099422A"/>
    <w:rsid w:val="00994333"/>
    <w:rsid w:val="00995419"/>
    <w:rsid w:val="00995735"/>
    <w:rsid w:val="009971A1"/>
    <w:rsid w:val="00997527"/>
    <w:rsid w:val="009975D5"/>
    <w:rsid w:val="00997F88"/>
    <w:rsid w:val="009A1143"/>
    <w:rsid w:val="009A1644"/>
    <w:rsid w:val="009A29CE"/>
    <w:rsid w:val="009A2E2F"/>
    <w:rsid w:val="009A4AE5"/>
    <w:rsid w:val="009A5B84"/>
    <w:rsid w:val="009A60F3"/>
    <w:rsid w:val="009A6318"/>
    <w:rsid w:val="009A6607"/>
    <w:rsid w:val="009A7123"/>
    <w:rsid w:val="009A7BC2"/>
    <w:rsid w:val="009B02C5"/>
    <w:rsid w:val="009B0EE9"/>
    <w:rsid w:val="009B41FE"/>
    <w:rsid w:val="009B469F"/>
    <w:rsid w:val="009B4D7A"/>
    <w:rsid w:val="009B507F"/>
    <w:rsid w:val="009B5B6F"/>
    <w:rsid w:val="009B5DE7"/>
    <w:rsid w:val="009C086E"/>
    <w:rsid w:val="009C1EAF"/>
    <w:rsid w:val="009C3251"/>
    <w:rsid w:val="009C3283"/>
    <w:rsid w:val="009C34DF"/>
    <w:rsid w:val="009C38EB"/>
    <w:rsid w:val="009C3912"/>
    <w:rsid w:val="009C3C43"/>
    <w:rsid w:val="009C3C58"/>
    <w:rsid w:val="009C40BB"/>
    <w:rsid w:val="009C4EE3"/>
    <w:rsid w:val="009D0AE7"/>
    <w:rsid w:val="009D0C99"/>
    <w:rsid w:val="009D2531"/>
    <w:rsid w:val="009D30DE"/>
    <w:rsid w:val="009D31E1"/>
    <w:rsid w:val="009D4A8D"/>
    <w:rsid w:val="009D4AE3"/>
    <w:rsid w:val="009D5048"/>
    <w:rsid w:val="009D64E5"/>
    <w:rsid w:val="009D7D80"/>
    <w:rsid w:val="009D7F98"/>
    <w:rsid w:val="009E0B21"/>
    <w:rsid w:val="009E12EA"/>
    <w:rsid w:val="009E218F"/>
    <w:rsid w:val="009E2813"/>
    <w:rsid w:val="009E2A51"/>
    <w:rsid w:val="009E2ACB"/>
    <w:rsid w:val="009E2C39"/>
    <w:rsid w:val="009E2F09"/>
    <w:rsid w:val="009E3A9D"/>
    <w:rsid w:val="009E4366"/>
    <w:rsid w:val="009E6EDE"/>
    <w:rsid w:val="009F0377"/>
    <w:rsid w:val="009F061C"/>
    <w:rsid w:val="009F1691"/>
    <w:rsid w:val="009F1F8D"/>
    <w:rsid w:val="009F2EE8"/>
    <w:rsid w:val="009F355B"/>
    <w:rsid w:val="009F4983"/>
    <w:rsid w:val="009F4AED"/>
    <w:rsid w:val="009F70AC"/>
    <w:rsid w:val="009F767C"/>
    <w:rsid w:val="00A00008"/>
    <w:rsid w:val="00A002D6"/>
    <w:rsid w:val="00A002E2"/>
    <w:rsid w:val="00A005B2"/>
    <w:rsid w:val="00A01ED7"/>
    <w:rsid w:val="00A02DD7"/>
    <w:rsid w:val="00A032DE"/>
    <w:rsid w:val="00A040C3"/>
    <w:rsid w:val="00A04AE6"/>
    <w:rsid w:val="00A04F43"/>
    <w:rsid w:val="00A0577D"/>
    <w:rsid w:val="00A060F6"/>
    <w:rsid w:val="00A0641D"/>
    <w:rsid w:val="00A0673A"/>
    <w:rsid w:val="00A110FC"/>
    <w:rsid w:val="00A11A89"/>
    <w:rsid w:val="00A11F06"/>
    <w:rsid w:val="00A121EF"/>
    <w:rsid w:val="00A12DF0"/>
    <w:rsid w:val="00A138C8"/>
    <w:rsid w:val="00A13C11"/>
    <w:rsid w:val="00A1447C"/>
    <w:rsid w:val="00A14695"/>
    <w:rsid w:val="00A14FE2"/>
    <w:rsid w:val="00A152EA"/>
    <w:rsid w:val="00A15304"/>
    <w:rsid w:val="00A15407"/>
    <w:rsid w:val="00A156FD"/>
    <w:rsid w:val="00A16257"/>
    <w:rsid w:val="00A20438"/>
    <w:rsid w:val="00A2063D"/>
    <w:rsid w:val="00A20B8B"/>
    <w:rsid w:val="00A21A08"/>
    <w:rsid w:val="00A2209B"/>
    <w:rsid w:val="00A236B5"/>
    <w:rsid w:val="00A23895"/>
    <w:rsid w:val="00A239C1"/>
    <w:rsid w:val="00A23A41"/>
    <w:rsid w:val="00A23E27"/>
    <w:rsid w:val="00A246DB"/>
    <w:rsid w:val="00A257D3"/>
    <w:rsid w:val="00A25A0A"/>
    <w:rsid w:val="00A263E2"/>
    <w:rsid w:val="00A26842"/>
    <w:rsid w:val="00A274D4"/>
    <w:rsid w:val="00A27AD1"/>
    <w:rsid w:val="00A31571"/>
    <w:rsid w:val="00A31ACC"/>
    <w:rsid w:val="00A3286D"/>
    <w:rsid w:val="00A33047"/>
    <w:rsid w:val="00A330A4"/>
    <w:rsid w:val="00A35113"/>
    <w:rsid w:val="00A35D52"/>
    <w:rsid w:val="00A36028"/>
    <w:rsid w:val="00A36C0A"/>
    <w:rsid w:val="00A36D85"/>
    <w:rsid w:val="00A375D5"/>
    <w:rsid w:val="00A37B0B"/>
    <w:rsid w:val="00A37D34"/>
    <w:rsid w:val="00A37F55"/>
    <w:rsid w:val="00A4028B"/>
    <w:rsid w:val="00A403C6"/>
    <w:rsid w:val="00A409D2"/>
    <w:rsid w:val="00A40D8F"/>
    <w:rsid w:val="00A419E0"/>
    <w:rsid w:val="00A42C7A"/>
    <w:rsid w:val="00A43A48"/>
    <w:rsid w:val="00A43B0F"/>
    <w:rsid w:val="00A460E5"/>
    <w:rsid w:val="00A477FA"/>
    <w:rsid w:val="00A47B65"/>
    <w:rsid w:val="00A500CB"/>
    <w:rsid w:val="00A50CE7"/>
    <w:rsid w:val="00A50E0C"/>
    <w:rsid w:val="00A519F6"/>
    <w:rsid w:val="00A526D4"/>
    <w:rsid w:val="00A537F3"/>
    <w:rsid w:val="00A54A18"/>
    <w:rsid w:val="00A55DB7"/>
    <w:rsid w:val="00A56545"/>
    <w:rsid w:val="00A56A8F"/>
    <w:rsid w:val="00A57489"/>
    <w:rsid w:val="00A576F4"/>
    <w:rsid w:val="00A577A6"/>
    <w:rsid w:val="00A578D2"/>
    <w:rsid w:val="00A57C99"/>
    <w:rsid w:val="00A60C35"/>
    <w:rsid w:val="00A61418"/>
    <w:rsid w:val="00A6209C"/>
    <w:rsid w:val="00A6298E"/>
    <w:rsid w:val="00A62C7B"/>
    <w:rsid w:val="00A6431F"/>
    <w:rsid w:val="00A655D4"/>
    <w:rsid w:val="00A65F14"/>
    <w:rsid w:val="00A6624D"/>
    <w:rsid w:val="00A66B8C"/>
    <w:rsid w:val="00A66BB4"/>
    <w:rsid w:val="00A67296"/>
    <w:rsid w:val="00A67811"/>
    <w:rsid w:val="00A70261"/>
    <w:rsid w:val="00A7188E"/>
    <w:rsid w:val="00A726B6"/>
    <w:rsid w:val="00A72853"/>
    <w:rsid w:val="00A72BD8"/>
    <w:rsid w:val="00A74807"/>
    <w:rsid w:val="00A7597E"/>
    <w:rsid w:val="00A75AF7"/>
    <w:rsid w:val="00A76096"/>
    <w:rsid w:val="00A766CE"/>
    <w:rsid w:val="00A767B2"/>
    <w:rsid w:val="00A7697F"/>
    <w:rsid w:val="00A76E76"/>
    <w:rsid w:val="00A76FE3"/>
    <w:rsid w:val="00A77620"/>
    <w:rsid w:val="00A77835"/>
    <w:rsid w:val="00A80524"/>
    <w:rsid w:val="00A807A1"/>
    <w:rsid w:val="00A80F48"/>
    <w:rsid w:val="00A81F0D"/>
    <w:rsid w:val="00A820C7"/>
    <w:rsid w:val="00A827D6"/>
    <w:rsid w:val="00A82A92"/>
    <w:rsid w:val="00A82FDE"/>
    <w:rsid w:val="00A83574"/>
    <w:rsid w:val="00A839A6"/>
    <w:rsid w:val="00A83B88"/>
    <w:rsid w:val="00A854F2"/>
    <w:rsid w:val="00A87630"/>
    <w:rsid w:val="00A8790A"/>
    <w:rsid w:val="00A87F9F"/>
    <w:rsid w:val="00A90861"/>
    <w:rsid w:val="00A921B1"/>
    <w:rsid w:val="00A92929"/>
    <w:rsid w:val="00A92CEA"/>
    <w:rsid w:val="00A92FBD"/>
    <w:rsid w:val="00A93E3B"/>
    <w:rsid w:val="00A94573"/>
    <w:rsid w:val="00A946EE"/>
    <w:rsid w:val="00A9569B"/>
    <w:rsid w:val="00A95978"/>
    <w:rsid w:val="00A95D24"/>
    <w:rsid w:val="00A964B2"/>
    <w:rsid w:val="00A9657F"/>
    <w:rsid w:val="00A965CA"/>
    <w:rsid w:val="00A9667C"/>
    <w:rsid w:val="00A978B9"/>
    <w:rsid w:val="00A97D0C"/>
    <w:rsid w:val="00AA0CE9"/>
    <w:rsid w:val="00AA193A"/>
    <w:rsid w:val="00AA2698"/>
    <w:rsid w:val="00AA2B57"/>
    <w:rsid w:val="00AA2C05"/>
    <w:rsid w:val="00AA33C8"/>
    <w:rsid w:val="00AA4846"/>
    <w:rsid w:val="00AA4DA7"/>
    <w:rsid w:val="00AA507B"/>
    <w:rsid w:val="00AA6287"/>
    <w:rsid w:val="00AA6F4D"/>
    <w:rsid w:val="00AA778C"/>
    <w:rsid w:val="00AB1386"/>
    <w:rsid w:val="00AB1563"/>
    <w:rsid w:val="00AB2598"/>
    <w:rsid w:val="00AB310D"/>
    <w:rsid w:val="00AB39BF"/>
    <w:rsid w:val="00AB3ECE"/>
    <w:rsid w:val="00AB4618"/>
    <w:rsid w:val="00AB6050"/>
    <w:rsid w:val="00AB64C0"/>
    <w:rsid w:val="00AB6F02"/>
    <w:rsid w:val="00AB71EE"/>
    <w:rsid w:val="00AB7250"/>
    <w:rsid w:val="00AB78B4"/>
    <w:rsid w:val="00AC064F"/>
    <w:rsid w:val="00AC1A52"/>
    <w:rsid w:val="00AC205E"/>
    <w:rsid w:val="00AC2591"/>
    <w:rsid w:val="00AC31F2"/>
    <w:rsid w:val="00AC339F"/>
    <w:rsid w:val="00AC3681"/>
    <w:rsid w:val="00AC39CA"/>
    <w:rsid w:val="00AC45FC"/>
    <w:rsid w:val="00AC463B"/>
    <w:rsid w:val="00AC5A0D"/>
    <w:rsid w:val="00AC5E31"/>
    <w:rsid w:val="00AC67BA"/>
    <w:rsid w:val="00AC7AB8"/>
    <w:rsid w:val="00AC7C08"/>
    <w:rsid w:val="00AD21C1"/>
    <w:rsid w:val="00AD28B7"/>
    <w:rsid w:val="00AD2E64"/>
    <w:rsid w:val="00AD4161"/>
    <w:rsid w:val="00AD519B"/>
    <w:rsid w:val="00AD5392"/>
    <w:rsid w:val="00AD53D7"/>
    <w:rsid w:val="00AD568E"/>
    <w:rsid w:val="00AD683A"/>
    <w:rsid w:val="00AD7D5E"/>
    <w:rsid w:val="00AD7D95"/>
    <w:rsid w:val="00AE1DD6"/>
    <w:rsid w:val="00AE25B7"/>
    <w:rsid w:val="00AE2DCD"/>
    <w:rsid w:val="00AE4979"/>
    <w:rsid w:val="00AF04B6"/>
    <w:rsid w:val="00AF09F1"/>
    <w:rsid w:val="00AF1635"/>
    <w:rsid w:val="00AF1A79"/>
    <w:rsid w:val="00AF2CAD"/>
    <w:rsid w:val="00AF3725"/>
    <w:rsid w:val="00AF3ED4"/>
    <w:rsid w:val="00AF5BEC"/>
    <w:rsid w:val="00AF642D"/>
    <w:rsid w:val="00AF6571"/>
    <w:rsid w:val="00AF6E1E"/>
    <w:rsid w:val="00AF6E65"/>
    <w:rsid w:val="00AF74C3"/>
    <w:rsid w:val="00AF7A28"/>
    <w:rsid w:val="00B0049F"/>
    <w:rsid w:val="00B00B4B"/>
    <w:rsid w:val="00B01476"/>
    <w:rsid w:val="00B01701"/>
    <w:rsid w:val="00B020CE"/>
    <w:rsid w:val="00B03101"/>
    <w:rsid w:val="00B03B6B"/>
    <w:rsid w:val="00B040D6"/>
    <w:rsid w:val="00B043EB"/>
    <w:rsid w:val="00B0445D"/>
    <w:rsid w:val="00B0469C"/>
    <w:rsid w:val="00B0485B"/>
    <w:rsid w:val="00B04D76"/>
    <w:rsid w:val="00B05255"/>
    <w:rsid w:val="00B055CB"/>
    <w:rsid w:val="00B05740"/>
    <w:rsid w:val="00B05B06"/>
    <w:rsid w:val="00B05C8E"/>
    <w:rsid w:val="00B06719"/>
    <w:rsid w:val="00B06AAC"/>
    <w:rsid w:val="00B071F8"/>
    <w:rsid w:val="00B07361"/>
    <w:rsid w:val="00B1063A"/>
    <w:rsid w:val="00B10992"/>
    <w:rsid w:val="00B1292B"/>
    <w:rsid w:val="00B14F0D"/>
    <w:rsid w:val="00B15740"/>
    <w:rsid w:val="00B15EBF"/>
    <w:rsid w:val="00B16E5E"/>
    <w:rsid w:val="00B20134"/>
    <w:rsid w:val="00B20145"/>
    <w:rsid w:val="00B2052A"/>
    <w:rsid w:val="00B21355"/>
    <w:rsid w:val="00B21776"/>
    <w:rsid w:val="00B23298"/>
    <w:rsid w:val="00B243AB"/>
    <w:rsid w:val="00B24DC9"/>
    <w:rsid w:val="00B2654F"/>
    <w:rsid w:val="00B26A0D"/>
    <w:rsid w:val="00B26DF5"/>
    <w:rsid w:val="00B27067"/>
    <w:rsid w:val="00B27450"/>
    <w:rsid w:val="00B27C80"/>
    <w:rsid w:val="00B27CB7"/>
    <w:rsid w:val="00B302F4"/>
    <w:rsid w:val="00B3055D"/>
    <w:rsid w:val="00B306BD"/>
    <w:rsid w:val="00B310DC"/>
    <w:rsid w:val="00B316F8"/>
    <w:rsid w:val="00B31D8A"/>
    <w:rsid w:val="00B31EFB"/>
    <w:rsid w:val="00B328C2"/>
    <w:rsid w:val="00B332A2"/>
    <w:rsid w:val="00B3351F"/>
    <w:rsid w:val="00B33FC2"/>
    <w:rsid w:val="00B34BCB"/>
    <w:rsid w:val="00B35597"/>
    <w:rsid w:val="00B355A8"/>
    <w:rsid w:val="00B35F3B"/>
    <w:rsid w:val="00B3603A"/>
    <w:rsid w:val="00B36E0B"/>
    <w:rsid w:val="00B3748A"/>
    <w:rsid w:val="00B4092C"/>
    <w:rsid w:val="00B40BF0"/>
    <w:rsid w:val="00B41346"/>
    <w:rsid w:val="00B41944"/>
    <w:rsid w:val="00B4265E"/>
    <w:rsid w:val="00B42B28"/>
    <w:rsid w:val="00B42DEA"/>
    <w:rsid w:val="00B434DB"/>
    <w:rsid w:val="00B44C49"/>
    <w:rsid w:val="00B44F00"/>
    <w:rsid w:val="00B4544B"/>
    <w:rsid w:val="00B45CAB"/>
    <w:rsid w:val="00B45F45"/>
    <w:rsid w:val="00B52172"/>
    <w:rsid w:val="00B525F9"/>
    <w:rsid w:val="00B53637"/>
    <w:rsid w:val="00B54895"/>
    <w:rsid w:val="00B55BEC"/>
    <w:rsid w:val="00B55C87"/>
    <w:rsid w:val="00B55D89"/>
    <w:rsid w:val="00B5616E"/>
    <w:rsid w:val="00B562C1"/>
    <w:rsid w:val="00B56CFF"/>
    <w:rsid w:val="00B56DA8"/>
    <w:rsid w:val="00B60703"/>
    <w:rsid w:val="00B60E64"/>
    <w:rsid w:val="00B62180"/>
    <w:rsid w:val="00B62BED"/>
    <w:rsid w:val="00B62C17"/>
    <w:rsid w:val="00B62D69"/>
    <w:rsid w:val="00B63340"/>
    <w:rsid w:val="00B63F33"/>
    <w:rsid w:val="00B64E70"/>
    <w:rsid w:val="00B64F52"/>
    <w:rsid w:val="00B6556F"/>
    <w:rsid w:val="00B65869"/>
    <w:rsid w:val="00B65C13"/>
    <w:rsid w:val="00B66BFC"/>
    <w:rsid w:val="00B673CF"/>
    <w:rsid w:val="00B67695"/>
    <w:rsid w:val="00B67C79"/>
    <w:rsid w:val="00B701B8"/>
    <w:rsid w:val="00B70ADF"/>
    <w:rsid w:val="00B71F18"/>
    <w:rsid w:val="00B71F2F"/>
    <w:rsid w:val="00B725DD"/>
    <w:rsid w:val="00B72A7F"/>
    <w:rsid w:val="00B72AF3"/>
    <w:rsid w:val="00B7307A"/>
    <w:rsid w:val="00B739CE"/>
    <w:rsid w:val="00B73A52"/>
    <w:rsid w:val="00B753CD"/>
    <w:rsid w:val="00B75691"/>
    <w:rsid w:val="00B75D23"/>
    <w:rsid w:val="00B760AD"/>
    <w:rsid w:val="00B76507"/>
    <w:rsid w:val="00B76CC2"/>
    <w:rsid w:val="00B80BDC"/>
    <w:rsid w:val="00B81810"/>
    <w:rsid w:val="00B81D82"/>
    <w:rsid w:val="00B82FCC"/>
    <w:rsid w:val="00B840E2"/>
    <w:rsid w:val="00B843FC"/>
    <w:rsid w:val="00B8463C"/>
    <w:rsid w:val="00B8486B"/>
    <w:rsid w:val="00B851E0"/>
    <w:rsid w:val="00B85E0C"/>
    <w:rsid w:val="00B875E4"/>
    <w:rsid w:val="00B87ABF"/>
    <w:rsid w:val="00B90A8D"/>
    <w:rsid w:val="00B9137C"/>
    <w:rsid w:val="00B914D8"/>
    <w:rsid w:val="00B91608"/>
    <w:rsid w:val="00B92718"/>
    <w:rsid w:val="00B92887"/>
    <w:rsid w:val="00B92CE8"/>
    <w:rsid w:val="00B93863"/>
    <w:rsid w:val="00B938EC"/>
    <w:rsid w:val="00B94097"/>
    <w:rsid w:val="00B94446"/>
    <w:rsid w:val="00B95470"/>
    <w:rsid w:val="00B9561C"/>
    <w:rsid w:val="00B96176"/>
    <w:rsid w:val="00B96AC9"/>
    <w:rsid w:val="00BA0FCA"/>
    <w:rsid w:val="00BA10EB"/>
    <w:rsid w:val="00BA17FA"/>
    <w:rsid w:val="00BA2B8D"/>
    <w:rsid w:val="00BA3BC2"/>
    <w:rsid w:val="00BA3E72"/>
    <w:rsid w:val="00BA4C89"/>
    <w:rsid w:val="00BA4F48"/>
    <w:rsid w:val="00BA56F5"/>
    <w:rsid w:val="00BA5A7B"/>
    <w:rsid w:val="00BA6046"/>
    <w:rsid w:val="00BA6DFC"/>
    <w:rsid w:val="00BA7408"/>
    <w:rsid w:val="00BB1AC9"/>
    <w:rsid w:val="00BB23D3"/>
    <w:rsid w:val="00BB30AA"/>
    <w:rsid w:val="00BB337D"/>
    <w:rsid w:val="00BB40AD"/>
    <w:rsid w:val="00BB4BB7"/>
    <w:rsid w:val="00BB4E2A"/>
    <w:rsid w:val="00BB4E79"/>
    <w:rsid w:val="00BB526E"/>
    <w:rsid w:val="00BB54C7"/>
    <w:rsid w:val="00BB59C7"/>
    <w:rsid w:val="00BB5EC6"/>
    <w:rsid w:val="00BB6895"/>
    <w:rsid w:val="00BB6BA4"/>
    <w:rsid w:val="00BC1EB1"/>
    <w:rsid w:val="00BC28AE"/>
    <w:rsid w:val="00BC2ECB"/>
    <w:rsid w:val="00BC38D2"/>
    <w:rsid w:val="00BC3D7B"/>
    <w:rsid w:val="00BC4935"/>
    <w:rsid w:val="00BC5461"/>
    <w:rsid w:val="00BC56D5"/>
    <w:rsid w:val="00BC57D9"/>
    <w:rsid w:val="00BC5999"/>
    <w:rsid w:val="00BC5D5B"/>
    <w:rsid w:val="00BC6226"/>
    <w:rsid w:val="00BC6AC8"/>
    <w:rsid w:val="00BC6C3D"/>
    <w:rsid w:val="00BC6CAA"/>
    <w:rsid w:val="00BC6E5F"/>
    <w:rsid w:val="00BC6F7A"/>
    <w:rsid w:val="00BC761F"/>
    <w:rsid w:val="00BC77B3"/>
    <w:rsid w:val="00BC7A8E"/>
    <w:rsid w:val="00BC7C7F"/>
    <w:rsid w:val="00BD06F2"/>
    <w:rsid w:val="00BD1C3B"/>
    <w:rsid w:val="00BD2F47"/>
    <w:rsid w:val="00BD3467"/>
    <w:rsid w:val="00BD3526"/>
    <w:rsid w:val="00BD3BD2"/>
    <w:rsid w:val="00BD50DF"/>
    <w:rsid w:val="00BD5CFB"/>
    <w:rsid w:val="00BD75CB"/>
    <w:rsid w:val="00BE0948"/>
    <w:rsid w:val="00BE126C"/>
    <w:rsid w:val="00BE1307"/>
    <w:rsid w:val="00BE2854"/>
    <w:rsid w:val="00BE3150"/>
    <w:rsid w:val="00BE3455"/>
    <w:rsid w:val="00BE3D66"/>
    <w:rsid w:val="00BE474A"/>
    <w:rsid w:val="00BE4B10"/>
    <w:rsid w:val="00BE4CFD"/>
    <w:rsid w:val="00BE4E1D"/>
    <w:rsid w:val="00BE4FA5"/>
    <w:rsid w:val="00BE5A86"/>
    <w:rsid w:val="00BE5E38"/>
    <w:rsid w:val="00BF076D"/>
    <w:rsid w:val="00BF2264"/>
    <w:rsid w:val="00BF2CB6"/>
    <w:rsid w:val="00BF306C"/>
    <w:rsid w:val="00BF33A0"/>
    <w:rsid w:val="00BF3D98"/>
    <w:rsid w:val="00BF44B7"/>
    <w:rsid w:val="00BF4813"/>
    <w:rsid w:val="00BF517B"/>
    <w:rsid w:val="00BF597D"/>
    <w:rsid w:val="00BF658C"/>
    <w:rsid w:val="00BF67D3"/>
    <w:rsid w:val="00BF7562"/>
    <w:rsid w:val="00BF7C26"/>
    <w:rsid w:val="00C00E4F"/>
    <w:rsid w:val="00C01088"/>
    <w:rsid w:val="00C013E2"/>
    <w:rsid w:val="00C01787"/>
    <w:rsid w:val="00C02269"/>
    <w:rsid w:val="00C02B6C"/>
    <w:rsid w:val="00C0315C"/>
    <w:rsid w:val="00C031CD"/>
    <w:rsid w:val="00C034FE"/>
    <w:rsid w:val="00C03516"/>
    <w:rsid w:val="00C04D37"/>
    <w:rsid w:val="00C05074"/>
    <w:rsid w:val="00C05213"/>
    <w:rsid w:val="00C0566C"/>
    <w:rsid w:val="00C058BB"/>
    <w:rsid w:val="00C05BF1"/>
    <w:rsid w:val="00C063CB"/>
    <w:rsid w:val="00C063CE"/>
    <w:rsid w:val="00C06780"/>
    <w:rsid w:val="00C07025"/>
    <w:rsid w:val="00C10E90"/>
    <w:rsid w:val="00C12A9E"/>
    <w:rsid w:val="00C12EA6"/>
    <w:rsid w:val="00C13F74"/>
    <w:rsid w:val="00C15550"/>
    <w:rsid w:val="00C163A8"/>
    <w:rsid w:val="00C16EC4"/>
    <w:rsid w:val="00C171E2"/>
    <w:rsid w:val="00C178E8"/>
    <w:rsid w:val="00C200CF"/>
    <w:rsid w:val="00C20537"/>
    <w:rsid w:val="00C20F30"/>
    <w:rsid w:val="00C2209B"/>
    <w:rsid w:val="00C221A6"/>
    <w:rsid w:val="00C226B2"/>
    <w:rsid w:val="00C22ED7"/>
    <w:rsid w:val="00C23519"/>
    <w:rsid w:val="00C238FF"/>
    <w:rsid w:val="00C23F2D"/>
    <w:rsid w:val="00C24C2D"/>
    <w:rsid w:val="00C24D51"/>
    <w:rsid w:val="00C24E9F"/>
    <w:rsid w:val="00C26402"/>
    <w:rsid w:val="00C26F44"/>
    <w:rsid w:val="00C276A8"/>
    <w:rsid w:val="00C30D57"/>
    <w:rsid w:val="00C30E9C"/>
    <w:rsid w:val="00C32321"/>
    <w:rsid w:val="00C331BD"/>
    <w:rsid w:val="00C33CF2"/>
    <w:rsid w:val="00C33DBA"/>
    <w:rsid w:val="00C33FD3"/>
    <w:rsid w:val="00C34321"/>
    <w:rsid w:val="00C34593"/>
    <w:rsid w:val="00C345BA"/>
    <w:rsid w:val="00C34D38"/>
    <w:rsid w:val="00C34D90"/>
    <w:rsid w:val="00C355F3"/>
    <w:rsid w:val="00C3566D"/>
    <w:rsid w:val="00C35ACC"/>
    <w:rsid w:val="00C36725"/>
    <w:rsid w:val="00C36F0C"/>
    <w:rsid w:val="00C3756E"/>
    <w:rsid w:val="00C37C52"/>
    <w:rsid w:val="00C40418"/>
    <w:rsid w:val="00C41227"/>
    <w:rsid w:val="00C41276"/>
    <w:rsid w:val="00C413D3"/>
    <w:rsid w:val="00C4156C"/>
    <w:rsid w:val="00C42573"/>
    <w:rsid w:val="00C429CA"/>
    <w:rsid w:val="00C42F6A"/>
    <w:rsid w:val="00C43527"/>
    <w:rsid w:val="00C43B26"/>
    <w:rsid w:val="00C452FA"/>
    <w:rsid w:val="00C453C7"/>
    <w:rsid w:val="00C455BB"/>
    <w:rsid w:val="00C459AE"/>
    <w:rsid w:val="00C464F6"/>
    <w:rsid w:val="00C4730B"/>
    <w:rsid w:val="00C51848"/>
    <w:rsid w:val="00C527B8"/>
    <w:rsid w:val="00C528F7"/>
    <w:rsid w:val="00C52B1F"/>
    <w:rsid w:val="00C539B1"/>
    <w:rsid w:val="00C53AC7"/>
    <w:rsid w:val="00C53EF7"/>
    <w:rsid w:val="00C5445B"/>
    <w:rsid w:val="00C54945"/>
    <w:rsid w:val="00C552F5"/>
    <w:rsid w:val="00C57A1C"/>
    <w:rsid w:val="00C57B25"/>
    <w:rsid w:val="00C60042"/>
    <w:rsid w:val="00C601A7"/>
    <w:rsid w:val="00C60E08"/>
    <w:rsid w:val="00C61B7C"/>
    <w:rsid w:val="00C622CE"/>
    <w:rsid w:val="00C6364E"/>
    <w:rsid w:val="00C6370D"/>
    <w:rsid w:val="00C63E05"/>
    <w:rsid w:val="00C64248"/>
    <w:rsid w:val="00C644EE"/>
    <w:rsid w:val="00C649E2"/>
    <w:rsid w:val="00C64CA2"/>
    <w:rsid w:val="00C64D02"/>
    <w:rsid w:val="00C65474"/>
    <w:rsid w:val="00C65CAE"/>
    <w:rsid w:val="00C65E30"/>
    <w:rsid w:val="00C662C7"/>
    <w:rsid w:val="00C665E2"/>
    <w:rsid w:val="00C671C6"/>
    <w:rsid w:val="00C67749"/>
    <w:rsid w:val="00C70C38"/>
    <w:rsid w:val="00C70C85"/>
    <w:rsid w:val="00C72F33"/>
    <w:rsid w:val="00C74C2C"/>
    <w:rsid w:val="00C75CFB"/>
    <w:rsid w:val="00C75E04"/>
    <w:rsid w:val="00C761FD"/>
    <w:rsid w:val="00C76339"/>
    <w:rsid w:val="00C763C4"/>
    <w:rsid w:val="00C778F7"/>
    <w:rsid w:val="00C77D98"/>
    <w:rsid w:val="00C802F9"/>
    <w:rsid w:val="00C80B1B"/>
    <w:rsid w:val="00C81665"/>
    <w:rsid w:val="00C81E59"/>
    <w:rsid w:val="00C82702"/>
    <w:rsid w:val="00C833A9"/>
    <w:rsid w:val="00C83B72"/>
    <w:rsid w:val="00C86753"/>
    <w:rsid w:val="00C87B38"/>
    <w:rsid w:val="00C87E0F"/>
    <w:rsid w:val="00C87E68"/>
    <w:rsid w:val="00C908DA"/>
    <w:rsid w:val="00C91621"/>
    <w:rsid w:val="00C920A3"/>
    <w:rsid w:val="00C92E48"/>
    <w:rsid w:val="00C92EE8"/>
    <w:rsid w:val="00C93543"/>
    <w:rsid w:val="00C94824"/>
    <w:rsid w:val="00C94F10"/>
    <w:rsid w:val="00C95046"/>
    <w:rsid w:val="00C955A9"/>
    <w:rsid w:val="00C958C9"/>
    <w:rsid w:val="00CA0E6C"/>
    <w:rsid w:val="00CA1B2F"/>
    <w:rsid w:val="00CA1FDE"/>
    <w:rsid w:val="00CA2E2A"/>
    <w:rsid w:val="00CA30DA"/>
    <w:rsid w:val="00CA3154"/>
    <w:rsid w:val="00CA32C1"/>
    <w:rsid w:val="00CA34F7"/>
    <w:rsid w:val="00CA3EE8"/>
    <w:rsid w:val="00CA4336"/>
    <w:rsid w:val="00CA44F9"/>
    <w:rsid w:val="00CA53F2"/>
    <w:rsid w:val="00CA60DC"/>
    <w:rsid w:val="00CA726B"/>
    <w:rsid w:val="00CA7A7B"/>
    <w:rsid w:val="00CA7F86"/>
    <w:rsid w:val="00CB061A"/>
    <w:rsid w:val="00CB0A32"/>
    <w:rsid w:val="00CB35C3"/>
    <w:rsid w:val="00CB3714"/>
    <w:rsid w:val="00CB4013"/>
    <w:rsid w:val="00CB422E"/>
    <w:rsid w:val="00CB4237"/>
    <w:rsid w:val="00CB4FAC"/>
    <w:rsid w:val="00CB5A90"/>
    <w:rsid w:val="00CB6048"/>
    <w:rsid w:val="00CB60E4"/>
    <w:rsid w:val="00CB6170"/>
    <w:rsid w:val="00CB633F"/>
    <w:rsid w:val="00CB644A"/>
    <w:rsid w:val="00CB7401"/>
    <w:rsid w:val="00CC0991"/>
    <w:rsid w:val="00CC152F"/>
    <w:rsid w:val="00CC1B50"/>
    <w:rsid w:val="00CC1FCD"/>
    <w:rsid w:val="00CC2572"/>
    <w:rsid w:val="00CC3651"/>
    <w:rsid w:val="00CC41D1"/>
    <w:rsid w:val="00CC47DC"/>
    <w:rsid w:val="00CC50C4"/>
    <w:rsid w:val="00CC532E"/>
    <w:rsid w:val="00CC566A"/>
    <w:rsid w:val="00CC587D"/>
    <w:rsid w:val="00CC5ABB"/>
    <w:rsid w:val="00CC5B94"/>
    <w:rsid w:val="00CC62DB"/>
    <w:rsid w:val="00CC7B4D"/>
    <w:rsid w:val="00CC7D21"/>
    <w:rsid w:val="00CC7E3B"/>
    <w:rsid w:val="00CD1B59"/>
    <w:rsid w:val="00CD1F61"/>
    <w:rsid w:val="00CD22AE"/>
    <w:rsid w:val="00CD27C0"/>
    <w:rsid w:val="00CD32F3"/>
    <w:rsid w:val="00CD3E8B"/>
    <w:rsid w:val="00CD3FC5"/>
    <w:rsid w:val="00CD41D6"/>
    <w:rsid w:val="00CD4FED"/>
    <w:rsid w:val="00CD56CB"/>
    <w:rsid w:val="00CD74F8"/>
    <w:rsid w:val="00CD7CA8"/>
    <w:rsid w:val="00CE087B"/>
    <w:rsid w:val="00CE0F8C"/>
    <w:rsid w:val="00CE221D"/>
    <w:rsid w:val="00CE265A"/>
    <w:rsid w:val="00CE2796"/>
    <w:rsid w:val="00CE2FD7"/>
    <w:rsid w:val="00CE30A4"/>
    <w:rsid w:val="00CE3797"/>
    <w:rsid w:val="00CE3F9E"/>
    <w:rsid w:val="00CE4527"/>
    <w:rsid w:val="00CE4AC3"/>
    <w:rsid w:val="00CE5040"/>
    <w:rsid w:val="00CE5144"/>
    <w:rsid w:val="00CE5248"/>
    <w:rsid w:val="00CE640E"/>
    <w:rsid w:val="00CE66D8"/>
    <w:rsid w:val="00CE6B51"/>
    <w:rsid w:val="00CE6D43"/>
    <w:rsid w:val="00CE6E07"/>
    <w:rsid w:val="00CF0376"/>
    <w:rsid w:val="00CF0AF8"/>
    <w:rsid w:val="00CF1AEE"/>
    <w:rsid w:val="00CF1B3D"/>
    <w:rsid w:val="00CF3047"/>
    <w:rsid w:val="00CF3357"/>
    <w:rsid w:val="00CF3CE8"/>
    <w:rsid w:val="00CF420C"/>
    <w:rsid w:val="00CF4666"/>
    <w:rsid w:val="00CF47C9"/>
    <w:rsid w:val="00CF49AD"/>
    <w:rsid w:val="00CF57C5"/>
    <w:rsid w:val="00CF58BB"/>
    <w:rsid w:val="00CF5903"/>
    <w:rsid w:val="00CF5B70"/>
    <w:rsid w:val="00CF5D67"/>
    <w:rsid w:val="00CF6044"/>
    <w:rsid w:val="00CF63EA"/>
    <w:rsid w:val="00CF6481"/>
    <w:rsid w:val="00CF6BBE"/>
    <w:rsid w:val="00D0006B"/>
    <w:rsid w:val="00D005D0"/>
    <w:rsid w:val="00D0139C"/>
    <w:rsid w:val="00D013AF"/>
    <w:rsid w:val="00D01F15"/>
    <w:rsid w:val="00D024C2"/>
    <w:rsid w:val="00D04E0C"/>
    <w:rsid w:val="00D0546E"/>
    <w:rsid w:val="00D0562C"/>
    <w:rsid w:val="00D0595E"/>
    <w:rsid w:val="00D05E29"/>
    <w:rsid w:val="00D05F68"/>
    <w:rsid w:val="00D078AB"/>
    <w:rsid w:val="00D07C3B"/>
    <w:rsid w:val="00D10543"/>
    <w:rsid w:val="00D10C55"/>
    <w:rsid w:val="00D10E5D"/>
    <w:rsid w:val="00D11E51"/>
    <w:rsid w:val="00D12FD2"/>
    <w:rsid w:val="00D13412"/>
    <w:rsid w:val="00D13CF3"/>
    <w:rsid w:val="00D14026"/>
    <w:rsid w:val="00D140CD"/>
    <w:rsid w:val="00D14B98"/>
    <w:rsid w:val="00D14E99"/>
    <w:rsid w:val="00D15568"/>
    <w:rsid w:val="00D15EB3"/>
    <w:rsid w:val="00D1696F"/>
    <w:rsid w:val="00D16A13"/>
    <w:rsid w:val="00D16EEA"/>
    <w:rsid w:val="00D20276"/>
    <w:rsid w:val="00D20BD3"/>
    <w:rsid w:val="00D20E59"/>
    <w:rsid w:val="00D2150F"/>
    <w:rsid w:val="00D227B6"/>
    <w:rsid w:val="00D22AF2"/>
    <w:rsid w:val="00D2487D"/>
    <w:rsid w:val="00D25168"/>
    <w:rsid w:val="00D25603"/>
    <w:rsid w:val="00D25B23"/>
    <w:rsid w:val="00D25F93"/>
    <w:rsid w:val="00D27751"/>
    <w:rsid w:val="00D2785A"/>
    <w:rsid w:val="00D27D6F"/>
    <w:rsid w:val="00D305C1"/>
    <w:rsid w:val="00D319A0"/>
    <w:rsid w:val="00D31B43"/>
    <w:rsid w:val="00D325B7"/>
    <w:rsid w:val="00D347EC"/>
    <w:rsid w:val="00D34AE6"/>
    <w:rsid w:val="00D34CAD"/>
    <w:rsid w:val="00D35830"/>
    <w:rsid w:val="00D359DD"/>
    <w:rsid w:val="00D35D93"/>
    <w:rsid w:val="00D367D6"/>
    <w:rsid w:val="00D36884"/>
    <w:rsid w:val="00D377D5"/>
    <w:rsid w:val="00D37DA8"/>
    <w:rsid w:val="00D41851"/>
    <w:rsid w:val="00D42C8B"/>
    <w:rsid w:val="00D434FC"/>
    <w:rsid w:val="00D43B6D"/>
    <w:rsid w:val="00D45361"/>
    <w:rsid w:val="00D45A99"/>
    <w:rsid w:val="00D47144"/>
    <w:rsid w:val="00D5107C"/>
    <w:rsid w:val="00D51088"/>
    <w:rsid w:val="00D511E0"/>
    <w:rsid w:val="00D524A3"/>
    <w:rsid w:val="00D52965"/>
    <w:rsid w:val="00D52CA7"/>
    <w:rsid w:val="00D53020"/>
    <w:rsid w:val="00D535C8"/>
    <w:rsid w:val="00D55637"/>
    <w:rsid w:val="00D56D2A"/>
    <w:rsid w:val="00D5747D"/>
    <w:rsid w:val="00D57CF8"/>
    <w:rsid w:val="00D57D22"/>
    <w:rsid w:val="00D603A5"/>
    <w:rsid w:val="00D603F3"/>
    <w:rsid w:val="00D60FB9"/>
    <w:rsid w:val="00D610EC"/>
    <w:rsid w:val="00D615DB"/>
    <w:rsid w:val="00D616A9"/>
    <w:rsid w:val="00D61B73"/>
    <w:rsid w:val="00D61C76"/>
    <w:rsid w:val="00D62F2A"/>
    <w:rsid w:val="00D63BCD"/>
    <w:rsid w:val="00D64D1A"/>
    <w:rsid w:val="00D664E4"/>
    <w:rsid w:val="00D66BA6"/>
    <w:rsid w:val="00D67B68"/>
    <w:rsid w:val="00D718C3"/>
    <w:rsid w:val="00D71F70"/>
    <w:rsid w:val="00D7374D"/>
    <w:rsid w:val="00D73880"/>
    <w:rsid w:val="00D73CE4"/>
    <w:rsid w:val="00D73DB5"/>
    <w:rsid w:val="00D763ED"/>
    <w:rsid w:val="00D774E4"/>
    <w:rsid w:val="00D77AA5"/>
    <w:rsid w:val="00D77FF1"/>
    <w:rsid w:val="00D800D9"/>
    <w:rsid w:val="00D82CCE"/>
    <w:rsid w:val="00D82EAA"/>
    <w:rsid w:val="00D832FF"/>
    <w:rsid w:val="00D83C3C"/>
    <w:rsid w:val="00D8454D"/>
    <w:rsid w:val="00D84778"/>
    <w:rsid w:val="00D84887"/>
    <w:rsid w:val="00D84E6E"/>
    <w:rsid w:val="00D85E72"/>
    <w:rsid w:val="00D863D3"/>
    <w:rsid w:val="00D86B20"/>
    <w:rsid w:val="00D86CD8"/>
    <w:rsid w:val="00D87778"/>
    <w:rsid w:val="00D87C23"/>
    <w:rsid w:val="00D90016"/>
    <w:rsid w:val="00D90082"/>
    <w:rsid w:val="00D90CD7"/>
    <w:rsid w:val="00D91608"/>
    <w:rsid w:val="00D91F45"/>
    <w:rsid w:val="00D920AB"/>
    <w:rsid w:val="00D9294B"/>
    <w:rsid w:val="00D93037"/>
    <w:rsid w:val="00D93C99"/>
    <w:rsid w:val="00D94C7B"/>
    <w:rsid w:val="00D94F7C"/>
    <w:rsid w:val="00D95572"/>
    <w:rsid w:val="00D957CB"/>
    <w:rsid w:val="00D95A2D"/>
    <w:rsid w:val="00D96563"/>
    <w:rsid w:val="00D96603"/>
    <w:rsid w:val="00D968D4"/>
    <w:rsid w:val="00D96B41"/>
    <w:rsid w:val="00D975FB"/>
    <w:rsid w:val="00D976C2"/>
    <w:rsid w:val="00D97AD8"/>
    <w:rsid w:val="00D97C03"/>
    <w:rsid w:val="00D97E7E"/>
    <w:rsid w:val="00DA09B9"/>
    <w:rsid w:val="00DA0A4C"/>
    <w:rsid w:val="00DA0A5E"/>
    <w:rsid w:val="00DA172E"/>
    <w:rsid w:val="00DA1B78"/>
    <w:rsid w:val="00DA1F74"/>
    <w:rsid w:val="00DA239B"/>
    <w:rsid w:val="00DA29B9"/>
    <w:rsid w:val="00DA2CBE"/>
    <w:rsid w:val="00DA2FE8"/>
    <w:rsid w:val="00DA4BEE"/>
    <w:rsid w:val="00DA5164"/>
    <w:rsid w:val="00DA51A6"/>
    <w:rsid w:val="00DA5EF8"/>
    <w:rsid w:val="00DA64E9"/>
    <w:rsid w:val="00DA66A7"/>
    <w:rsid w:val="00DA6A59"/>
    <w:rsid w:val="00DA7B58"/>
    <w:rsid w:val="00DB01F9"/>
    <w:rsid w:val="00DB1968"/>
    <w:rsid w:val="00DB1A73"/>
    <w:rsid w:val="00DB1EC5"/>
    <w:rsid w:val="00DB2891"/>
    <w:rsid w:val="00DB3074"/>
    <w:rsid w:val="00DB3299"/>
    <w:rsid w:val="00DB3569"/>
    <w:rsid w:val="00DB37C5"/>
    <w:rsid w:val="00DB445B"/>
    <w:rsid w:val="00DB4A68"/>
    <w:rsid w:val="00DB4D7F"/>
    <w:rsid w:val="00DB50AC"/>
    <w:rsid w:val="00DB5898"/>
    <w:rsid w:val="00DB5E55"/>
    <w:rsid w:val="00DB5E84"/>
    <w:rsid w:val="00DB6C04"/>
    <w:rsid w:val="00DB7B30"/>
    <w:rsid w:val="00DB7D95"/>
    <w:rsid w:val="00DC0170"/>
    <w:rsid w:val="00DC07A5"/>
    <w:rsid w:val="00DC13E7"/>
    <w:rsid w:val="00DC1810"/>
    <w:rsid w:val="00DC2C82"/>
    <w:rsid w:val="00DC3FEA"/>
    <w:rsid w:val="00DC3FF3"/>
    <w:rsid w:val="00DC466B"/>
    <w:rsid w:val="00DC574C"/>
    <w:rsid w:val="00DC5EF2"/>
    <w:rsid w:val="00DC7074"/>
    <w:rsid w:val="00DC73AE"/>
    <w:rsid w:val="00DC7A8D"/>
    <w:rsid w:val="00DD16F8"/>
    <w:rsid w:val="00DD34B5"/>
    <w:rsid w:val="00DD4656"/>
    <w:rsid w:val="00DD491A"/>
    <w:rsid w:val="00DD4BF2"/>
    <w:rsid w:val="00DD58EB"/>
    <w:rsid w:val="00DD6586"/>
    <w:rsid w:val="00DD6662"/>
    <w:rsid w:val="00DD762F"/>
    <w:rsid w:val="00DD7BFB"/>
    <w:rsid w:val="00DE0403"/>
    <w:rsid w:val="00DE0C09"/>
    <w:rsid w:val="00DE1648"/>
    <w:rsid w:val="00DE1783"/>
    <w:rsid w:val="00DE2351"/>
    <w:rsid w:val="00DE2426"/>
    <w:rsid w:val="00DE2570"/>
    <w:rsid w:val="00DE2626"/>
    <w:rsid w:val="00DE3318"/>
    <w:rsid w:val="00DE3E06"/>
    <w:rsid w:val="00DE492C"/>
    <w:rsid w:val="00DE5581"/>
    <w:rsid w:val="00DE56CD"/>
    <w:rsid w:val="00DE5C6B"/>
    <w:rsid w:val="00DE5E13"/>
    <w:rsid w:val="00DE67BE"/>
    <w:rsid w:val="00DE6CB1"/>
    <w:rsid w:val="00DE71A2"/>
    <w:rsid w:val="00DE740E"/>
    <w:rsid w:val="00DE7F75"/>
    <w:rsid w:val="00DF05D4"/>
    <w:rsid w:val="00DF06AB"/>
    <w:rsid w:val="00DF18C0"/>
    <w:rsid w:val="00DF251B"/>
    <w:rsid w:val="00DF2C50"/>
    <w:rsid w:val="00DF3EB1"/>
    <w:rsid w:val="00DF43D4"/>
    <w:rsid w:val="00DF43F8"/>
    <w:rsid w:val="00DF4E73"/>
    <w:rsid w:val="00DF5399"/>
    <w:rsid w:val="00DF5AA7"/>
    <w:rsid w:val="00DF5ECC"/>
    <w:rsid w:val="00DF5FDE"/>
    <w:rsid w:val="00DF615E"/>
    <w:rsid w:val="00DF6ACC"/>
    <w:rsid w:val="00DF75D3"/>
    <w:rsid w:val="00DF7D1A"/>
    <w:rsid w:val="00E00109"/>
    <w:rsid w:val="00E0061F"/>
    <w:rsid w:val="00E00707"/>
    <w:rsid w:val="00E0120D"/>
    <w:rsid w:val="00E01966"/>
    <w:rsid w:val="00E02574"/>
    <w:rsid w:val="00E025B3"/>
    <w:rsid w:val="00E02812"/>
    <w:rsid w:val="00E02A50"/>
    <w:rsid w:val="00E03BCD"/>
    <w:rsid w:val="00E05C53"/>
    <w:rsid w:val="00E06800"/>
    <w:rsid w:val="00E06B82"/>
    <w:rsid w:val="00E06C7E"/>
    <w:rsid w:val="00E106F6"/>
    <w:rsid w:val="00E10A8A"/>
    <w:rsid w:val="00E10DA4"/>
    <w:rsid w:val="00E10E02"/>
    <w:rsid w:val="00E11AFD"/>
    <w:rsid w:val="00E12728"/>
    <w:rsid w:val="00E12C50"/>
    <w:rsid w:val="00E12D3C"/>
    <w:rsid w:val="00E1302D"/>
    <w:rsid w:val="00E135C7"/>
    <w:rsid w:val="00E142BA"/>
    <w:rsid w:val="00E143C7"/>
    <w:rsid w:val="00E14C58"/>
    <w:rsid w:val="00E163A1"/>
    <w:rsid w:val="00E16851"/>
    <w:rsid w:val="00E16CF2"/>
    <w:rsid w:val="00E17354"/>
    <w:rsid w:val="00E20DA5"/>
    <w:rsid w:val="00E20DC7"/>
    <w:rsid w:val="00E22493"/>
    <w:rsid w:val="00E23E1F"/>
    <w:rsid w:val="00E241EE"/>
    <w:rsid w:val="00E24284"/>
    <w:rsid w:val="00E24579"/>
    <w:rsid w:val="00E254A4"/>
    <w:rsid w:val="00E26435"/>
    <w:rsid w:val="00E2791E"/>
    <w:rsid w:val="00E30428"/>
    <w:rsid w:val="00E30979"/>
    <w:rsid w:val="00E31712"/>
    <w:rsid w:val="00E321AB"/>
    <w:rsid w:val="00E32C18"/>
    <w:rsid w:val="00E33828"/>
    <w:rsid w:val="00E34897"/>
    <w:rsid w:val="00E35B00"/>
    <w:rsid w:val="00E40084"/>
    <w:rsid w:val="00E4013D"/>
    <w:rsid w:val="00E4191B"/>
    <w:rsid w:val="00E420C4"/>
    <w:rsid w:val="00E4356A"/>
    <w:rsid w:val="00E43A02"/>
    <w:rsid w:val="00E45C93"/>
    <w:rsid w:val="00E45DF9"/>
    <w:rsid w:val="00E464AC"/>
    <w:rsid w:val="00E46B79"/>
    <w:rsid w:val="00E474F7"/>
    <w:rsid w:val="00E5027E"/>
    <w:rsid w:val="00E508AF"/>
    <w:rsid w:val="00E510E5"/>
    <w:rsid w:val="00E51C1B"/>
    <w:rsid w:val="00E522A4"/>
    <w:rsid w:val="00E52E4C"/>
    <w:rsid w:val="00E53D9C"/>
    <w:rsid w:val="00E53F81"/>
    <w:rsid w:val="00E54241"/>
    <w:rsid w:val="00E5492D"/>
    <w:rsid w:val="00E55161"/>
    <w:rsid w:val="00E57048"/>
    <w:rsid w:val="00E570F4"/>
    <w:rsid w:val="00E5751A"/>
    <w:rsid w:val="00E5788F"/>
    <w:rsid w:val="00E57B1A"/>
    <w:rsid w:val="00E600D3"/>
    <w:rsid w:val="00E6012D"/>
    <w:rsid w:val="00E6026D"/>
    <w:rsid w:val="00E60384"/>
    <w:rsid w:val="00E618E6"/>
    <w:rsid w:val="00E61A2C"/>
    <w:rsid w:val="00E61F17"/>
    <w:rsid w:val="00E620E6"/>
    <w:rsid w:val="00E628D1"/>
    <w:rsid w:val="00E62B23"/>
    <w:rsid w:val="00E63297"/>
    <w:rsid w:val="00E63621"/>
    <w:rsid w:val="00E63702"/>
    <w:rsid w:val="00E63A13"/>
    <w:rsid w:val="00E6464D"/>
    <w:rsid w:val="00E64792"/>
    <w:rsid w:val="00E64963"/>
    <w:rsid w:val="00E64E52"/>
    <w:rsid w:val="00E65B5F"/>
    <w:rsid w:val="00E67253"/>
    <w:rsid w:val="00E67456"/>
    <w:rsid w:val="00E67825"/>
    <w:rsid w:val="00E70A24"/>
    <w:rsid w:val="00E70C88"/>
    <w:rsid w:val="00E711D0"/>
    <w:rsid w:val="00E71656"/>
    <w:rsid w:val="00E71E5E"/>
    <w:rsid w:val="00E725AD"/>
    <w:rsid w:val="00E74226"/>
    <w:rsid w:val="00E74498"/>
    <w:rsid w:val="00E7571E"/>
    <w:rsid w:val="00E7609E"/>
    <w:rsid w:val="00E76701"/>
    <w:rsid w:val="00E76AF9"/>
    <w:rsid w:val="00E76C0B"/>
    <w:rsid w:val="00E778CF"/>
    <w:rsid w:val="00E814BE"/>
    <w:rsid w:val="00E81794"/>
    <w:rsid w:val="00E81B4B"/>
    <w:rsid w:val="00E82776"/>
    <w:rsid w:val="00E82B74"/>
    <w:rsid w:val="00E82D27"/>
    <w:rsid w:val="00E83671"/>
    <w:rsid w:val="00E845E5"/>
    <w:rsid w:val="00E8487B"/>
    <w:rsid w:val="00E85366"/>
    <w:rsid w:val="00E85723"/>
    <w:rsid w:val="00E86733"/>
    <w:rsid w:val="00E86B89"/>
    <w:rsid w:val="00E87500"/>
    <w:rsid w:val="00E87BCF"/>
    <w:rsid w:val="00E900C7"/>
    <w:rsid w:val="00E901A8"/>
    <w:rsid w:val="00E90AEC"/>
    <w:rsid w:val="00E90FA0"/>
    <w:rsid w:val="00E917F5"/>
    <w:rsid w:val="00E9231E"/>
    <w:rsid w:val="00E923AC"/>
    <w:rsid w:val="00E923C0"/>
    <w:rsid w:val="00E92C98"/>
    <w:rsid w:val="00E937DA"/>
    <w:rsid w:val="00E93A93"/>
    <w:rsid w:val="00E93E28"/>
    <w:rsid w:val="00E94A37"/>
    <w:rsid w:val="00E9506B"/>
    <w:rsid w:val="00E952C7"/>
    <w:rsid w:val="00E952D7"/>
    <w:rsid w:val="00E956DA"/>
    <w:rsid w:val="00E95A63"/>
    <w:rsid w:val="00E95EF1"/>
    <w:rsid w:val="00E96DC2"/>
    <w:rsid w:val="00E9709F"/>
    <w:rsid w:val="00E97981"/>
    <w:rsid w:val="00EA0958"/>
    <w:rsid w:val="00EA096B"/>
    <w:rsid w:val="00EA3778"/>
    <w:rsid w:val="00EA37C8"/>
    <w:rsid w:val="00EA3F9B"/>
    <w:rsid w:val="00EA536E"/>
    <w:rsid w:val="00EA5420"/>
    <w:rsid w:val="00EA56FB"/>
    <w:rsid w:val="00EA5D30"/>
    <w:rsid w:val="00EA6E79"/>
    <w:rsid w:val="00EA7ABB"/>
    <w:rsid w:val="00EA7C10"/>
    <w:rsid w:val="00EB03D2"/>
    <w:rsid w:val="00EB0712"/>
    <w:rsid w:val="00EB0DE4"/>
    <w:rsid w:val="00EB0F25"/>
    <w:rsid w:val="00EB18D9"/>
    <w:rsid w:val="00EB19BA"/>
    <w:rsid w:val="00EB2771"/>
    <w:rsid w:val="00EB2B8E"/>
    <w:rsid w:val="00EB2ED9"/>
    <w:rsid w:val="00EB3366"/>
    <w:rsid w:val="00EB3B88"/>
    <w:rsid w:val="00EB3D53"/>
    <w:rsid w:val="00EB44F6"/>
    <w:rsid w:val="00EB4516"/>
    <w:rsid w:val="00EB4575"/>
    <w:rsid w:val="00EB517E"/>
    <w:rsid w:val="00EB5571"/>
    <w:rsid w:val="00EB60AF"/>
    <w:rsid w:val="00EB6319"/>
    <w:rsid w:val="00EB6517"/>
    <w:rsid w:val="00EB772D"/>
    <w:rsid w:val="00EB7C91"/>
    <w:rsid w:val="00EC06AB"/>
    <w:rsid w:val="00EC0C7B"/>
    <w:rsid w:val="00EC1228"/>
    <w:rsid w:val="00EC12E5"/>
    <w:rsid w:val="00EC16CF"/>
    <w:rsid w:val="00EC2FAE"/>
    <w:rsid w:val="00EC3330"/>
    <w:rsid w:val="00EC3B7A"/>
    <w:rsid w:val="00EC485A"/>
    <w:rsid w:val="00EC4885"/>
    <w:rsid w:val="00EC5070"/>
    <w:rsid w:val="00EC59F8"/>
    <w:rsid w:val="00ED1504"/>
    <w:rsid w:val="00ED2025"/>
    <w:rsid w:val="00ED2190"/>
    <w:rsid w:val="00ED279D"/>
    <w:rsid w:val="00ED385C"/>
    <w:rsid w:val="00ED3943"/>
    <w:rsid w:val="00ED3E0A"/>
    <w:rsid w:val="00ED4248"/>
    <w:rsid w:val="00ED44A6"/>
    <w:rsid w:val="00ED4C96"/>
    <w:rsid w:val="00ED5171"/>
    <w:rsid w:val="00ED621F"/>
    <w:rsid w:val="00ED6F38"/>
    <w:rsid w:val="00ED7042"/>
    <w:rsid w:val="00ED7A2E"/>
    <w:rsid w:val="00ED7D89"/>
    <w:rsid w:val="00EE087D"/>
    <w:rsid w:val="00EE09E7"/>
    <w:rsid w:val="00EE0FF3"/>
    <w:rsid w:val="00EE1804"/>
    <w:rsid w:val="00EE1859"/>
    <w:rsid w:val="00EE1AB0"/>
    <w:rsid w:val="00EE1E53"/>
    <w:rsid w:val="00EE259A"/>
    <w:rsid w:val="00EE25BB"/>
    <w:rsid w:val="00EE2676"/>
    <w:rsid w:val="00EE3569"/>
    <w:rsid w:val="00EE4BBC"/>
    <w:rsid w:val="00EE5936"/>
    <w:rsid w:val="00EE5F8F"/>
    <w:rsid w:val="00EE6AB3"/>
    <w:rsid w:val="00EE6F90"/>
    <w:rsid w:val="00EE77C9"/>
    <w:rsid w:val="00EE7DB3"/>
    <w:rsid w:val="00EF0BEE"/>
    <w:rsid w:val="00EF0C9D"/>
    <w:rsid w:val="00EF1149"/>
    <w:rsid w:val="00EF11E1"/>
    <w:rsid w:val="00EF12E2"/>
    <w:rsid w:val="00EF18AD"/>
    <w:rsid w:val="00EF1F50"/>
    <w:rsid w:val="00EF255B"/>
    <w:rsid w:val="00EF28CE"/>
    <w:rsid w:val="00EF30C6"/>
    <w:rsid w:val="00EF4039"/>
    <w:rsid w:val="00EF461C"/>
    <w:rsid w:val="00EF5417"/>
    <w:rsid w:val="00EF5891"/>
    <w:rsid w:val="00EF5E46"/>
    <w:rsid w:val="00EF6B5C"/>
    <w:rsid w:val="00F00B8A"/>
    <w:rsid w:val="00F010C1"/>
    <w:rsid w:val="00F012D4"/>
    <w:rsid w:val="00F01323"/>
    <w:rsid w:val="00F02BCA"/>
    <w:rsid w:val="00F031A9"/>
    <w:rsid w:val="00F031FB"/>
    <w:rsid w:val="00F03C73"/>
    <w:rsid w:val="00F04172"/>
    <w:rsid w:val="00F048C9"/>
    <w:rsid w:val="00F05125"/>
    <w:rsid w:val="00F063E5"/>
    <w:rsid w:val="00F06771"/>
    <w:rsid w:val="00F074A7"/>
    <w:rsid w:val="00F07B61"/>
    <w:rsid w:val="00F1059C"/>
    <w:rsid w:val="00F10695"/>
    <w:rsid w:val="00F11475"/>
    <w:rsid w:val="00F126D7"/>
    <w:rsid w:val="00F133B0"/>
    <w:rsid w:val="00F143F3"/>
    <w:rsid w:val="00F14440"/>
    <w:rsid w:val="00F144D0"/>
    <w:rsid w:val="00F14BC4"/>
    <w:rsid w:val="00F1500A"/>
    <w:rsid w:val="00F1531C"/>
    <w:rsid w:val="00F159AD"/>
    <w:rsid w:val="00F16003"/>
    <w:rsid w:val="00F1767D"/>
    <w:rsid w:val="00F17ADA"/>
    <w:rsid w:val="00F17D10"/>
    <w:rsid w:val="00F2049B"/>
    <w:rsid w:val="00F22701"/>
    <w:rsid w:val="00F2467E"/>
    <w:rsid w:val="00F25103"/>
    <w:rsid w:val="00F25C5A"/>
    <w:rsid w:val="00F271BD"/>
    <w:rsid w:val="00F273F5"/>
    <w:rsid w:val="00F31EA8"/>
    <w:rsid w:val="00F326E2"/>
    <w:rsid w:val="00F339DF"/>
    <w:rsid w:val="00F33CBD"/>
    <w:rsid w:val="00F3492E"/>
    <w:rsid w:val="00F34AED"/>
    <w:rsid w:val="00F350E6"/>
    <w:rsid w:val="00F35537"/>
    <w:rsid w:val="00F35729"/>
    <w:rsid w:val="00F36AF6"/>
    <w:rsid w:val="00F36C81"/>
    <w:rsid w:val="00F36EC8"/>
    <w:rsid w:val="00F3776F"/>
    <w:rsid w:val="00F3778E"/>
    <w:rsid w:val="00F37AFE"/>
    <w:rsid w:val="00F406F3"/>
    <w:rsid w:val="00F41065"/>
    <w:rsid w:val="00F4193A"/>
    <w:rsid w:val="00F41A9A"/>
    <w:rsid w:val="00F42D96"/>
    <w:rsid w:val="00F4335E"/>
    <w:rsid w:val="00F4353E"/>
    <w:rsid w:val="00F43909"/>
    <w:rsid w:val="00F439CC"/>
    <w:rsid w:val="00F4460A"/>
    <w:rsid w:val="00F44F4B"/>
    <w:rsid w:val="00F44F79"/>
    <w:rsid w:val="00F45363"/>
    <w:rsid w:val="00F454A1"/>
    <w:rsid w:val="00F4638E"/>
    <w:rsid w:val="00F4641B"/>
    <w:rsid w:val="00F4706F"/>
    <w:rsid w:val="00F47215"/>
    <w:rsid w:val="00F47851"/>
    <w:rsid w:val="00F4794A"/>
    <w:rsid w:val="00F506E2"/>
    <w:rsid w:val="00F51AE2"/>
    <w:rsid w:val="00F51D86"/>
    <w:rsid w:val="00F527FB"/>
    <w:rsid w:val="00F532D0"/>
    <w:rsid w:val="00F53BB7"/>
    <w:rsid w:val="00F53FEF"/>
    <w:rsid w:val="00F544DC"/>
    <w:rsid w:val="00F5554F"/>
    <w:rsid w:val="00F5567E"/>
    <w:rsid w:val="00F55E0A"/>
    <w:rsid w:val="00F55EBD"/>
    <w:rsid w:val="00F56DB3"/>
    <w:rsid w:val="00F57180"/>
    <w:rsid w:val="00F57464"/>
    <w:rsid w:val="00F57E7C"/>
    <w:rsid w:val="00F61130"/>
    <w:rsid w:val="00F61EFF"/>
    <w:rsid w:val="00F62204"/>
    <w:rsid w:val="00F6281B"/>
    <w:rsid w:val="00F62AD4"/>
    <w:rsid w:val="00F62F27"/>
    <w:rsid w:val="00F63885"/>
    <w:rsid w:val="00F64590"/>
    <w:rsid w:val="00F64BCE"/>
    <w:rsid w:val="00F65BB6"/>
    <w:rsid w:val="00F67BB1"/>
    <w:rsid w:val="00F71D1D"/>
    <w:rsid w:val="00F72F62"/>
    <w:rsid w:val="00F7325D"/>
    <w:rsid w:val="00F73E1D"/>
    <w:rsid w:val="00F742EF"/>
    <w:rsid w:val="00F74ACA"/>
    <w:rsid w:val="00F74AD1"/>
    <w:rsid w:val="00F74B97"/>
    <w:rsid w:val="00F74D12"/>
    <w:rsid w:val="00F74E77"/>
    <w:rsid w:val="00F75088"/>
    <w:rsid w:val="00F753D5"/>
    <w:rsid w:val="00F76498"/>
    <w:rsid w:val="00F76EF7"/>
    <w:rsid w:val="00F77CEA"/>
    <w:rsid w:val="00F77E82"/>
    <w:rsid w:val="00F80A0C"/>
    <w:rsid w:val="00F80BCD"/>
    <w:rsid w:val="00F80C14"/>
    <w:rsid w:val="00F81455"/>
    <w:rsid w:val="00F81796"/>
    <w:rsid w:val="00F82501"/>
    <w:rsid w:val="00F82FD7"/>
    <w:rsid w:val="00F8433F"/>
    <w:rsid w:val="00F8551D"/>
    <w:rsid w:val="00F863A4"/>
    <w:rsid w:val="00F86E3C"/>
    <w:rsid w:val="00F902DE"/>
    <w:rsid w:val="00F90A25"/>
    <w:rsid w:val="00F90AD2"/>
    <w:rsid w:val="00F90DE6"/>
    <w:rsid w:val="00F90ED1"/>
    <w:rsid w:val="00F90EE8"/>
    <w:rsid w:val="00F9105A"/>
    <w:rsid w:val="00F91915"/>
    <w:rsid w:val="00F91F42"/>
    <w:rsid w:val="00F920C8"/>
    <w:rsid w:val="00F9245F"/>
    <w:rsid w:val="00F92AE9"/>
    <w:rsid w:val="00F92B8A"/>
    <w:rsid w:val="00F92E6E"/>
    <w:rsid w:val="00F92F80"/>
    <w:rsid w:val="00F93BA9"/>
    <w:rsid w:val="00F93E4B"/>
    <w:rsid w:val="00F94447"/>
    <w:rsid w:val="00F94984"/>
    <w:rsid w:val="00F94B75"/>
    <w:rsid w:val="00F94E5E"/>
    <w:rsid w:val="00F96211"/>
    <w:rsid w:val="00F96B98"/>
    <w:rsid w:val="00F96ECE"/>
    <w:rsid w:val="00F975A0"/>
    <w:rsid w:val="00FA0928"/>
    <w:rsid w:val="00FA2720"/>
    <w:rsid w:val="00FA4664"/>
    <w:rsid w:val="00FA4D5A"/>
    <w:rsid w:val="00FA5A43"/>
    <w:rsid w:val="00FA6027"/>
    <w:rsid w:val="00FA6348"/>
    <w:rsid w:val="00FA68C8"/>
    <w:rsid w:val="00FA763B"/>
    <w:rsid w:val="00FA79E4"/>
    <w:rsid w:val="00FA7D2E"/>
    <w:rsid w:val="00FA7EA8"/>
    <w:rsid w:val="00FA7F29"/>
    <w:rsid w:val="00FB007D"/>
    <w:rsid w:val="00FB0134"/>
    <w:rsid w:val="00FB06E0"/>
    <w:rsid w:val="00FB244C"/>
    <w:rsid w:val="00FB249B"/>
    <w:rsid w:val="00FB255C"/>
    <w:rsid w:val="00FB25EC"/>
    <w:rsid w:val="00FB348B"/>
    <w:rsid w:val="00FB34C7"/>
    <w:rsid w:val="00FB3750"/>
    <w:rsid w:val="00FB4019"/>
    <w:rsid w:val="00FB430E"/>
    <w:rsid w:val="00FB496A"/>
    <w:rsid w:val="00FB5AB1"/>
    <w:rsid w:val="00FB5ABE"/>
    <w:rsid w:val="00FB5BBA"/>
    <w:rsid w:val="00FB5DBF"/>
    <w:rsid w:val="00FB696F"/>
    <w:rsid w:val="00FB6A41"/>
    <w:rsid w:val="00FB6DBB"/>
    <w:rsid w:val="00FB788E"/>
    <w:rsid w:val="00FB7C01"/>
    <w:rsid w:val="00FC1E08"/>
    <w:rsid w:val="00FC1F0D"/>
    <w:rsid w:val="00FC244C"/>
    <w:rsid w:val="00FC2497"/>
    <w:rsid w:val="00FC298C"/>
    <w:rsid w:val="00FC3830"/>
    <w:rsid w:val="00FC38AB"/>
    <w:rsid w:val="00FC3BFF"/>
    <w:rsid w:val="00FC4FE4"/>
    <w:rsid w:val="00FC532B"/>
    <w:rsid w:val="00FC549C"/>
    <w:rsid w:val="00FC54CE"/>
    <w:rsid w:val="00FC58E7"/>
    <w:rsid w:val="00FC6644"/>
    <w:rsid w:val="00FC6666"/>
    <w:rsid w:val="00FC6CC8"/>
    <w:rsid w:val="00FC6F4F"/>
    <w:rsid w:val="00FC6FA6"/>
    <w:rsid w:val="00FC7BEE"/>
    <w:rsid w:val="00FD0F6C"/>
    <w:rsid w:val="00FD2034"/>
    <w:rsid w:val="00FD22FD"/>
    <w:rsid w:val="00FD4A22"/>
    <w:rsid w:val="00FD5E52"/>
    <w:rsid w:val="00FD6780"/>
    <w:rsid w:val="00FD6D6D"/>
    <w:rsid w:val="00FD75A4"/>
    <w:rsid w:val="00FD7777"/>
    <w:rsid w:val="00FE0572"/>
    <w:rsid w:val="00FE0982"/>
    <w:rsid w:val="00FE0B35"/>
    <w:rsid w:val="00FE15EA"/>
    <w:rsid w:val="00FE2E9B"/>
    <w:rsid w:val="00FE36D7"/>
    <w:rsid w:val="00FE3F9D"/>
    <w:rsid w:val="00FE4AAC"/>
    <w:rsid w:val="00FE56A1"/>
    <w:rsid w:val="00FE5AC3"/>
    <w:rsid w:val="00FE5CB1"/>
    <w:rsid w:val="00FE7A7B"/>
    <w:rsid w:val="00FE7B91"/>
    <w:rsid w:val="00FF009F"/>
    <w:rsid w:val="00FF084D"/>
    <w:rsid w:val="00FF0AFC"/>
    <w:rsid w:val="00FF1453"/>
    <w:rsid w:val="00FF15DA"/>
    <w:rsid w:val="00FF1633"/>
    <w:rsid w:val="00FF236C"/>
    <w:rsid w:val="00FF265E"/>
    <w:rsid w:val="00FF2B50"/>
    <w:rsid w:val="00FF2C20"/>
    <w:rsid w:val="00FF2F86"/>
    <w:rsid w:val="00FF2FC1"/>
    <w:rsid w:val="00FF39AD"/>
    <w:rsid w:val="00FF3A04"/>
    <w:rsid w:val="00FF3F3D"/>
    <w:rsid w:val="00FF4044"/>
    <w:rsid w:val="00FF40D4"/>
    <w:rsid w:val="00FF51AB"/>
    <w:rsid w:val="00FF5413"/>
    <w:rsid w:val="00FF6106"/>
    <w:rsid w:val="00FF61A4"/>
    <w:rsid w:val="00FF6413"/>
    <w:rsid w:val="00FF6DBF"/>
    <w:rsid w:val="00FF716A"/>
    <w:rsid w:val="00FF730C"/>
    <w:rsid w:val="00FF7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7F82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040A5"/>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9B4D7A"/>
    <w:pPr>
      <w:keepNext/>
      <w:keepLines/>
      <w:numPr>
        <w:numId w:val="1"/>
      </w:numPr>
      <w:spacing w:before="120" w:after="120"/>
      <w:outlineLvl w:val="0"/>
    </w:pPr>
    <w:rPr>
      <w:rFonts w:ascii="Arial" w:eastAsiaTheme="majorEastAsia" w:hAnsi="Arial" w:cstheme="majorBidi"/>
      <w:b/>
      <w:bCs/>
      <w:sz w:val="22"/>
      <w:szCs w:val="28"/>
    </w:rPr>
  </w:style>
  <w:style w:type="paragraph" w:styleId="Heading2">
    <w:name w:val="heading 2"/>
    <w:basedOn w:val="Normal"/>
    <w:next w:val="Normal"/>
    <w:link w:val="Heading2Char"/>
    <w:uiPriority w:val="9"/>
    <w:unhideWhenUsed/>
    <w:qFormat/>
    <w:rsid w:val="009B4D7A"/>
    <w:pPr>
      <w:keepNext/>
      <w:keepLines/>
      <w:spacing w:before="120" w:after="120"/>
      <w:outlineLvl w:val="1"/>
    </w:pPr>
    <w:rPr>
      <w:rFonts w:ascii="Arial" w:eastAsiaTheme="majorEastAsia" w:hAnsi="Arial" w:cstheme="majorBidi"/>
      <w:b/>
      <w:bCs/>
      <w:noProof/>
      <w:sz w:val="22"/>
      <w:szCs w:val="26"/>
    </w:rPr>
  </w:style>
  <w:style w:type="paragraph" w:styleId="Heading3">
    <w:name w:val="heading 3"/>
    <w:basedOn w:val="Normal"/>
    <w:next w:val="Normal"/>
    <w:link w:val="Heading3Char"/>
    <w:uiPriority w:val="9"/>
    <w:unhideWhenUsed/>
    <w:qFormat/>
    <w:rsid w:val="009B4D7A"/>
    <w:pPr>
      <w:keepNext/>
      <w:keepLines/>
      <w:numPr>
        <w:numId w:val="3"/>
      </w:numPr>
      <w:spacing w:before="200"/>
      <w:ind w:left="1800"/>
      <w:outlineLvl w:val="2"/>
    </w:pPr>
    <w:rPr>
      <w:rFonts w:ascii="Arial" w:eastAsiaTheme="majorEastAsia" w:hAnsi="Arial" w:cs="Arial"/>
      <w:b/>
      <w:bCs/>
      <w:sz w:val="22"/>
      <w:szCs w:val="26"/>
    </w:rPr>
  </w:style>
  <w:style w:type="paragraph" w:styleId="Heading4">
    <w:name w:val="heading 4"/>
    <w:basedOn w:val="Normal"/>
    <w:next w:val="Normal"/>
    <w:link w:val="Heading4Char"/>
    <w:uiPriority w:val="9"/>
    <w:semiHidden/>
    <w:unhideWhenUsed/>
    <w:qFormat/>
    <w:rsid w:val="009B4D7A"/>
    <w:pPr>
      <w:autoSpaceDE w:val="0"/>
      <w:autoSpaceDN w:val="0"/>
      <w:adjustRightInd w:val="0"/>
      <w:jc w:val="both"/>
      <w:outlineLvl w:val="3"/>
    </w:pPr>
    <w:rPr>
      <w:rFonts w:ascii="Arial" w:eastAsia="Times New Roman" w:hAnsi="Arial" w:cs="Arial"/>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D7A"/>
    <w:rPr>
      <w:rFonts w:ascii="Arial" w:eastAsiaTheme="majorEastAsia" w:hAnsi="Arial" w:cstheme="majorBidi"/>
      <w:b/>
      <w:bCs/>
      <w:szCs w:val="28"/>
    </w:rPr>
  </w:style>
  <w:style w:type="character" w:customStyle="1" w:styleId="Heading2Char">
    <w:name w:val="Heading 2 Char"/>
    <w:basedOn w:val="DefaultParagraphFont"/>
    <w:link w:val="Heading2"/>
    <w:uiPriority w:val="9"/>
    <w:rsid w:val="009B4D7A"/>
    <w:rPr>
      <w:rFonts w:ascii="Arial" w:eastAsiaTheme="majorEastAsia" w:hAnsi="Arial" w:cstheme="majorBidi"/>
      <w:b/>
      <w:bCs/>
      <w:noProof/>
      <w:szCs w:val="26"/>
    </w:rPr>
  </w:style>
  <w:style w:type="character" w:customStyle="1" w:styleId="Heading3Char">
    <w:name w:val="Heading 3 Char"/>
    <w:basedOn w:val="DefaultParagraphFont"/>
    <w:link w:val="Heading3"/>
    <w:uiPriority w:val="9"/>
    <w:rsid w:val="009B4D7A"/>
    <w:rPr>
      <w:rFonts w:ascii="Arial" w:eastAsiaTheme="majorEastAsia" w:hAnsi="Arial" w:cs="Arial"/>
      <w:b/>
      <w:bCs/>
      <w:szCs w:val="26"/>
    </w:rPr>
  </w:style>
  <w:style w:type="character" w:customStyle="1" w:styleId="Heading4Char">
    <w:name w:val="Heading 4 Char"/>
    <w:basedOn w:val="DefaultParagraphFont"/>
    <w:link w:val="Heading4"/>
    <w:uiPriority w:val="9"/>
    <w:semiHidden/>
    <w:rsid w:val="009B4D7A"/>
    <w:rPr>
      <w:rFonts w:ascii="Arial" w:eastAsia="Times New Roman" w:hAnsi="Arial" w:cs="Arial"/>
      <w:sz w:val="18"/>
    </w:rPr>
  </w:style>
  <w:style w:type="character" w:styleId="Hyperlink">
    <w:name w:val="Hyperlink"/>
    <w:basedOn w:val="DefaultParagraphFont"/>
    <w:uiPriority w:val="99"/>
    <w:unhideWhenUsed/>
    <w:rsid w:val="009B4D7A"/>
    <w:rPr>
      <w:color w:val="0000FF" w:themeColor="hyperlink"/>
      <w:u w:val="single"/>
    </w:rPr>
  </w:style>
  <w:style w:type="character" w:styleId="FollowedHyperlink">
    <w:name w:val="FollowedHyperlink"/>
    <w:basedOn w:val="DefaultParagraphFont"/>
    <w:uiPriority w:val="99"/>
    <w:semiHidden/>
    <w:unhideWhenUsed/>
    <w:rsid w:val="009B4D7A"/>
    <w:rPr>
      <w:color w:val="800080" w:themeColor="followedHyperlink"/>
      <w:u w:val="single"/>
    </w:rPr>
  </w:style>
  <w:style w:type="paragraph" w:styleId="TOC1">
    <w:name w:val="toc 1"/>
    <w:basedOn w:val="Normal"/>
    <w:next w:val="Normal"/>
    <w:autoRedefine/>
    <w:uiPriority w:val="39"/>
    <w:unhideWhenUsed/>
    <w:rsid w:val="009B4D7A"/>
    <w:pPr>
      <w:spacing w:after="100"/>
    </w:pPr>
    <w:rPr>
      <w:rFonts w:ascii="Arial" w:hAnsi="Arial" w:cstheme="minorBidi"/>
      <w:sz w:val="22"/>
      <w:szCs w:val="22"/>
    </w:rPr>
  </w:style>
  <w:style w:type="paragraph" w:styleId="TOC2">
    <w:name w:val="toc 2"/>
    <w:basedOn w:val="Normal"/>
    <w:next w:val="Normal"/>
    <w:autoRedefine/>
    <w:uiPriority w:val="39"/>
    <w:unhideWhenUsed/>
    <w:rsid w:val="00F81455"/>
    <w:pPr>
      <w:tabs>
        <w:tab w:val="left" w:pos="880"/>
        <w:tab w:val="right" w:leader="dot" w:pos="9350"/>
      </w:tabs>
      <w:spacing w:after="100"/>
      <w:ind w:left="220"/>
    </w:pPr>
    <w:rPr>
      <w:rFonts w:ascii="Arial" w:hAnsi="Arial"/>
      <w:noProof/>
      <w:sz w:val="22"/>
      <w:szCs w:val="22"/>
    </w:rPr>
  </w:style>
  <w:style w:type="paragraph" w:styleId="TOC3">
    <w:name w:val="toc 3"/>
    <w:basedOn w:val="Normal"/>
    <w:next w:val="Normal"/>
    <w:autoRedefine/>
    <w:uiPriority w:val="39"/>
    <w:unhideWhenUsed/>
    <w:rsid w:val="009B4D7A"/>
    <w:pPr>
      <w:spacing w:after="100"/>
      <w:ind w:left="440"/>
    </w:pPr>
    <w:rPr>
      <w:rFonts w:ascii="Arial" w:hAnsi="Arial" w:cstheme="minorBidi"/>
      <w:sz w:val="22"/>
      <w:szCs w:val="22"/>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locked/>
    <w:rsid w:val="009B4D7A"/>
    <w:rPr>
      <w:rFonts w:ascii="Times New Roman" w:eastAsia="Times New Roman" w:hAnsi="Times New Roman" w:cs="Times New Roman"/>
      <w:sz w:val="24"/>
      <w:szCs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unhideWhenUsed/>
    <w:qFormat/>
    <w:rsid w:val="009B4D7A"/>
    <w:rPr>
      <w:rFonts w:eastAsia="Times New Roman"/>
      <w:lang w:val="es-ES"/>
    </w:rPr>
  </w:style>
  <w:style w:type="character" w:customStyle="1" w:styleId="FootnoteTextChar1">
    <w:name w:val="Footnote Text Char1"/>
    <w:aliases w:val="fn Char1,texto de nota al pie Char1,Texto nota pie Car Car Car Car Car Car Car Car Char1,Texto nota pie Car Car Car Char1,Footnote Text Char Char Char Char Char Char Char1,Texto nota pie Car Car Car Car Car Char1,single space Char"/>
    <w:basedOn w:val="DefaultParagraphFont"/>
    <w:uiPriority w:val="99"/>
    <w:semiHidden/>
    <w:rsid w:val="009B4D7A"/>
    <w:rPr>
      <w:rFonts w:ascii="Arial" w:hAnsi="Arial"/>
      <w:sz w:val="20"/>
      <w:szCs w:val="20"/>
    </w:rPr>
  </w:style>
  <w:style w:type="character" w:customStyle="1" w:styleId="HeaderChar">
    <w:name w:val="Header Char"/>
    <w:aliases w:val="KH Heading 2 Char"/>
    <w:basedOn w:val="DefaultParagraphFont"/>
    <w:link w:val="Header"/>
    <w:uiPriority w:val="99"/>
    <w:locked/>
    <w:rsid w:val="009B4D7A"/>
    <w:rPr>
      <w:rFonts w:ascii="Arial" w:hAnsi="Arial" w:cs="Arial"/>
    </w:rPr>
  </w:style>
  <w:style w:type="paragraph" w:styleId="Header">
    <w:name w:val="header"/>
    <w:aliases w:val="KH Heading 2"/>
    <w:basedOn w:val="Normal"/>
    <w:link w:val="HeaderChar"/>
    <w:uiPriority w:val="99"/>
    <w:unhideWhenUsed/>
    <w:rsid w:val="009B4D7A"/>
    <w:pPr>
      <w:tabs>
        <w:tab w:val="center" w:pos="4680"/>
        <w:tab w:val="right" w:pos="9360"/>
      </w:tabs>
    </w:pPr>
    <w:rPr>
      <w:rFonts w:ascii="Arial" w:hAnsi="Arial" w:cs="Arial"/>
      <w:sz w:val="22"/>
      <w:szCs w:val="22"/>
    </w:rPr>
  </w:style>
  <w:style w:type="character" w:customStyle="1" w:styleId="HeaderChar1">
    <w:name w:val="Header Char1"/>
    <w:aliases w:val="KH Heading 2 Char1"/>
    <w:basedOn w:val="DefaultParagraphFont"/>
    <w:uiPriority w:val="99"/>
    <w:semiHidden/>
    <w:rsid w:val="009B4D7A"/>
    <w:rPr>
      <w:rFonts w:ascii="Arial" w:hAnsi="Arial"/>
    </w:rPr>
  </w:style>
  <w:style w:type="paragraph" w:styleId="Footer">
    <w:name w:val="footer"/>
    <w:basedOn w:val="Normal"/>
    <w:link w:val="FooterChar"/>
    <w:uiPriority w:val="99"/>
    <w:unhideWhenUsed/>
    <w:rsid w:val="009B4D7A"/>
    <w:pPr>
      <w:tabs>
        <w:tab w:val="center" w:pos="4680"/>
        <w:tab w:val="right" w:pos="9360"/>
      </w:tabs>
    </w:pPr>
    <w:rPr>
      <w:rFonts w:ascii="Arial" w:hAnsi="Arial" w:cstheme="minorBidi"/>
      <w:sz w:val="22"/>
      <w:szCs w:val="22"/>
    </w:rPr>
  </w:style>
  <w:style w:type="character" w:customStyle="1" w:styleId="FooterChar">
    <w:name w:val="Footer Char"/>
    <w:basedOn w:val="DefaultParagraphFont"/>
    <w:link w:val="Footer"/>
    <w:uiPriority w:val="99"/>
    <w:rsid w:val="009B4D7A"/>
    <w:rPr>
      <w:rFonts w:ascii="Arial" w:hAnsi="Arial"/>
    </w:rPr>
  </w:style>
  <w:style w:type="paragraph" w:styleId="Title">
    <w:name w:val="Title"/>
    <w:basedOn w:val="Normal"/>
    <w:next w:val="Normal"/>
    <w:link w:val="TitleChar"/>
    <w:uiPriority w:val="10"/>
    <w:qFormat/>
    <w:rsid w:val="009B4D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B4D7A"/>
    <w:rPr>
      <w:rFonts w:asciiTheme="majorHAnsi" w:eastAsiaTheme="majorEastAsia" w:hAnsiTheme="majorHAnsi" w:cstheme="majorBidi"/>
      <w:color w:val="17365D" w:themeColor="text2" w:themeShade="BF"/>
      <w:spacing w:val="5"/>
      <w:kern w:val="28"/>
      <w:sz w:val="52"/>
      <w:szCs w:val="52"/>
    </w:rPr>
  </w:style>
  <w:style w:type="paragraph" w:styleId="DocumentMap">
    <w:name w:val="Document Map"/>
    <w:basedOn w:val="Normal"/>
    <w:link w:val="DocumentMapChar"/>
    <w:uiPriority w:val="99"/>
    <w:semiHidden/>
    <w:unhideWhenUsed/>
    <w:rsid w:val="009B4D7A"/>
    <w:rPr>
      <w:rFonts w:ascii="Lucida Grande" w:hAnsi="Lucida Grande" w:cs="Lucida Grande"/>
    </w:rPr>
  </w:style>
  <w:style w:type="character" w:customStyle="1" w:styleId="DocumentMapChar">
    <w:name w:val="Document Map Char"/>
    <w:basedOn w:val="DefaultParagraphFont"/>
    <w:link w:val="DocumentMap"/>
    <w:uiPriority w:val="99"/>
    <w:semiHidden/>
    <w:rsid w:val="009B4D7A"/>
    <w:rPr>
      <w:rFonts w:ascii="Lucida Grande" w:hAnsi="Lucida Grande" w:cs="Lucida Grande"/>
      <w:sz w:val="24"/>
      <w:szCs w:val="24"/>
    </w:rPr>
  </w:style>
  <w:style w:type="paragraph" w:styleId="BalloonText">
    <w:name w:val="Balloon Text"/>
    <w:basedOn w:val="Normal"/>
    <w:link w:val="BalloonTextChar"/>
    <w:uiPriority w:val="99"/>
    <w:semiHidden/>
    <w:unhideWhenUsed/>
    <w:rsid w:val="009B4D7A"/>
    <w:rPr>
      <w:rFonts w:ascii="Tahoma" w:hAnsi="Tahoma" w:cs="Tahoma"/>
      <w:sz w:val="16"/>
      <w:szCs w:val="16"/>
    </w:rPr>
  </w:style>
  <w:style w:type="character" w:customStyle="1" w:styleId="BalloonTextChar">
    <w:name w:val="Balloon Text Char"/>
    <w:basedOn w:val="DefaultParagraphFont"/>
    <w:link w:val="BalloonText"/>
    <w:uiPriority w:val="99"/>
    <w:semiHidden/>
    <w:rsid w:val="009B4D7A"/>
    <w:rPr>
      <w:rFonts w:ascii="Tahoma" w:hAnsi="Tahoma" w:cs="Tahoma"/>
      <w:sz w:val="16"/>
      <w:szCs w:val="16"/>
    </w:rPr>
  </w:style>
  <w:style w:type="paragraph" w:styleId="ListParagraph">
    <w:name w:val="List Paragraph"/>
    <w:basedOn w:val="Normal"/>
    <w:link w:val="ListParagraphChar"/>
    <w:uiPriority w:val="34"/>
    <w:qFormat/>
    <w:rsid w:val="009B4D7A"/>
    <w:pPr>
      <w:ind w:left="720"/>
      <w:contextualSpacing/>
    </w:pPr>
    <w:rPr>
      <w:rFonts w:ascii="Arial" w:hAnsi="Arial" w:cstheme="minorBidi"/>
      <w:sz w:val="22"/>
      <w:szCs w:val="22"/>
    </w:rPr>
  </w:style>
  <w:style w:type="paragraph" w:styleId="TOCHeading">
    <w:name w:val="TOC Heading"/>
    <w:basedOn w:val="Heading1"/>
    <w:next w:val="Normal"/>
    <w:uiPriority w:val="39"/>
    <w:semiHidden/>
    <w:unhideWhenUsed/>
    <w:qFormat/>
    <w:rsid w:val="009B4D7A"/>
    <w:pPr>
      <w:numPr>
        <w:numId w:val="0"/>
      </w:numPr>
      <w:outlineLvl w:val="9"/>
    </w:pPr>
    <w:rPr>
      <w:lang w:eastAsia="ja-JP"/>
    </w:rPr>
  </w:style>
  <w:style w:type="character" w:customStyle="1" w:styleId="DefaultChar">
    <w:name w:val="Default Char"/>
    <w:basedOn w:val="DefaultParagraphFont"/>
    <w:link w:val="Default"/>
    <w:locked/>
    <w:rsid w:val="009B4D7A"/>
    <w:rPr>
      <w:rFonts w:ascii="Calibri" w:eastAsia="Times New Roman" w:hAnsi="Calibri" w:cs="Times New Roman"/>
      <w:color w:val="000000"/>
      <w:sz w:val="24"/>
      <w:szCs w:val="24"/>
    </w:rPr>
  </w:style>
  <w:style w:type="paragraph" w:customStyle="1" w:styleId="Default">
    <w:name w:val="Default"/>
    <w:link w:val="DefaultChar"/>
    <w:rsid w:val="009B4D7A"/>
    <w:pPr>
      <w:autoSpaceDE w:val="0"/>
      <w:autoSpaceDN w:val="0"/>
      <w:adjustRightInd w:val="0"/>
      <w:spacing w:after="0" w:line="240" w:lineRule="auto"/>
    </w:pPr>
    <w:rPr>
      <w:rFonts w:ascii="Calibri" w:eastAsia="Times New Roman" w:hAnsi="Calibri" w:cs="Times New Roman"/>
      <w:color w:val="000000"/>
      <w:sz w:val="24"/>
      <w:szCs w:val="24"/>
    </w:rPr>
  </w:style>
  <w:style w:type="character" w:styleId="FootnoteReference">
    <w:name w:val="footnote reference"/>
    <w:aliases w:val="titulo 2,Style 24,pie pddes,referencia nota al pie,Fußnotenzeichen DISS,16 Point,Superscript 6 Point,ftref,FC,BVI fnr, BVI fnr,Знак сноски 1,Footnote Reference Number,Footnote,Ref,de nota al pie,Normal + Font:9 Point,SUPERS,number"/>
    <w:unhideWhenUsed/>
    <w:rsid w:val="009B4D7A"/>
    <w:rPr>
      <w:vertAlign w:val="superscript"/>
    </w:rPr>
  </w:style>
  <w:style w:type="character" w:styleId="SubtleEmphasis">
    <w:name w:val="Subtle Emphasis"/>
    <w:basedOn w:val="DefaultParagraphFont"/>
    <w:uiPriority w:val="19"/>
    <w:qFormat/>
    <w:rsid w:val="009B4D7A"/>
    <w:rPr>
      <w:i/>
      <w:iCs/>
      <w:color w:val="808080" w:themeColor="text1" w:themeTint="7F"/>
    </w:rPr>
  </w:style>
  <w:style w:type="table" w:styleId="TableGrid">
    <w:name w:val="Table Grid"/>
    <w:basedOn w:val="TableNormal"/>
    <w:uiPriority w:val="39"/>
    <w:rsid w:val="009B4D7A"/>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B4D7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rsid w:val="008E3065"/>
    <w:pPr>
      <w:numPr>
        <w:numId w:val="4"/>
      </w:numPr>
    </w:pPr>
  </w:style>
  <w:style w:type="table" w:customStyle="1" w:styleId="TableGrid7">
    <w:name w:val="Table Grid7"/>
    <w:basedOn w:val="TableNormal"/>
    <w:next w:val="TableGrid"/>
    <w:uiPriority w:val="59"/>
    <w:rsid w:val="008E306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7B1A36"/>
    <w:rPr>
      <w:sz w:val="16"/>
      <w:szCs w:val="16"/>
    </w:rPr>
  </w:style>
  <w:style w:type="paragraph" w:styleId="CommentText">
    <w:name w:val="annotation text"/>
    <w:basedOn w:val="Normal"/>
    <w:link w:val="CommentTextChar"/>
    <w:uiPriority w:val="99"/>
    <w:semiHidden/>
    <w:unhideWhenUsed/>
    <w:rsid w:val="007B1A36"/>
    <w:rPr>
      <w:sz w:val="20"/>
      <w:szCs w:val="20"/>
    </w:rPr>
  </w:style>
  <w:style w:type="character" w:customStyle="1" w:styleId="CommentTextChar">
    <w:name w:val="Comment Text Char"/>
    <w:basedOn w:val="DefaultParagraphFont"/>
    <w:link w:val="CommentText"/>
    <w:uiPriority w:val="99"/>
    <w:semiHidden/>
    <w:rsid w:val="007B1A3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B1A36"/>
    <w:rPr>
      <w:b/>
      <w:bCs/>
    </w:rPr>
  </w:style>
  <w:style w:type="character" w:customStyle="1" w:styleId="CommentSubjectChar">
    <w:name w:val="Comment Subject Char"/>
    <w:basedOn w:val="CommentTextChar"/>
    <w:link w:val="CommentSubject"/>
    <w:uiPriority w:val="99"/>
    <w:semiHidden/>
    <w:rsid w:val="007B1A36"/>
    <w:rPr>
      <w:rFonts w:ascii="Arial" w:hAnsi="Arial"/>
      <w:b/>
      <w:bCs/>
      <w:sz w:val="20"/>
      <w:szCs w:val="20"/>
    </w:rPr>
  </w:style>
  <w:style w:type="paragraph" w:customStyle="1" w:styleId="p1">
    <w:name w:val="p1"/>
    <w:basedOn w:val="Normal"/>
    <w:rsid w:val="00C163A8"/>
    <w:rPr>
      <w:rFonts w:ascii="Helvetica" w:hAnsi="Helvetica"/>
      <w:sz w:val="18"/>
      <w:szCs w:val="18"/>
    </w:rPr>
  </w:style>
  <w:style w:type="character" w:customStyle="1" w:styleId="s1">
    <w:name w:val="s1"/>
    <w:basedOn w:val="DefaultParagraphFont"/>
    <w:rsid w:val="00034E90"/>
    <w:rPr>
      <w:rFonts w:ascii="Helvetica" w:hAnsi="Helvetica" w:hint="default"/>
      <w:sz w:val="11"/>
      <w:szCs w:val="11"/>
    </w:rPr>
  </w:style>
  <w:style w:type="paragraph" w:customStyle="1" w:styleId="p2">
    <w:name w:val="p2"/>
    <w:basedOn w:val="Normal"/>
    <w:rsid w:val="008A2544"/>
    <w:rPr>
      <w:sz w:val="17"/>
      <w:szCs w:val="17"/>
    </w:rPr>
  </w:style>
  <w:style w:type="character" w:customStyle="1" w:styleId="apple-converted-space">
    <w:name w:val="apple-converted-space"/>
    <w:basedOn w:val="DefaultParagraphFont"/>
    <w:rsid w:val="008A2544"/>
  </w:style>
  <w:style w:type="character" w:customStyle="1" w:styleId="ListParagraphChar">
    <w:name w:val="List Paragraph Char"/>
    <w:basedOn w:val="DefaultParagraphFont"/>
    <w:link w:val="ListParagraph"/>
    <w:uiPriority w:val="34"/>
    <w:rsid w:val="00E64E52"/>
    <w:rPr>
      <w:rFonts w:ascii="Arial" w:hAnsi="Arial"/>
    </w:rPr>
  </w:style>
  <w:style w:type="paragraph" w:customStyle="1" w:styleId="Paragraph">
    <w:name w:val="Paragraph"/>
    <w:aliases w:val="p,PARAGRAPH,PG,pa,at,paragraph"/>
    <w:basedOn w:val="BodyTextIndent"/>
    <w:link w:val="ParagraphChar"/>
    <w:rsid w:val="006F47E4"/>
    <w:pPr>
      <w:numPr>
        <w:ilvl w:val="1"/>
        <w:numId w:val="10"/>
      </w:numPr>
      <w:tabs>
        <w:tab w:val="clear" w:pos="2448"/>
        <w:tab w:val="num" w:pos="720"/>
      </w:tabs>
      <w:spacing w:before="120"/>
      <w:ind w:left="720" w:hanging="720"/>
      <w:jc w:val="both"/>
      <w:outlineLvl w:val="1"/>
    </w:pPr>
    <w:rPr>
      <w:rFonts w:ascii="Times New Roman" w:eastAsia="Times New Roman" w:hAnsi="Times New Roman" w:cs="Times New Roman"/>
      <w:sz w:val="24"/>
      <w:szCs w:val="20"/>
    </w:rPr>
  </w:style>
  <w:style w:type="character" w:customStyle="1" w:styleId="ParagraphChar">
    <w:name w:val="Paragraph Char"/>
    <w:aliases w:val="paragraph Char,p Char,PARAGRAPH Char,PG Char,pa Char,at Char"/>
    <w:basedOn w:val="DefaultParagraphFont"/>
    <w:link w:val="Paragraph"/>
    <w:rsid w:val="006F47E4"/>
    <w:rPr>
      <w:rFonts w:ascii="Times New Roman" w:eastAsia="Times New Roman" w:hAnsi="Times New Roman" w:cs="Times New Roman"/>
      <w:sz w:val="24"/>
      <w:szCs w:val="20"/>
    </w:rPr>
  </w:style>
  <w:style w:type="paragraph" w:customStyle="1" w:styleId="Chapter">
    <w:name w:val="Chapter"/>
    <w:basedOn w:val="Normal"/>
    <w:next w:val="Normal"/>
    <w:rsid w:val="006F47E4"/>
    <w:pPr>
      <w:keepNext/>
      <w:numPr>
        <w:numId w:val="10"/>
      </w:numPr>
      <w:tabs>
        <w:tab w:val="clear" w:pos="1800"/>
        <w:tab w:val="num" w:pos="648"/>
        <w:tab w:val="left" w:pos="1440"/>
      </w:tabs>
      <w:spacing w:before="240" w:after="240"/>
      <w:ind w:left="0"/>
      <w:jc w:val="center"/>
    </w:pPr>
    <w:rPr>
      <w:rFonts w:eastAsiaTheme="minorEastAsia"/>
      <w:b/>
      <w:smallCaps/>
      <w:szCs w:val="20"/>
    </w:rPr>
  </w:style>
  <w:style w:type="paragraph" w:customStyle="1" w:styleId="subpar">
    <w:name w:val="subpar"/>
    <w:basedOn w:val="BodyTextIndent3"/>
    <w:rsid w:val="006F47E4"/>
    <w:pPr>
      <w:numPr>
        <w:ilvl w:val="2"/>
        <w:numId w:val="10"/>
      </w:numPr>
      <w:tabs>
        <w:tab w:val="clear" w:pos="2304"/>
        <w:tab w:val="num" w:pos="1152"/>
      </w:tabs>
      <w:spacing w:before="120"/>
      <w:ind w:left="1152" w:hanging="360"/>
      <w:jc w:val="both"/>
      <w:outlineLvl w:val="2"/>
    </w:pPr>
    <w:rPr>
      <w:rFonts w:ascii="Times New Roman" w:eastAsiaTheme="minorEastAsia" w:hAnsi="Times New Roman" w:cs="Times New Roman"/>
      <w:sz w:val="24"/>
      <w:szCs w:val="20"/>
    </w:rPr>
  </w:style>
  <w:style w:type="paragraph" w:customStyle="1" w:styleId="SubSubPar">
    <w:name w:val="SubSubPar"/>
    <w:basedOn w:val="subpar"/>
    <w:rsid w:val="006F47E4"/>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6F47E4"/>
    <w:pPr>
      <w:spacing w:after="120"/>
      <w:ind w:left="360"/>
    </w:pPr>
    <w:rPr>
      <w:rFonts w:ascii="Arial" w:hAnsi="Arial" w:cstheme="minorBidi"/>
      <w:sz w:val="22"/>
      <w:szCs w:val="22"/>
    </w:rPr>
  </w:style>
  <w:style w:type="character" w:customStyle="1" w:styleId="BodyTextIndentChar">
    <w:name w:val="Body Text Indent Char"/>
    <w:basedOn w:val="DefaultParagraphFont"/>
    <w:link w:val="BodyTextIndent"/>
    <w:uiPriority w:val="99"/>
    <w:semiHidden/>
    <w:rsid w:val="006F47E4"/>
    <w:rPr>
      <w:rFonts w:ascii="Arial" w:hAnsi="Arial"/>
    </w:rPr>
  </w:style>
  <w:style w:type="paragraph" w:styleId="BodyTextIndent3">
    <w:name w:val="Body Text Indent 3"/>
    <w:basedOn w:val="Normal"/>
    <w:link w:val="BodyTextIndent3Char"/>
    <w:uiPriority w:val="99"/>
    <w:semiHidden/>
    <w:unhideWhenUsed/>
    <w:rsid w:val="006F47E4"/>
    <w:pPr>
      <w:spacing w:after="120"/>
      <w:ind w:left="360"/>
    </w:pPr>
    <w:rPr>
      <w:rFonts w:ascii="Arial" w:hAnsi="Arial" w:cstheme="minorBidi"/>
      <w:sz w:val="16"/>
      <w:szCs w:val="16"/>
    </w:rPr>
  </w:style>
  <w:style w:type="character" w:customStyle="1" w:styleId="BodyTextIndent3Char">
    <w:name w:val="Body Text Indent 3 Char"/>
    <w:basedOn w:val="DefaultParagraphFont"/>
    <w:link w:val="BodyTextIndent3"/>
    <w:uiPriority w:val="99"/>
    <w:semiHidden/>
    <w:rsid w:val="006F47E4"/>
    <w:rPr>
      <w:rFonts w:ascii="Arial" w:hAnsi="Arial"/>
      <w:sz w:val="16"/>
      <w:szCs w:val="16"/>
    </w:rPr>
  </w:style>
  <w:style w:type="table" w:styleId="TableGridLight">
    <w:name w:val="Grid Table Light"/>
    <w:basedOn w:val="TableNormal"/>
    <w:uiPriority w:val="40"/>
    <w:rsid w:val="00C91621"/>
    <w:pPr>
      <w:spacing w:after="0" w:line="240" w:lineRule="auto"/>
    </w:pPr>
    <w:rPr>
      <w:rFonts w:ascii="Times New Roman" w:hAnsi="Times New Roman"/>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2">
    <w:name w:val="s2"/>
    <w:basedOn w:val="DefaultParagraphFont"/>
    <w:rsid w:val="007917B0"/>
    <w:rPr>
      <w:rFonts w:ascii="Helvetica" w:hAnsi="Helvetica" w:hint="default"/>
      <w:sz w:val="24"/>
      <w:szCs w:val="24"/>
    </w:rPr>
  </w:style>
  <w:style w:type="character" w:styleId="PageNumber">
    <w:name w:val="page number"/>
    <w:basedOn w:val="DefaultParagraphFont"/>
    <w:uiPriority w:val="99"/>
    <w:semiHidden/>
    <w:unhideWhenUsed/>
    <w:rsid w:val="00447C1B"/>
  </w:style>
  <w:style w:type="paragraph" w:customStyle="1" w:styleId="MediumGrid1-Accent21">
    <w:name w:val="Medium Grid 1 - Accent 21"/>
    <w:basedOn w:val="Normal"/>
    <w:uiPriority w:val="34"/>
    <w:qFormat/>
    <w:rsid w:val="00447C1B"/>
    <w:pPr>
      <w:spacing w:after="200" w:line="276" w:lineRule="auto"/>
      <w:ind w:left="720"/>
      <w:contextualSpacing/>
    </w:pPr>
    <w:rPr>
      <w:rFonts w:ascii="Calibri" w:eastAsia="Calibri" w:hAnsi="Calibri"/>
      <w:sz w:val="22"/>
      <w:szCs w:val="22"/>
      <w:lang w:val="es-CO"/>
    </w:rPr>
  </w:style>
  <w:style w:type="paragraph" w:styleId="EndnoteText">
    <w:name w:val="endnote text"/>
    <w:basedOn w:val="Normal"/>
    <w:link w:val="EndnoteTextChar"/>
    <w:uiPriority w:val="99"/>
    <w:unhideWhenUsed/>
    <w:rsid w:val="00447C1B"/>
  </w:style>
  <w:style w:type="character" w:customStyle="1" w:styleId="EndnoteTextChar">
    <w:name w:val="Endnote Text Char"/>
    <w:basedOn w:val="DefaultParagraphFont"/>
    <w:link w:val="EndnoteText"/>
    <w:uiPriority w:val="99"/>
    <w:rsid w:val="00447C1B"/>
    <w:rPr>
      <w:rFonts w:ascii="Times New Roman" w:hAnsi="Times New Roman" w:cs="Times New Roman"/>
      <w:sz w:val="24"/>
      <w:szCs w:val="24"/>
    </w:rPr>
  </w:style>
  <w:style w:type="character" w:styleId="EndnoteReference">
    <w:name w:val="endnote reference"/>
    <w:basedOn w:val="DefaultParagraphFont"/>
    <w:uiPriority w:val="99"/>
    <w:unhideWhenUsed/>
    <w:rsid w:val="00447C1B"/>
    <w:rPr>
      <w:vertAlign w:val="superscript"/>
    </w:rPr>
  </w:style>
  <w:style w:type="paragraph" w:styleId="NormalWeb">
    <w:name w:val="Normal (Web)"/>
    <w:basedOn w:val="Normal"/>
    <w:uiPriority w:val="99"/>
    <w:unhideWhenUsed/>
    <w:rsid w:val="00D73880"/>
    <w:pPr>
      <w:spacing w:before="100" w:beforeAutospacing="1" w:after="100" w:afterAutospacing="1"/>
    </w:pPr>
  </w:style>
  <w:style w:type="character" w:customStyle="1" w:styleId="UnresolvedMention1">
    <w:name w:val="Unresolved Mention1"/>
    <w:basedOn w:val="DefaultParagraphFont"/>
    <w:uiPriority w:val="99"/>
    <w:rsid w:val="00EF255B"/>
    <w:rPr>
      <w:color w:val="808080"/>
      <w:shd w:val="clear" w:color="auto" w:fill="E6E6E6"/>
    </w:rPr>
  </w:style>
  <w:style w:type="paragraph" w:styleId="Revision">
    <w:name w:val="Revision"/>
    <w:hidden/>
    <w:uiPriority w:val="99"/>
    <w:semiHidden/>
    <w:rsid w:val="00522E3F"/>
    <w:pPr>
      <w:spacing w:after="0" w:line="240" w:lineRule="auto"/>
    </w:pPr>
    <w:rPr>
      <w:rFonts w:ascii="Times New Roman" w:hAnsi="Times New Roman" w:cs="Times New Roman"/>
      <w:sz w:val="24"/>
      <w:szCs w:val="24"/>
    </w:rPr>
  </w:style>
  <w:style w:type="paragraph" w:styleId="HTMLPreformatted">
    <w:name w:val="HTML Preformatted"/>
    <w:basedOn w:val="Normal"/>
    <w:link w:val="HTMLPreformattedChar"/>
    <w:uiPriority w:val="99"/>
    <w:unhideWhenUsed/>
    <w:rsid w:val="00913C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13CCF"/>
    <w:rPr>
      <w:rFonts w:ascii="Courier New" w:eastAsia="Times New Roman" w:hAnsi="Courier New" w:cs="Courier New"/>
      <w:sz w:val="20"/>
      <w:szCs w:val="20"/>
    </w:rPr>
  </w:style>
  <w:style w:type="character" w:styleId="UnresolvedMention">
    <w:name w:val="Unresolved Mention"/>
    <w:basedOn w:val="DefaultParagraphFont"/>
    <w:uiPriority w:val="99"/>
    <w:rsid w:val="00C958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0140">
      <w:bodyDiv w:val="1"/>
      <w:marLeft w:val="0"/>
      <w:marRight w:val="0"/>
      <w:marTop w:val="0"/>
      <w:marBottom w:val="0"/>
      <w:divBdr>
        <w:top w:val="none" w:sz="0" w:space="0" w:color="auto"/>
        <w:left w:val="none" w:sz="0" w:space="0" w:color="auto"/>
        <w:bottom w:val="none" w:sz="0" w:space="0" w:color="auto"/>
        <w:right w:val="none" w:sz="0" w:space="0" w:color="auto"/>
      </w:divBdr>
    </w:div>
    <w:div w:id="196159498">
      <w:bodyDiv w:val="1"/>
      <w:marLeft w:val="0"/>
      <w:marRight w:val="0"/>
      <w:marTop w:val="0"/>
      <w:marBottom w:val="0"/>
      <w:divBdr>
        <w:top w:val="none" w:sz="0" w:space="0" w:color="auto"/>
        <w:left w:val="none" w:sz="0" w:space="0" w:color="auto"/>
        <w:bottom w:val="none" w:sz="0" w:space="0" w:color="auto"/>
        <w:right w:val="none" w:sz="0" w:space="0" w:color="auto"/>
      </w:divBdr>
    </w:div>
    <w:div w:id="213585671">
      <w:bodyDiv w:val="1"/>
      <w:marLeft w:val="0"/>
      <w:marRight w:val="0"/>
      <w:marTop w:val="0"/>
      <w:marBottom w:val="0"/>
      <w:divBdr>
        <w:top w:val="none" w:sz="0" w:space="0" w:color="auto"/>
        <w:left w:val="none" w:sz="0" w:space="0" w:color="auto"/>
        <w:bottom w:val="none" w:sz="0" w:space="0" w:color="auto"/>
        <w:right w:val="none" w:sz="0" w:space="0" w:color="auto"/>
      </w:divBdr>
    </w:div>
    <w:div w:id="269046583">
      <w:bodyDiv w:val="1"/>
      <w:marLeft w:val="0"/>
      <w:marRight w:val="0"/>
      <w:marTop w:val="0"/>
      <w:marBottom w:val="0"/>
      <w:divBdr>
        <w:top w:val="none" w:sz="0" w:space="0" w:color="auto"/>
        <w:left w:val="none" w:sz="0" w:space="0" w:color="auto"/>
        <w:bottom w:val="none" w:sz="0" w:space="0" w:color="auto"/>
        <w:right w:val="none" w:sz="0" w:space="0" w:color="auto"/>
      </w:divBdr>
    </w:div>
    <w:div w:id="326909780">
      <w:bodyDiv w:val="1"/>
      <w:marLeft w:val="0"/>
      <w:marRight w:val="0"/>
      <w:marTop w:val="0"/>
      <w:marBottom w:val="0"/>
      <w:divBdr>
        <w:top w:val="none" w:sz="0" w:space="0" w:color="auto"/>
        <w:left w:val="none" w:sz="0" w:space="0" w:color="auto"/>
        <w:bottom w:val="none" w:sz="0" w:space="0" w:color="auto"/>
        <w:right w:val="none" w:sz="0" w:space="0" w:color="auto"/>
      </w:divBdr>
    </w:div>
    <w:div w:id="337738774">
      <w:bodyDiv w:val="1"/>
      <w:marLeft w:val="0"/>
      <w:marRight w:val="0"/>
      <w:marTop w:val="0"/>
      <w:marBottom w:val="0"/>
      <w:divBdr>
        <w:top w:val="none" w:sz="0" w:space="0" w:color="auto"/>
        <w:left w:val="none" w:sz="0" w:space="0" w:color="auto"/>
        <w:bottom w:val="none" w:sz="0" w:space="0" w:color="auto"/>
        <w:right w:val="none" w:sz="0" w:space="0" w:color="auto"/>
      </w:divBdr>
    </w:div>
    <w:div w:id="480973012">
      <w:bodyDiv w:val="1"/>
      <w:marLeft w:val="0"/>
      <w:marRight w:val="0"/>
      <w:marTop w:val="0"/>
      <w:marBottom w:val="0"/>
      <w:divBdr>
        <w:top w:val="none" w:sz="0" w:space="0" w:color="auto"/>
        <w:left w:val="none" w:sz="0" w:space="0" w:color="auto"/>
        <w:bottom w:val="none" w:sz="0" w:space="0" w:color="auto"/>
        <w:right w:val="none" w:sz="0" w:space="0" w:color="auto"/>
      </w:divBdr>
    </w:div>
    <w:div w:id="508911794">
      <w:bodyDiv w:val="1"/>
      <w:marLeft w:val="0"/>
      <w:marRight w:val="0"/>
      <w:marTop w:val="0"/>
      <w:marBottom w:val="0"/>
      <w:divBdr>
        <w:top w:val="none" w:sz="0" w:space="0" w:color="auto"/>
        <w:left w:val="none" w:sz="0" w:space="0" w:color="auto"/>
        <w:bottom w:val="none" w:sz="0" w:space="0" w:color="auto"/>
        <w:right w:val="none" w:sz="0" w:space="0" w:color="auto"/>
      </w:divBdr>
    </w:div>
    <w:div w:id="538903969">
      <w:bodyDiv w:val="1"/>
      <w:marLeft w:val="0"/>
      <w:marRight w:val="0"/>
      <w:marTop w:val="0"/>
      <w:marBottom w:val="0"/>
      <w:divBdr>
        <w:top w:val="none" w:sz="0" w:space="0" w:color="auto"/>
        <w:left w:val="none" w:sz="0" w:space="0" w:color="auto"/>
        <w:bottom w:val="none" w:sz="0" w:space="0" w:color="auto"/>
        <w:right w:val="none" w:sz="0" w:space="0" w:color="auto"/>
      </w:divBdr>
    </w:div>
    <w:div w:id="549263702">
      <w:bodyDiv w:val="1"/>
      <w:marLeft w:val="0"/>
      <w:marRight w:val="0"/>
      <w:marTop w:val="0"/>
      <w:marBottom w:val="0"/>
      <w:divBdr>
        <w:top w:val="none" w:sz="0" w:space="0" w:color="auto"/>
        <w:left w:val="none" w:sz="0" w:space="0" w:color="auto"/>
        <w:bottom w:val="none" w:sz="0" w:space="0" w:color="auto"/>
        <w:right w:val="none" w:sz="0" w:space="0" w:color="auto"/>
      </w:divBdr>
    </w:div>
    <w:div w:id="599602366">
      <w:bodyDiv w:val="1"/>
      <w:marLeft w:val="0"/>
      <w:marRight w:val="0"/>
      <w:marTop w:val="0"/>
      <w:marBottom w:val="0"/>
      <w:divBdr>
        <w:top w:val="none" w:sz="0" w:space="0" w:color="auto"/>
        <w:left w:val="none" w:sz="0" w:space="0" w:color="auto"/>
        <w:bottom w:val="none" w:sz="0" w:space="0" w:color="auto"/>
        <w:right w:val="none" w:sz="0" w:space="0" w:color="auto"/>
      </w:divBdr>
    </w:div>
    <w:div w:id="611743179">
      <w:bodyDiv w:val="1"/>
      <w:marLeft w:val="0"/>
      <w:marRight w:val="0"/>
      <w:marTop w:val="0"/>
      <w:marBottom w:val="0"/>
      <w:divBdr>
        <w:top w:val="none" w:sz="0" w:space="0" w:color="auto"/>
        <w:left w:val="none" w:sz="0" w:space="0" w:color="auto"/>
        <w:bottom w:val="none" w:sz="0" w:space="0" w:color="auto"/>
        <w:right w:val="none" w:sz="0" w:space="0" w:color="auto"/>
      </w:divBdr>
    </w:div>
    <w:div w:id="756095821">
      <w:bodyDiv w:val="1"/>
      <w:marLeft w:val="0"/>
      <w:marRight w:val="0"/>
      <w:marTop w:val="0"/>
      <w:marBottom w:val="0"/>
      <w:divBdr>
        <w:top w:val="none" w:sz="0" w:space="0" w:color="auto"/>
        <w:left w:val="none" w:sz="0" w:space="0" w:color="auto"/>
        <w:bottom w:val="none" w:sz="0" w:space="0" w:color="auto"/>
        <w:right w:val="none" w:sz="0" w:space="0" w:color="auto"/>
      </w:divBdr>
    </w:div>
    <w:div w:id="858547460">
      <w:bodyDiv w:val="1"/>
      <w:marLeft w:val="0"/>
      <w:marRight w:val="0"/>
      <w:marTop w:val="0"/>
      <w:marBottom w:val="0"/>
      <w:divBdr>
        <w:top w:val="none" w:sz="0" w:space="0" w:color="auto"/>
        <w:left w:val="none" w:sz="0" w:space="0" w:color="auto"/>
        <w:bottom w:val="none" w:sz="0" w:space="0" w:color="auto"/>
        <w:right w:val="none" w:sz="0" w:space="0" w:color="auto"/>
      </w:divBdr>
    </w:div>
    <w:div w:id="971322238">
      <w:bodyDiv w:val="1"/>
      <w:marLeft w:val="0"/>
      <w:marRight w:val="0"/>
      <w:marTop w:val="0"/>
      <w:marBottom w:val="0"/>
      <w:divBdr>
        <w:top w:val="none" w:sz="0" w:space="0" w:color="auto"/>
        <w:left w:val="none" w:sz="0" w:space="0" w:color="auto"/>
        <w:bottom w:val="none" w:sz="0" w:space="0" w:color="auto"/>
        <w:right w:val="none" w:sz="0" w:space="0" w:color="auto"/>
      </w:divBdr>
    </w:div>
    <w:div w:id="982463745">
      <w:bodyDiv w:val="1"/>
      <w:marLeft w:val="0"/>
      <w:marRight w:val="0"/>
      <w:marTop w:val="0"/>
      <w:marBottom w:val="0"/>
      <w:divBdr>
        <w:top w:val="none" w:sz="0" w:space="0" w:color="auto"/>
        <w:left w:val="none" w:sz="0" w:space="0" w:color="auto"/>
        <w:bottom w:val="none" w:sz="0" w:space="0" w:color="auto"/>
        <w:right w:val="none" w:sz="0" w:space="0" w:color="auto"/>
      </w:divBdr>
    </w:div>
    <w:div w:id="1007172702">
      <w:bodyDiv w:val="1"/>
      <w:marLeft w:val="0"/>
      <w:marRight w:val="0"/>
      <w:marTop w:val="0"/>
      <w:marBottom w:val="0"/>
      <w:divBdr>
        <w:top w:val="none" w:sz="0" w:space="0" w:color="auto"/>
        <w:left w:val="none" w:sz="0" w:space="0" w:color="auto"/>
        <w:bottom w:val="none" w:sz="0" w:space="0" w:color="auto"/>
        <w:right w:val="none" w:sz="0" w:space="0" w:color="auto"/>
      </w:divBdr>
    </w:div>
    <w:div w:id="1112018043">
      <w:bodyDiv w:val="1"/>
      <w:marLeft w:val="0"/>
      <w:marRight w:val="0"/>
      <w:marTop w:val="0"/>
      <w:marBottom w:val="0"/>
      <w:divBdr>
        <w:top w:val="none" w:sz="0" w:space="0" w:color="auto"/>
        <w:left w:val="none" w:sz="0" w:space="0" w:color="auto"/>
        <w:bottom w:val="none" w:sz="0" w:space="0" w:color="auto"/>
        <w:right w:val="none" w:sz="0" w:space="0" w:color="auto"/>
      </w:divBdr>
    </w:div>
    <w:div w:id="1133253287">
      <w:bodyDiv w:val="1"/>
      <w:marLeft w:val="0"/>
      <w:marRight w:val="0"/>
      <w:marTop w:val="0"/>
      <w:marBottom w:val="0"/>
      <w:divBdr>
        <w:top w:val="none" w:sz="0" w:space="0" w:color="auto"/>
        <w:left w:val="none" w:sz="0" w:space="0" w:color="auto"/>
        <w:bottom w:val="none" w:sz="0" w:space="0" w:color="auto"/>
        <w:right w:val="none" w:sz="0" w:space="0" w:color="auto"/>
      </w:divBdr>
    </w:div>
    <w:div w:id="1223447019">
      <w:bodyDiv w:val="1"/>
      <w:marLeft w:val="0"/>
      <w:marRight w:val="0"/>
      <w:marTop w:val="0"/>
      <w:marBottom w:val="0"/>
      <w:divBdr>
        <w:top w:val="none" w:sz="0" w:space="0" w:color="auto"/>
        <w:left w:val="none" w:sz="0" w:space="0" w:color="auto"/>
        <w:bottom w:val="none" w:sz="0" w:space="0" w:color="auto"/>
        <w:right w:val="none" w:sz="0" w:space="0" w:color="auto"/>
      </w:divBdr>
    </w:div>
    <w:div w:id="1225027079">
      <w:bodyDiv w:val="1"/>
      <w:marLeft w:val="0"/>
      <w:marRight w:val="0"/>
      <w:marTop w:val="0"/>
      <w:marBottom w:val="0"/>
      <w:divBdr>
        <w:top w:val="none" w:sz="0" w:space="0" w:color="auto"/>
        <w:left w:val="none" w:sz="0" w:space="0" w:color="auto"/>
        <w:bottom w:val="none" w:sz="0" w:space="0" w:color="auto"/>
        <w:right w:val="none" w:sz="0" w:space="0" w:color="auto"/>
      </w:divBdr>
    </w:div>
    <w:div w:id="1262251673">
      <w:bodyDiv w:val="1"/>
      <w:marLeft w:val="0"/>
      <w:marRight w:val="0"/>
      <w:marTop w:val="0"/>
      <w:marBottom w:val="0"/>
      <w:divBdr>
        <w:top w:val="none" w:sz="0" w:space="0" w:color="auto"/>
        <w:left w:val="none" w:sz="0" w:space="0" w:color="auto"/>
        <w:bottom w:val="none" w:sz="0" w:space="0" w:color="auto"/>
        <w:right w:val="none" w:sz="0" w:space="0" w:color="auto"/>
      </w:divBdr>
    </w:div>
    <w:div w:id="1262951893">
      <w:bodyDiv w:val="1"/>
      <w:marLeft w:val="0"/>
      <w:marRight w:val="0"/>
      <w:marTop w:val="0"/>
      <w:marBottom w:val="0"/>
      <w:divBdr>
        <w:top w:val="none" w:sz="0" w:space="0" w:color="auto"/>
        <w:left w:val="none" w:sz="0" w:space="0" w:color="auto"/>
        <w:bottom w:val="none" w:sz="0" w:space="0" w:color="auto"/>
        <w:right w:val="none" w:sz="0" w:space="0" w:color="auto"/>
      </w:divBdr>
    </w:div>
    <w:div w:id="1317151036">
      <w:bodyDiv w:val="1"/>
      <w:marLeft w:val="0"/>
      <w:marRight w:val="0"/>
      <w:marTop w:val="0"/>
      <w:marBottom w:val="0"/>
      <w:divBdr>
        <w:top w:val="none" w:sz="0" w:space="0" w:color="auto"/>
        <w:left w:val="none" w:sz="0" w:space="0" w:color="auto"/>
        <w:bottom w:val="none" w:sz="0" w:space="0" w:color="auto"/>
        <w:right w:val="none" w:sz="0" w:space="0" w:color="auto"/>
      </w:divBdr>
    </w:div>
    <w:div w:id="1367562090">
      <w:bodyDiv w:val="1"/>
      <w:marLeft w:val="0"/>
      <w:marRight w:val="0"/>
      <w:marTop w:val="0"/>
      <w:marBottom w:val="0"/>
      <w:divBdr>
        <w:top w:val="none" w:sz="0" w:space="0" w:color="auto"/>
        <w:left w:val="none" w:sz="0" w:space="0" w:color="auto"/>
        <w:bottom w:val="none" w:sz="0" w:space="0" w:color="auto"/>
        <w:right w:val="none" w:sz="0" w:space="0" w:color="auto"/>
      </w:divBdr>
    </w:div>
    <w:div w:id="1431512946">
      <w:bodyDiv w:val="1"/>
      <w:marLeft w:val="0"/>
      <w:marRight w:val="0"/>
      <w:marTop w:val="0"/>
      <w:marBottom w:val="0"/>
      <w:divBdr>
        <w:top w:val="none" w:sz="0" w:space="0" w:color="auto"/>
        <w:left w:val="none" w:sz="0" w:space="0" w:color="auto"/>
        <w:bottom w:val="none" w:sz="0" w:space="0" w:color="auto"/>
        <w:right w:val="none" w:sz="0" w:space="0" w:color="auto"/>
      </w:divBdr>
    </w:div>
    <w:div w:id="1440492324">
      <w:bodyDiv w:val="1"/>
      <w:marLeft w:val="0"/>
      <w:marRight w:val="0"/>
      <w:marTop w:val="0"/>
      <w:marBottom w:val="0"/>
      <w:divBdr>
        <w:top w:val="none" w:sz="0" w:space="0" w:color="auto"/>
        <w:left w:val="none" w:sz="0" w:space="0" w:color="auto"/>
        <w:bottom w:val="none" w:sz="0" w:space="0" w:color="auto"/>
        <w:right w:val="none" w:sz="0" w:space="0" w:color="auto"/>
      </w:divBdr>
    </w:div>
    <w:div w:id="1449741753">
      <w:bodyDiv w:val="1"/>
      <w:marLeft w:val="0"/>
      <w:marRight w:val="0"/>
      <w:marTop w:val="0"/>
      <w:marBottom w:val="0"/>
      <w:divBdr>
        <w:top w:val="none" w:sz="0" w:space="0" w:color="auto"/>
        <w:left w:val="none" w:sz="0" w:space="0" w:color="auto"/>
        <w:bottom w:val="none" w:sz="0" w:space="0" w:color="auto"/>
        <w:right w:val="none" w:sz="0" w:space="0" w:color="auto"/>
      </w:divBdr>
    </w:div>
    <w:div w:id="1456633818">
      <w:bodyDiv w:val="1"/>
      <w:marLeft w:val="0"/>
      <w:marRight w:val="0"/>
      <w:marTop w:val="0"/>
      <w:marBottom w:val="0"/>
      <w:divBdr>
        <w:top w:val="none" w:sz="0" w:space="0" w:color="auto"/>
        <w:left w:val="none" w:sz="0" w:space="0" w:color="auto"/>
        <w:bottom w:val="none" w:sz="0" w:space="0" w:color="auto"/>
        <w:right w:val="none" w:sz="0" w:space="0" w:color="auto"/>
      </w:divBdr>
    </w:div>
    <w:div w:id="1526939541">
      <w:bodyDiv w:val="1"/>
      <w:marLeft w:val="0"/>
      <w:marRight w:val="0"/>
      <w:marTop w:val="0"/>
      <w:marBottom w:val="0"/>
      <w:divBdr>
        <w:top w:val="none" w:sz="0" w:space="0" w:color="auto"/>
        <w:left w:val="none" w:sz="0" w:space="0" w:color="auto"/>
        <w:bottom w:val="none" w:sz="0" w:space="0" w:color="auto"/>
        <w:right w:val="none" w:sz="0" w:space="0" w:color="auto"/>
      </w:divBdr>
    </w:div>
    <w:div w:id="1531186100">
      <w:bodyDiv w:val="1"/>
      <w:marLeft w:val="0"/>
      <w:marRight w:val="0"/>
      <w:marTop w:val="0"/>
      <w:marBottom w:val="0"/>
      <w:divBdr>
        <w:top w:val="none" w:sz="0" w:space="0" w:color="auto"/>
        <w:left w:val="none" w:sz="0" w:space="0" w:color="auto"/>
        <w:bottom w:val="none" w:sz="0" w:space="0" w:color="auto"/>
        <w:right w:val="none" w:sz="0" w:space="0" w:color="auto"/>
      </w:divBdr>
    </w:div>
    <w:div w:id="1560826974">
      <w:bodyDiv w:val="1"/>
      <w:marLeft w:val="0"/>
      <w:marRight w:val="0"/>
      <w:marTop w:val="0"/>
      <w:marBottom w:val="0"/>
      <w:divBdr>
        <w:top w:val="none" w:sz="0" w:space="0" w:color="auto"/>
        <w:left w:val="none" w:sz="0" w:space="0" w:color="auto"/>
        <w:bottom w:val="none" w:sz="0" w:space="0" w:color="auto"/>
        <w:right w:val="none" w:sz="0" w:space="0" w:color="auto"/>
      </w:divBdr>
    </w:div>
    <w:div w:id="1647513467">
      <w:bodyDiv w:val="1"/>
      <w:marLeft w:val="0"/>
      <w:marRight w:val="0"/>
      <w:marTop w:val="0"/>
      <w:marBottom w:val="0"/>
      <w:divBdr>
        <w:top w:val="none" w:sz="0" w:space="0" w:color="auto"/>
        <w:left w:val="none" w:sz="0" w:space="0" w:color="auto"/>
        <w:bottom w:val="none" w:sz="0" w:space="0" w:color="auto"/>
        <w:right w:val="none" w:sz="0" w:space="0" w:color="auto"/>
      </w:divBdr>
    </w:div>
    <w:div w:id="1758941160">
      <w:bodyDiv w:val="1"/>
      <w:marLeft w:val="0"/>
      <w:marRight w:val="0"/>
      <w:marTop w:val="0"/>
      <w:marBottom w:val="0"/>
      <w:divBdr>
        <w:top w:val="none" w:sz="0" w:space="0" w:color="auto"/>
        <w:left w:val="none" w:sz="0" w:space="0" w:color="auto"/>
        <w:bottom w:val="none" w:sz="0" w:space="0" w:color="auto"/>
        <w:right w:val="none" w:sz="0" w:space="0" w:color="auto"/>
      </w:divBdr>
    </w:div>
    <w:div w:id="1783450841">
      <w:bodyDiv w:val="1"/>
      <w:marLeft w:val="0"/>
      <w:marRight w:val="0"/>
      <w:marTop w:val="0"/>
      <w:marBottom w:val="0"/>
      <w:divBdr>
        <w:top w:val="none" w:sz="0" w:space="0" w:color="auto"/>
        <w:left w:val="none" w:sz="0" w:space="0" w:color="auto"/>
        <w:bottom w:val="none" w:sz="0" w:space="0" w:color="auto"/>
        <w:right w:val="none" w:sz="0" w:space="0" w:color="auto"/>
      </w:divBdr>
    </w:div>
    <w:div w:id="1795832130">
      <w:bodyDiv w:val="1"/>
      <w:marLeft w:val="0"/>
      <w:marRight w:val="0"/>
      <w:marTop w:val="0"/>
      <w:marBottom w:val="0"/>
      <w:divBdr>
        <w:top w:val="none" w:sz="0" w:space="0" w:color="auto"/>
        <w:left w:val="none" w:sz="0" w:space="0" w:color="auto"/>
        <w:bottom w:val="none" w:sz="0" w:space="0" w:color="auto"/>
        <w:right w:val="none" w:sz="0" w:space="0" w:color="auto"/>
      </w:divBdr>
      <w:divsChild>
        <w:div w:id="1397822772">
          <w:marLeft w:val="0"/>
          <w:marRight w:val="0"/>
          <w:marTop w:val="0"/>
          <w:marBottom w:val="0"/>
          <w:divBdr>
            <w:top w:val="none" w:sz="0" w:space="0" w:color="auto"/>
            <w:left w:val="none" w:sz="0" w:space="0" w:color="auto"/>
            <w:bottom w:val="none" w:sz="0" w:space="0" w:color="auto"/>
            <w:right w:val="none" w:sz="0" w:space="0" w:color="auto"/>
          </w:divBdr>
          <w:divsChild>
            <w:div w:id="903368822">
              <w:marLeft w:val="0"/>
              <w:marRight w:val="0"/>
              <w:marTop w:val="0"/>
              <w:marBottom w:val="0"/>
              <w:divBdr>
                <w:top w:val="none" w:sz="0" w:space="0" w:color="auto"/>
                <w:left w:val="none" w:sz="0" w:space="0" w:color="auto"/>
                <w:bottom w:val="none" w:sz="0" w:space="0" w:color="auto"/>
                <w:right w:val="none" w:sz="0" w:space="0" w:color="auto"/>
              </w:divBdr>
              <w:divsChild>
                <w:div w:id="135421486">
                  <w:marLeft w:val="0"/>
                  <w:marRight w:val="0"/>
                  <w:marTop w:val="0"/>
                  <w:marBottom w:val="0"/>
                  <w:divBdr>
                    <w:top w:val="none" w:sz="0" w:space="0" w:color="auto"/>
                    <w:left w:val="none" w:sz="0" w:space="0" w:color="auto"/>
                    <w:bottom w:val="none" w:sz="0" w:space="0" w:color="auto"/>
                    <w:right w:val="none" w:sz="0" w:space="0" w:color="auto"/>
                  </w:divBdr>
                  <w:divsChild>
                    <w:div w:id="1025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539569">
      <w:bodyDiv w:val="1"/>
      <w:marLeft w:val="0"/>
      <w:marRight w:val="0"/>
      <w:marTop w:val="0"/>
      <w:marBottom w:val="0"/>
      <w:divBdr>
        <w:top w:val="none" w:sz="0" w:space="0" w:color="auto"/>
        <w:left w:val="none" w:sz="0" w:space="0" w:color="auto"/>
        <w:bottom w:val="none" w:sz="0" w:space="0" w:color="auto"/>
        <w:right w:val="none" w:sz="0" w:space="0" w:color="auto"/>
      </w:divBdr>
    </w:div>
    <w:div w:id="1904442837">
      <w:bodyDiv w:val="1"/>
      <w:marLeft w:val="0"/>
      <w:marRight w:val="0"/>
      <w:marTop w:val="0"/>
      <w:marBottom w:val="0"/>
      <w:divBdr>
        <w:top w:val="none" w:sz="0" w:space="0" w:color="auto"/>
        <w:left w:val="none" w:sz="0" w:space="0" w:color="auto"/>
        <w:bottom w:val="none" w:sz="0" w:space="0" w:color="auto"/>
        <w:right w:val="none" w:sz="0" w:space="0" w:color="auto"/>
      </w:divBdr>
    </w:div>
    <w:div w:id="1969117285">
      <w:bodyDiv w:val="1"/>
      <w:marLeft w:val="0"/>
      <w:marRight w:val="0"/>
      <w:marTop w:val="0"/>
      <w:marBottom w:val="0"/>
      <w:divBdr>
        <w:top w:val="none" w:sz="0" w:space="0" w:color="auto"/>
        <w:left w:val="none" w:sz="0" w:space="0" w:color="auto"/>
        <w:bottom w:val="none" w:sz="0" w:space="0" w:color="auto"/>
        <w:right w:val="none" w:sz="0" w:space="0" w:color="auto"/>
      </w:divBdr>
    </w:div>
    <w:div w:id="2008510761">
      <w:bodyDiv w:val="1"/>
      <w:marLeft w:val="0"/>
      <w:marRight w:val="0"/>
      <w:marTop w:val="0"/>
      <w:marBottom w:val="0"/>
      <w:divBdr>
        <w:top w:val="none" w:sz="0" w:space="0" w:color="auto"/>
        <w:left w:val="none" w:sz="0" w:space="0" w:color="auto"/>
        <w:bottom w:val="none" w:sz="0" w:space="0" w:color="auto"/>
        <w:right w:val="none" w:sz="0" w:space="0" w:color="auto"/>
      </w:divBdr>
    </w:div>
    <w:div w:id="210259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JA-LON/JA-L1055/_layouts/15/DocIdRedir.aspx?ID=EZSHARE-2052092533-15" TargetMode="External"/><Relationship Id="rId26" Type="http://schemas.openxmlformats.org/officeDocument/2006/relationships/hyperlink" Target="https://idbg.sharepoint.com/teams/EZ-JA-LON/JA-L1055/_layouts/15/DocIdRedir.aspx?ID=EZSHARE-2052092533-15" TargetMode="External"/><Relationship Id="rId3" Type="http://schemas.openxmlformats.org/officeDocument/2006/relationships/customXml" Target="../customXml/item3.xml"/><Relationship Id="rId21" Type="http://schemas.openxmlformats.org/officeDocument/2006/relationships/hyperlink" Target="https://idbg.sharepoint.com/teams/EZ-JA-LON/JA-L1055/_layouts/15/DocIdRedir.aspx?ID=EZSHARE-2052092533-12"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JA-LON/JA-L1055/_layouts/15/DocIdRedir.aspx?ID=EZSHARE-2052092533-3"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idbg.sharepoint.com/teams/EZ-JA-LON/JA-L1055/_layouts/15/DocIdRedir.aspx?ID=EZSHARE-2052092533-11"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idbg.sharepoint.com/teams/EZ-JA-LON/JA-L1055/_layouts/15/DocIdRedir.aspx?ID=EZSHARE-2052092533-16" TargetMode="Externa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idbg.sharepoint.com/teams/EZ-JA-LON/JA-L1055/_layouts/15/DocIdRedir.aspx?ID=EZSHARE-2052092533-14" TargetMode="External"/><Relationship Id="rId28" Type="http://schemas.openxmlformats.org/officeDocument/2006/relationships/hyperlink" Target="https://idbg.sharepoint.com/teams/EZ-JA-LON/JA-L1055/_layouts/15/DocIdRedir.aspx?ID=EZSHARE-2052092533-13" TargetMode="External"/><Relationship Id="rId10" Type="http://schemas.openxmlformats.org/officeDocument/2006/relationships/settings" Target="settings.xml"/><Relationship Id="rId19" Type="http://schemas.openxmlformats.org/officeDocument/2006/relationships/hyperlink" Target="https://idbg.sharepoint.com/teams/EZ-JA-LON/JA-L1055/_layouts/15/DocIdRedir.aspx?ID=EZSHARE-2052092533-10"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idbg.sharepoint.com/teams/EZ-JA-LON/JA-L1055/_layouts/15/DocIdRedir.aspx?ID=EZSHARE-2052092533-13" TargetMode="External"/><Relationship Id="rId27" Type="http://schemas.openxmlformats.org/officeDocument/2006/relationships/hyperlink" Target="https://idbg.sharepoint.com/teams/EZ-JA-LON/JA-L1055/_layouts/15/DocIdRedir.aspx?ID=EZSHARE-2052092533-12"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of.gov.jm/revenues/tax-waiv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0308A27134084F4AA40781B2DCA498A5" PreviousValue="false"/>
</file>

<file path=customXml/item2.xml><?xml version="1.0" encoding="utf-8"?>
<?mso-contentType ?>
<FormUrls xmlns="http://schemas.microsoft.com/sharepoint/v3/contenttype/forms/url">
  <Display>_catalogs/masterpage/ECMForms/CorporateCT/View.aspx</Display>
  <Edit>_catalogs/masterpage/ECMForms/CorporateCT/Edit.aspx</Edit>
</FormUrls>
</file>

<file path=customXml/item3.xml><?xml version="1.0" encoding="utf-8"?>
<ct:contentTypeSchema xmlns:ct="http://schemas.microsoft.com/office/2006/metadata/contentType" xmlns:ma="http://schemas.microsoft.com/office/2006/metadata/properties/metaAttributes" ct:_="" ma:_="" ma:contentTypeName="ez-Corporate" ma:contentTypeID="0x0101000308A27134084F4AA40781B2DCA498A500A6448E39D7F37F4E9C70E4D793C43C97" ma:contentTypeVersion="5" ma:contentTypeDescription="The corporate content type from which other content types in the corporate content type track inherit their information." ma:contentTypeScope="" ma:versionID="7fbe91b6b6f8990f65afba1d8007b366">
  <xsd:schema xmlns:xsd="http://www.w3.org/2001/XMLSchema" xmlns:xs="http://www.w3.org/2001/XMLSchema" xmlns:p="http://schemas.microsoft.com/office/2006/metadata/properties" xmlns:ns2="cdc7663a-08f0-4737-9e8c-148ce897a09c" targetNamespace="http://schemas.microsoft.com/office/2006/metadata/properties" ma:root="true" ma:fieldsID="5bf788d7f83ae89db7377c8143ed0907"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46339a2c-a759-43f5-a320-9e18a41b2355}" ma:internalName="TaxCatchAll" ma:showField="CatchAllData"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46339a2c-a759-43f5-a320-9e18a41b2355}" ma:internalName="TaxCatchAllLabel" ma:readOnly="true" ma:showField="CatchAllDataLabel" ma:web="291fbbc9-8cfb-4b1c-8eee-0b1842b90317">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40766950</IDBDocs_x0020_Number>
    <TaxCatchAll xmlns="cdc7663a-08f0-4737-9e8c-148ce897a09c">
      <Value>28</Value>
      <Value>22</Value>
    </TaxCatchAll>
    <SISCOR_x0020_Number xmlns="cdc7663a-08f0-4737-9e8c-148ce897a09c" xsi:nil="true"/>
    <Division_x0020_or_x0020_Unit xmlns="cdc7663a-08f0-4737-9e8c-148ce897a09c">SPD/SDV</Division_x0020_or_x0020_Unit>
    <Document_x0020_Author xmlns="cdc7663a-08f0-4737-9e8c-148ce897a09c">Cuesta Bernal, Ana Maria</Document_x0020_Author>
    <Fiscal_x0020_Year_x0020_IDB xmlns="cdc7663a-08f0-4737-9e8c-148ce897a09c">2016</Fiscal_x0020_Year_x0020_IDB>
    <Other_x0020_Author xmlns="cdc7663a-08f0-4737-9e8c-148ce897a09c" xsi:nil="true"/>
    <Migration_x0020_Info xmlns="cdc7663a-08f0-4737-9e8c-148ce897a09c">&lt;Data&gt;&lt;APPLICATION&gt;MS WORD&lt;/APPLICATION&gt;&lt;PD_OBJ_TYPE&gt;0&lt;/PD_OBJ_TYPE&gt;&lt;MAKERECORD&gt;N&lt;/MAKERECORD&gt;&lt;/Data&gt;</Migration_x0020_Info>
    <Document_x0020_Language_x0020_IDB xmlns="cdc7663a-08f0-4737-9e8c-148ce897a09c" xsi:nil="true"/>
    <Identifie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ORF-07 Reports and Studies - Permanent</TermName>
          <TermId xmlns="http://schemas.microsoft.com/office/infopath/2007/PartnerControls">eaf66bbe-e3c7-4005-84d9-0afd174d8e39</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5 Organization and Functions</TermName>
          <TermId xmlns="http://schemas.microsoft.com/office/infopath/2007/PartnerControls">4701d7f9-8df6-4219-aeac-8d4b644c65a0</TermId>
        </TermInfo>
      </Terms>
    </cf0f1ca6d90e4583ad80995bcde0e58a>
    <To_x003a_ xmlns="cdc7663a-08f0-4737-9e8c-148ce897a09c" xsi:nil="true"/>
    <From_x003a_ xmlns="cdc7663a-08f0-4737-9e8c-148ce897a09c" xsi:nil="true"/>
    <_dlc_DocId xmlns="cdc7663a-08f0-4737-9e8c-148ce897a09c">EZSHARE-1800097097-18</_dlc_DocId>
    <_dlc_DocIdUrl xmlns="cdc7663a-08f0-4737-9e8c-148ce897a09c">
      <Url>https://idbg.sharepoint.com/teams/ez-SPD/SDV/PD/_layouts/15/DocIdRedir.aspx?ID=EZSHARE-1800097097-18</Url>
      <Description>EZSHARE-1800097097-18</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07F63-B833-4714-806B-8A99E7AFC067}">
  <ds:schemaRefs>
    <ds:schemaRef ds:uri="Microsoft.SharePoint.Taxonomy.ContentTypeSync"/>
  </ds:schemaRefs>
</ds:datastoreItem>
</file>

<file path=customXml/itemProps2.xml><?xml version="1.0" encoding="utf-8"?>
<ds:datastoreItem xmlns:ds="http://schemas.openxmlformats.org/officeDocument/2006/customXml" ds:itemID="{E9A7F767-E447-483B-8CA7-13E09E661BD3}">
  <ds:schemaRefs>
    <ds:schemaRef ds:uri="http://schemas.microsoft.com/sharepoint/v3/contenttype/forms/url"/>
  </ds:schemaRefs>
</ds:datastoreItem>
</file>

<file path=customXml/itemProps3.xml><?xml version="1.0" encoding="utf-8"?>
<ds:datastoreItem xmlns:ds="http://schemas.openxmlformats.org/officeDocument/2006/customXml" ds:itemID="{674FDE71-8BF8-4AD0-9419-599915BCB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8A76AF-456E-4DB7-9868-AB99F267A15F}">
  <ds:schemaRefs>
    <ds:schemaRef ds:uri="http://schemas.microsoft.com/sharepoint/events"/>
  </ds:schemaRefs>
</ds:datastoreItem>
</file>

<file path=customXml/itemProps5.xml><?xml version="1.0" encoding="utf-8"?>
<ds:datastoreItem xmlns:ds="http://schemas.openxmlformats.org/officeDocument/2006/customXml" ds:itemID="{FBEE2093-FA90-403D-B77E-7915549D142F}">
  <ds:schemaRefs>
    <ds:schemaRef ds:uri="http://schemas.microsoft.com/sharepoint/v3/contenttype/forms"/>
  </ds:schemaRefs>
</ds:datastoreItem>
</file>

<file path=customXml/itemProps6.xml><?xml version="1.0" encoding="utf-8"?>
<ds:datastoreItem xmlns:ds="http://schemas.openxmlformats.org/officeDocument/2006/customXml" ds:itemID="{642A0A10-062C-43B0-8504-0610B8D9CC04}">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FE6E2136-8809-4AFF-9193-2B6FB738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24612</Words>
  <Characters>140292</Characters>
  <Application>Microsoft Office Word</Application>
  <DocSecurity>0</DocSecurity>
  <Lines>1169</Lines>
  <Paragraphs>329</Paragraphs>
  <ScaleCrop>false</ScaleCrop>
  <HeadingPairs>
    <vt:vector size="2" baseType="variant">
      <vt:variant>
        <vt:lpstr>Title</vt:lpstr>
      </vt:variant>
      <vt:variant>
        <vt:i4>1</vt:i4>
      </vt:variant>
    </vt:vector>
  </HeadingPairs>
  <TitlesOfParts>
    <vt:vector size="1" baseType="lpstr">
      <vt:lpstr>ENG Template PCR OP-1242-5</vt:lpstr>
    </vt:vector>
  </TitlesOfParts>
  <Company>Inter-American Development Bank</Company>
  <LinksUpToDate>false</LinksUpToDate>
  <CharactersWithSpaces>164575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 Template PCR OP-1242-5</dc:title>
  <dc:subject/>
  <dc:creator>Test</dc:creator>
  <cp:keywords/>
  <dc:description/>
  <cp:lastModifiedBy>Blair, Sudaney</cp:lastModifiedBy>
  <cp:revision>2</cp:revision>
  <cp:lastPrinted>2018-03-05T20:43:00Z</cp:lastPrinted>
  <dcterms:created xsi:type="dcterms:W3CDTF">2019-07-26T18:51:00Z</dcterms:created>
  <dcterms:modified xsi:type="dcterms:W3CDTF">2019-07-26T18:51:00Z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0x0101000308A27134084F4AA40781B2DCA498A500A6448E39D7F37F4E9C70E4D793C43C97</vt:lpwstr>
  </property>
  <property fmtid="{D5CDD505-2E9C-101B-9397-08002B2CF9AE}" pid="3" name="TaxKeyword">
    <vt:lpwstr/>
  </property>
  <property fmtid="{D5CDD505-2E9C-101B-9397-08002B2CF9AE}" pid="4" name="Series Corporate IDB">
    <vt:lpwstr>-1;#ORF-07 Reports and Studies - Permanent|eaf66bbe-e3c7-4005-84d9-0afd174d8e39</vt:lpwstr>
  </property>
  <property fmtid="{D5CDD505-2E9C-101B-9397-08002B2CF9AE}" pid="5" name="Function Corporate IDB">
    <vt:lpwstr>-1;#5 Organization and Functions|4701d7f9-8df6-4219-aeac-8d4b644c65a0</vt:lpwstr>
  </property>
  <property fmtid="{D5CDD505-2E9C-101B-9397-08002B2CF9AE}" pid="6" name="TaxKeywordTaxHTField">
    <vt:lpwstr/>
  </property>
  <property fmtid="{D5CDD505-2E9C-101B-9397-08002B2CF9AE}" pid="7" name="Country">
    <vt:lpwstr/>
  </property>
  <property fmtid="{D5CDD505-2E9C-101B-9397-08002B2CF9AE}" pid="8" name="KP_x0020_Topics">
    <vt:lpwstr/>
  </property>
  <property fmtid="{D5CDD505-2E9C-101B-9397-08002B2CF9AE}" pid="9" name="Publication_x0020_Type">
    <vt:lpwstr/>
  </property>
  <property fmtid="{D5CDD505-2E9C-101B-9397-08002B2CF9AE}" pid="10" name="Publishing_x0020_House">
    <vt:lpwstr/>
  </property>
  <property fmtid="{D5CDD505-2E9C-101B-9397-08002B2CF9AE}" pid="11" name="Abstract">
    <vt:lpwstr/>
  </property>
  <property fmtid="{D5CDD505-2E9C-101B-9397-08002B2CF9AE}" pid="12" name="Editor1">
    <vt:lpwstr/>
  </property>
  <property fmtid="{D5CDD505-2E9C-101B-9397-08002B2CF9AE}" pid="13" name="URL">
    <vt:lpwstr/>
  </property>
  <property fmtid="{D5CDD505-2E9C-101B-9397-08002B2CF9AE}" pid="14" name="Disclosure Activity">
    <vt:lpwstr/>
  </property>
  <property fmtid="{D5CDD505-2E9C-101B-9397-08002B2CF9AE}" pid="15" name="Region">
    <vt:lpwstr/>
  </property>
  <property fmtid="{D5CDD505-2E9C-101B-9397-08002B2CF9AE}" pid="16" name="Publication Type">
    <vt:lpwstr/>
  </property>
  <property fmtid="{D5CDD505-2E9C-101B-9397-08002B2CF9AE}" pid="17" name="Series_x0020_Corporate_x0020_IDB">
    <vt:lpwstr>-1;#ORF-07 Reports and Studies - Permanent|eaf66bbe-e3c7-4005-84d9-0afd174d8e39</vt:lpwstr>
  </property>
  <property fmtid="{D5CDD505-2E9C-101B-9397-08002B2CF9AE}" pid="18" name="Disclosure_x0020_Activity">
    <vt:lpwstr/>
  </property>
  <property fmtid="{D5CDD505-2E9C-101B-9397-08002B2CF9AE}" pid="19" name="Function_x0020_Corporate_x0020_IDB">
    <vt:lpwstr>-1;#5 Organization and Functions|4701d7f9-8df6-4219-aeac-8d4b644c65a0</vt:lpwstr>
  </property>
  <property fmtid="{D5CDD505-2E9C-101B-9397-08002B2CF9AE}" pid="20" name="Publishing House">
    <vt:lpwstr/>
  </property>
  <property fmtid="{D5CDD505-2E9C-101B-9397-08002B2CF9AE}" pid="21" name="Disclosed">
    <vt:bool>false</vt:bool>
  </property>
  <property fmtid="{D5CDD505-2E9C-101B-9397-08002B2CF9AE}" pid="22" name="KP Topics">
    <vt:lpwstr/>
  </property>
  <property fmtid="{D5CDD505-2E9C-101B-9397-08002B2CF9AE}" pid="23" name="_dlc_DocIdItemGuid">
    <vt:lpwstr>6e4d8437-b49d-4715-bfb6-bdb755e7a477</vt:lpwstr>
  </property>
</Properties>
</file>