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671E" w:rsidRDefault="00ED4934">
      <w:pPr>
        <w:spacing w:before="200" w:after="200"/>
        <w:jc w:val="center"/>
      </w:pPr>
      <w:r>
        <w:rPr>
          <w:rFonts w:ascii="Arial" w:hAnsi="Arial" w:cs="Arial"/>
          <w:b/>
        </w:rPr>
        <w:t>RESUMEN DE CT</w:t>
      </w:r>
    </w:p>
    <w:p w:rsidR="00AD671E" w:rsidRPr="00C15B7A" w:rsidRDefault="00D676D8">
      <w:pPr>
        <w:spacing w:before="120" w:after="120"/>
        <w:ind w:left="579" w:hanging="579"/>
        <w:rPr>
          <w:lang w:val="es-ES_tradnl"/>
        </w:rPr>
      </w:pPr>
      <w:r w:rsidRPr="00C15B7A">
        <w:rPr>
          <w:rFonts w:ascii="Arial" w:hAnsi="Arial" w:cs="Arial"/>
          <w:b/>
          <w:lang w:val="es-ES_tradnl"/>
        </w:rPr>
        <w:t>I.</w:t>
      </w:r>
      <w:r w:rsidRPr="00C15B7A">
        <w:rPr>
          <w:rFonts w:ascii="Arial" w:hAnsi="Arial" w:cs="Arial"/>
          <w:b/>
          <w:lang w:val="es-ES_tradnl"/>
        </w:rPr>
        <w:tab/>
      </w:r>
      <w:r w:rsidR="00ED4934" w:rsidRPr="00C15B7A">
        <w:rPr>
          <w:rFonts w:ascii="Arial" w:hAnsi="Arial" w:cs="Arial"/>
          <w:b/>
          <w:lang w:val="es-ES_tradnl"/>
        </w:rPr>
        <w:t>Datos Básicos del Proyecto</w:t>
      </w:r>
    </w:p>
    <w:tbl>
      <w:tblPr>
        <w:tblStyle w:val="TableGrid"/>
        <w:tblW w:w="0" w:type="auto"/>
        <w:jc w:val="center"/>
        <w:tblBorders>
          <w:top w:val="single" w:sz="2" w:space="0" w:color="D3D3D3"/>
          <w:left w:val="single" w:sz="2" w:space="0" w:color="D3D3D3"/>
          <w:bottom w:val="single" w:sz="2" w:space="0" w:color="D3D3D3"/>
          <w:right w:val="single" w:sz="2" w:space="0" w:color="D3D3D3"/>
          <w:insideH w:val="single" w:sz="2" w:space="0" w:color="D3D3D3"/>
          <w:insideV w:val="single" w:sz="2" w:space="0" w:color="D3D3D3"/>
        </w:tblBorders>
        <w:tblLook w:val="04A0" w:firstRow="1" w:lastRow="0" w:firstColumn="1" w:lastColumn="0" w:noHBand="0" w:noVBand="1"/>
      </w:tblPr>
      <w:tblGrid>
        <w:gridCol w:w="4188"/>
        <w:gridCol w:w="5054"/>
      </w:tblGrid>
      <w:tr w:rsidR="00ED4934" w:rsidRPr="00C15B7A" w:rsidTr="00C15B7A">
        <w:trPr>
          <w:jc w:val="center"/>
        </w:trPr>
        <w:tc>
          <w:tcPr>
            <w:tcW w:w="4188" w:type="dxa"/>
          </w:tcPr>
          <w:p w:rsidR="00AD671E" w:rsidRDefault="00D676D8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D4934">
              <w:rPr>
                <w:rFonts w:ascii="Arial" w:hAnsi="Arial" w:cs="Arial"/>
                <w:sz w:val="18"/>
                <w:szCs w:val="18"/>
              </w:rPr>
              <w:t>País</w:t>
            </w:r>
            <w:r>
              <w:rPr>
                <w:rFonts w:ascii="Arial" w:hAnsi="Arial" w:cs="Arial"/>
                <w:sz w:val="18"/>
                <w:szCs w:val="18"/>
              </w:rPr>
              <w:t>/Region:</w:t>
            </w:r>
          </w:p>
        </w:tc>
        <w:tc>
          <w:tcPr>
            <w:tcW w:w="5054" w:type="dxa"/>
          </w:tcPr>
          <w:p w:rsidR="00AD671E" w:rsidRPr="00C15B7A" w:rsidRDefault="00D676D8">
            <w:pPr>
              <w:spacing w:before="40" w:after="40"/>
              <w:rPr>
                <w:lang w:val="es-ES_tradnl"/>
              </w:rPr>
            </w:pPr>
            <w:r w:rsidRPr="00C15B7A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BOLIVIA/CAN </w:t>
            </w:r>
            <w:r w:rsidR="00ED4934" w:rsidRPr="00C15B7A">
              <w:rPr>
                <w:rFonts w:ascii="Arial" w:hAnsi="Arial" w:cs="Arial"/>
                <w:sz w:val="18"/>
                <w:szCs w:val="18"/>
                <w:lang w:val="es-ES_tradnl"/>
              </w:rPr>
              <w:t>–</w:t>
            </w:r>
            <w:r w:rsidRPr="00C15B7A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="00ED4934" w:rsidRPr="00C15B7A">
              <w:rPr>
                <w:rFonts w:ascii="Arial" w:hAnsi="Arial" w:cs="Arial"/>
                <w:sz w:val="18"/>
                <w:szCs w:val="18"/>
                <w:lang w:val="es-ES_tradnl"/>
              </w:rPr>
              <w:t>Grupo Andino</w:t>
            </w:r>
          </w:p>
        </w:tc>
      </w:tr>
      <w:tr w:rsidR="00ED4934" w:rsidRPr="00C15B7A" w:rsidTr="00C15B7A">
        <w:trPr>
          <w:jc w:val="center"/>
        </w:trPr>
        <w:tc>
          <w:tcPr>
            <w:tcW w:w="4188" w:type="dxa"/>
          </w:tcPr>
          <w:p w:rsidR="00AD671E" w:rsidRDefault="00D676D8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ED4934">
              <w:rPr>
                <w:rFonts w:ascii="Arial" w:hAnsi="Arial" w:cs="Arial"/>
                <w:sz w:val="18"/>
                <w:szCs w:val="18"/>
              </w:rPr>
              <w:t>Nombre</w:t>
            </w:r>
            <w:proofErr w:type="spellEnd"/>
            <w:r w:rsidR="00ED4934">
              <w:rPr>
                <w:rFonts w:ascii="Arial" w:hAnsi="Arial" w:cs="Arial"/>
                <w:sz w:val="18"/>
                <w:szCs w:val="18"/>
              </w:rPr>
              <w:t xml:space="preserve"> CT:</w:t>
            </w:r>
          </w:p>
        </w:tc>
        <w:tc>
          <w:tcPr>
            <w:tcW w:w="5054" w:type="dxa"/>
          </w:tcPr>
          <w:p w:rsidR="00AD671E" w:rsidRPr="00C15B7A" w:rsidRDefault="00C15B7A" w:rsidP="0062306E">
            <w:pPr>
              <w:spacing w:before="40" w:after="40"/>
              <w:jc w:val="both"/>
              <w:rPr>
                <w:lang w:val="es-ES_tradnl"/>
              </w:rPr>
            </w:pPr>
            <w:r w:rsidRPr="00C15B7A">
              <w:rPr>
                <w:rFonts w:ascii="Arial" w:hAnsi="Arial" w:cs="Arial"/>
                <w:sz w:val="18"/>
                <w:szCs w:val="18"/>
                <w:lang w:val="es-ES_tradnl"/>
              </w:rPr>
              <w:t>Análisis de Políticas para Promo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ver</w:t>
            </w:r>
            <w:r w:rsidRPr="00C15B7A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la Generación de 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Empleo </w:t>
            </w:r>
          </w:p>
        </w:tc>
      </w:tr>
      <w:tr w:rsidR="00ED4934" w:rsidTr="00C15B7A">
        <w:trPr>
          <w:jc w:val="center"/>
        </w:trPr>
        <w:tc>
          <w:tcPr>
            <w:tcW w:w="4188" w:type="dxa"/>
          </w:tcPr>
          <w:p w:rsidR="00AD671E" w:rsidRDefault="00D676D8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ED4934">
              <w:rPr>
                <w:rFonts w:ascii="Arial" w:hAnsi="Arial" w:cs="Arial"/>
                <w:sz w:val="18"/>
                <w:szCs w:val="18"/>
              </w:rPr>
              <w:t>Número</w:t>
            </w:r>
            <w:proofErr w:type="spellEnd"/>
            <w:r w:rsidR="00ED4934">
              <w:rPr>
                <w:rFonts w:ascii="Arial" w:hAnsi="Arial" w:cs="Arial"/>
                <w:sz w:val="18"/>
                <w:szCs w:val="18"/>
              </w:rPr>
              <w:t xml:space="preserve"> CT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054" w:type="dxa"/>
          </w:tcPr>
          <w:p w:rsidR="00AD671E" w:rsidRDefault="00D676D8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BO-T1339</w:t>
            </w:r>
          </w:p>
        </w:tc>
      </w:tr>
      <w:tr w:rsidR="00ED4934" w:rsidTr="00C15B7A">
        <w:trPr>
          <w:jc w:val="center"/>
        </w:trPr>
        <w:tc>
          <w:tcPr>
            <w:tcW w:w="4188" w:type="dxa"/>
          </w:tcPr>
          <w:p w:rsidR="00AD671E" w:rsidRPr="00C15B7A" w:rsidRDefault="00D676D8">
            <w:pPr>
              <w:spacing w:before="40" w:after="40"/>
              <w:ind w:left="115" w:hanging="115"/>
              <w:rPr>
                <w:lang w:val="es-ES_tradnl"/>
              </w:rPr>
            </w:pPr>
            <w:r w:rsidRPr="00C15B7A">
              <w:rPr>
                <w:rFonts w:ascii="Arial" w:hAnsi="Arial" w:cs="Arial"/>
                <w:sz w:val="18"/>
                <w:szCs w:val="18"/>
                <w:lang w:val="es-ES_tradnl"/>
              </w:rPr>
              <w:t>▪</w:t>
            </w:r>
            <w:r w:rsidRPr="00C15B7A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="00ED4934" w:rsidRPr="00C15B7A">
              <w:rPr>
                <w:rFonts w:ascii="Arial" w:hAnsi="Arial" w:cs="Arial"/>
                <w:sz w:val="18"/>
                <w:szCs w:val="18"/>
                <w:lang w:val="es-ES_tradnl"/>
              </w:rPr>
              <w:t>Jefe de equipo/Miembros</w:t>
            </w:r>
            <w:r w:rsidR="00ED4934" w:rsidRPr="00C15B7A" w:rsidDel="00ED4934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Pr="00C15B7A">
              <w:rPr>
                <w:rFonts w:ascii="Arial" w:hAnsi="Arial" w:cs="Arial"/>
                <w:sz w:val="18"/>
                <w:szCs w:val="18"/>
                <w:lang w:val="es-ES_tradnl"/>
              </w:rPr>
              <w:t>:</w:t>
            </w:r>
          </w:p>
        </w:tc>
        <w:tc>
          <w:tcPr>
            <w:tcW w:w="5054" w:type="dxa"/>
          </w:tcPr>
          <w:p w:rsidR="00AD671E" w:rsidRDefault="0062306E" w:rsidP="0062306E">
            <w:pPr>
              <w:spacing w:before="40" w:after="4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Manuel Urquidi</w:t>
            </w:r>
            <w:r w:rsidR="00D676D8">
              <w:rPr>
                <w:rFonts w:ascii="Arial" w:hAnsi="Arial" w:cs="Arial"/>
                <w:sz w:val="18"/>
                <w:szCs w:val="18"/>
              </w:rPr>
              <w:t xml:space="preserve"> (SCL/LMK) Team Leader; </w:t>
            </w:r>
            <w:r>
              <w:rPr>
                <w:rFonts w:ascii="Arial" w:hAnsi="Arial" w:cs="Arial"/>
                <w:sz w:val="18"/>
                <w:szCs w:val="18"/>
              </w:rPr>
              <w:t>Christian Lunstedt</w:t>
            </w:r>
            <w:r w:rsidR="00D676D8">
              <w:rPr>
                <w:rFonts w:ascii="Arial" w:hAnsi="Arial" w:cs="Arial"/>
                <w:sz w:val="18"/>
                <w:szCs w:val="18"/>
              </w:rPr>
              <w:t xml:space="preserve"> (CAN/CBO); </w:t>
            </w:r>
            <w:r>
              <w:rPr>
                <w:rFonts w:ascii="Arial" w:hAnsi="Arial" w:cs="Arial"/>
                <w:sz w:val="18"/>
                <w:szCs w:val="18"/>
              </w:rPr>
              <w:t xml:space="preserve">Miriam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Toriz</w:t>
            </w:r>
            <w:proofErr w:type="spellEnd"/>
            <w:r w:rsidR="00D676D8">
              <w:rPr>
                <w:rFonts w:ascii="Arial" w:hAnsi="Arial" w:cs="Arial"/>
                <w:sz w:val="18"/>
                <w:szCs w:val="18"/>
              </w:rPr>
              <w:t xml:space="preserve"> (VPC/FMP); </w:t>
            </w:r>
            <w:r>
              <w:rPr>
                <w:rFonts w:ascii="Arial" w:hAnsi="Arial" w:cs="Arial"/>
                <w:sz w:val="18"/>
                <w:szCs w:val="18"/>
              </w:rPr>
              <w:t>Diana De Leon</w:t>
            </w:r>
            <w:r w:rsidR="00D676D8">
              <w:rPr>
                <w:rFonts w:ascii="Arial" w:hAnsi="Arial" w:cs="Arial"/>
                <w:sz w:val="18"/>
                <w:szCs w:val="18"/>
              </w:rPr>
              <w:t xml:space="preserve"> (VPC/FMP); </w:t>
            </w:r>
            <w:r>
              <w:rPr>
                <w:rFonts w:ascii="Arial" w:hAnsi="Arial" w:cs="Arial"/>
                <w:sz w:val="18"/>
                <w:szCs w:val="18"/>
              </w:rPr>
              <w:t>Ethel Muhlstein</w:t>
            </w:r>
            <w:r w:rsidR="00D676D8">
              <w:rPr>
                <w:rFonts w:ascii="Arial" w:hAnsi="Arial" w:cs="Arial"/>
                <w:sz w:val="18"/>
                <w:szCs w:val="18"/>
              </w:rPr>
              <w:t xml:space="preserve"> (SCL/LMK); </w:t>
            </w:r>
            <w:r>
              <w:rPr>
                <w:rFonts w:ascii="Arial" w:hAnsi="Arial" w:cs="Arial"/>
                <w:sz w:val="18"/>
                <w:szCs w:val="18"/>
              </w:rPr>
              <w:t>Tania Gaona</w:t>
            </w:r>
            <w:r w:rsidR="00D676D8">
              <w:rPr>
                <w:rFonts w:ascii="Arial" w:hAnsi="Arial" w:cs="Arial"/>
                <w:sz w:val="18"/>
                <w:szCs w:val="18"/>
              </w:rPr>
              <w:t xml:space="preserve"> (SCL/L</w:t>
            </w:r>
            <w:r w:rsidR="00D676D8">
              <w:rPr>
                <w:rFonts w:ascii="Arial" w:hAnsi="Arial" w:cs="Arial"/>
                <w:sz w:val="18"/>
                <w:szCs w:val="18"/>
              </w:rPr>
              <w:t xml:space="preserve">MK); </w:t>
            </w:r>
            <w:r>
              <w:rPr>
                <w:rFonts w:ascii="Arial" w:hAnsi="Arial" w:cs="Arial"/>
                <w:sz w:val="18"/>
                <w:szCs w:val="18"/>
              </w:rPr>
              <w:t>and Cesar Negret</w:t>
            </w:r>
            <w:r w:rsidR="00D676D8">
              <w:rPr>
                <w:rFonts w:ascii="Arial" w:hAnsi="Arial" w:cs="Arial"/>
                <w:sz w:val="18"/>
                <w:szCs w:val="18"/>
              </w:rPr>
              <w:t xml:space="preserve"> (LEG/SGO)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D4934" w:rsidTr="00C15B7A">
        <w:trPr>
          <w:jc w:val="center"/>
        </w:trPr>
        <w:tc>
          <w:tcPr>
            <w:tcW w:w="4188" w:type="dxa"/>
          </w:tcPr>
          <w:p w:rsidR="00AD671E" w:rsidRDefault="00D676D8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Taxono</w:t>
            </w:r>
            <w:r w:rsidR="00ED4934">
              <w:rPr>
                <w:rFonts w:ascii="Arial" w:hAnsi="Arial" w:cs="Arial"/>
                <w:sz w:val="18"/>
                <w:szCs w:val="18"/>
              </w:rPr>
              <w:t>mía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054" w:type="dxa"/>
          </w:tcPr>
          <w:p w:rsidR="00AD671E" w:rsidRDefault="00ED4934">
            <w:pPr>
              <w:spacing w:before="40" w:after="40"/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Apoyo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al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cliente</w:t>
            </w:r>
            <w:proofErr w:type="spellEnd"/>
          </w:p>
        </w:tc>
      </w:tr>
      <w:tr w:rsidR="00ED4934" w:rsidTr="00C15B7A">
        <w:trPr>
          <w:jc w:val="center"/>
        </w:trPr>
        <w:tc>
          <w:tcPr>
            <w:tcW w:w="4188" w:type="dxa"/>
          </w:tcPr>
          <w:p w:rsidR="00AD671E" w:rsidRPr="00C15B7A" w:rsidRDefault="00D676D8">
            <w:pPr>
              <w:spacing w:before="40" w:after="40"/>
              <w:ind w:left="115" w:hanging="115"/>
              <w:rPr>
                <w:lang w:val="es-ES_tradnl"/>
              </w:rPr>
            </w:pPr>
            <w:r w:rsidRPr="00C15B7A">
              <w:rPr>
                <w:rFonts w:ascii="Arial" w:hAnsi="Arial" w:cs="Arial"/>
                <w:sz w:val="18"/>
                <w:szCs w:val="18"/>
                <w:lang w:val="es-ES_tradnl"/>
              </w:rPr>
              <w:t>▪</w:t>
            </w:r>
            <w:r w:rsidRPr="00C15B7A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="00ED4934" w:rsidRPr="00C15B7A">
              <w:rPr>
                <w:rFonts w:ascii="Arial" w:hAnsi="Arial" w:cs="Arial"/>
                <w:sz w:val="18"/>
                <w:szCs w:val="18"/>
                <w:lang w:val="es-ES_tradnl"/>
              </w:rPr>
              <w:t>Fecha del Resumen de CT</w:t>
            </w:r>
            <w:r w:rsidRPr="00C15B7A">
              <w:rPr>
                <w:rFonts w:ascii="Arial" w:hAnsi="Arial" w:cs="Arial"/>
                <w:sz w:val="18"/>
                <w:szCs w:val="18"/>
                <w:lang w:val="es-ES_tradnl"/>
              </w:rPr>
              <w:t>:</w:t>
            </w:r>
          </w:p>
        </w:tc>
        <w:tc>
          <w:tcPr>
            <w:tcW w:w="5054" w:type="dxa"/>
          </w:tcPr>
          <w:p w:rsidR="00AD671E" w:rsidRDefault="00D676D8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07 Mar 2019</w:t>
            </w:r>
          </w:p>
        </w:tc>
      </w:tr>
      <w:tr w:rsidR="00ED4934" w:rsidRPr="00C15B7A" w:rsidTr="00C15B7A">
        <w:trPr>
          <w:jc w:val="center"/>
        </w:trPr>
        <w:tc>
          <w:tcPr>
            <w:tcW w:w="4188" w:type="dxa"/>
          </w:tcPr>
          <w:p w:rsidR="00AD671E" w:rsidRDefault="00D676D8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Beneficia</w:t>
            </w:r>
            <w:r w:rsidR="00ED4934">
              <w:rPr>
                <w:rFonts w:ascii="Arial" w:hAnsi="Arial" w:cs="Arial"/>
                <w:sz w:val="18"/>
                <w:szCs w:val="18"/>
              </w:rPr>
              <w:t>rio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054" w:type="dxa"/>
          </w:tcPr>
          <w:p w:rsidR="00AD671E" w:rsidRPr="00C15B7A" w:rsidRDefault="00073FBC" w:rsidP="0062306E">
            <w:pPr>
              <w:spacing w:before="40" w:after="40"/>
              <w:jc w:val="both"/>
              <w:rPr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Estado Plurinacional de </w:t>
            </w:r>
            <w:r w:rsidR="0062306E" w:rsidRPr="00C15B7A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Bolivia, </w:t>
            </w:r>
            <w:r w:rsidR="00ED4934" w:rsidRPr="00C15B7A">
              <w:rPr>
                <w:rFonts w:ascii="Arial" w:hAnsi="Arial" w:cs="Arial"/>
                <w:sz w:val="18"/>
                <w:szCs w:val="18"/>
                <w:lang w:val="es-ES_tradnl"/>
              </w:rPr>
              <w:t>a través del Ministerio de Planeación y Desarrollo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(MPD) </w:t>
            </w:r>
            <w:r w:rsidR="00ED4934" w:rsidRPr="00C15B7A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y el Ministerio de Trabajo, Empleo y Previsión Social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(MTEPS).</w:t>
            </w:r>
          </w:p>
        </w:tc>
      </w:tr>
      <w:tr w:rsidR="00ED4934" w:rsidRPr="00C15B7A" w:rsidTr="00C15B7A">
        <w:trPr>
          <w:jc w:val="center"/>
        </w:trPr>
        <w:tc>
          <w:tcPr>
            <w:tcW w:w="4188" w:type="dxa"/>
          </w:tcPr>
          <w:p w:rsidR="00AD671E" w:rsidRDefault="00D676D8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ED4934">
              <w:rPr>
                <w:rFonts w:ascii="Arial" w:hAnsi="Arial" w:cs="Arial"/>
                <w:sz w:val="18"/>
                <w:szCs w:val="18"/>
              </w:rPr>
              <w:t>Agencia</w:t>
            </w:r>
            <w:proofErr w:type="spellEnd"/>
            <w:r w:rsidR="00ED493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ED4934">
              <w:rPr>
                <w:rFonts w:ascii="Arial" w:hAnsi="Arial" w:cs="Arial"/>
                <w:sz w:val="18"/>
                <w:szCs w:val="18"/>
              </w:rPr>
              <w:t>Ejecutora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054" w:type="dxa"/>
          </w:tcPr>
          <w:p w:rsidR="00AD671E" w:rsidRPr="00C15B7A" w:rsidRDefault="00ED4934">
            <w:pPr>
              <w:spacing w:before="40" w:after="40"/>
              <w:rPr>
                <w:lang w:val="es-ES_tradnl"/>
              </w:rPr>
            </w:pPr>
            <w:r w:rsidRPr="00C15B7A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Banco Interamericano de Desarrollo, Sector Social, División de 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Mercados Laborales </w:t>
            </w:r>
            <w:r w:rsidR="0062306E" w:rsidRPr="00C15B7A">
              <w:rPr>
                <w:rFonts w:ascii="Arial" w:hAnsi="Arial" w:cs="Arial"/>
                <w:sz w:val="18"/>
                <w:szCs w:val="18"/>
                <w:lang w:val="es-ES_tradnl"/>
              </w:rPr>
              <w:t>(SCL/LMK)</w:t>
            </w:r>
          </w:p>
        </w:tc>
      </w:tr>
      <w:tr w:rsidR="00ED4934" w:rsidTr="00C15B7A">
        <w:trPr>
          <w:jc w:val="center"/>
        </w:trPr>
        <w:tc>
          <w:tcPr>
            <w:tcW w:w="4188" w:type="dxa"/>
          </w:tcPr>
          <w:p w:rsidR="00AD671E" w:rsidRDefault="00D676D8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ED4934">
              <w:rPr>
                <w:rFonts w:ascii="Arial" w:hAnsi="Arial" w:cs="Arial"/>
                <w:sz w:val="18"/>
                <w:szCs w:val="18"/>
              </w:rPr>
              <w:t>Fondos</w:t>
            </w:r>
            <w:proofErr w:type="spellEnd"/>
            <w:r w:rsidR="00ED4934">
              <w:rPr>
                <w:rFonts w:ascii="Arial" w:hAnsi="Arial" w:cs="Arial"/>
                <w:sz w:val="18"/>
                <w:szCs w:val="18"/>
              </w:rPr>
              <w:t xml:space="preserve"> BID </w:t>
            </w:r>
            <w:proofErr w:type="spellStart"/>
            <w:r w:rsidR="00ED4934">
              <w:rPr>
                <w:rFonts w:ascii="Arial" w:hAnsi="Arial" w:cs="Arial"/>
                <w:sz w:val="18"/>
                <w:szCs w:val="18"/>
              </w:rPr>
              <w:t>solicitados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054" w:type="dxa"/>
          </w:tcPr>
          <w:p w:rsidR="00AD671E" w:rsidRDefault="00D676D8">
            <w:pPr>
              <w:bidi/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$ 400,000</w:t>
            </w:r>
          </w:p>
        </w:tc>
      </w:tr>
      <w:tr w:rsidR="00ED4934" w:rsidTr="00C15B7A">
        <w:trPr>
          <w:jc w:val="center"/>
        </w:trPr>
        <w:tc>
          <w:tcPr>
            <w:tcW w:w="4188" w:type="dxa"/>
          </w:tcPr>
          <w:p w:rsidR="00AD671E" w:rsidRDefault="00D676D8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ED4934">
              <w:rPr>
                <w:rFonts w:ascii="Arial" w:hAnsi="Arial" w:cs="Arial"/>
                <w:sz w:val="18"/>
                <w:szCs w:val="18"/>
              </w:rPr>
              <w:t>Contrapartida</w:t>
            </w:r>
            <w:proofErr w:type="spellEnd"/>
            <w:r w:rsidR="00ED4934">
              <w:rPr>
                <w:rFonts w:ascii="Arial" w:hAnsi="Arial" w:cs="Arial"/>
                <w:sz w:val="18"/>
                <w:szCs w:val="18"/>
              </w:rPr>
              <w:t xml:space="preserve"> local:</w:t>
            </w:r>
          </w:p>
        </w:tc>
        <w:tc>
          <w:tcPr>
            <w:tcW w:w="5054" w:type="dxa"/>
          </w:tcPr>
          <w:p w:rsidR="00AD671E" w:rsidRDefault="00D676D8">
            <w:pPr>
              <w:bidi/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$ 0</w:t>
            </w:r>
          </w:p>
        </w:tc>
      </w:tr>
      <w:tr w:rsidR="00ED4934" w:rsidTr="00C15B7A">
        <w:trPr>
          <w:jc w:val="center"/>
        </w:trPr>
        <w:tc>
          <w:tcPr>
            <w:tcW w:w="4188" w:type="dxa"/>
          </w:tcPr>
          <w:p w:rsidR="00AD671E" w:rsidRDefault="00D676D8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ED4934">
              <w:rPr>
                <w:rFonts w:ascii="Arial" w:hAnsi="Arial" w:cs="Arial"/>
                <w:sz w:val="18"/>
                <w:szCs w:val="18"/>
              </w:rPr>
              <w:t>Periodo</w:t>
            </w:r>
            <w:proofErr w:type="spellEnd"/>
            <w:r w:rsidR="00ED4934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="00ED4934">
              <w:rPr>
                <w:rFonts w:ascii="Arial" w:hAnsi="Arial" w:cs="Arial"/>
                <w:sz w:val="18"/>
                <w:szCs w:val="18"/>
              </w:rPr>
              <w:t>desembolso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054" w:type="dxa"/>
          </w:tcPr>
          <w:p w:rsidR="00AD671E" w:rsidRDefault="00D676D8">
            <w:pPr>
              <w:bidi/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36 months</w:t>
            </w:r>
          </w:p>
        </w:tc>
      </w:tr>
      <w:tr w:rsidR="00ED4934" w:rsidTr="00C15B7A">
        <w:trPr>
          <w:jc w:val="center"/>
        </w:trPr>
        <w:tc>
          <w:tcPr>
            <w:tcW w:w="4188" w:type="dxa"/>
          </w:tcPr>
          <w:p w:rsidR="00AD671E" w:rsidRDefault="00D676D8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ED4934">
              <w:rPr>
                <w:rFonts w:ascii="Arial" w:hAnsi="Arial" w:cs="Arial"/>
                <w:sz w:val="18"/>
                <w:szCs w:val="18"/>
              </w:rPr>
              <w:t>Tipos</w:t>
            </w:r>
            <w:proofErr w:type="spellEnd"/>
            <w:r w:rsidR="00ED4934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="00ED4934">
              <w:rPr>
                <w:rFonts w:ascii="Arial" w:hAnsi="Arial" w:cs="Arial"/>
                <w:sz w:val="18"/>
                <w:szCs w:val="18"/>
              </w:rPr>
              <w:t>consultores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054" w:type="dxa"/>
          </w:tcPr>
          <w:p w:rsidR="00AD671E" w:rsidRDefault="00ED4934">
            <w:pPr>
              <w:spacing w:before="40" w:after="40"/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Consultores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individuales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firmas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consultoras</w:t>
            </w:r>
            <w:proofErr w:type="spellEnd"/>
          </w:p>
        </w:tc>
      </w:tr>
      <w:tr w:rsidR="00ED4934" w:rsidTr="00C15B7A">
        <w:trPr>
          <w:jc w:val="center"/>
        </w:trPr>
        <w:tc>
          <w:tcPr>
            <w:tcW w:w="4188" w:type="dxa"/>
          </w:tcPr>
          <w:p w:rsidR="00AD671E" w:rsidRDefault="00D676D8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ED4934">
              <w:rPr>
                <w:rFonts w:ascii="Arial" w:hAnsi="Arial" w:cs="Arial"/>
                <w:sz w:val="18"/>
                <w:szCs w:val="18"/>
              </w:rPr>
              <w:t>Preparado</w:t>
            </w:r>
            <w:proofErr w:type="spellEnd"/>
            <w:r w:rsidR="00ED4934">
              <w:rPr>
                <w:rFonts w:ascii="Arial" w:hAnsi="Arial" w:cs="Arial"/>
                <w:sz w:val="18"/>
                <w:szCs w:val="18"/>
              </w:rPr>
              <w:t xml:space="preserve"> por Unidad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054" w:type="dxa"/>
          </w:tcPr>
          <w:p w:rsidR="00AD671E" w:rsidRPr="00B158D1" w:rsidRDefault="00D676D8">
            <w:pPr>
              <w:spacing w:before="40" w:after="40"/>
            </w:pPr>
            <w:r w:rsidRPr="00B158D1">
              <w:rPr>
                <w:rFonts w:ascii="Arial" w:hAnsi="Arial" w:cs="Arial"/>
                <w:sz w:val="18"/>
                <w:szCs w:val="18"/>
              </w:rPr>
              <w:t>Labor Markets</w:t>
            </w:r>
            <w:r w:rsidR="0062306E" w:rsidRPr="00B158D1">
              <w:rPr>
                <w:rFonts w:ascii="Arial" w:hAnsi="Arial" w:cs="Arial"/>
                <w:sz w:val="18"/>
                <w:szCs w:val="18"/>
              </w:rPr>
              <w:t xml:space="preserve"> Division (SCL/LMK)</w:t>
            </w:r>
          </w:p>
        </w:tc>
      </w:tr>
      <w:tr w:rsidR="00ED4934" w:rsidTr="00C15B7A">
        <w:trPr>
          <w:jc w:val="center"/>
        </w:trPr>
        <w:tc>
          <w:tcPr>
            <w:tcW w:w="4188" w:type="dxa"/>
          </w:tcPr>
          <w:p w:rsidR="00AD671E" w:rsidRPr="00C15B7A" w:rsidRDefault="00D676D8">
            <w:pPr>
              <w:spacing w:before="40" w:after="40"/>
              <w:ind w:left="115" w:hanging="115"/>
              <w:rPr>
                <w:lang w:val="es-ES_tradnl"/>
              </w:rPr>
            </w:pPr>
            <w:r w:rsidRPr="00C15B7A">
              <w:rPr>
                <w:rFonts w:ascii="Arial" w:hAnsi="Arial" w:cs="Arial"/>
                <w:sz w:val="18"/>
                <w:szCs w:val="18"/>
                <w:lang w:val="es-ES_tradnl"/>
              </w:rPr>
              <w:t>▪</w:t>
            </w:r>
            <w:r w:rsidRPr="00C15B7A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="00ED4934" w:rsidRPr="00C15B7A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Unidad con </w:t>
            </w:r>
            <w:proofErr w:type="spellStart"/>
            <w:r w:rsidR="00ED4934" w:rsidRPr="00C15B7A">
              <w:rPr>
                <w:rFonts w:ascii="Arial" w:hAnsi="Arial" w:cs="Arial"/>
                <w:sz w:val="18"/>
                <w:szCs w:val="18"/>
                <w:lang w:val="es-ES_tradnl"/>
              </w:rPr>
              <w:t>Responsabildad</w:t>
            </w:r>
            <w:proofErr w:type="spellEnd"/>
            <w:r w:rsidR="00ED4934" w:rsidRPr="00C15B7A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de Desembolso</w:t>
            </w:r>
            <w:r w:rsidRPr="00C15B7A">
              <w:rPr>
                <w:rFonts w:ascii="Arial" w:hAnsi="Arial" w:cs="Arial"/>
                <w:sz w:val="18"/>
                <w:szCs w:val="18"/>
                <w:lang w:val="es-ES_tradnl"/>
              </w:rPr>
              <w:t>:</w:t>
            </w:r>
          </w:p>
        </w:tc>
        <w:tc>
          <w:tcPr>
            <w:tcW w:w="5054" w:type="dxa"/>
          </w:tcPr>
          <w:p w:rsidR="00AD671E" w:rsidRPr="00B158D1" w:rsidRDefault="00D676D8">
            <w:pPr>
              <w:spacing w:before="40" w:after="40"/>
            </w:pPr>
            <w:r w:rsidRPr="00B158D1">
              <w:rPr>
                <w:rFonts w:ascii="Arial" w:hAnsi="Arial" w:cs="Arial"/>
                <w:sz w:val="18"/>
                <w:szCs w:val="18"/>
              </w:rPr>
              <w:t>Country Office Bolivia</w:t>
            </w:r>
            <w:r w:rsidR="0062306E" w:rsidRPr="00B158D1">
              <w:rPr>
                <w:rFonts w:ascii="Arial" w:hAnsi="Arial" w:cs="Arial"/>
                <w:sz w:val="18"/>
                <w:szCs w:val="18"/>
              </w:rPr>
              <w:t xml:space="preserve"> (COF/CBO)</w:t>
            </w:r>
          </w:p>
        </w:tc>
      </w:tr>
      <w:tr w:rsidR="00ED4934" w:rsidTr="00C15B7A">
        <w:trPr>
          <w:jc w:val="center"/>
        </w:trPr>
        <w:tc>
          <w:tcPr>
            <w:tcW w:w="4188" w:type="dxa"/>
          </w:tcPr>
          <w:p w:rsidR="00AD671E" w:rsidRPr="00C15B7A" w:rsidRDefault="00D676D8">
            <w:pPr>
              <w:spacing w:before="40" w:after="40"/>
              <w:rPr>
                <w:lang w:val="es-ES_tradnl"/>
              </w:rPr>
            </w:pPr>
            <w:r w:rsidRPr="00C15B7A">
              <w:rPr>
                <w:rFonts w:ascii="Arial" w:hAnsi="Arial" w:cs="Arial"/>
                <w:sz w:val="18"/>
                <w:szCs w:val="18"/>
                <w:lang w:val="es-ES_tradnl"/>
              </w:rPr>
              <w:t>▪</w:t>
            </w:r>
            <w:r w:rsidRPr="00C15B7A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="00ED4934" w:rsidRPr="00C15B7A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CT incluida en Estrategia de País </w:t>
            </w:r>
            <w:r w:rsidRPr="00C15B7A">
              <w:rPr>
                <w:rFonts w:ascii="Arial" w:hAnsi="Arial" w:cs="Arial"/>
                <w:sz w:val="18"/>
                <w:szCs w:val="18"/>
                <w:lang w:val="es-ES_tradnl"/>
              </w:rPr>
              <w:t>:</w:t>
            </w:r>
            <w:r w:rsidRPr="00C15B7A">
              <w:rPr>
                <w:rFonts w:ascii="Arial" w:hAnsi="Arial" w:cs="Arial"/>
                <w:sz w:val="18"/>
                <w:szCs w:val="18"/>
                <w:lang w:val="es-ES_tradnl"/>
              </w:rPr>
              <w:t>▪</w:t>
            </w:r>
            <w:r w:rsidRPr="00C15B7A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="00ED4934" w:rsidRPr="00C15B7A">
              <w:rPr>
                <w:rFonts w:ascii="Arial" w:hAnsi="Arial" w:cs="Arial"/>
                <w:sz w:val="18"/>
                <w:szCs w:val="18"/>
                <w:lang w:val="es-ES_tradnl"/>
              </w:rPr>
              <w:t>CT incluida en CPD</w:t>
            </w:r>
            <w:r w:rsidR="00ED4934">
              <w:rPr>
                <w:rFonts w:ascii="Arial" w:hAnsi="Arial" w:cs="Arial"/>
                <w:sz w:val="18"/>
                <w:szCs w:val="18"/>
                <w:lang w:val="es-ES_tradnl"/>
              </w:rPr>
              <w:t>:</w:t>
            </w:r>
          </w:p>
        </w:tc>
        <w:tc>
          <w:tcPr>
            <w:tcW w:w="5054" w:type="dxa"/>
          </w:tcPr>
          <w:p w:rsidR="00ED4934" w:rsidRDefault="00ED4934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Sí</w:t>
            </w:r>
            <w:proofErr w:type="spellEnd"/>
          </w:p>
          <w:p w:rsidR="00AD671E" w:rsidRDefault="00ED4934">
            <w:pPr>
              <w:spacing w:before="40" w:after="40"/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Sí</w:t>
            </w:r>
            <w:proofErr w:type="spellEnd"/>
          </w:p>
        </w:tc>
      </w:tr>
      <w:tr w:rsidR="00ED4934" w:rsidRPr="00C15B7A" w:rsidTr="00C15B7A">
        <w:trPr>
          <w:jc w:val="center"/>
        </w:trPr>
        <w:tc>
          <w:tcPr>
            <w:tcW w:w="4188" w:type="dxa"/>
          </w:tcPr>
          <w:p w:rsidR="00AD671E" w:rsidRPr="00C15B7A" w:rsidRDefault="00D676D8">
            <w:pPr>
              <w:spacing w:before="40" w:after="40"/>
              <w:ind w:left="115" w:hanging="115"/>
              <w:rPr>
                <w:lang w:val="es-ES_tradnl"/>
              </w:rPr>
            </w:pPr>
            <w:r w:rsidRPr="00C15B7A">
              <w:rPr>
                <w:rFonts w:ascii="Arial" w:hAnsi="Arial" w:cs="Arial"/>
                <w:sz w:val="18"/>
                <w:szCs w:val="18"/>
                <w:lang w:val="es-ES_tradnl"/>
              </w:rPr>
              <w:t>▪</w:t>
            </w:r>
            <w:r w:rsidRPr="00C15B7A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="00ED4934" w:rsidRPr="00C15B7A">
              <w:rPr>
                <w:rFonts w:ascii="Arial" w:hAnsi="Arial" w:cs="Arial"/>
                <w:sz w:val="18"/>
                <w:szCs w:val="18"/>
                <w:lang w:val="es-ES_tradnl"/>
              </w:rPr>
              <w:t>Alineación con la Actualización de la Estrategia Institucio</w:t>
            </w:r>
            <w:r w:rsidR="00ED4934">
              <w:rPr>
                <w:rFonts w:ascii="Arial" w:hAnsi="Arial" w:cs="Arial"/>
                <w:sz w:val="18"/>
                <w:szCs w:val="18"/>
                <w:lang w:val="es-ES_tradnl"/>
              </w:rPr>
              <w:t>nal</w:t>
            </w:r>
            <w:r w:rsidRPr="00C15B7A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2010-2020:</w:t>
            </w:r>
          </w:p>
        </w:tc>
        <w:tc>
          <w:tcPr>
            <w:tcW w:w="5054" w:type="dxa"/>
          </w:tcPr>
          <w:p w:rsidR="00AD671E" w:rsidRPr="00C15B7A" w:rsidRDefault="00073FBC">
            <w:pPr>
              <w:spacing w:before="40" w:after="40"/>
              <w:rPr>
                <w:lang w:val="es-ES_tradnl"/>
              </w:rPr>
            </w:pPr>
            <w:r w:rsidRPr="00C15B7A">
              <w:rPr>
                <w:rFonts w:ascii="Arial" w:hAnsi="Arial" w:cs="Arial"/>
                <w:sz w:val="18"/>
                <w:szCs w:val="18"/>
                <w:lang w:val="es-ES_tradnl"/>
              </w:rPr>
              <w:t>Inclusión social e igualdad</w:t>
            </w:r>
            <w:r w:rsidR="00D676D8" w:rsidRPr="00C15B7A">
              <w:rPr>
                <w:rFonts w:ascii="Arial" w:hAnsi="Arial" w:cs="Arial"/>
                <w:sz w:val="18"/>
                <w:szCs w:val="18"/>
                <w:lang w:val="es-ES_tradnl"/>
              </w:rPr>
              <w:t>;</w:t>
            </w:r>
            <w:r w:rsidRPr="00C15B7A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Productividad e innovación; e </w:t>
            </w:r>
            <w:r w:rsidR="00D676D8" w:rsidRPr="00C15B7A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; </w:t>
            </w:r>
            <w:r w:rsidRPr="00C15B7A">
              <w:rPr>
                <w:rFonts w:ascii="Arial" w:hAnsi="Arial" w:cs="Arial"/>
                <w:sz w:val="18"/>
                <w:szCs w:val="18"/>
                <w:lang w:val="es-ES_tradnl"/>
              </w:rPr>
              <w:t>Igualdad de género</w:t>
            </w:r>
          </w:p>
        </w:tc>
      </w:tr>
    </w:tbl>
    <w:p w:rsidR="00AD671E" w:rsidRPr="00C15B7A" w:rsidRDefault="00D676D8" w:rsidP="0062306E">
      <w:pPr>
        <w:spacing w:before="240" w:after="120"/>
        <w:ind w:left="579" w:hanging="579"/>
        <w:rPr>
          <w:lang w:val="es-ES_tradnl"/>
        </w:rPr>
      </w:pPr>
      <w:r w:rsidRPr="00C15B7A">
        <w:rPr>
          <w:rFonts w:ascii="Arial" w:hAnsi="Arial" w:cs="Arial"/>
          <w:b/>
          <w:lang w:val="es-ES_tradnl"/>
        </w:rPr>
        <w:t>II.</w:t>
      </w:r>
      <w:r w:rsidRPr="00C15B7A">
        <w:rPr>
          <w:rFonts w:ascii="Arial" w:hAnsi="Arial" w:cs="Arial"/>
          <w:b/>
          <w:lang w:val="es-ES_tradnl"/>
        </w:rPr>
        <w:tab/>
        <w:t>Obje</w:t>
      </w:r>
      <w:r w:rsidRPr="00C15B7A">
        <w:rPr>
          <w:rFonts w:ascii="Arial" w:hAnsi="Arial" w:cs="Arial"/>
          <w:b/>
          <w:lang w:val="es-ES_tradnl"/>
        </w:rPr>
        <w:t>tiv</w:t>
      </w:r>
      <w:r w:rsidR="00C95D9E" w:rsidRPr="00C15B7A">
        <w:rPr>
          <w:rFonts w:ascii="Arial" w:hAnsi="Arial" w:cs="Arial"/>
          <w:b/>
          <w:lang w:val="es-ES_tradnl"/>
        </w:rPr>
        <w:t>o y</w:t>
      </w:r>
      <w:r w:rsidRPr="00C15B7A">
        <w:rPr>
          <w:rFonts w:ascii="Arial" w:hAnsi="Arial" w:cs="Arial"/>
          <w:b/>
          <w:lang w:val="es-ES_tradnl"/>
        </w:rPr>
        <w:t xml:space="preserve"> Justifica</w:t>
      </w:r>
      <w:r w:rsidR="00C95D9E" w:rsidRPr="00C15B7A">
        <w:rPr>
          <w:rFonts w:ascii="Arial" w:hAnsi="Arial" w:cs="Arial"/>
          <w:b/>
          <w:lang w:val="es-ES_tradnl"/>
        </w:rPr>
        <w:t>ción</w:t>
      </w:r>
    </w:p>
    <w:p w:rsidR="00AD671E" w:rsidRPr="00C15B7A" w:rsidRDefault="00D676D8">
      <w:pPr>
        <w:spacing w:before="120" w:after="120"/>
        <w:ind w:left="579" w:hanging="579"/>
        <w:jc w:val="both"/>
        <w:rPr>
          <w:lang w:val="es-ES_tradnl"/>
        </w:rPr>
      </w:pPr>
      <w:r w:rsidRPr="00C15B7A">
        <w:rPr>
          <w:rFonts w:ascii="Arial" w:hAnsi="Arial" w:cs="Arial"/>
          <w:lang w:val="es-ES_tradnl"/>
        </w:rPr>
        <w:t>2.1</w:t>
      </w:r>
      <w:r w:rsidRPr="00C15B7A">
        <w:rPr>
          <w:rFonts w:ascii="Arial" w:hAnsi="Arial" w:cs="Arial"/>
          <w:lang w:val="es-ES_tradnl"/>
        </w:rPr>
        <w:tab/>
      </w:r>
      <w:r w:rsidR="00C95D9E" w:rsidRPr="00C15B7A">
        <w:rPr>
          <w:rFonts w:ascii="Arial" w:hAnsi="Arial" w:cs="Arial"/>
          <w:lang w:val="es-ES_tradnl"/>
        </w:rPr>
        <w:t xml:space="preserve">El objetivo de esta cooperación técnica (CT) es analizar las opciones de política para promover la generación de nuevos empleos, </w:t>
      </w:r>
      <w:r w:rsidR="00ED4934" w:rsidRPr="00C15B7A">
        <w:rPr>
          <w:rFonts w:ascii="Arial" w:hAnsi="Arial" w:cs="Arial"/>
          <w:lang w:val="es-ES_tradnl"/>
        </w:rPr>
        <w:t>a la vez de mejorar la capacidad de los trabajadores y buscadores de empleo de actualiz</w:t>
      </w:r>
      <w:r w:rsidR="00073FBC">
        <w:rPr>
          <w:rFonts w:ascii="Arial" w:hAnsi="Arial" w:cs="Arial"/>
          <w:lang w:val="es-ES_tradnl"/>
        </w:rPr>
        <w:t>a</w:t>
      </w:r>
      <w:r w:rsidR="00ED4934" w:rsidRPr="00C15B7A">
        <w:rPr>
          <w:rFonts w:ascii="Arial" w:hAnsi="Arial" w:cs="Arial"/>
          <w:lang w:val="es-ES_tradnl"/>
        </w:rPr>
        <w:t xml:space="preserve">r su conocimiento y trabajar en un mundo de </w:t>
      </w:r>
      <w:r w:rsidR="00073FBC">
        <w:rPr>
          <w:rFonts w:ascii="Arial" w:hAnsi="Arial" w:cs="Arial"/>
          <w:lang w:val="es-ES_tradnl"/>
        </w:rPr>
        <w:t xml:space="preserve">rápido </w:t>
      </w:r>
      <w:r w:rsidR="00ED4934" w:rsidRPr="00C15B7A">
        <w:rPr>
          <w:rFonts w:ascii="Arial" w:hAnsi="Arial" w:cs="Arial"/>
          <w:lang w:val="es-ES_tradnl"/>
        </w:rPr>
        <w:t>camb</w:t>
      </w:r>
      <w:r w:rsidR="00ED4934">
        <w:rPr>
          <w:rFonts w:ascii="Arial" w:hAnsi="Arial" w:cs="Arial"/>
          <w:lang w:val="es-ES_tradnl"/>
        </w:rPr>
        <w:t xml:space="preserve">io tecnológico. </w:t>
      </w:r>
      <w:r w:rsidR="00ED4934" w:rsidRPr="00ED4934">
        <w:rPr>
          <w:rFonts w:ascii="Arial" w:hAnsi="Arial" w:cs="Arial"/>
          <w:lang w:val="es-ES_tradnl"/>
        </w:rPr>
        <w:t>Se</w:t>
      </w:r>
      <w:r w:rsidR="00ED4934" w:rsidRPr="00C15B7A">
        <w:rPr>
          <w:rFonts w:ascii="Arial" w:hAnsi="Arial" w:cs="Arial"/>
          <w:lang w:val="es-ES_tradnl"/>
        </w:rPr>
        <w:t xml:space="preserve"> trabajará para generar un ambiente de formalización</w:t>
      </w:r>
      <w:r w:rsidR="00073FBC">
        <w:rPr>
          <w:rFonts w:ascii="Arial" w:hAnsi="Arial" w:cs="Arial"/>
          <w:lang w:val="es-ES_tradnl"/>
        </w:rPr>
        <w:t>,</w:t>
      </w:r>
      <w:r w:rsidR="00ED4934" w:rsidRPr="00C15B7A">
        <w:rPr>
          <w:rFonts w:ascii="Arial" w:hAnsi="Arial" w:cs="Arial"/>
          <w:lang w:val="es-ES_tradnl"/>
        </w:rPr>
        <w:t xml:space="preserve"> proponiendo políticas públicas que facilitarán que las nuevas compañías puedan crecer e innovar, a la vez </w:t>
      </w:r>
      <w:r w:rsidR="00ED4934">
        <w:rPr>
          <w:rFonts w:ascii="Arial" w:hAnsi="Arial" w:cs="Arial"/>
          <w:lang w:val="es-ES_tradnl"/>
        </w:rPr>
        <w:t xml:space="preserve">de promover la generación de habilidades para que las compañías puedan implementar innovaciones. </w:t>
      </w:r>
      <w:r w:rsidR="00ED4934" w:rsidRPr="00ED4934">
        <w:rPr>
          <w:rFonts w:ascii="Arial" w:hAnsi="Arial" w:cs="Arial"/>
          <w:lang w:val="es-ES_tradnl"/>
        </w:rPr>
        <w:t>Ad</w:t>
      </w:r>
      <w:r w:rsidR="00ED4934" w:rsidRPr="00C15B7A">
        <w:rPr>
          <w:rFonts w:ascii="Arial" w:hAnsi="Arial" w:cs="Arial"/>
          <w:lang w:val="es-ES_tradnl"/>
        </w:rPr>
        <w:t>emás el Proyecto diseñará políticas para promover el acceso de las mujeres a mejores empleos.</w:t>
      </w:r>
      <w:r w:rsidR="00ED4934">
        <w:rPr>
          <w:rFonts w:ascii="Arial" w:hAnsi="Arial" w:cs="Arial"/>
          <w:lang w:val="es-ES_tradnl"/>
        </w:rPr>
        <w:t xml:space="preserve"> </w:t>
      </w:r>
      <w:r w:rsidR="00C95D9E" w:rsidRPr="00C15B7A">
        <w:rPr>
          <w:rFonts w:ascii="Arial" w:hAnsi="Arial" w:cs="Arial"/>
          <w:lang w:val="es-ES_tradnl"/>
        </w:rPr>
        <w:t xml:space="preserve"> </w:t>
      </w:r>
    </w:p>
    <w:p w:rsidR="00AD671E" w:rsidRPr="0062306E" w:rsidRDefault="00D676D8">
      <w:pPr>
        <w:spacing w:before="120" w:after="120"/>
        <w:ind w:left="579" w:hanging="579"/>
        <w:jc w:val="both"/>
        <w:rPr>
          <w:lang w:val="es-ES_tradnl"/>
        </w:rPr>
      </w:pPr>
      <w:r w:rsidRPr="0062306E">
        <w:rPr>
          <w:rFonts w:ascii="Arial" w:hAnsi="Arial" w:cs="Arial"/>
          <w:lang w:val="es-ES_tradnl"/>
        </w:rPr>
        <w:t>2.2</w:t>
      </w:r>
      <w:r w:rsidRPr="0062306E">
        <w:rPr>
          <w:rFonts w:ascii="Arial" w:hAnsi="Arial" w:cs="Arial"/>
          <w:lang w:val="es-ES_tradnl"/>
        </w:rPr>
        <w:tab/>
        <w:t>Se han identificado dos hechos que están asociados al bajo nivel de oportunidades de empleo de calidad para los bu</w:t>
      </w:r>
      <w:r w:rsidRPr="0062306E">
        <w:rPr>
          <w:rFonts w:ascii="Arial" w:hAnsi="Arial" w:cs="Arial"/>
          <w:lang w:val="es-ES_tradnl"/>
        </w:rPr>
        <w:t xml:space="preserve">scadores de empleo en Bolivia: Primero, persisten problemas de acceso a información relevante acerca de las vacantes de calidad disponibles, que afectan particularmente a los buscadores de empleo más vulnerables como son jóvenes y mujeres. Aproximadamente </w:t>
      </w:r>
      <w:r w:rsidRPr="0062306E">
        <w:rPr>
          <w:rFonts w:ascii="Arial" w:hAnsi="Arial" w:cs="Arial"/>
          <w:lang w:val="es-ES_tradnl"/>
        </w:rPr>
        <w:t xml:space="preserve">77% de los buscadores de empleo en Bolivia realiza búsqueda de trabajo por medios informales </w:t>
      </w:r>
      <w:r w:rsidRPr="0062306E">
        <w:rPr>
          <w:rFonts w:ascii="Arial" w:hAnsi="Arial" w:cs="Arial"/>
          <w:lang w:val="es-ES_tradnl"/>
        </w:rPr>
        <w:t xml:space="preserve">(Encuesta de Hogares 2017), lo que contribuye a perpetuar las desigualdades iniciales </w:t>
      </w:r>
      <w:r w:rsidRPr="0062306E">
        <w:rPr>
          <w:rFonts w:ascii="Arial" w:hAnsi="Arial" w:cs="Arial"/>
          <w:lang w:val="es-ES_tradnl"/>
        </w:rPr>
        <w:t>(Mazza, 2017).</w:t>
      </w:r>
    </w:p>
    <w:p w:rsidR="00AD671E" w:rsidRPr="0062306E" w:rsidRDefault="00D676D8">
      <w:pPr>
        <w:spacing w:before="120" w:after="120"/>
        <w:ind w:left="579" w:hanging="579"/>
        <w:jc w:val="both"/>
        <w:rPr>
          <w:lang w:val="es-ES_tradnl"/>
        </w:rPr>
      </w:pPr>
      <w:r w:rsidRPr="0062306E">
        <w:rPr>
          <w:rFonts w:ascii="Arial" w:hAnsi="Arial" w:cs="Arial"/>
          <w:lang w:val="es-ES_tradnl"/>
        </w:rPr>
        <w:t>2.3</w:t>
      </w:r>
      <w:r w:rsidRPr="0062306E">
        <w:rPr>
          <w:rFonts w:ascii="Arial" w:hAnsi="Arial" w:cs="Arial"/>
          <w:lang w:val="es-ES_tradnl"/>
        </w:rPr>
        <w:tab/>
        <w:t>Segundo, existen falencias de habilidades de los trabaja</w:t>
      </w:r>
      <w:r w:rsidRPr="0062306E">
        <w:rPr>
          <w:rFonts w:ascii="Arial" w:hAnsi="Arial" w:cs="Arial"/>
          <w:lang w:val="es-ES_tradnl"/>
        </w:rPr>
        <w:t>dores, que se traduce en habilidades limitadas y/o incompatibles con las vacantes existentes en el mercado, hecho que es especialmente complejo en un contexto en el que se observan rápidos cambios tecnológicos. Al respecto, El 57% de las empresas señalaron</w:t>
      </w:r>
      <w:r w:rsidRPr="0062306E">
        <w:rPr>
          <w:rFonts w:ascii="Arial" w:hAnsi="Arial" w:cs="Arial"/>
          <w:lang w:val="es-ES_tradnl"/>
        </w:rPr>
        <w:t xml:space="preserve"> que la falta de habilidades de los candidatos (31%) y la falta de experiencia (26%), otra forma de </w:t>
      </w:r>
      <w:r w:rsidRPr="0062306E">
        <w:rPr>
          <w:rFonts w:ascii="Arial" w:hAnsi="Arial" w:cs="Arial"/>
          <w:lang w:val="es-ES_tradnl"/>
        </w:rPr>
        <w:lastRenderedPageBreak/>
        <w:t>comprobar las habilidades de los trabajadores, se constituyen como las principales dificultades para encontrar personal calificado (Encuesta de Mercado Labo</w:t>
      </w:r>
      <w:r w:rsidRPr="0062306E">
        <w:rPr>
          <w:rFonts w:ascii="Arial" w:hAnsi="Arial" w:cs="Arial"/>
          <w:lang w:val="es-ES_tradnl"/>
        </w:rPr>
        <w:t>ral, 2018).</w:t>
      </w:r>
    </w:p>
    <w:p w:rsidR="00AD671E" w:rsidRPr="0062306E" w:rsidRDefault="00D676D8">
      <w:pPr>
        <w:spacing w:before="120" w:after="120"/>
        <w:ind w:left="579" w:hanging="579"/>
        <w:jc w:val="both"/>
        <w:rPr>
          <w:lang w:val="es-ES_tradnl"/>
        </w:rPr>
      </w:pPr>
      <w:r w:rsidRPr="0062306E">
        <w:rPr>
          <w:rFonts w:ascii="Arial" w:hAnsi="Arial" w:cs="Arial"/>
          <w:lang w:val="es-ES_tradnl"/>
        </w:rPr>
        <w:t>2.4</w:t>
      </w:r>
      <w:r w:rsidRPr="0062306E">
        <w:rPr>
          <w:rFonts w:ascii="Arial" w:hAnsi="Arial" w:cs="Arial"/>
          <w:lang w:val="es-ES_tradnl"/>
        </w:rPr>
        <w:tab/>
        <w:t>Adicionalmente, los trabajadores bolivianos usan poco sus habilidades en sus puestos de trabajo. El 57% de los trabajadores tiene un nivel básico o muy básico de comprensión de lectura, que corresponde solamente con un nivel de comprensión</w:t>
      </w:r>
      <w:r w:rsidRPr="0062306E">
        <w:rPr>
          <w:rFonts w:ascii="Arial" w:hAnsi="Arial" w:cs="Arial"/>
          <w:lang w:val="es-ES_tradnl"/>
        </w:rPr>
        <w:t xml:space="preserve"> de textos cortos con información de complejidad muy reducida. Con una nota promedio de 183 puntos sobre 500 en </w:t>
      </w:r>
      <w:proofErr w:type="gramStart"/>
      <w:r w:rsidRPr="0062306E">
        <w:rPr>
          <w:rFonts w:ascii="Arial" w:hAnsi="Arial" w:cs="Arial"/>
          <w:lang w:val="es-ES_tradnl"/>
        </w:rPr>
        <w:t>un test</w:t>
      </w:r>
      <w:proofErr w:type="gramEnd"/>
      <w:r w:rsidRPr="0062306E">
        <w:rPr>
          <w:rFonts w:ascii="Arial" w:hAnsi="Arial" w:cs="Arial"/>
          <w:lang w:val="es-ES_tradnl"/>
        </w:rPr>
        <w:t xml:space="preserve"> de habilidades realizado en tres ciudades de Bolivia, se encontró que el nivel promedio de comprensión de lectura calculado para Bolivia</w:t>
      </w:r>
      <w:r w:rsidRPr="0062306E">
        <w:rPr>
          <w:rFonts w:ascii="Arial" w:hAnsi="Arial" w:cs="Arial"/>
          <w:lang w:val="es-ES_tradnl"/>
        </w:rPr>
        <w:t xml:space="preserve"> se encuentra entre los más bajos de los países incluidos en la encuesta STEP (</w:t>
      </w:r>
      <w:proofErr w:type="spellStart"/>
      <w:r w:rsidRPr="0062306E">
        <w:rPr>
          <w:rFonts w:ascii="Arial" w:hAnsi="Arial" w:cs="Arial"/>
          <w:lang w:val="es-ES_tradnl"/>
        </w:rPr>
        <w:t>Handel</w:t>
      </w:r>
      <w:proofErr w:type="spellEnd"/>
      <w:r w:rsidRPr="0062306E">
        <w:rPr>
          <w:rFonts w:ascii="Arial" w:hAnsi="Arial" w:cs="Arial"/>
          <w:lang w:val="es-ES_tradnl"/>
        </w:rPr>
        <w:t xml:space="preserve"> et al, 2016).</w:t>
      </w:r>
    </w:p>
    <w:p w:rsidR="00AD671E" w:rsidRPr="0062306E" w:rsidRDefault="00D676D8">
      <w:pPr>
        <w:spacing w:before="120" w:after="120"/>
        <w:ind w:left="579" w:hanging="579"/>
        <w:jc w:val="both"/>
        <w:rPr>
          <w:lang w:val="es-ES_tradnl"/>
        </w:rPr>
      </w:pPr>
      <w:r w:rsidRPr="0062306E">
        <w:rPr>
          <w:rFonts w:ascii="Arial" w:hAnsi="Arial" w:cs="Arial"/>
          <w:lang w:val="es-ES_tradnl"/>
        </w:rPr>
        <w:t>2.5</w:t>
      </w:r>
      <w:r w:rsidRPr="0062306E">
        <w:rPr>
          <w:rFonts w:ascii="Arial" w:hAnsi="Arial" w:cs="Arial"/>
          <w:lang w:val="es-ES_tradnl"/>
        </w:rPr>
        <w:tab/>
        <w:t>El 66% y el 81% de los trabajadores reportan tener un uso nulo o bajo de sus habilidades de lectura y escritura, respectivamente. Las habilidades en m</w:t>
      </w:r>
      <w:r w:rsidRPr="0062306E">
        <w:rPr>
          <w:rFonts w:ascii="Arial" w:hAnsi="Arial" w:cs="Arial"/>
          <w:lang w:val="es-ES_tradnl"/>
        </w:rPr>
        <w:t xml:space="preserve">atemáticas y pensamiento crítico son reportadas como las más utilizadas, 53% de los trabajadores reportan un uso medio o alto de sus habilidades en matemáticas y el 63% reportan hacer un uso medio o alto de sus habilidades en pensamiento crítico. </w:t>
      </w:r>
    </w:p>
    <w:p w:rsidR="00AD671E" w:rsidRPr="0062306E" w:rsidRDefault="00D676D8">
      <w:pPr>
        <w:spacing w:before="120" w:after="120"/>
        <w:ind w:left="579" w:hanging="579"/>
        <w:jc w:val="both"/>
        <w:rPr>
          <w:lang w:val="es-ES_tradnl"/>
        </w:rPr>
      </w:pPr>
      <w:r w:rsidRPr="0062306E">
        <w:rPr>
          <w:rFonts w:ascii="Arial" w:hAnsi="Arial" w:cs="Arial"/>
          <w:lang w:val="es-ES_tradnl"/>
        </w:rPr>
        <w:t>2.6</w:t>
      </w:r>
      <w:r w:rsidRPr="0062306E">
        <w:rPr>
          <w:rFonts w:ascii="Arial" w:hAnsi="Arial" w:cs="Arial"/>
          <w:lang w:val="es-ES_tradnl"/>
        </w:rPr>
        <w:tab/>
        <w:t>Este</w:t>
      </w:r>
      <w:r w:rsidRPr="0062306E">
        <w:rPr>
          <w:rFonts w:ascii="Arial" w:hAnsi="Arial" w:cs="Arial"/>
          <w:lang w:val="es-ES_tradnl"/>
        </w:rPr>
        <w:t xml:space="preserve"> poco uso de habilidades puede ser explicado por la baja calidad de empleos que ofrece el mercado. Hecho que se debe, en parte a la baja tecnificación de las empresas en el país. En Bolivia, se observa que en promedio sólo 33% de los trabajadores utiliza c</w:t>
      </w:r>
      <w:r w:rsidRPr="0062306E">
        <w:rPr>
          <w:rFonts w:ascii="Arial" w:hAnsi="Arial" w:cs="Arial"/>
          <w:lang w:val="es-ES_tradnl"/>
        </w:rPr>
        <w:t>omputadora, 25% correo electrónico, solo el 28% buscan información en el Internet y 27% realiza trabajos con hojas de cálculo. Asimismo, más del 40% de las empresas continúa utilizando tecnología artesanal en sus procesos de producción (Encuesta de Mercado</w:t>
      </w:r>
      <w:r w:rsidRPr="0062306E">
        <w:rPr>
          <w:rFonts w:ascii="Arial" w:hAnsi="Arial" w:cs="Arial"/>
          <w:lang w:val="es-ES_tradnl"/>
        </w:rPr>
        <w:t xml:space="preserve"> Laboral en Bolivia, 2018).</w:t>
      </w:r>
    </w:p>
    <w:p w:rsidR="00AD671E" w:rsidRPr="0062306E" w:rsidRDefault="00D676D8">
      <w:pPr>
        <w:spacing w:before="120" w:after="120"/>
        <w:ind w:left="579" w:hanging="579"/>
        <w:jc w:val="both"/>
        <w:rPr>
          <w:lang w:val="es-ES_tradnl"/>
        </w:rPr>
      </w:pPr>
      <w:r w:rsidRPr="0062306E">
        <w:rPr>
          <w:rFonts w:ascii="Arial" w:hAnsi="Arial" w:cs="Arial"/>
          <w:lang w:val="es-ES_tradnl"/>
        </w:rPr>
        <w:t>2.7</w:t>
      </w:r>
      <w:r w:rsidRPr="0062306E">
        <w:rPr>
          <w:rFonts w:ascii="Arial" w:hAnsi="Arial" w:cs="Arial"/>
          <w:lang w:val="es-ES_tradnl"/>
        </w:rPr>
        <w:tab/>
        <w:t>A pesar de la creciente información existente acerca de las necesidades de habilidades y la brecha de habilidades del mercado laboral en Bolivia, no existe información que permita identificar como el acceso a tecnología y ca</w:t>
      </w:r>
      <w:r w:rsidRPr="0062306E">
        <w:rPr>
          <w:rFonts w:ascii="Arial" w:hAnsi="Arial" w:cs="Arial"/>
          <w:lang w:val="es-ES_tradnl"/>
        </w:rPr>
        <w:t xml:space="preserve">pital determinan el nivel de uso de habilidades de la mano de obra y viceversa y como todos estos factores conjuntamente determinan la productividad de las empresas. En este contexto, es pertinente mejorar el entendimiento de la problemática para plantear </w:t>
      </w:r>
      <w:r w:rsidRPr="0062306E">
        <w:rPr>
          <w:rFonts w:ascii="Arial" w:hAnsi="Arial" w:cs="Arial"/>
          <w:lang w:val="es-ES_tradnl"/>
        </w:rPr>
        <w:t>opciones de política.</w:t>
      </w:r>
    </w:p>
    <w:p w:rsidR="00AD671E" w:rsidRPr="00C15B7A" w:rsidRDefault="00D676D8">
      <w:pPr>
        <w:spacing w:before="120" w:after="120"/>
        <w:ind w:left="579" w:hanging="579"/>
        <w:rPr>
          <w:lang w:val="es-ES_tradnl"/>
        </w:rPr>
      </w:pPr>
      <w:r w:rsidRPr="00C15B7A">
        <w:rPr>
          <w:rFonts w:ascii="Arial" w:hAnsi="Arial" w:cs="Arial"/>
          <w:b/>
          <w:lang w:val="es-ES_tradnl"/>
        </w:rPr>
        <w:t>III.</w:t>
      </w:r>
      <w:r w:rsidRPr="00C15B7A">
        <w:rPr>
          <w:rFonts w:ascii="Arial" w:hAnsi="Arial" w:cs="Arial"/>
          <w:b/>
          <w:lang w:val="es-ES_tradnl"/>
        </w:rPr>
        <w:tab/>
        <w:t>Descrip</w:t>
      </w:r>
      <w:r w:rsidR="00073FBC" w:rsidRPr="00C15B7A">
        <w:rPr>
          <w:rFonts w:ascii="Arial" w:hAnsi="Arial" w:cs="Arial"/>
          <w:b/>
          <w:lang w:val="es-ES_tradnl"/>
        </w:rPr>
        <w:t>ción</w:t>
      </w:r>
      <w:r w:rsidRPr="00C15B7A">
        <w:rPr>
          <w:rFonts w:ascii="Arial" w:hAnsi="Arial" w:cs="Arial"/>
          <w:b/>
          <w:lang w:val="es-ES_tradnl"/>
        </w:rPr>
        <w:t xml:space="preserve"> </w:t>
      </w:r>
      <w:r w:rsidR="00073FBC" w:rsidRPr="00C15B7A">
        <w:rPr>
          <w:rFonts w:ascii="Arial" w:hAnsi="Arial" w:cs="Arial"/>
          <w:b/>
          <w:lang w:val="es-ES_tradnl"/>
        </w:rPr>
        <w:t>de Actividades y Product</w:t>
      </w:r>
      <w:r w:rsidR="00073FBC">
        <w:rPr>
          <w:rFonts w:ascii="Arial" w:hAnsi="Arial" w:cs="Arial"/>
          <w:b/>
          <w:lang w:val="es-ES_tradnl"/>
        </w:rPr>
        <w:t>os</w:t>
      </w:r>
    </w:p>
    <w:p w:rsidR="0062306E" w:rsidRDefault="00D676D8">
      <w:pPr>
        <w:spacing w:before="120" w:after="120"/>
        <w:ind w:left="579" w:hanging="579"/>
        <w:jc w:val="both"/>
        <w:rPr>
          <w:rFonts w:ascii="Arial" w:hAnsi="Arial" w:cs="Arial"/>
          <w:lang w:val="es-ES_tradnl"/>
        </w:rPr>
      </w:pPr>
      <w:r w:rsidRPr="0062306E">
        <w:rPr>
          <w:rFonts w:ascii="Arial" w:hAnsi="Arial" w:cs="Arial"/>
          <w:lang w:val="es-ES_tradnl"/>
        </w:rPr>
        <w:t>3.1</w:t>
      </w:r>
      <w:r w:rsidRPr="0062306E">
        <w:rPr>
          <w:rFonts w:ascii="Arial" w:hAnsi="Arial" w:cs="Arial"/>
          <w:lang w:val="es-ES_tradnl"/>
        </w:rPr>
        <w:tab/>
      </w:r>
      <w:r w:rsidRPr="0062306E">
        <w:rPr>
          <w:rFonts w:ascii="Arial" w:hAnsi="Arial" w:cs="Arial"/>
          <w:b/>
          <w:lang w:val="es-ES_tradnl"/>
        </w:rPr>
        <w:t>Componente 1</w:t>
      </w:r>
      <w:r w:rsidR="00C95D9E" w:rsidRPr="00C95D9E">
        <w:rPr>
          <w:rFonts w:ascii="Arial" w:hAnsi="Arial" w:cs="Arial"/>
          <w:lang w:val="es-ES_tradnl"/>
        </w:rPr>
        <w:t>.</w:t>
      </w:r>
      <w:r w:rsidRPr="0062306E">
        <w:rPr>
          <w:rFonts w:ascii="Arial" w:hAnsi="Arial" w:cs="Arial"/>
          <w:lang w:val="es-ES_tradnl"/>
        </w:rPr>
        <w:t xml:space="preserve"> Análisis de políticas para mejorar las capacidades de los trabajadores y los buscadores de empleo a través de la actualización de sus habilidades. El componente busca analiz</w:t>
      </w:r>
      <w:r w:rsidRPr="0062306E">
        <w:rPr>
          <w:rFonts w:ascii="Arial" w:hAnsi="Arial" w:cs="Arial"/>
          <w:lang w:val="es-ES_tradnl"/>
        </w:rPr>
        <w:t>ar el estado de situación de las habilidades que tienen los trabajadores y buscadores de empleo en Bolivia y la necesidad de estas en el marco de la demanda de habilidades en el país y las tendencias en la región. El componente financiará las siguientes ac</w:t>
      </w:r>
      <w:r w:rsidRPr="0062306E">
        <w:rPr>
          <w:rFonts w:ascii="Arial" w:hAnsi="Arial" w:cs="Arial"/>
          <w:lang w:val="es-ES_tradnl"/>
        </w:rPr>
        <w:t>tividades: (i) diagnósticos sobre el estado de situación del nivel de habilidades de los trabajadores y buscadores de empleo y propuestas de política para mejorar el acceso a oportunidades de empleo; (</w:t>
      </w:r>
      <w:proofErr w:type="spellStart"/>
      <w:r w:rsidRPr="0062306E">
        <w:rPr>
          <w:rFonts w:ascii="Arial" w:hAnsi="Arial" w:cs="Arial"/>
          <w:lang w:val="es-ES_tradnl"/>
        </w:rPr>
        <w:t>ii</w:t>
      </w:r>
      <w:proofErr w:type="spellEnd"/>
      <w:r w:rsidRPr="0062306E">
        <w:rPr>
          <w:rFonts w:ascii="Arial" w:hAnsi="Arial" w:cs="Arial"/>
          <w:lang w:val="es-ES_tradnl"/>
        </w:rPr>
        <w:t>) diagnósticos sobre el estado de situación de las em</w:t>
      </w:r>
      <w:r w:rsidRPr="0062306E">
        <w:rPr>
          <w:rFonts w:ascii="Arial" w:hAnsi="Arial" w:cs="Arial"/>
          <w:lang w:val="es-ES_tradnl"/>
        </w:rPr>
        <w:t>presas en cuanto a la adopción de tecnología y procesos innovativos y la necesidades de capacitación de su mano de obra para este propósito; (</w:t>
      </w:r>
      <w:proofErr w:type="spellStart"/>
      <w:r w:rsidRPr="0062306E">
        <w:rPr>
          <w:rFonts w:ascii="Arial" w:hAnsi="Arial" w:cs="Arial"/>
          <w:lang w:val="es-ES_tradnl"/>
        </w:rPr>
        <w:t>iii</w:t>
      </w:r>
      <w:proofErr w:type="spellEnd"/>
      <w:r w:rsidRPr="0062306E">
        <w:rPr>
          <w:rFonts w:ascii="Arial" w:hAnsi="Arial" w:cs="Arial"/>
          <w:lang w:val="es-ES_tradnl"/>
        </w:rPr>
        <w:t>) un análisis de la oferta de centros capacitación que puedan hacer frente a las demandas del mercado; y (</w:t>
      </w:r>
      <w:proofErr w:type="spellStart"/>
      <w:r w:rsidRPr="0062306E">
        <w:rPr>
          <w:rFonts w:ascii="Arial" w:hAnsi="Arial" w:cs="Arial"/>
          <w:lang w:val="es-ES_tradnl"/>
        </w:rPr>
        <w:t>iv</w:t>
      </w:r>
      <w:proofErr w:type="spellEnd"/>
      <w:r w:rsidRPr="0062306E">
        <w:rPr>
          <w:rFonts w:ascii="Arial" w:hAnsi="Arial" w:cs="Arial"/>
          <w:lang w:val="es-ES_tradnl"/>
        </w:rPr>
        <w:t>) e</w:t>
      </w:r>
      <w:r w:rsidRPr="0062306E">
        <w:rPr>
          <w:rFonts w:ascii="Arial" w:hAnsi="Arial" w:cs="Arial"/>
          <w:lang w:val="es-ES_tradnl"/>
        </w:rPr>
        <w:t>l diseño e implementación de mejoras en un sistema del Ministerio de Trabajo, que permita mejorar la calidad y uso de información administrativa para definición de políticas de empleo.</w:t>
      </w:r>
      <w:r w:rsidRPr="0062306E">
        <w:rPr>
          <w:rFonts w:ascii="Arial" w:hAnsi="Arial" w:cs="Arial"/>
          <w:lang w:val="es-ES_tradnl"/>
        </w:rPr>
        <w:t xml:space="preserve"> </w:t>
      </w:r>
    </w:p>
    <w:p w:rsidR="00AD671E" w:rsidRPr="0062306E" w:rsidRDefault="0062306E">
      <w:pPr>
        <w:spacing w:before="120" w:after="120"/>
        <w:ind w:left="579" w:hanging="579"/>
        <w:jc w:val="both"/>
        <w:rPr>
          <w:lang w:val="es-ES_tradnl"/>
        </w:rPr>
      </w:pPr>
      <w:r>
        <w:rPr>
          <w:rFonts w:ascii="Arial" w:hAnsi="Arial" w:cs="Arial"/>
          <w:lang w:val="es-ES_tradnl"/>
        </w:rPr>
        <w:t>3.2</w:t>
      </w:r>
      <w:r>
        <w:rPr>
          <w:rFonts w:ascii="Arial" w:hAnsi="Arial" w:cs="Arial"/>
          <w:lang w:val="es-ES_tradnl"/>
        </w:rPr>
        <w:tab/>
      </w:r>
      <w:r w:rsidR="00D676D8" w:rsidRPr="00C95D9E">
        <w:rPr>
          <w:rFonts w:ascii="Arial" w:hAnsi="Arial" w:cs="Arial"/>
          <w:b/>
          <w:lang w:val="es-ES_tradnl"/>
        </w:rPr>
        <w:t>Componente 2</w:t>
      </w:r>
      <w:r w:rsidR="00C95D9E" w:rsidRPr="00C95D9E">
        <w:rPr>
          <w:rFonts w:ascii="Arial" w:hAnsi="Arial" w:cs="Arial"/>
          <w:lang w:val="es-ES_tradnl"/>
        </w:rPr>
        <w:t>.</w:t>
      </w:r>
      <w:r w:rsidR="00D676D8" w:rsidRPr="00C95D9E">
        <w:rPr>
          <w:rFonts w:ascii="Arial" w:hAnsi="Arial" w:cs="Arial"/>
          <w:lang w:val="es-ES_tradnl"/>
        </w:rPr>
        <w:t xml:space="preserve"> </w:t>
      </w:r>
      <w:r w:rsidR="00D676D8" w:rsidRPr="0062306E">
        <w:rPr>
          <w:rFonts w:ascii="Arial" w:hAnsi="Arial" w:cs="Arial"/>
          <w:lang w:val="es-ES_tradnl"/>
        </w:rPr>
        <w:t>Diseño de un piloto para la promoción de acceso a empl</w:t>
      </w:r>
      <w:r w:rsidR="00D676D8" w:rsidRPr="0062306E">
        <w:rPr>
          <w:rFonts w:ascii="Arial" w:hAnsi="Arial" w:cs="Arial"/>
          <w:lang w:val="es-ES_tradnl"/>
        </w:rPr>
        <w:t xml:space="preserve">eos de calidad para mujeres. El componente busca promocionar un programa piloto orientado a mejorar las oportunidades de acceso de las mujeres en Bolivia. Para esto, el componente financiará: (i) una actualización del estado de situación de las mujeres en </w:t>
      </w:r>
      <w:r w:rsidR="00D676D8" w:rsidRPr="0062306E">
        <w:rPr>
          <w:rFonts w:ascii="Arial" w:hAnsi="Arial" w:cs="Arial"/>
          <w:lang w:val="es-ES_tradnl"/>
        </w:rPr>
        <w:t xml:space="preserve">el mercado laboral boliviano; </w:t>
      </w:r>
      <w:r w:rsidR="00D676D8" w:rsidRPr="0062306E">
        <w:rPr>
          <w:rFonts w:ascii="Arial" w:hAnsi="Arial" w:cs="Arial"/>
          <w:lang w:val="es-ES_tradnl"/>
        </w:rPr>
        <w:t>(</w:t>
      </w:r>
      <w:proofErr w:type="spellStart"/>
      <w:r w:rsidR="00D676D8" w:rsidRPr="0062306E">
        <w:rPr>
          <w:rFonts w:ascii="Arial" w:hAnsi="Arial" w:cs="Arial"/>
          <w:lang w:val="es-ES_tradnl"/>
        </w:rPr>
        <w:t>ii</w:t>
      </w:r>
      <w:proofErr w:type="spellEnd"/>
      <w:r w:rsidR="00D676D8" w:rsidRPr="0062306E">
        <w:rPr>
          <w:rFonts w:ascii="Arial" w:hAnsi="Arial" w:cs="Arial"/>
          <w:lang w:val="es-ES_tradnl"/>
        </w:rPr>
        <w:t>) el diseño de un piloto para la promoción de empleo para mujeres en empleos de calidad; y (</w:t>
      </w:r>
      <w:proofErr w:type="spellStart"/>
      <w:r w:rsidR="00D676D8" w:rsidRPr="0062306E">
        <w:rPr>
          <w:rFonts w:ascii="Arial" w:hAnsi="Arial" w:cs="Arial"/>
          <w:lang w:val="es-ES_tradnl"/>
        </w:rPr>
        <w:t>iii</w:t>
      </w:r>
      <w:proofErr w:type="spellEnd"/>
      <w:r w:rsidR="00D676D8" w:rsidRPr="0062306E">
        <w:rPr>
          <w:rFonts w:ascii="Arial" w:hAnsi="Arial" w:cs="Arial"/>
          <w:lang w:val="es-ES_tradnl"/>
        </w:rPr>
        <w:t xml:space="preserve">) apoyo operativo a la implementación y al seguimiento y monitoreo de beneficiarios. </w:t>
      </w:r>
    </w:p>
    <w:p w:rsidR="00AD671E" w:rsidRDefault="00D676D8">
      <w:pPr>
        <w:spacing w:before="120" w:after="120"/>
        <w:ind w:left="579" w:hanging="579"/>
        <w:jc w:val="both"/>
      </w:pPr>
      <w:r w:rsidRPr="0062306E">
        <w:rPr>
          <w:rFonts w:ascii="Arial" w:hAnsi="Arial" w:cs="Arial"/>
          <w:lang w:val="es-ES_tradnl"/>
        </w:rPr>
        <w:t>3.</w:t>
      </w:r>
      <w:r w:rsidR="00C95D9E">
        <w:rPr>
          <w:rFonts w:ascii="Arial" w:hAnsi="Arial" w:cs="Arial"/>
          <w:lang w:val="es-ES_tradnl"/>
        </w:rPr>
        <w:t>3</w:t>
      </w:r>
      <w:r w:rsidRPr="0062306E">
        <w:rPr>
          <w:rFonts w:ascii="Arial" w:hAnsi="Arial" w:cs="Arial"/>
          <w:lang w:val="es-ES_tradnl"/>
        </w:rPr>
        <w:tab/>
      </w:r>
      <w:r w:rsidRPr="00C95D9E">
        <w:rPr>
          <w:rFonts w:ascii="Arial" w:hAnsi="Arial" w:cs="Arial"/>
          <w:b/>
          <w:lang w:val="es-ES_tradnl"/>
        </w:rPr>
        <w:t>Componente 3</w:t>
      </w:r>
      <w:r w:rsidRPr="0062306E">
        <w:rPr>
          <w:rFonts w:ascii="Arial" w:hAnsi="Arial" w:cs="Arial"/>
          <w:lang w:val="es-ES_tradnl"/>
        </w:rPr>
        <w:t>. Comunicación y disemina</w:t>
      </w:r>
      <w:r w:rsidRPr="0062306E">
        <w:rPr>
          <w:rFonts w:ascii="Arial" w:hAnsi="Arial" w:cs="Arial"/>
          <w:lang w:val="es-ES_tradnl"/>
        </w:rPr>
        <w:t xml:space="preserve">ción. Busca apoyar la difusión y socialización de las propuestas de política establecidas en los componentes 1 y 2. </w:t>
      </w:r>
      <w:proofErr w:type="spellStart"/>
      <w:r>
        <w:rPr>
          <w:rFonts w:ascii="Arial" w:hAnsi="Arial" w:cs="Arial"/>
        </w:rPr>
        <w:t>Esto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incluiría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diseminación</w:t>
      </w:r>
      <w:proofErr w:type="spellEnd"/>
      <w:r>
        <w:rPr>
          <w:rFonts w:ascii="Arial" w:hAnsi="Arial" w:cs="Arial"/>
        </w:rPr>
        <w:t xml:space="preserve"> de los </w:t>
      </w:r>
      <w:proofErr w:type="spellStart"/>
      <w:r>
        <w:rPr>
          <w:rFonts w:ascii="Arial" w:hAnsi="Arial" w:cs="Arial"/>
        </w:rPr>
        <w:t>estudios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desarrollados</w:t>
      </w:r>
      <w:proofErr w:type="spellEnd"/>
      <w:r>
        <w:rPr>
          <w:rFonts w:ascii="Arial" w:hAnsi="Arial" w:cs="Arial"/>
        </w:rPr>
        <w:t>.</w:t>
      </w:r>
    </w:p>
    <w:p w:rsidR="00AD671E" w:rsidRDefault="00AD671E" w:rsidP="00C95D9E">
      <w:pPr>
        <w:spacing w:before="120" w:after="120"/>
        <w:ind w:left="579" w:hanging="579"/>
        <w:jc w:val="both"/>
      </w:pPr>
    </w:p>
    <w:p w:rsidR="00AD671E" w:rsidRPr="00C15B7A" w:rsidRDefault="00D676D8">
      <w:pPr>
        <w:spacing w:before="120" w:after="120"/>
        <w:ind w:left="579" w:hanging="579"/>
        <w:rPr>
          <w:lang w:val="es-ES_tradnl"/>
        </w:rPr>
      </w:pPr>
      <w:r w:rsidRPr="00C15B7A">
        <w:rPr>
          <w:rFonts w:ascii="Arial" w:hAnsi="Arial" w:cs="Arial"/>
          <w:b/>
          <w:lang w:val="es-ES_tradnl"/>
        </w:rPr>
        <w:t>I</w:t>
      </w:r>
      <w:r w:rsidRPr="00C15B7A">
        <w:rPr>
          <w:rFonts w:ascii="Arial" w:hAnsi="Arial" w:cs="Arial"/>
          <w:b/>
          <w:lang w:val="es-ES_tradnl"/>
        </w:rPr>
        <w:t>V.</w:t>
      </w:r>
      <w:r w:rsidRPr="00C15B7A">
        <w:rPr>
          <w:rFonts w:ascii="Arial" w:hAnsi="Arial" w:cs="Arial"/>
          <w:b/>
          <w:lang w:val="es-ES_tradnl"/>
        </w:rPr>
        <w:tab/>
      </w:r>
      <w:r w:rsidR="00073FBC" w:rsidRPr="00C15B7A">
        <w:rPr>
          <w:rFonts w:ascii="Arial" w:hAnsi="Arial" w:cs="Arial"/>
          <w:b/>
          <w:lang w:val="es-ES_tradnl"/>
        </w:rPr>
        <w:t>Presupuesto</w:t>
      </w:r>
    </w:p>
    <w:p w:rsidR="00AD671E" w:rsidRPr="00C15B7A" w:rsidRDefault="00073FBC">
      <w:pPr>
        <w:spacing w:before="240" w:after="120"/>
        <w:jc w:val="center"/>
        <w:rPr>
          <w:lang w:val="es-ES_tradnl"/>
        </w:rPr>
      </w:pPr>
      <w:r w:rsidRPr="00C15B7A">
        <w:rPr>
          <w:rFonts w:ascii="Arial" w:hAnsi="Arial" w:cs="Arial"/>
          <w:b/>
          <w:sz w:val="18"/>
          <w:szCs w:val="18"/>
          <w:lang w:val="es-ES_tradnl"/>
        </w:rPr>
        <w:t>Presupuesto Indicativo</w:t>
      </w:r>
      <w:r w:rsidR="00C95D9E" w:rsidRPr="00C15B7A">
        <w:rPr>
          <w:rFonts w:ascii="Arial" w:hAnsi="Arial" w:cs="Arial"/>
          <w:b/>
          <w:sz w:val="18"/>
          <w:szCs w:val="18"/>
          <w:lang w:val="es-ES_tradnl"/>
        </w:rPr>
        <w:t xml:space="preserve"> (US$)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88"/>
        <w:gridCol w:w="1578"/>
        <w:gridCol w:w="1608"/>
        <w:gridCol w:w="1710"/>
      </w:tblGrid>
      <w:tr w:rsidR="00AD671E" w:rsidTr="00C95D9E">
        <w:tc>
          <w:tcPr>
            <w:tcW w:w="3888" w:type="dxa"/>
            <w:shd w:val="clear" w:color="auto" w:fill="D9E2F3" w:themeFill="accent1" w:themeFillTint="33"/>
            <w:vAlign w:val="center"/>
          </w:tcPr>
          <w:p w:rsidR="00AD671E" w:rsidRDefault="00D676D8">
            <w:pPr>
              <w:spacing w:before="40" w:after="40"/>
              <w:jc w:val="center"/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Activi</w:t>
            </w:r>
            <w:r w:rsidR="00073FBC">
              <w:rPr>
                <w:rFonts w:ascii="Arial" w:hAnsi="Arial" w:cs="Arial"/>
                <w:b/>
                <w:sz w:val="18"/>
                <w:szCs w:val="18"/>
              </w:rPr>
              <w:t>dad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>/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Component</w:t>
            </w:r>
            <w:r w:rsidR="00073FBC">
              <w:rPr>
                <w:rFonts w:ascii="Arial" w:hAnsi="Arial" w:cs="Arial"/>
                <w:b/>
                <w:sz w:val="18"/>
                <w:szCs w:val="18"/>
              </w:rPr>
              <w:t>e</w:t>
            </w:r>
            <w:proofErr w:type="spellEnd"/>
          </w:p>
        </w:tc>
        <w:tc>
          <w:tcPr>
            <w:tcW w:w="1578" w:type="dxa"/>
            <w:shd w:val="clear" w:color="auto" w:fill="D9E2F3" w:themeFill="accent1" w:themeFillTint="33"/>
          </w:tcPr>
          <w:p w:rsidR="00AD671E" w:rsidRDefault="00073FBC">
            <w:pPr>
              <w:spacing w:before="40" w:after="40"/>
              <w:jc w:val="center"/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Fondo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BID</w:t>
            </w:r>
          </w:p>
        </w:tc>
        <w:tc>
          <w:tcPr>
            <w:tcW w:w="1608" w:type="dxa"/>
            <w:shd w:val="clear" w:color="auto" w:fill="D9E2F3" w:themeFill="accent1" w:themeFillTint="33"/>
          </w:tcPr>
          <w:p w:rsidR="00AD671E" w:rsidRDefault="00073FBC">
            <w:pPr>
              <w:spacing w:before="40" w:after="40"/>
              <w:jc w:val="center"/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Contrapartida</w:t>
            </w:r>
            <w:proofErr w:type="spellEnd"/>
          </w:p>
        </w:tc>
        <w:tc>
          <w:tcPr>
            <w:tcW w:w="1710" w:type="dxa"/>
            <w:shd w:val="clear" w:color="auto" w:fill="D9E2F3" w:themeFill="accent1" w:themeFillTint="33"/>
          </w:tcPr>
          <w:p w:rsidR="00AD671E" w:rsidRDefault="00073FBC">
            <w:pPr>
              <w:spacing w:before="40" w:after="40"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Total</w:t>
            </w:r>
          </w:p>
        </w:tc>
      </w:tr>
      <w:tr w:rsidR="00AD671E" w:rsidTr="00C95D9E">
        <w:tc>
          <w:tcPr>
            <w:tcW w:w="3888" w:type="dxa"/>
            <w:vAlign w:val="center"/>
          </w:tcPr>
          <w:p w:rsidR="00AD671E" w:rsidRPr="0062306E" w:rsidRDefault="00D676D8">
            <w:pPr>
              <w:spacing w:before="40" w:after="40"/>
              <w:rPr>
                <w:lang w:val="es-ES_tradnl"/>
              </w:rPr>
            </w:pPr>
            <w:r w:rsidRPr="0062306E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Componente 1: Análisis de políticas para mejorar las capacidades de los trabajadores y los </w:t>
            </w:r>
            <w:r w:rsidRPr="0062306E">
              <w:rPr>
                <w:rFonts w:ascii="Arial" w:hAnsi="Arial" w:cs="Arial"/>
                <w:sz w:val="18"/>
                <w:szCs w:val="18"/>
                <w:lang w:val="es-ES_tradnl"/>
              </w:rPr>
              <w:t>buscadores de empleo a través de la actualización de sus habilidades.</w:t>
            </w:r>
            <w:bookmarkStart w:id="0" w:name="_GoBack"/>
            <w:bookmarkEnd w:id="0"/>
          </w:p>
        </w:tc>
        <w:tc>
          <w:tcPr>
            <w:tcW w:w="1578" w:type="dxa"/>
            <w:vAlign w:val="center"/>
          </w:tcPr>
          <w:p w:rsidR="00AD671E" w:rsidRDefault="00D676D8" w:rsidP="00B158D1">
            <w:pPr>
              <w:spacing w:before="40" w:after="40"/>
              <w:ind w:right="393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150,000</w:t>
            </w:r>
          </w:p>
        </w:tc>
        <w:tc>
          <w:tcPr>
            <w:tcW w:w="1608" w:type="dxa"/>
            <w:vAlign w:val="center"/>
          </w:tcPr>
          <w:p w:rsidR="00AD671E" w:rsidRDefault="00D676D8" w:rsidP="00B158D1">
            <w:pPr>
              <w:spacing w:before="40" w:after="40"/>
              <w:ind w:right="393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10" w:type="dxa"/>
            <w:vAlign w:val="center"/>
          </w:tcPr>
          <w:p w:rsidR="00AD671E" w:rsidRDefault="00D676D8" w:rsidP="00B158D1">
            <w:pPr>
              <w:spacing w:before="40" w:after="40"/>
              <w:ind w:right="393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150,000</w:t>
            </w:r>
          </w:p>
        </w:tc>
      </w:tr>
      <w:tr w:rsidR="00AD671E" w:rsidTr="00C95D9E">
        <w:tc>
          <w:tcPr>
            <w:tcW w:w="3888" w:type="dxa"/>
            <w:vAlign w:val="center"/>
          </w:tcPr>
          <w:p w:rsidR="00AD671E" w:rsidRPr="0062306E" w:rsidRDefault="00D676D8">
            <w:pPr>
              <w:spacing w:before="40" w:after="40"/>
              <w:rPr>
                <w:lang w:val="es-ES_tradnl"/>
              </w:rPr>
            </w:pPr>
            <w:r w:rsidRPr="0062306E">
              <w:rPr>
                <w:rFonts w:ascii="Arial" w:hAnsi="Arial" w:cs="Arial"/>
                <w:sz w:val="18"/>
                <w:szCs w:val="18"/>
                <w:lang w:val="es-ES_tradnl"/>
              </w:rPr>
              <w:t>Componente 2: Diseño de un piloto para la promoción de acceso a empleos de calidad para mujeres.</w:t>
            </w:r>
          </w:p>
        </w:tc>
        <w:tc>
          <w:tcPr>
            <w:tcW w:w="1578" w:type="dxa"/>
            <w:vAlign w:val="center"/>
          </w:tcPr>
          <w:p w:rsidR="00AD671E" w:rsidRDefault="00D676D8" w:rsidP="00B158D1">
            <w:pPr>
              <w:spacing w:before="40" w:after="40"/>
              <w:ind w:right="393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220,000</w:t>
            </w:r>
          </w:p>
        </w:tc>
        <w:tc>
          <w:tcPr>
            <w:tcW w:w="1608" w:type="dxa"/>
            <w:vAlign w:val="center"/>
          </w:tcPr>
          <w:p w:rsidR="00AD671E" w:rsidRDefault="00D676D8" w:rsidP="00B158D1">
            <w:pPr>
              <w:spacing w:before="40" w:after="40"/>
              <w:ind w:right="393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10" w:type="dxa"/>
            <w:vAlign w:val="center"/>
          </w:tcPr>
          <w:p w:rsidR="00AD671E" w:rsidRDefault="00D676D8" w:rsidP="00B158D1">
            <w:pPr>
              <w:spacing w:before="40" w:after="40"/>
              <w:ind w:right="393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220,000</w:t>
            </w:r>
          </w:p>
        </w:tc>
      </w:tr>
      <w:tr w:rsidR="00AD671E" w:rsidTr="00C95D9E">
        <w:tc>
          <w:tcPr>
            <w:tcW w:w="3888" w:type="dxa"/>
            <w:vAlign w:val="center"/>
          </w:tcPr>
          <w:p w:rsidR="00AD671E" w:rsidRDefault="00D676D8">
            <w:pPr>
              <w:spacing w:before="40" w:after="40"/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Componente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3.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Comunic</w:t>
            </w:r>
            <w:r>
              <w:rPr>
                <w:rFonts w:ascii="Arial" w:hAnsi="Arial" w:cs="Arial"/>
                <w:sz w:val="18"/>
                <w:szCs w:val="18"/>
              </w:rPr>
              <w:t>ación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diseminación</w:t>
            </w:r>
            <w:proofErr w:type="spellEnd"/>
          </w:p>
        </w:tc>
        <w:tc>
          <w:tcPr>
            <w:tcW w:w="1578" w:type="dxa"/>
            <w:vAlign w:val="center"/>
          </w:tcPr>
          <w:p w:rsidR="00AD671E" w:rsidRDefault="00D676D8" w:rsidP="00B158D1">
            <w:pPr>
              <w:spacing w:before="40" w:after="40"/>
              <w:ind w:right="393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30,000</w:t>
            </w:r>
          </w:p>
        </w:tc>
        <w:tc>
          <w:tcPr>
            <w:tcW w:w="1608" w:type="dxa"/>
            <w:vAlign w:val="center"/>
          </w:tcPr>
          <w:p w:rsidR="00AD671E" w:rsidRDefault="00D676D8" w:rsidP="00B158D1">
            <w:pPr>
              <w:spacing w:before="40" w:after="40"/>
              <w:ind w:right="393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10" w:type="dxa"/>
            <w:vAlign w:val="center"/>
          </w:tcPr>
          <w:p w:rsidR="00AD671E" w:rsidRDefault="00D676D8" w:rsidP="00B158D1">
            <w:pPr>
              <w:spacing w:before="40" w:after="40"/>
              <w:ind w:right="393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30,000</w:t>
            </w:r>
          </w:p>
        </w:tc>
      </w:tr>
      <w:tr w:rsidR="00C95D9E" w:rsidTr="00C95D9E">
        <w:tc>
          <w:tcPr>
            <w:tcW w:w="3888" w:type="dxa"/>
            <w:vAlign w:val="center"/>
          </w:tcPr>
          <w:p w:rsidR="00C95D9E" w:rsidRDefault="00C95D9E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578" w:type="dxa"/>
            <w:vAlign w:val="center"/>
          </w:tcPr>
          <w:p w:rsidR="00C95D9E" w:rsidRDefault="00C95D9E" w:rsidP="00B158D1">
            <w:pPr>
              <w:spacing w:before="40" w:after="40"/>
              <w:ind w:right="393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400,000</w:t>
            </w:r>
          </w:p>
        </w:tc>
        <w:tc>
          <w:tcPr>
            <w:tcW w:w="1608" w:type="dxa"/>
            <w:vAlign w:val="center"/>
          </w:tcPr>
          <w:p w:rsidR="00C95D9E" w:rsidRDefault="00C95D9E" w:rsidP="00B158D1">
            <w:pPr>
              <w:spacing w:before="40" w:after="40"/>
              <w:ind w:right="393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10" w:type="dxa"/>
            <w:vAlign w:val="center"/>
          </w:tcPr>
          <w:p w:rsidR="00C95D9E" w:rsidRDefault="00C95D9E" w:rsidP="00B158D1">
            <w:pPr>
              <w:spacing w:before="40" w:after="40"/>
              <w:ind w:right="393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400,000</w:t>
            </w:r>
          </w:p>
        </w:tc>
      </w:tr>
    </w:tbl>
    <w:p w:rsidR="00AD671E" w:rsidRPr="00C15B7A" w:rsidRDefault="00D676D8" w:rsidP="00C95D9E">
      <w:pPr>
        <w:spacing w:before="360" w:after="120"/>
        <w:ind w:left="579" w:hanging="579"/>
        <w:rPr>
          <w:lang w:val="es-ES_tradnl"/>
        </w:rPr>
      </w:pPr>
      <w:r w:rsidRPr="00C15B7A">
        <w:rPr>
          <w:rFonts w:ascii="Arial" w:hAnsi="Arial" w:cs="Arial"/>
          <w:b/>
          <w:lang w:val="es-ES_tradnl"/>
        </w:rPr>
        <w:t>V.</w:t>
      </w:r>
      <w:r w:rsidRPr="00C15B7A">
        <w:rPr>
          <w:rFonts w:ascii="Arial" w:hAnsi="Arial" w:cs="Arial"/>
          <w:b/>
          <w:lang w:val="es-ES_tradnl"/>
        </w:rPr>
        <w:tab/>
      </w:r>
      <w:r w:rsidR="00073FBC" w:rsidRPr="00C15B7A">
        <w:rPr>
          <w:rFonts w:ascii="Arial" w:hAnsi="Arial" w:cs="Arial"/>
          <w:b/>
          <w:lang w:val="es-ES_tradnl"/>
        </w:rPr>
        <w:t>Agencia Ejecutora y Estructura de Ejecución</w:t>
      </w:r>
    </w:p>
    <w:p w:rsidR="00AD671E" w:rsidRPr="0062306E" w:rsidRDefault="00D676D8">
      <w:pPr>
        <w:spacing w:before="200" w:after="200"/>
        <w:ind w:left="579" w:hanging="579"/>
        <w:jc w:val="both"/>
        <w:rPr>
          <w:lang w:val="es-ES_tradnl"/>
        </w:rPr>
      </w:pPr>
      <w:r w:rsidRPr="0062306E">
        <w:rPr>
          <w:rFonts w:ascii="Arial" w:hAnsi="Arial" w:cs="Arial"/>
          <w:lang w:val="es-ES_tradnl"/>
        </w:rPr>
        <w:t>5.1</w:t>
      </w:r>
      <w:r w:rsidRPr="0062306E">
        <w:rPr>
          <w:rFonts w:ascii="Arial" w:hAnsi="Arial" w:cs="Arial"/>
          <w:lang w:val="es-ES_tradnl"/>
        </w:rPr>
        <w:tab/>
        <w:t xml:space="preserve">La Agencia Ejecutora será el Banco Interamericano de Desarrollo (BID), según lo solicitado por el beneficiario, de conformidad con los </w:t>
      </w:r>
      <w:r w:rsidRPr="0062306E">
        <w:rPr>
          <w:rFonts w:ascii="Arial" w:hAnsi="Arial" w:cs="Arial"/>
          <w:lang w:val="es-ES_tradnl"/>
        </w:rPr>
        <w:t>lineamientos y requisitos establecidos en la Política de Cooperación Técnica (GN-2470-2) y en las Guías Operativas de CT (GN-2629-1), a través de su División de Mercados Laborales (SCL/LMK).</w:t>
      </w:r>
    </w:p>
    <w:p w:rsidR="00AD671E" w:rsidRPr="0062306E" w:rsidRDefault="00D676D8">
      <w:pPr>
        <w:spacing w:before="200" w:after="200"/>
        <w:ind w:left="579" w:hanging="579"/>
        <w:jc w:val="both"/>
        <w:rPr>
          <w:lang w:val="es-ES_tradnl"/>
        </w:rPr>
      </w:pPr>
      <w:r w:rsidRPr="0062306E">
        <w:rPr>
          <w:rFonts w:ascii="Arial" w:hAnsi="Arial" w:cs="Arial"/>
          <w:lang w:val="es-ES_tradnl"/>
        </w:rPr>
        <w:t>5.2</w:t>
      </w:r>
      <w:r w:rsidRPr="0062306E">
        <w:rPr>
          <w:rFonts w:ascii="Arial" w:hAnsi="Arial" w:cs="Arial"/>
          <w:lang w:val="es-ES_tradnl"/>
        </w:rPr>
        <w:tab/>
        <w:t xml:space="preserve">Este proceder se debe a la experiencia y capacidad que tiene </w:t>
      </w:r>
      <w:r w:rsidRPr="0062306E">
        <w:rPr>
          <w:rFonts w:ascii="Arial" w:hAnsi="Arial" w:cs="Arial"/>
          <w:lang w:val="es-ES_tradnl"/>
        </w:rPr>
        <w:t>el Banco en ejecutar este tipo de proyectos y su capacidad para contratar consultorías internacionales de alto nivel, con un valor agregado, además de las mayores opciones que tiene el Banco para usar herramientas para transferir lecciones aprendidas de ot</w:t>
      </w:r>
      <w:r w:rsidRPr="0062306E">
        <w:rPr>
          <w:rFonts w:ascii="Arial" w:hAnsi="Arial" w:cs="Arial"/>
          <w:lang w:val="es-ES_tradnl"/>
        </w:rPr>
        <w:t>ros países, así como organizar actividades para promover la transferencia de mejores prácticas de dentro y fuera de la región. El Banco supervisará los servicios de consultoría y el beneficiario podrá brindar insumos técnicos a los informes de los consulto</w:t>
      </w:r>
      <w:r w:rsidRPr="0062306E">
        <w:rPr>
          <w:rFonts w:ascii="Arial" w:hAnsi="Arial" w:cs="Arial"/>
          <w:lang w:val="es-ES_tradnl"/>
        </w:rPr>
        <w:t>res. La titularidad de los derechos de propiedad intelectual de los productos resultantes de la ejecución de la CT pertenece al Banco; sin embargo, se otorgará una licencia de uso de los productos al gobierno del Estado Plurinacional de Bolivia.</w:t>
      </w:r>
    </w:p>
    <w:p w:rsidR="00AD671E" w:rsidRPr="0062306E" w:rsidRDefault="00D676D8">
      <w:pPr>
        <w:spacing w:before="120" w:after="120"/>
        <w:ind w:left="579" w:hanging="579"/>
        <w:rPr>
          <w:lang w:val="es-ES_tradnl"/>
        </w:rPr>
      </w:pPr>
      <w:r w:rsidRPr="0062306E">
        <w:rPr>
          <w:rFonts w:ascii="Arial" w:hAnsi="Arial" w:cs="Arial"/>
          <w:b/>
          <w:lang w:val="es-ES_tradnl"/>
        </w:rPr>
        <w:t>VI.</w:t>
      </w:r>
      <w:r w:rsidRPr="0062306E">
        <w:rPr>
          <w:rFonts w:ascii="Arial" w:hAnsi="Arial" w:cs="Arial"/>
          <w:b/>
          <w:lang w:val="es-ES_tradnl"/>
        </w:rPr>
        <w:tab/>
      </w:r>
      <w:r w:rsidR="00073FBC">
        <w:rPr>
          <w:rFonts w:ascii="Arial" w:hAnsi="Arial" w:cs="Arial"/>
          <w:b/>
          <w:lang w:val="es-ES_tradnl"/>
        </w:rPr>
        <w:t>Riesgos y otros temas</w:t>
      </w:r>
    </w:p>
    <w:p w:rsidR="00C95D9E" w:rsidRDefault="00D676D8">
      <w:pPr>
        <w:spacing w:before="200" w:after="200"/>
        <w:ind w:left="579" w:hanging="579"/>
        <w:jc w:val="both"/>
        <w:rPr>
          <w:rFonts w:ascii="Arial" w:hAnsi="Arial" w:cs="Arial"/>
          <w:lang w:val="es-ES_tradnl"/>
        </w:rPr>
      </w:pPr>
      <w:r w:rsidRPr="0062306E">
        <w:rPr>
          <w:rFonts w:ascii="Arial" w:hAnsi="Arial" w:cs="Arial"/>
          <w:lang w:val="es-ES_tradnl"/>
        </w:rPr>
        <w:t>6.1</w:t>
      </w:r>
      <w:r w:rsidRPr="0062306E">
        <w:rPr>
          <w:rFonts w:ascii="Arial" w:hAnsi="Arial" w:cs="Arial"/>
          <w:lang w:val="es-ES_tradnl"/>
        </w:rPr>
        <w:tab/>
        <w:t xml:space="preserve">El equipo de esta operación no ha identificado riesgos substanciales a nivel de rendición de cuentas, administración pública, macroeconómico, o fiduciario. </w:t>
      </w:r>
    </w:p>
    <w:p w:rsidR="00C95D9E" w:rsidRDefault="00C95D9E">
      <w:pPr>
        <w:spacing w:before="200" w:after="200"/>
        <w:ind w:left="579" w:hanging="579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6.2</w:t>
      </w:r>
      <w:r>
        <w:rPr>
          <w:rFonts w:ascii="Arial" w:hAnsi="Arial" w:cs="Arial"/>
          <w:lang w:val="es-ES_tradnl"/>
        </w:rPr>
        <w:tab/>
      </w:r>
      <w:r w:rsidR="00D676D8" w:rsidRPr="00C95D9E">
        <w:rPr>
          <w:rFonts w:ascii="Arial" w:hAnsi="Arial" w:cs="Arial"/>
          <w:b/>
          <w:lang w:val="es-ES_tradnl"/>
        </w:rPr>
        <w:t>Riesgo de gobernabilidad</w:t>
      </w:r>
      <w:r w:rsidR="00D676D8" w:rsidRPr="00C95D9E">
        <w:rPr>
          <w:rFonts w:ascii="Arial" w:hAnsi="Arial" w:cs="Arial"/>
          <w:lang w:val="es-ES_tradnl"/>
        </w:rPr>
        <w:t xml:space="preserve">. </w:t>
      </w:r>
      <w:r w:rsidR="00D676D8" w:rsidRPr="0062306E">
        <w:rPr>
          <w:rFonts w:ascii="Arial" w:hAnsi="Arial" w:cs="Arial"/>
          <w:lang w:val="es-ES_tradnl"/>
        </w:rPr>
        <w:t>Dado que durante el periodo de ejecución de la CT es posible un cambio de gobierno que implicaría también cambio de autoridades del Beneficiario q</w:t>
      </w:r>
      <w:r w:rsidR="00D676D8" w:rsidRPr="0062306E">
        <w:rPr>
          <w:rFonts w:ascii="Arial" w:hAnsi="Arial" w:cs="Arial"/>
          <w:lang w:val="es-ES_tradnl"/>
        </w:rPr>
        <w:t>ue serán las contrapartes de la operación, se dividirá la ejecución de estudios en dos fases, una de relevamiento, previa al cambio; y una fase posterior de análisis para la cual se prevé la conformación de un equipo técnico con la contraparte integrado de</w:t>
      </w:r>
      <w:r w:rsidR="00D676D8" w:rsidRPr="0062306E">
        <w:rPr>
          <w:rFonts w:ascii="Arial" w:hAnsi="Arial" w:cs="Arial"/>
          <w:lang w:val="es-ES_tradnl"/>
        </w:rPr>
        <w:t xml:space="preserve">seablemente por funcionarios del </w:t>
      </w:r>
      <w:r w:rsidR="00073FBC">
        <w:rPr>
          <w:rFonts w:ascii="Arial" w:hAnsi="Arial" w:cs="Arial"/>
          <w:lang w:val="es-ES_tradnl"/>
        </w:rPr>
        <w:t xml:space="preserve">Ministerio de Planeación y Desarrollo, Ministerio de Trabajo, Empleo y Previsión Social </w:t>
      </w:r>
      <w:r w:rsidR="00D676D8" w:rsidRPr="0062306E">
        <w:rPr>
          <w:rFonts w:ascii="Arial" w:hAnsi="Arial" w:cs="Arial"/>
          <w:lang w:val="es-ES_tradnl"/>
        </w:rPr>
        <w:t>y otras instancias del gobierno involucradas en la temática; que valide, comente, y reciba los resultados de las consultorías previstas, si fuera necesario.</w:t>
      </w:r>
    </w:p>
    <w:p w:rsidR="00AD671E" w:rsidRPr="0062306E" w:rsidRDefault="00C95D9E">
      <w:pPr>
        <w:spacing w:before="200" w:after="200"/>
        <w:ind w:left="579" w:hanging="579"/>
        <w:jc w:val="both"/>
        <w:rPr>
          <w:lang w:val="es-ES_tradnl"/>
        </w:rPr>
      </w:pPr>
      <w:r>
        <w:rPr>
          <w:rFonts w:ascii="Arial" w:hAnsi="Arial" w:cs="Arial"/>
          <w:lang w:val="es-ES_tradnl"/>
        </w:rPr>
        <w:t>6.3</w:t>
      </w:r>
      <w:r>
        <w:rPr>
          <w:rFonts w:ascii="Arial" w:hAnsi="Arial" w:cs="Arial"/>
          <w:lang w:val="es-ES_tradnl"/>
        </w:rPr>
        <w:tab/>
      </w:r>
      <w:r w:rsidR="00D676D8" w:rsidRPr="00C95D9E">
        <w:rPr>
          <w:rFonts w:ascii="Arial" w:hAnsi="Arial" w:cs="Arial"/>
          <w:b/>
          <w:lang w:val="es-ES_tradnl"/>
        </w:rPr>
        <w:t>Sostenibilidad</w:t>
      </w:r>
      <w:r w:rsidR="00D676D8" w:rsidRPr="00C95D9E">
        <w:rPr>
          <w:rFonts w:ascii="Arial" w:hAnsi="Arial" w:cs="Arial"/>
          <w:lang w:val="es-ES_tradnl"/>
        </w:rPr>
        <w:t xml:space="preserve">. </w:t>
      </w:r>
      <w:r w:rsidR="00D676D8" w:rsidRPr="0062306E">
        <w:rPr>
          <w:rFonts w:ascii="Arial" w:hAnsi="Arial" w:cs="Arial"/>
          <w:lang w:val="es-ES_tradnl"/>
        </w:rPr>
        <w:t>Si bien existe un riesgo para la sosten</w:t>
      </w:r>
      <w:r w:rsidR="00D676D8" w:rsidRPr="0062306E">
        <w:rPr>
          <w:rFonts w:ascii="Arial" w:hAnsi="Arial" w:cs="Arial"/>
          <w:lang w:val="es-ES_tradnl"/>
        </w:rPr>
        <w:t>ibilidad de la operación, dado que es posible que exista un cambio de Gobierno en Bolivia durante el proceso de ejecución, el riesgo se considera bajo considerando que: (i) los temas que se estudiarán bajo la presente CT son temas considerados como relevan</w:t>
      </w:r>
      <w:r w:rsidR="00D676D8" w:rsidRPr="0062306E">
        <w:rPr>
          <w:rFonts w:ascii="Arial" w:hAnsi="Arial" w:cs="Arial"/>
          <w:lang w:val="es-ES_tradnl"/>
        </w:rPr>
        <w:t>tes en el país; (</w:t>
      </w:r>
      <w:proofErr w:type="spellStart"/>
      <w:r w:rsidR="00D676D8" w:rsidRPr="0062306E">
        <w:rPr>
          <w:rFonts w:ascii="Arial" w:hAnsi="Arial" w:cs="Arial"/>
          <w:lang w:val="es-ES_tradnl"/>
        </w:rPr>
        <w:t>ii</w:t>
      </w:r>
      <w:proofErr w:type="spellEnd"/>
      <w:r w:rsidR="00D676D8" w:rsidRPr="0062306E">
        <w:rPr>
          <w:rFonts w:ascii="Arial" w:hAnsi="Arial" w:cs="Arial"/>
          <w:lang w:val="es-ES_tradnl"/>
        </w:rPr>
        <w:t>)</w:t>
      </w:r>
      <w:r w:rsidR="00073FBC">
        <w:rPr>
          <w:rFonts w:ascii="Arial" w:hAnsi="Arial" w:cs="Arial"/>
          <w:lang w:val="es-ES_tradnl"/>
        </w:rPr>
        <w:t> </w:t>
      </w:r>
      <w:r w:rsidR="00D676D8" w:rsidRPr="0062306E">
        <w:rPr>
          <w:rFonts w:ascii="Arial" w:hAnsi="Arial" w:cs="Arial"/>
          <w:lang w:val="es-ES_tradnl"/>
        </w:rPr>
        <w:t>los estudios se realizarán en dos fases, donde la parte de definición de alternativas y recomendaciones se coordinará con la nueva administración, si fuera él caso; y (</w:t>
      </w:r>
      <w:proofErr w:type="spellStart"/>
      <w:r w:rsidR="00D676D8" w:rsidRPr="0062306E">
        <w:rPr>
          <w:rFonts w:ascii="Arial" w:hAnsi="Arial" w:cs="Arial"/>
          <w:lang w:val="es-ES_tradnl"/>
        </w:rPr>
        <w:t>iii</w:t>
      </w:r>
      <w:proofErr w:type="spellEnd"/>
      <w:r w:rsidR="00D676D8" w:rsidRPr="0062306E">
        <w:rPr>
          <w:rFonts w:ascii="Arial" w:hAnsi="Arial" w:cs="Arial"/>
          <w:lang w:val="es-ES_tradnl"/>
        </w:rPr>
        <w:t>)</w:t>
      </w:r>
      <w:r>
        <w:rPr>
          <w:rFonts w:ascii="Arial" w:hAnsi="Arial" w:cs="Arial"/>
          <w:lang w:val="es-ES_tradnl"/>
        </w:rPr>
        <w:t> </w:t>
      </w:r>
      <w:r w:rsidR="00D676D8" w:rsidRPr="0062306E">
        <w:rPr>
          <w:rFonts w:ascii="Arial" w:hAnsi="Arial" w:cs="Arial"/>
          <w:lang w:val="es-ES_tradnl"/>
        </w:rPr>
        <w:t>los resultados de la fase de relevamiento de la información, e</w:t>
      </w:r>
      <w:r w:rsidR="00D676D8" w:rsidRPr="0062306E">
        <w:rPr>
          <w:rFonts w:ascii="Arial" w:hAnsi="Arial" w:cs="Arial"/>
          <w:lang w:val="es-ES_tradnl"/>
        </w:rPr>
        <w:t>ntregarán datos importantes y actualizados sobre la situación actual del mercado laboral que serán de utilidad a la nueva administración independientemente de las definiciones que tome sobre las temáticas estudiadas.</w:t>
      </w:r>
    </w:p>
    <w:p w:rsidR="00AD671E" w:rsidRPr="00C15B7A" w:rsidRDefault="00D676D8">
      <w:pPr>
        <w:spacing w:before="120" w:after="120"/>
        <w:ind w:left="579" w:hanging="579"/>
        <w:rPr>
          <w:lang w:val="es-ES_tradnl"/>
        </w:rPr>
      </w:pPr>
      <w:r w:rsidRPr="00C15B7A">
        <w:rPr>
          <w:rFonts w:ascii="Arial" w:hAnsi="Arial" w:cs="Arial"/>
          <w:b/>
          <w:lang w:val="es-ES_tradnl"/>
        </w:rPr>
        <w:t>VII.</w:t>
      </w:r>
      <w:r w:rsidRPr="00C15B7A">
        <w:rPr>
          <w:rFonts w:ascii="Arial" w:hAnsi="Arial" w:cs="Arial"/>
          <w:b/>
          <w:lang w:val="es-ES_tradnl"/>
        </w:rPr>
        <w:tab/>
      </w:r>
      <w:r w:rsidR="00073FBC" w:rsidRPr="00C15B7A">
        <w:rPr>
          <w:rFonts w:ascii="Arial" w:hAnsi="Arial" w:cs="Arial"/>
          <w:b/>
          <w:lang w:val="es-ES_tradnl"/>
        </w:rPr>
        <w:t xml:space="preserve">Clasificación Ambiental y </w:t>
      </w:r>
      <w:r w:rsidR="00073FBC">
        <w:rPr>
          <w:rFonts w:ascii="Arial" w:hAnsi="Arial" w:cs="Arial"/>
          <w:b/>
          <w:lang w:val="es-ES_tradnl"/>
        </w:rPr>
        <w:t>S</w:t>
      </w:r>
      <w:r w:rsidR="00073FBC" w:rsidRPr="00C15B7A">
        <w:rPr>
          <w:rFonts w:ascii="Arial" w:hAnsi="Arial" w:cs="Arial"/>
          <w:b/>
          <w:lang w:val="es-ES_tradnl"/>
        </w:rPr>
        <w:t>oci</w:t>
      </w:r>
      <w:r w:rsidR="00073FBC">
        <w:rPr>
          <w:rFonts w:ascii="Arial" w:hAnsi="Arial" w:cs="Arial"/>
          <w:b/>
          <w:lang w:val="es-ES_tradnl"/>
        </w:rPr>
        <w:t xml:space="preserve">al </w:t>
      </w:r>
    </w:p>
    <w:p w:rsidR="00AD671E" w:rsidRPr="00C15B7A" w:rsidRDefault="00D676D8">
      <w:pPr>
        <w:spacing w:before="240" w:after="120"/>
        <w:ind w:left="579" w:hanging="579"/>
        <w:jc w:val="both"/>
        <w:rPr>
          <w:lang w:val="es-ES_tradnl"/>
        </w:rPr>
      </w:pPr>
      <w:r w:rsidRPr="00C15B7A">
        <w:rPr>
          <w:rFonts w:ascii="Arial" w:hAnsi="Arial" w:cs="Arial"/>
          <w:lang w:val="es-ES_tradnl"/>
        </w:rPr>
        <w:t>7.1</w:t>
      </w:r>
      <w:r w:rsidRPr="00C15B7A">
        <w:rPr>
          <w:rFonts w:ascii="Arial" w:hAnsi="Arial" w:cs="Arial"/>
          <w:lang w:val="es-ES_tradnl"/>
        </w:rPr>
        <w:tab/>
      </w:r>
      <w:r w:rsidR="00073FBC" w:rsidRPr="00C15B7A">
        <w:rPr>
          <w:rFonts w:ascii="Arial" w:hAnsi="Arial" w:cs="Arial"/>
          <w:lang w:val="es-ES_tradnl"/>
        </w:rPr>
        <w:t xml:space="preserve">La clasificación de esta operación es </w:t>
      </w:r>
      <w:r w:rsidRPr="00C15B7A">
        <w:rPr>
          <w:rFonts w:ascii="Arial" w:hAnsi="Arial" w:cs="Arial"/>
          <w:lang w:val="es-ES_tradnl"/>
        </w:rPr>
        <w:t>"</w:t>
      </w:r>
      <w:r w:rsidR="00C95D9E" w:rsidRPr="00C15B7A">
        <w:rPr>
          <w:rFonts w:ascii="Arial" w:hAnsi="Arial" w:cs="Arial"/>
          <w:lang w:val="es-ES_tradnl"/>
        </w:rPr>
        <w:t>C</w:t>
      </w:r>
      <w:r w:rsidRPr="00C15B7A">
        <w:rPr>
          <w:rFonts w:ascii="Arial" w:hAnsi="Arial" w:cs="Arial"/>
          <w:lang w:val="es-ES_tradnl"/>
        </w:rPr>
        <w:t>".</w:t>
      </w:r>
      <w:r w:rsidR="00073FBC">
        <w:rPr>
          <w:rFonts w:ascii="Arial" w:hAnsi="Arial" w:cs="Arial"/>
          <w:lang w:val="es-ES_tradnl"/>
        </w:rPr>
        <w:t xml:space="preserve"> </w:t>
      </w:r>
      <w:r w:rsidR="00073FBC" w:rsidRPr="0062306E">
        <w:rPr>
          <w:rFonts w:ascii="Arial" w:hAnsi="Arial" w:cs="Arial"/>
          <w:lang w:val="es-ES_tradnl"/>
        </w:rPr>
        <w:t>Debido a su naturaleza, no se espera que la ejecución de esta CT se traduzca en un impacto negativo significativo para el medio ambiente o a nivel social.</w:t>
      </w:r>
    </w:p>
    <w:sectPr w:rsidR="00AD671E" w:rsidRPr="00C15B7A" w:rsidSect="00FC3028">
      <w:footerReference w:type="even" r:id="rId6"/>
      <w:footerReference w:type="default" r:id="rId7"/>
      <w:footerReference w:type="firs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76D8" w:rsidRDefault="00D676D8">
      <w:r>
        <w:separator/>
      </w:r>
    </w:p>
  </w:endnote>
  <w:endnote w:type="continuationSeparator" w:id="0">
    <w:p w:rsidR="00D676D8" w:rsidRDefault="00D67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472B" w:rsidRDefault="00D676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472B" w:rsidRDefault="00D676D8"/>
  <w:p w:rsidR="00AD671E" w:rsidRDefault="00D676D8">
    <w:pPr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472B" w:rsidRDefault="00D676D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76D8" w:rsidRDefault="00D676D8">
      <w:r>
        <w:separator/>
      </w:r>
    </w:p>
  </w:footnote>
  <w:footnote w:type="continuationSeparator" w:id="0">
    <w:p w:rsidR="00D676D8" w:rsidRDefault="00D676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 w:grammar="clean"/>
  <w:trackRevision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F62"/>
    <w:rsid w:val="00073FBC"/>
    <w:rsid w:val="001915A3"/>
    <w:rsid w:val="00217F62"/>
    <w:rsid w:val="00424986"/>
    <w:rsid w:val="0062306E"/>
    <w:rsid w:val="007F2F7F"/>
    <w:rsid w:val="00A906D8"/>
    <w:rsid w:val="00AB5A74"/>
    <w:rsid w:val="00AD671E"/>
    <w:rsid w:val="00B158D1"/>
    <w:rsid w:val="00C15B7A"/>
    <w:rsid w:val="00C95D9E"/>
    <w:rsid w:val="00D676D8"/>
    <w:rsid w:val="00ED4934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6D76F"/>
  <w15:docId w15:val="{48AA3A4C-EAF1-40F8-B094-BB667B14F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D49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9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13" Type="http://schemas.openxmlformats.org/officeDocument/2006/relationships/customXml" Target="../customXml/item3.xml"/><Relationship Id="rId18" Type="http://schemas.openxmlformats.org/officeDocument/2006/relationships/customXml" Target="../customXml/item8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customXml" Target="../customXml/item2.xml"/><Relationship Id="rId17" Type="http://schemas.openxmlformats.org/officeDocument/2006/relationships/customXml" Target="../customXml/item7.xml"/><Relationship Id="rId2" Type="http://schemas.openxmlformats.org/officeDocument/2006/relationships/settings" Target="settings.xml"/><Relationship Id="rId16" Type="http://schemas.openxmlformats.org/officeDocument/2006/relationships/customXml" Target="../customXml/item6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1D51CFF755B42C4F9B45D387C9916E1D" ma:contentTypeVersion="1301" ma:contentTypeDescription="A content type to manage public (operations) IDB documents" ma:contentTypeScope="" ma:versionID="7268df7580394e166a52cf23ece57cd3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6902fe59b720ae609f3a9c8d8a67c3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Bolivia</TermName>
          <TermId xmlns="http://schemas.microsoft.com/office/infopath/2007/PartnerControls">6445a937-aea4-4907-9f24-bff96a7c61c8</TermId>
        </TermInfo>
      </Terms>
    </ic46d7e087fd4a108fb86518ca413cc6>
    <IDBDocs_x0020_Number xmlns="cdc7663a-08f0-4737-9e8c-148ce897a09c" xsi:nil="true"/>
    <Division_x0020_or_x0020_Unit xmlns="cdc7663a-08f0-4737-9e8c-148ce897a09c">SCL/LMK</Division_x0020_or_x0020_Unit>
    <Fiscal_x0020_Year_x0020_IDB xmlns="cdc7663a-08f0-4737-9e8c-148ce897a09c">2019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Urquidi Zijderveld, Manuel Enrique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LABOR POLICY</TermName>
          <TermId xmlns="http://schemas.microsoft.com/office/infopath/2007/PartnerControls">e71f91eb-7c75-452b-8d19-3a449ce1e247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CTY</TermName>
          <TermId xmlns="http://schemas.microsoft.com/office/infopath/2007/PartnerControls">480c4b50-1d26-4981-a192-620d20903d26</TermId>
        </TermInfo>
        <TermInfo xmlns="http://schemas.microsoft.com/office/infopath/2007/PartnerControls">
          <TermName xmlns="http://schemas.microsoft.com/office/infopath/2007/PartnerControls">SOC</TermName>
          <TermId xmlns="http://schemas.microsoft.com/office/infopath/2007/PartnerControls">3086ce3f-38db-462a-ad79-6fb1ca9264c8</TermId>
        </TermInfo>
      </Terms>
    </g511464f9e53401d84b16fa9b379a574>
    <Related_x0020_SisCor_x0020_Number xmlns="cdc7663a-08f0-4737-9e8c-148ce897a09c" xsi:nil="true"/>
    <TaxCatchAll xmlns="cdc7663a-08f0-4737-9e8c-148ce897a09c">
      <Value>33</Value>
      <Value>48</Value>
      <Value>114</Value>
      <Value>45</Value>
      <Value>193</Value>
      <Value>1</Value>
    </TaxCatchAll>
    <Operation_x0020_Type xmlns="cdc7663a-08f0-4737-9e8c-148ce897a09c">Technical Cooperation</Operation_x0020_Type>
    <Package_x0020_Code xmlns="cdc7663a-08f0-4737-9e8c-148ce897a09c" xsi:nil="true"/>
    <Identifier xmlns="cdc7663a-08f0-4737-9e8c-148ce897a09c" xsi:nil="true"/>
    <Project_x0020_Number xmlns="cdc7663a-08f0-4737-9e8c-148ce897a09c">BO-T1339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SOCIAL INVESTMENT</TermName>
          <TermId xmlns="http://schemas.microsoft.com/office/infopath/2007/PartnerControls">3f908695-d5b5-49f6-941f-76876b39564f</TermId>
        </TermInfo>
      </Terms>
    </nddeef1749674d76abdbe4b239a70bc6>
    <Record_x0020_Number xmlns="cdc7663a-08f0-4737-9e8c-148ce897a09c" xsi:nil="true"/>
    <_dlc_DocId xmlns="cdc7663a-08f0-4737-9e8c-148ce897a09c">EZSHARE-205453706-3</_dlc_DocId>
    <_dlc_DocIdUrl xmlns="cdc7663a-08f0-4737-9e8c-148ce897a09c">
      <Url>https://idbg.sharepoint.com/teams/EZ-BO-TCP/BO-T1339/_layouts/15/DocIdRedir.aspx?ID=EZSHARE-205453706-3</Url>
      <Description>EZSHARE-205453706-3</Description>
    </_dlc_DocIdUrl>
    <Disclosure_x0020_Activity xmlns="cdc7663a-08f0-4737-9e8c-148ce897a09c">TC Abstract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Labor and Economics;</Webtopic>
    <Abstract xmlns="cdc7663a-08f0-4737-9e8c-148ce897a09c" xsi:nil="true"/>
    <Publishing_x0020_House xmlns="cdc7663a-08f0-4737-9e8c-148ce897a09c" xsi:nil="true"/>
  </documentManagement>
</p:properties>
</file>

<file path=customXml/item7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8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69BC30BF-B68D-4187-A23A-186483EFF022}"/>
</file>

<file path=customXml/itemProps2.xml><?xml version="1.0" encoding="utf-8"?>
<ds:datastoreItem xmlns:ds="http://schemas.openxmlformats.org/officeDocument/2006/customXml" ds:itemID="{7D475B78-AF67-498B-A6EC-12BA3295FEC7}"/>
</file>

<file path=customXml/itemProps3.xml><?xml version="1.0" encoding="utf-8"?>
<ds:datastoreItem xmlns:ds="http://schemas.openxmlformats.org/officeDocument/2006/customXml" ds:itemID="{AE252A15-0A6D-44C2-B13B-92DA4F819FD3}"/>
</file>

<file path=customXml/itemProps4.xml><?xml version="1.0" encoding="utf-8"?>
<ds:datastoreItem xmlns:ds="http://schemas.openxmlformats.org/officeDocument/2006/customXml" ds:itemID="{4B26F325-8E48-4458-A78F-84E8AFDEEFBF}"/>
</file>

<file path=customXml/itemProps5.xml><?xml version="1.0" encoding="utf-8"?>
<ds:datastoreItem xmlns:ds="http://schemas.openxmlformats.org/officeDocument/2006/customXml" ds:itemID="{47B4009C-07F1-4456-B226-B685A7FC2C94}"/>
</file>

<file path=customXml/itemProps6.xml><?xml version="1.0" encoding="utf-8"?>
<ds:datastoreItem xmlns:ds="http://schemas.openxmlformats.org/officeDocument/2006/customXml" ds:itemID="{8F85EDF7-2AAE-4F88-B1EC-100AFA931A8D}"/>
</file>

<file path=customXml/itemProps7.xml><?xml version="1.0" encoding="utf-8"?>
<ds:datastoreItem xmlns:ds="http://schemas.openxmlformats.org/officeDocument/2006/customXml" ds:itemID="{58FC9A41-4423-4AFC-AD52-9629901B9170}"/>
</file>

<file path=customXml/itemProps8.xml><?xml version="1.0" encoding="utf-8"?>
<ds:datastoreItem xmlns:ds="http://schemas.openxmlformats.org/officeDocument/2006/customXml" ds:itemID="{07FB0DB6-4ECA-4414-9E27-34E707DCC60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1602</Words>
  <Characters>9132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ModifiedBy>Muhlstein, Ethel Rosa</cp:lastModifiedBy>
  <cp:revision>2</cp:revision>
  <dcterms:created xsi:type="dcterms:W3CDTF">2019-04-03T18:07:00Z</dcterms:created>
  <dcterms:modified xsi:type="dcterms:W3CDTF">2019-04-03T18:07:00Z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193;#LABOR POLICY|e71f91eb-7c75-452b-8d19-3a449ce1e247</vt:lpwstr>
  </property>
  <property fmtid="{D5CDD505-2E9C-101B-9397-08002B2CF9AE}" pid="7" name="Fund IDB">
    <vt:lpwstr>48;#CTY|480c4b50-1d26-4981-a192-620d20903d26;#114;#SOC|3086ce3f-38db-462a-ad79-6fb1ca9264c8</vt:lpwstr>
  </property>
  <property fmtid="{D5CDD505-2E9C-101B-9397-08002B2CF9AE}" pid="8" name="Country">
    <vt:lpwstr>33;#Bolivia|6445a937-aea4-4907-9f24-bff96a7c61c8</vt:lpwstr>
  </property>
  <property fmtid="{D5CDD505-2E9C-101B-9397-08002B2CF9AE}" pid="9" name="Sector IDB">
    <vt:lpwstr>45;#SOCIAL INVESTMENT|3f908695-d5b5-49f6-941f-76876b39564f</vt:lpwstr>
  </property>
  <property fmtid="{D5CDD505-2E9C-101B-9397-08002B2CF9AE}" pid="10" name="Function Operations IDB">
    <vt:lpwstr>1;#Project Preparation, Planning and Design|29ca0c72-1fc4-435f-a09c-28585cb5eac9</vt:lpwstr>
  </property>
  <property fmtid="{D5CDD505-2E9C-101B-9397-08002B2CF9AE}" pid="11" name="_dlc_DocIdItemGuid">
    <vt:lpwstr>284466fd-744a-42d3-9bf6-485815feaa0f</vt:lpwstr>
  </property>
  <property fmtid="{D5CDD505-2E9C-101B-9397-08002B2CF9AE}" pid="19" name="Disclosed">
    <vt:bool>false</vt:bool>
  </property>
  <property fmtid="{D5CDD505-2E9C-101B-9397-08002B2CF9AE}" pid="20" name="ContentTypeId">
    <vt:lpwstr>0x0101001A458A224826124E8B45B1D613300CFC001D51CFF755B42C4F9B45D387C9916E1D</vt:lpwstr>
  </property>
</Properties>
</file>