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CA894" w14:textId="77777777" w:rsidR="00EB1F3A" w:rsidRPr="006907A0" w:rsidRDefault="00EB1F3A" w:rsidP="00DF0502">
      <w:pPr>
        <w:pStyle w:val="BodyText2"/>
        <w:spacing w:after="0" w:line="240" w:lineRule="auto"/>
        <w:jc w:val="center"/>
        <w:rPr>
          <w:rFonts w:ascii="Arial" w:hAnsi="Arial" w:cs="Arial"/>
        </w:rPr>
      </w:pPr>
      <w:bookmarkStart w:id="0" w:name="_GoBack"/>
      <w:bookmarkEnd w:id="0"/>
    </w:p>
    <w:p w14:paraId="00EC2590" w14:textId="77777777" w:rsidR="00EB1F3A" w:rsidRPr="00DF0502" w:rsidRDefault="00EB1F3A" w:rsidP="00DF0502">
      <w:pPr>
        <w:pStyle w:val="BodyText2"/>
        <w:spacing w:after="0" w:line="240" w:lineRule="auto"/>
        <w:rPr>
          <w:rFonts w:ascii="Arial" w:hAnsi="Arial" w:cs="Arial"/>
        </w:rPr>
      </w:pPr>
      <w:r w:rsidRPr="00DF0502">
        <w:rPr>
          <w:rFonts w:ascii="Arial" w:hAnsi="Arial" w:cs="Arial"/>
          <w:noProof/>
        </w:rPr>
        <w:drawing>
          <wp:inline distT="0" distB="0" distL="0" distR="0" wp14:anchorId="66A0277B" wp14:editId="2917759F">
            <wp:extent cx="293370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1238250"/>
                    </a:xfrm>
                    <a:prstGeom prst="rect">
                      <a:avLst/>
                    </a:prstGeom>
                    <a:noFill/>
                    <a:ln>
                      <a:noFill/>
                    </a:ln>
                  </pic:spPr>
                </pic:pic>
              </a:graphicData>
            </a:graphic>
          </wp:inline>
        </w:drawing>
      </w:r>
    </w:p>
    <w:p w14:paraId="7E69B916" w14:textId="77777777" w:rsidR="00EB1F3A" w:rsidRPr="00DF0502" w:rsidRDefault="00EB1F3A" w:rsidP="00DF0502">
      <w:pPr>
        <w:pStyle w:val="BodyText2"/>
        <w:spacing w:after="0" w:line="240" w:lineRule="auto"/>
        <w:jc w:val="center"/>
        <w:rPr>
          <w:rFonts w:ascii="Arial" w:hAnsi="Arial" w:cs="Arial"/>
        </w:rPr>
      </w:pPr>
    </w:p>
    <w:p w14:paraId="38EE6E8A" w14:textId="77777777" w:rsidR="00EB1F3A" w:rsidRPr="00DF0502" w:rsidRDefault="00EB1F3A" w:rsidP="00DF0502">
      <w:pPr>
        <w:pStyle w:val="BodyText2"/>
        <w:spacing w:after="0" w:line="240" w:lineRule="auto"/>
        <w:jc w:val="center"/>
        <w:rPr>
          <w:rFonts w:ascii="Arial" w:hAnsi="Arial" w:cs="Arial"/>
        </w:rPr>
      </w:pPr>
    </w:p>
    <w:p w14:paraId="2E137894" w14:textId="77777777" w:rsidR="00EB1F3A" w:rsidRPr="00DF0502" w:rsidRDefault="00EB1F3A" w:rsidP="00DF0502">
      <w:pPr>
        <w:pStyle w:val="BodyText2"/>
        <w:spacing w:after="0" w:line="240" w:lineRule="auto"/>
        <w:jc w:val="center"/>
        <w:rPr>
          <w:rFonts w:ascii="Arial" w:hAnsi="Arial" w:cs="Arial"/>
        </w:rPr>
      </w:pPr>
    </w:p>
    <w:p w14:paraId="3C059471" w14:textId="77777777" w:rsidR="00EB1F3A" w:rsidRPr="00DF0502" w:rsidRDefault="00EB1F3A" w:rsidP="00DF0502">
      <w:pPr>
        <w:pStyle w:val="BodyText2"/>
        <w:spacing w:after="0" w:line="240" w:lineRule="auto"/>
        <w:jc w:val="center"/>
        <w:rPr>
          <w:rFonts w:ascii="Arial" w:hAnsi="Arial" w:cs="Arial"/>
        </w:rPr>
      </w:pPr>
    </w:p>
    <w:p w14:paraId="3D1C8240" w14:textId="77777777" w:rsidR="00EB1F3A" w:rsidRPr="00DF0502" w:rsidRDefault="00EB1F3A" w:rsidP="00DF0502">
      <w:pPr>
        <w:pStyle w:val="BodyText2"/>
        <w:spacing w:after="0" w:line="240" w:lineRule="auto"/>
        <w:jc w:val="center"/>
        <w:rPr>
          <w:rFonts w:ascii="Arial" w:hAnsi="Arial" w:cs="Arial"/>
        </w:rPr>
      </w:pPr>
    </w:p>
    <w:p w14:paraId="09BDAADE" w14:textId="77777777" w:rsidR="00EB1F3A" w:rsidRPr="00DF0502" w:rsidRDefault="00EB1F3A" w:rsidP="00DF0502">
      <w:pPr>
        <w:pStyle w:val="BodyText2"/>
        <w:spacing w:after="0" w:line="240" w:lineRule="auto"/>
        <w:jc w:val="center"/>
        <w:rPr>
          <w:rFonts w:ascii="Arial" w:hAnsi="Arial" w:cs="Arial"/>
        </w:rPr>
      </w:pPr>
      <w:r w:rsidRPr="00DF0502">
        <w:rPr>
          <w:rFonts w:ascii="Arial" w:hAnsi="Arial" w:cs="Arial"/>
          <w:noProof/>
          <w:lang w:val="fr-BE" w:eastAsia="fr-BE"/>
        </w:rPr>
        <mc:AlternateContent>
          <mc:Choice Requires="wps">
            <w:drawing>
              <wp:anchor distT="0" distB="0" distL="114300" distR="114300" simplePos="0" relativeHeight="251659264" behindDoc="0" locked="0" layoutInCell="1" allowOverlap="1" wp14:anchorId="040829BC" wp14:editId="4835C406">
                <wp:simplePos x="0" y="0"/>
                <wp:positionH relativeFrom="column">
                  <wp:posOffset>-394335</wp:posOffset>
                </wp:positionH>
                <wp:positionV relativeFrom="paragraph">
                  <wp:posOffset>234950</wp:posOffset>
                </wp:positionV>
                <wp:extent cx="4718685" cy="24765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24765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299CB" w14:textId="77777777" w:rsidR="003A7479" w:rsidRPr="00F54D24" w:rsidRDefault="003A7479" w:rsidP="00EB1F3A">
                            <w:pPr>
                              <w:spacing w:before="120" w:after="240"/>
                              <w:rPr>
                                <w:rFonts w:ascii="Arial" w:hAnsi="Arial" w:cs="Arial"/>
                                <w:b/>
                                <w:bCs/>
                                <w:sz w:val="44"/>
                                <w:szCs w:val="44"/>
                                <w:lang w:val="es-MX"/>
                              </w:rPr>
                            </w:pPr>
                            <w:r>
                              <w:rPr>
                                <w:rFonts w:ascii="Arial" w:hAnsi="Arial" w:cs="Arial"/>
                                <w:b/>
                                <w:bCs/>
                                <w:sz w:val="44"/>
                                <w:szCs w:val="44"/>
                                <w:lang w:val="es-MX"/>
                              </w:rPr>
                              <w:t>Análisis Económico</w:t>
                            </w:r>
                          </w:p>
                          <w:p w14:paraId="37C2D56A" w14:textId="77777777" w:rsidR="003A7479" w:rsidRPr="00F54D24" w:rsidRDefault="003A7479" w:rsidP="00EB1F3A">
                            <w:pPr>
                              <w:spacing w:before="120" w:after="240"/>
                              <w:rPr>
                                <w:rFonts w:ascii="Arial" w:hAnsi="Arial" w:cs="Arial"/>
                                <w:b/>
                                <w:bCs/>
                                <w:sz w:val="36"/>
                                <w:szCs w:val="36"/>
                                <w:lang w:val="es-MX"/>
                              </w:rPr>
                            </w:pPr>
                            <w:r w:rsidRPr="00F54D24">
                              <w:rPr>
                                <w:rFonts w:ascii="Arial" w:hAnsi="Arial" w:cs="Arial"/>
                                <w:b/>
                                <w:bCs/>
                                <w:sz w:val="36"/>
                                <w:szCs w:val="36"/>
                                <w:lang w:val="es-MX"/>
                              </w:rPr>
                              <w:t>Informe Final</w:t>
                            </w:r>
                          </w:p>
                          <w:p w14:paraId="48822716" w14:textId="77777777" w:rsidR="003A7479" w:rsidRPr="00F54D24" w:rsidRDefault="003A7479" w:rsidP="00EB1F3A">
                            <w:pPr>
                              <w:spacing w:before="120" w:after="120"/>
                              <w:rPr>
                                <w:rFonts w:ascii="Arial" w:hAnsi="Arial" w:cs="Arial"/>
                                <w:sz w:val="24"/>
                                <w:szCs w:val="24"/>
                                <w:lang w:val="es-MX"/>
                              </w:rPr>
                            </w:pPr>
                            <w:r w:rsidRPr="00F54D24">
                              <w:rPr>
                                <w:rFonts w:ascii="Arial" w:hAnsi="Arial" w:cs="Arial"/>
                                <w:sz w:val="24"/>
                                <w:szCs w:val="24"/>
                                <w:lang w:val="es-MX"/>
                              </w:rPr>
                              <w:t>Proyecto: HO-L1187: Convivencia Ciudadana y Mejoramiento de Barrios</w:t>
                            </w:r>
                          </w:p>
                          <w:p w14:paraId="44226031" w14:textId="77777777" w:rsidR="003A7479" w:rsidRPr="00F54D24" w:rsidRDefault="003A7479" w:rsidP="00EB1F3A">
                            <w:pPr>
                              <w:spacing w:before="120" w:after="120"/>
                              <w:rPr>
                                <w:rFonts w:ascii="Arial" w:hAnsi="Arial" w:cs="Arial"/>
                                <w:sz w:val="24"/>
                                <w:szCs w:val="24"/>
                                <w:lang w:val="es-MX"/>
                              </w:rPr>
                            </w:pPr>
                          </w:p>
                          <w:p w14:paraId="75D11289" w14:textId="77777777" w:rsidR="003A7479" w:rsidRPr="00D47F6C" w:rsidRDefault="003A7479" w:rsidP="00EB1F3A">
                            <w:pPr>
                              <w:spacing w:before="120" w:after="120"/>
                              <w:rPr>
                                <w:rFonts w:ascii="Arial" w:hAnsi="Arial" w:cs="Arial"/>
                                <w:sz w:val="24"/>
                                <w:szCs w:val="24"/>
                              </w:rPr>
                            </w:pPr>
                            <w:r w:rsidRPr="00D47F6C">
                              <w:rPr>
                                <w:rFonts w:ascii="Arial" w:hAnsi="Arial" w:cs="Arial"/>
                                <w:sz w:val="24"/>
                                <w:szCs w:val="24"/>
                              </w:rPr>
                              <w:t>Octubre, 2017</w:t>
                            </w:r>
                          </w:p>
                          <w:p w14:paraId="70C110B2" w14:textId="77777777" w:rsidR="003A7479" w:rsidRPr="00D47F6C" w:rsidRDefault="003A7479" w:rsidP="00EB1F3A">
                            <w:pPr>
                              <w:spacing w:before="120" w:after="120"/>
                              <w:rPr>
                                <w:rFonts w:ascii="Arial" w:hAnsi="Arial" w:cs="Arial"/>
                              </w:rPr>
                            </w:pPr>
                          </w:p>
                          <w:p w14:paraId="39AA717A" w14:textId="77777777" w:rsidR="003A7479" w:rsidRPr="00D47F6C" w:rsidRDefault="003A7479" w:rsidP="00EB1F3A">
                            <w:pPr>
                              <w:spacing w:before="120" w:after="12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0829BC" id="_x0000_t202" coordsize="21600,21600" o:spt="202" path="m,l,21600r21600,l21600,xe">
                <v:stroke joinstyle="miter"/>
                <v:path gradientshapeok="t" o:connecttype="rect"/>
              </v:shapetype>
              <v:shape id="Text Box 3" o:spid="_x0000_s1026" type="#_x0000_t202" style="position:absolute;left:0;text-align:left;margin-left:-31.05pt;margin-top:18.5pt;width:371.5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" filled="f" fillcolor="navy" stroked="f">
                <v:textbox>
                  <w:txbxContent>
                    <w:p w14:paraId="2DB299CB" w14:textId="77777777" w:rsidR="003A7479" w:rsidRPr="00F54D24" w:rsidRDefault="003A7479" w:rsidP="00EB1F3A">
                      <w:pPr>
                        <w:spacing w:before="120" w:after="240"/>
                        <w:rPr>
                          <w:rFonts w:ascii="Arial" w:hAnsi="Arial" w:cs="Arial"/>
                          <w:b/>
                          <w:bCs/>
                          <w:sz w:val="44"/>
                          <w:szCs w:val="44"/>
                          <w:lang w:val="es-MX"/>
                        </w:rPr>
                      </w:pPr>
                      <w:r>
                        <w:rPr>
                          <w:rFonts w:ascii="Arial" w:hAnsi="Arial" w:cs="Arial"/>
                          <w:b/>
                          <w:bCs/>
                          <w:sz w:val="44"/>
                          <w:szCs w:val="44"/>
                          <w:lang w:val="es-MX"/>
                        </w:rPr>
                        <w:t>Análisis Económico</w:t>
                      </w:r>
                    </w:p>
                    <w:p w14:paraId="37C2D56A" w14:textId="77777777" w:rsidR="003A7479" w:rsidRPr="00F54D24" w:rsidRDefault="003A7479" w:rsidP="00EB1F3A">
                      <w:pPr>
                        <w:spacing w:before="120" w:after="240"/>
                        <w:rPr>
                          <w:rFonts w:ascii="Arial" w:hAnsi="Arial" w:cs="Arial"/>
                          <w:b/>
                          <w:bCs/>
                          <w:sz w:val="36"/>
                          <w:szCs w:val="36"/>
                          <w:lang w:val="es-MX"/>
                        </w:rPr>
                      </w:pPr>
                      <w:r w:rsidRPr="00F54D24">
                        <w:rPr>
                          <w:rFonts w:ascii="Arial" w:hAnsi="Arial" w:cs="Arial"/>
                          <w:b/>
                          <w:bCs/>
                          <w:sz w:val="36"/>
                          <w:szCs w:val="36"/>
                          <w:lang w:val="es-MX"/>
                        </w:rPr>
                        <w:t>Informe Final</w:t>
                      </w:r>
                    </w:p>
                    <w:p w14:paraId="48822716" w14:textId="77777777" w:rsidR="003A7479" w:rsidRPr="00F54D24" w:rsidRDefault="003A7479" w:rsidP="00EB1F3A">
                      <w:pPr>
                        <w:spacing w:before="120" w:after="120"/>
                        <w:rPr>
                          <w:rFonts w:ascii="Arial" w:hAnsi="Arial" w:cs="Arial"/>
                          <w:sz w:val="24"/>
                          <w:szCs w:val="24"/>
                          <w:lang w:val="es-MX"/>
                        </w:rPr>
                      </w:pPr>
                      <w:r w:rsidRPr="00F54D24">
                        <w:rPr>
                          <w:rFonts w:ascii="Arial" w:hAnsi="Arial" w:cs="Arial"/>
                          <w:sz w:val="24"/>
                          <w:szCs w:val="24"/>
                          <w:lang w:val="es-MX"/>
                        </w:rPr>
                        <w:t>Proyecto: HO-L1187: Convivencia Ciudadana y Mejoramiento de Barrios</w:t>
                      </w:r>
                    </w:p>
                    <w:p w14:paraId="44226031" w14:textId="77777777" w:rsidR="003A7479" w:rsidRPr="00F54D24" w:rsidRDefault="003A7479" w:rsidP="00EB1F3A">
                      <w:pPr>
                        <w:spacing w:before="120" w:after="120"/>
                        <w:rPr>
                          <w:rFonts w:ascii="Arial" w:hAnsi="Arial" w:cs="Arial"/>
                          <w:sz w:val="24"/>
                          <w:szCs w:val="24"/>
                          <w:lang w:val="es-MX"/>
                        </w:rPr>
                      </w:pPr>
                    </w:p>
                    <w:p w14:paraId="75D11289" w14:textId="77777777" w:rsidR="003A7479" w:rsidRPr="00D47F6C" w:rsidRDefault="003A7479" w:rsidP="00EB1F3A">
                      <w:pPr>
                        <w:spacing w:before="120" w:after="120"/>
                        <w:rPr>
                          <w:rFonts w:ascii="Arial" w:hAnsi="Arial" w:cs="Arial"/>
                          <w:sz w:val="24"/>
                          <w:szCs w:val="24"/>
                        </w:rPr>
                      </w:pPr>
                      <w:r w:rsidRPr="00D47F6C">
                        <w:rPr>
                          <w:rFonts w:ascii="Arial" w:hAnsi="Arial" w:cs="Arial"/>
                          <w:sz w:val="24"/>
                          <w:szCs w:val="24"/>
                        </w:rPr>
                        <w:t>Octubre, 2017</w:t>
                      </w:r>
                    </w:p>
                    <w:p w14:paraId="70C110B2" w14:textId="77777777" w:rsidR="003A7479" w:rsidRPr="00D47F6C" w:rsidRDefault="003A7479" w:rsidP="00EB1F3A">
                      <w:pPr>
                        <w:spacing w:before="120" w:after="120"/>
                        <w:rPr>
                          <w:rFonts w:ascii="Arial" w:hAnsi="Arial" w:cs="Arial"/>
                        </w:rPr>
                      </w:pPr>
                    </w:p>
                    <w:p w14:paraId="39AA717A" w14:textId="77777777" w:rsidR="003A7479" w:rsidRPr="00D47F6C" w:rsidRDefault="003A7479" w:rsidP="00EB1F3A">
                      <w:pPr>
                        <w:spacing w:before="120" w:after="120"/>
                        <w:rPr>
                          <w:rFonts w:ascii="Arial" w:hAnsi="Arial" w:cs="Arial"/>
                        </w:rPr>
                      </w:pPr>
                    </w:p>
                  </w:txbxContent>
                </v:textbox>
                <w10:wrap type="square"/>
              </v:shape>
            </w:pict>
          </mc:Fallback>
        </mc:AlternateContent>
      </w:r>
    </w:p>
    <w:p w14:paraId="4C50C36A" w14:textId="77777777" w:rsidR="00EB1F3A" w:rsidRPr="00DF0502" w:rsidRDefault="00EB1F3A" w:rsidP="00DF0502">
      <w:pPr>
        <w:pStyle w:val="BodyText2"/>
        <w:spacing w:after="0" w:line="240" w:lineRule="auto"/>
        <w:jc w:val="center"/>
        <w:rPr>
          <w:rFonts w:ascii="Arial" w:hAnsi="Arial" w:cs="Arial"/>
        </w:rPr>
      </w:pPr>
    </w:p>
    <w:p w14:paraId="51659F42" w14:textId="77777777" w:rsidR="00EB1F3A" w:rsidRPr="00DF0502" w:rsidRDefault="00EB1F3A" w:rsidP="00DF0502">
      <w:pPr>
        <w:pStyle w:val="BodyText2"/>
        <w:spacing w:after="0" w:line="240" w:lineRule="auto"/>
        <w:rPr>
          <w:rFonts w:ascii="Arial" w:hAnsi="Arial" w:cs="Arial"/>
        </w:rPr>
      </w:pPr>
    </w:p>
    <w:p w14:paraId="429B9A71" w14:textId="77777777" w:rsidR="00EB1F3A" w:rsidRPr="00DF0502" w:rsidRDefault="00EB1F3A" w:rsidP="00DF0502">
      <w:pPr>
        <w:pStyle w:val="BodyText2"/>
        <w:spacing w:after="0" w:line="240" w:lineRule="auto"/>
        <w:jc w:val="center"/>
        <w:rPr>
          <w:rFonts w:ascii="Arial" w:hAnsi="Arial" w:cs="Arial"/>
        </w:rPr>
      </w:pPr>
    </w:p>
    <w:p w14:paraId="6680B75E" w14:textId="77777777" w:rsidR="00EB1F3A" w:rsidRPr="00DF0502" w:rsidRDefault="00EB1F3A" w:rsidP="00DF0502">
      <w:pPr>
        <w:pStyle w:val="BodyText2"/>
        <w:spacing w:after="0" w:line="240" w:lineRule="auto"/>
        <w:jc w:val="center"/>
        <w:rPr>
          <w:rFonts w:ascii="Arial" w:hAnsi="Arial" w:cs="Arial"/>
        </w:rPr>
      </w:pPr>
    </w:p>
    <w:p w14:paraId="73077493" w14:textId="77777777" w:rsidR="00EB1F3A" w:rsidRPr="00DF0502" w:rsidRDefault="00EB1F3A" w:rsidP="00DF0502">
      <w:pPr>
        <w:spacing w:after="0" w:line="240" w:lineRule="auto"/>
        <w:rPr>
          <w:rFonts w:ascii="Arial" w:hAnsi="Arial" w:cs="Arial"/>
        </w:rPr>
      </w:pPr>
      <w:r w:rsidRPr="00DF0502">
        <w:rPr>
          <w:rFonts w:ascii="Arial" w:hAnsi="Arial" w:cs="Arial"/>
        </w:rPr>
        <w:br w:type="page"/>
      </w:r>
    </w:p>
    <w:p w14:paraId="00102D08" w14:textId="77777777" w:rsidR="00EB1F3A" w:rsidRPr="00DF0502" w:rsidRDefault="00EB1F3A" w:rsidP="00DF0502">
      <w:pPr>
        <w:spacing w:after="0" w:line="240" w:lineRule="auto"/>
        <w:rPr>
          <w:rFonts w:ascii="Arial" w:hAnsi="Arial" w:cs="Arial"/>
        </w:rPr>
      </w:pPr>
    </w:p>
    <w:p w14:paraId="079C48AD" w14:textId="77777777" w:rsidR="00EB1F3A" w:rsidRPr="00DF0502" w:rsidRDefault="00EB1F3A" w:rsidP="00DF0502">
      <w:pPr>
        <w:spacing w:after="0" w:line="240" w:lineRule="auto"/>
        <w:rPr>
          <w:rFonts w:ascii="Arial" w:hAnsi="Arial" w:cs="Arial"/>
        </w:rPr>
      </w:pPr>
    </w:p>
    <w:p w14:paraId="119CD43E" w14:textId="77777777" w:rsidR="00EB1F3A" w:rsidRPr="00DF0502" w:rsidRDefault="00EB1F3A" w:rsidP="00DF0502">
      <w:pPr>
        <w:spacing w:after="0" w:line="240" w:lineRule="auto"/>
        <w:rPr>
          <w:rFonts w:ascii="Arial" w:hAnsi="Arial" w:cs="Arial"/>
        </w:rPr>
      </w:pPr>
    </w:p>
    <w:p w14:paraId="488702EB" w14:textId="77777777" w:rsidR="00EB1F3A" w:rsidRPr="00DF0502" w:rsidRDefault="00EB1F3A" w:rsidP="00DF0502">
      <w:pPr>
        <w:spacing w:after="0" w:line="240" w:lineRule="auto"/>
        <w:rPr>
          <w:rFonts w:ascii="Arial" w:hAnsi="Arial" w:cs="Arial"/>
        </w:rPr>
      </w:pPr>
    </w:p>
    <w:p w14:paraId="7E87C216" w14:textId="77777777" w:rsidR="00EB1F3A" w:rsidRPr="00DF0502" w:rsidRDefault="00EB1F3A" w:rsidP="00DF0502">
      <w:pPr>
        <w:spacing w:after="0" w:line="240" w:lineRule="auto"/>
        <w:rPr>
          <w:rFonts w:ascii="Arial" w:hAnsi="Arial" w:cs="Arial"/>
        </w:rPr>
      </w:pPr>
    </w:p>
    <w:p w14:paraId="392DB004" w14:textId="77777777" w:rsidR="00EB1F3A" w:rsidRPr="00DF0502" w:rsidRDefault="00EB1F3A" w:rsidP="00DF0502">
      <w:pPr>
        <w:spacing w:after="0" w:line="240" w:lineRule="auto"/>
        <w:rPr>
          <w:rFonts w:ascii="Arial" w:hAnsi="Arial" w:cs="Arial"/>
        </w:rPr>
      </w:pPr>
    </w:p>
    <w:p w14:paraId="28C66431" w14:textId="77777777" w:rsidR="00EB1F3A" w:rsidRPr="00DF0502" w:rsidRDefault="00EB1F3A" w:rsidP="00DF0502">
      <w:pPr>
        <w:spacing w:after="0" w:line="240" w:lineRule="auto"/>
        <w:rPr>
          <w:rFonts w:ascii="Arial" w:hAnsi="Arial" w:cs="Arial"/>
        </w:rPr>
      </w:pPr>
    </w:p>
    <w:p w14:paraId="5DFE845D" w14:textId="77777777" w:rsidR="00EB1F3A" w:rsidRPr="00DF0502" w:rsidRDefault="00EB1F3A" w:rsidP="00DF0502">
      <w:pPr>
        <w:spacing w:after="0" w:line="240" w:lineRule="auto"/>
        <w:rPr>
          <w:rFonts w:ascii="Arial" w:hAnsi="Arial" w:cs="Arial"/>
        </w:rPr>
      </w:pPr>
    </w:p>
    <w:p w14:paraId="0828D874" w14:textId="77777777" w:rsidR="00EB1F3A" w:rsidRPr="00DF0502" w:rsidRDefault="00EB1F3A" w:rsidP="00DF0502">
      <w:pPr>
        <w:spacing w:after="0" w:line="240" w:lineRule="auto"/>
        <w:rPr>
          <w:rFonts w:ascii="Arial" w:hAnsi="Arial" w:cs="Arial"/>
        </w:rPr>
      </w:pPr>
    </w:p>
    <w:p w14:paraId="22048680" w14:textId="77777777" w:rsidR="00EB1F3A" w:rsidRPr="00DF0502" w:rsidRDefault="00EB1F3A" w:rsidP="00DF0502">
      <w:pPr>
        <w:spacing w:after="0" w:line="240" w:lineRule="auto"/>
        <w:rPr>
          <w:rFonts w:ascii="Arial" w:hAnsi="Arial" w:cs="Arial"/>
        </w:rPr>
      </w:pPr>
    </w:p>
    <w:p w14:paraId="22A8A45C" w14:textId="77777777" w:rsidR="00EB1F3A" w:rsidRPr="00DF0502" w:rsidRDefault="00EB1F3A" w:rsidP="00DF0502">
      <w:pPr>
        <w:spacing w:after="0" w:line="240" w:lineRule="auto"/>
        <w:rPr>
          <w:rFonts w:ascii="Arial" w:hAnsi="Arial" w:cs="Arial"/>
        </w:rPr>
      </w:pPr>
    </w:p>
    <w:p w14:paraId="3AB61851" w14:textId="77777777" w:rsidR="00EB1F3A" w:rsidRPr="00DF0502" w:rsidRDefault="00EB1F3A" w:rsidP="00DF0502">
      <w:pPr>
        <w:spacing w:after="0" w:line="240" w:lineRule="auto"/>
        <w:rPr>
          <w:rFonts w:ascii="Arial" w:hAnsi="Arial" w:cs="Arial"/>
        </w:rPr>
      </w:pPr>
    </w:p>
    <w:p w14:paraId="76CFAC6C" w14:textId="77777777" w:rsidR="00EB1F3A" w:rsidRPr="00DF0502" w:rsidRDefault="00EB1F3A" w:rsidP="00DF0502">
      <w:pPr>
        <w:spacing w:after="0" w:line="240" w:lineRule="auto"/>
        <w:rPr>
          <w:rFonts w:ascii="Arial" w:hAnsi="Arial" w:cs="Arial"/>
        </w:rPr>
      </w:pPr>
    </w:p>
    <w:p w14:paraId="181692A3" w14:textId="77777777" w:rsidR="00EB1F3A" w:rsidRPr="00DF0502" w:rsidRDefault="00EB1F3A" w:rsidP="00DF0502">
      <w:pPr>
        <w:spacing w:after="0" w:line="240" w:lineRule="auto"/>
        <w:rPr>
          <w:rFonts w:ascii="Arial" w:hAnsi="Arial" w:cs="Arial"/>
        </w:rPr>
      </w:pPr>
    </w:p>
    <w:p w14:paraId="3504442B" w14:textId="77777777" w:rsidR="00EB1F3A" w:rsidRPr="00DF0502" w:rsidRDefault="00EB1F3A" w:rsidP="00DF0502">
      <w:pPr>
        <w:spacing w:after="0" w:line="240" w:lineRule="auto"/>
        <w:rPr>
          <w:rFonts w:ascii="Arial" w:hAnsi="Arial" w:cs="Arial"/>
        </w:rPr>
      </w:pPr>
    </w:p>
    <w:p w14:paraId="7FB7EE00" w14:textId="77777777" w:rsidR="00EB1F3A" w:rsidRPr="00DF0502" w:rsidRDefault="00EB1F3A" w:rsidP="00DF0502">
      <w:pPr>
        <w:spacing w:after="0" w:line="240" w:lineRule="auto"/>
        <w:rPr>
          <w:rFonts w:ascii="Arial" w:hAnsi="Arial" w:cs="Arial"/>
        </w:rPr>
      </w:pPr>
    </w:p>
    <w:p w14:paraId="4E3261AC" w14:textId="77777777" w:rsidR="00EB1F3A" w:rsidRPr="00DF0502" w:rsidRDefault="00EB1F3A" w:rsidP="00DF0502">
      <w:pPr>
        <w:spacing w:after="0" w:line="240" w:lineRule="auto"/>
        <w:rPr>
          <w:rFonts w:ascii="Arial" w:hAnsi="Arial" w:cs="Arial"/>
        </w:rPr>
      </w:pPr>
    </w:p>
    <w:p w14:paraId="7DD9DE12" w14:textId="77777777" w:rsidR="00EB1F3A" w:rsidRPr="00DF0502" w:rsidRDefault="00EB1F3A" w:rsidP="00DF0502">
      <w:pPr>
        <w:spacing w:after="0" w:line="240" w:lineRule="auto"/>
        <w:rPr>
          <w:rFonts w:ascii="Arial" w:hAnsi="Arial" w:cs="Arial"/>
        </w:rPr>
      </w:pPr>
    </w:p>
    <w:p w14:paraId="2A294988" w14:textId="77777777" w:rsidR="00EB1F3A" w:rsidRPr="00DF0502" w:rsidRDefault="00EB1F3A" w:rsidP="00DF0502">
      <w:pPr>
        <w:spacing w:after="0" w:line="240" w:lineRule="auto"/>
        <w:rPr>
          <w:rFonts w:ascii="Arial" w:hAnsi="Arial" w:cs="Arial"/>
        </w:rPr>
      </w:pPr>
    </w:p>
    <w:p w14:paraId="0CF6BCF4" w14:textId="77777777" w:rsidR="00EB1F3A" w:rsidRPr="00DF0502" w:rsidRDefault="00EB1F3A" w:rsidP="00DF0502">
      <w:pPr>
        <w:spacing w:after="0" w:line="240" w:lineRule="auto"/>
        <w:rPr>
          <w:rFonts w:ascii="Arial" w:hAnsi="Arial" w:cs="Arial"/>
        </w:rPr>
      </w:pPr>
    </w:p>
    <w:p w14:paraId="70BB883F" w14:textId="77777777" w:rsidR="00EB1F3A" w:rsidRPr="00DF0502" w:rsidRDefault="00EB1F3A" w:rsidP="00DF0502">
      <w:pPr>
        <w:spacing w:after="0" w:line="240" w:lineRule="auto"/>
        <w:rPr>
          <w:rFonts w:ascii="Arial" w:hAnsi="Arial" w:cs="Arial"/>
        </w:rPr>
      </w:pPr>
    </w:p>
    <w:p w14:paraId="6566CE26" w14:textId="77777777" w:rsidR="00EB1F3A" w:rsidRPr="00DF0502" w:rsidRDefault="00EB1F3A" w:rsidP="00DF0502">
      <w:pPr>
        <w:spacing w:after="0" w:line="240" w:lineRule="auto"/>
        <w:rPr>
          <w:rFonts w:ascii="Arial" w:hAnsi="Arial" w:cs="Arial"/>
        </w:rPr>
      </w:pPr>
    </w:p>
    <w:p w14:paraId="33FF6BFC" w14:textId="77777777" w:rsidR="00EB1F3A" w:rsidRPr="00DF0502" w:rsidRDefault="00EB1F3A" w:rsidP="00DF0502">
      <w:pPr>
        <w:spacing w:after="0" w:line="240" w:lineRule="auto"/>
        <w:rPr>
          <w:rFonts w:ascii="Arial" w:hAnsi="Arial" w:cs="Arial"/>
        </w:rPr>
      </w:pPr>
    </w:p>
    <w:p w14:paraId="68DE76C4" w14:textId="77777777" w:rsidR="00EB1F3A" w:rsidRPr="005224F9" w:rsidRDefault="00EB1F3A" w:rsidP="00DF0502">
      <w:pPr>
        <w:spacing w:after="0" w:line="240" w:lineRule="auto"/>
        <w:rPr>
          <w:rFonts w:ascii="Arial" w:hAnsi="Arial" w:cs="Arial"/>
          <w:lang w:val="es-MX"/>
        </w:rPr>
      </w:pPr>
    </w:p>
    <w:p w14:paraId="397F1D56" w14:textId="77777777" w:rsidR="00EB1F3A" w:rsidRPr="00DF0502" w:rsidRDefault="00EB1F3A" w:rsidP="00DF0502">
      <w:pPr>
        <w:spacing w:after="0" w:line="240" w:lineRule="auto"/>
        <w:rPr>
          <w:rFonts w:ascii="Arial" w:hAnsi="Arial" w:cs="Arial"/>
        </w:rPr>
      </w:pPr>
    </w:p>
    <w:p w14:paraId="5C9547CE" w14:textId="77777777" w:rsidR="00EB1F3A" w:rsidRPr="00DF0502" w:rsidRDefault="00EB1F3A" w:rsidP="00DF0502">
      <w:pPr>
        <w:spacing w:after="0" w:line="240" w:lineRule="auto"/>
        <w:rPr>
          <w:rFonts w:ascii="Arial" w:hAnsi="Arial" w:cs="Arial"/>
        </w:rPr>
      </w:pPr>
    </w:p>
    <w:p w14:paraId="65F08253" w14:textId="77777777" w:rsidR="00EB1F3A" w:rsidRPr="00DF0502" w:rsidRDefault="00EB1F3A" w:rsidP="00DF0502">
      <w:pPr>
        <w:spacing w:after="0" w:line="240" w:lineRule="auto"/>
        <w:rPr>
          <w:rFonts w:ascii="Arial" w:hAnsi="Arial" w:cs="Arial"/>
        </w:rPr>
      </w:pPr>
    </w:p>
    <w:p w14:paraId="56C497D9" w14:textId="77777777" w:rsidR="00EB1F3A" w:rsidRPr="00DF0502" w:rsidRDefault="00EB1F3A" w:rsidP="00DF0502">
      <w:pPr>
        <w:spacing w:after="0" w:line="240" w:lineRule="auto"/>
        <w:rPr>
          <w:rFonts w:ascii="Arial" w:hAnsi="Arial" w:cs="Arial"/>
        </w:rPr>
      </w:pPr>
    </w:p>
    <w:p w14:paraId="4F0236AC" w14:textId="77777777" w:rsidR="00EB1F3A" w:rsidRPr="00DF0502" w:rsidRDefault="00EB1F3A" w:rsidP="00DF0502">
      <w:pPr>
        <w:spacing w:after="0" w:line="240" w:lineRule="auto"/>
        <w:rPr>
          <w:rFonts w:ascii="Arial" w:hAnsi="Arial" w:cs="Arial"/>
        </w:rPr>
      </w:pPr>
    </w:p>
    <w:p w14:paraId="22F85255" w14:textId="77777777" w:rsidR="00EB1F3A" w:rsidRDefault="00EB1F3A" w:rsidP="00DF0502">
      <w:pPr>
        <w:spacing w:after="0" w:line="240" w:lineRule="auto"/>
        <w:rPr>
          <w:rFonts w:ascii="Arial" w:hAnsi="Arial" w:cs="Arial"/>
        </w:rPr>
      </w:pPr>
    </w:p>
    <w:p w14:paraId="2B7B454C" w14:textId="77777777" w:rsidR="00DF0502" w:rsidRDefault="00DF0502" w:rsidP="00DF0502">
      <w:pPr>
        <w:spacing w:after="0" w:line="240" w:lineRule="auto"/>
        <w:rPr>
          <w:rFonts w:ascii="Arial" w:hAnsi="Arial" w:cs="Arial"/>
        </w:rPr>
      </w:pPr>
    </w:p>
    <w:p w14:paraId="331E33DA" w14:textId="77777777" w:rsidR="00DF0502" w:rsidRDefault="00DF0502" w:rsidP="00DF0502">
      <w:pPr>
        <w:spacing w:after="0" w:line="240" w:lineRule="auto"/>
        <w:rPr>
          <w:rFonts w:ascii="Arial" w:hAnsi="Arial" w:cs="Arial"/>
        </w:rPr>
      </w:pPr>
    </w:p>
    <w:p w14:paraId="28B7F15D" w14:textId="77777777" w:rsidR="00DF0502" w:rsidRPr="00DF0502" w:rsidRDefault="00DF0502" w:rsidP="00DF0502">
      <w:pPr>
        <w:spacing w:after="0" w:line="240" w:lineRule="auto"/>
        <w:rPr>
          <w:rFonts w:ascii="Arial" w:hAnsi="Arial" w:cs="Arial"/>
        </w:rPr>
      </w:pPr>
    </w:p>
    <w:p w14:paraId="33B334FC" w14:textId="77777777" w:rsidR="00EB1F3A" w:rsidRPr="00DF0502" w:rsidRDefault="00EB1F3A" w:rsidP="00DF0502">
      <w:pPr>
        <w:spacing w:after="0" w:line="240" w:lineRule="auto"/>
        <w:rPr>
          <w:rFonts w:ascii="Arial" w:hAnsi="Arial" w:cs="Arial"/>
        </w:rPr>
      </w:pPr>
    </w:p>
    <w:p w14:paraId="7D0463DC" w14:textId="77777777" w:rsidR="00EB1F3A" w:rsidRPr="00DF0502" w:rsidRDefault="00EB1F3A" w:rsidP="00DF0502">
      <w:pPr>
        <w:pStyle w:val="BodyText2"/>
        <w:spacing w:after="0" w:line="240" w:lineRule="auto"/>
        <w:rPr>
          <w:rFonts w:ascii="Arial" w:hAnsi="Arial" w:cs="Arial"/>
        </w:rPr>
      </w:pPr>
    </w:p>
    <w:p w14:paraId="2C77F798" w14:textId="77777777" w:rsidR="00EB1F3A" w:rsidRDefault="00EB1F3A" w:rsidP="00DF0502">
      <w:pPr>
        <w:pStyle w:val="BodyText2"/>
        <w:spacing w:after="0" w:line="240" w:lineRule="auto"/>
        <w:ind w:firstLine="706"/>
        <w:rPr>
          <w:rFonts w:ascii="Arial" w:hAnsi="Arial" w:cs="Arial"/>
        </w:rPr>
      </w:pPr>
    </w:p>
    <w:p w14:paraId="116241B0" w14:textId="77777777" w:rsidR="00DF0502" w:rsidRDefault="00DF0502" w:rsidP="00DF0502">
      <w:pPr>
        <w:pStyle w:val="BodyText2"/>
        <w:spacing w:after="0" w:line="240" w:lineRule="auto"/>
        <w:ind w:firstLine="706"/>
        <w:rPr>
          <w:rFonts w:ascii="Arial" w:hAnsi="Arial" w:cs="Arial"/>
        </w:rPr>
      </w:pPr>
    </w:p>
    <w:p w14:paraId="017EAAA6" w14:textId="77777777" w:rsidR="00DF0502" w:rsidRDefault="00DF0502" w:rsidP="00DF0502">
      <w:pPr>
        <w:pStyle w:val="BodyText2"/>
        <w:spacing w:after="0" w:line="240" w:lineRule="auto"/>
        <w:ind w:firstLine="706"/>
        <w:rPr>
          <w:rFonts w:ascii="Arial" w:hAnsi="Arial" w:cs="Arial"/>
        </w:rPr>
      </w:pPr>
    </w:p>
    <w:p w14:paraId="73654E23" w14:textId="77777777" w:rsidR="00DF0502" w:rsidRDefault="00DF0502" w:rsidP="00DF0502">
      <w:pPr>
        <w:pStyle w:val="BodyText2"/>
        <w:spacing w:after="0" w:line="240" w:lineRule="auto"/>
        <w:ind w:firstLine="706"/>
        <w:rPr>
          <w:rFonts w:ascii="Arial" w:hAnsi="Arial" w:cs="Arial"/>
        </w:rPr>
      </w:pPr>
    </w:p>
    <w:p w14:paraId="10737886" w14:textId="77777777" w:rsidR="00DF0502" w:rsidRDefault="00DF0502" w:rsidP="00DF0502">
      <w:pPr>
        <w:pStyle w:val="BodyText2"/>
        <w:spacing w:after="0" w:line="240" w:lineRule="auto"/>
        <w:ind w:firstLine="706"/>
        <w:rPr>
          <w:rFonts w:ascii="Arial" w:hAnsi="Arial" w:cs="Arial"/>
        </w:rPr>
      </w:pPr>
    </w:p>
    <w:p w14:paraId="38E36999" w14:textId="77777777" w:rsidR="00DF0502" w:rsidRDefault="00DF0502" w:rsidP="00DF0502">
      <w:pPr>
        <w:pStyle w:val="BodyText2"/>
        <w:spacing w:after="0" w:line="240" w:lineRule="auto"/>
        <w:ind w:firstLine="706"/>
        <w:rPr>
          <w:rFonts w:ascii="Arial" w:hAnsi="Arial" w:cs="Arial"/>
        </w:rPr>
      </w:pPr>
    </w:p>
    <w:p w14:paraId="0756DFE9" w14:textId="77777777" w:rsidR="00DF0502" w:rsidRDefault="00DF0502" w:rsidP="00DF0502">
      <w:pPr>
        <w:pStyle w:val="BodyText2"/>
        <w:spacing w:after="0" w:line="240" w:lineRule="auto"/>
        <w:ind w:firstLine="706"/>
        <w:rPr>
          <w:rFonts w:ascii="Arial" w:hAnsi="Arial" w:cs="Arial"/>
        </w:rPr>
      </w:pPr>
    </w:p>
    <w:p w14:paraId="2AD8B281" w14:textId="77777777" w:rsidR="00DF0502" w:rsidRDefault="00DF0502" w:rsidP="00DF0502">
      <w:pPr>
        <w:pStyle w:val="BodyText2"/>
        <w:spacing w:after="0" w:line="240" w:lineRule="auto"/>
        <w:ind w:firstLine="706"/>
        <w:rPr>
          <w:rFonts w:ascii="Arial" w:hAnsi="Arial" w:cs="Arial"/>
        </w:rPr>
      </w:pPr>
    </w:p>
    <w:p w14:paraId="5644D5EE" w14:textId="77777777" w:rsidR="00DF0502" w:rsidRDefault="00DF0502" w:rsidP="00DF0502">
      <w:pPr>
        <w:pStyle w:val="BodyText2"/>
        <w:spacing w:after="0" w:line="240" w:lineRule="auto"/>
        <w:ind w:firstLine="706"/>
        <w:rPr>
          <w:rFonts w:ascii="Arial" w:hAnsi="Arial" w:cs="Arial"/>
        </w:rPr>
      </w:pPr>
    </w:p>
    <w:p w14:paraId="29CFE7D9" w14:textId="77777777" w:rsidR="00DF0502" w:rsidRPr="00DF0502" w:rsidRDefault="00DF0502" w:rsidP="00DF0502">
      <w:pPr>
        <w:pStyle w:val="BodyText2"/>
        <w:spacing w:after="0" w:line="240" w:lineRule="auto"/>
        <w:ind w:firstLine="706"/>
        <w:rPr>
          <w:rFonts w:ascii="Arial" w:hAnsi="Arial" w:cs="Arial"/>
        </w:rPr>
      </w:pPr>
    </w:p>
    <w:p w14:paraId="27FE4840" w14:textId="77777777" w:rsidR="00EB1F3A" w:rsidRPr="00DF0502" w:rsidRDefault="00EB1F3A" w:rsidP="00DF0502">
      <w:pPr>
        <w:pStyle w:val="ListParagraph"/>
        <w:spacing w:after="0" w:line="240" w:lineRule="auto"/>
        <w:ind w:left="567" w:hanging="567"/>
        <w:jc w:val="center"/>
        <w:rPr>
          <w:rFonts w:ascii="Arial" w:hAnsi="Arial" w:cs="Arial"/>
          <w:b/>
          <w:lang w:val="es-ES"/>
        </w:rPr>
      </w:pPr>
    </w:p>
    <w:p w14:paraId="61267F9D" w14:textId="77777777" w:rsidR="00EB1F3A"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r w:rsidRPr="00DF0502">
        <w:rPr>
          <w:rFonts w:ascii="Arial" w:hAnsi="Arial" w:cs="Arial"/>
          <w:noProof/>
        </w:rPr>
        <mc:AlternateContent>
          <mc:Choice Requires="wps">
            <w:drawing>
              <wp:anchor distT="0" distB="0" distL="114300" distR="114300" simplePos="0" relativeHeight="251660288" behindDoc="0" locked="0" layoutInCell="1" allowOverlap="1" wp14:anchorId="51ADF2E5" wp14:editId="194C176E">
                <wp:simplePos x="0" y="0"/>
                <wp:positionH relativeFrom="column">
                  <wp:posOffset>-263525</wp:posOffset>
                </wp:positionH>
                <wp:positionV relativeFrom="paragraph">
                  <wp:posOffset>156845</wp:posOffset>
                </wp:positionV>
                <wp:extent cx="6498590" cy="1206500"/>
                <wp:effectExtent l="8890" t="10160" r="762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590" cy="1206500"/>
                        </a:xfrm>
                        <a:prstGeom prst="rect">
                          <a:avLst/>
                        </a:prstGeom>
                        <a:solidFill>
                          <a:srgbClr val="FFFFFF"/>
                        </a:solidFill>
                        <a:ln w="9525">
                          <a:solidFill>
                            <a:srgbClr val="000000"/>
                          </a:solidFill>
                          <a:miter lim="800000"/>
                          <a:headEnd/>
                          <a:tailEnd/>
                        </a:ln>
                      </wps:spPr>
                      <wps:txbx>
                        <w:txbxContent>
                          <w:p w14:paraId="00B67DAC" w14:textId="77777777" w:rsidR="003A7479" w:rsidRPr="00F54D24" w:rsidRDefault="003A7479" w:rsidP="00DF0502">
                            <w:pPr>
                              <w:jc w:val="both"/>
                              <w:rPr>
                                <w:rFonts w:ascii="Arial" w:hAnsi="Arial" w:cs="Arial"/>
                                <w:lang w:val="es-MX"/>
                              </w:rPr>
                            </w:pPr>
                            <w:r w:rsidRPr="00F54D24">
                              <w:rPr>
                                <w:rFonts w:ascii="Arial" w:hAnsi="Arial" w:cs="Arial"/>
                                <w:lang w:val="es-MX"/>
                              </w:rPr>
                              <w:t>Este documento no es una publicación oficial del Banco Interamericano de Desarrollo. Su propósito es servir como base para la discusión y diseño del programa: Convivencia Ciudadana y Mejoramiento de Barrios (HO-L1187). Las opiniones y conclusiones contenidas en este documento pueden no necesariamente coincidir con las políticas y opiniones del BID, su Directorio o sus países miembros. Este documento fue elaborad</w:t>
                            </w:r>
                            <w:r>
                              <w:rPr>
                                <w:rFonts w:ascii="Arial" w:hAnsi="Arial" w:cs="Arial"/>
                                <w:lang w:val="es-MX"/>
                              </w:rPr>
                              <w:t>o con insumos de los consultores Viviana Vélez y Walter Gómez.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DF2E5" id="Text Box 2" o:spid="_x0000_s1027" type="#_x0000_t202" style="position:absolute;left:0;text-align:left;margin-left:-20.75pt;margin-top:12.35pt;width:511.7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">
                <v:textbox>
                  <w:txbxContent>
                    <w:p w14:paraId="00B67DAC" w14:textId="77777777" w:rsidR="003A7479" w:rsidRPr="00F54D24" w:rsidRDefault="003A7479" w:rsidP="00DF0502">
                      <w:pPr>
                        <w:jc w:val="both"/>
                        <w:rPr>
                          <w:rFonts w:ascii="Arial" w:hAnsi="Arial" w:cs="Arial"/>
                          <w:lang w:val="es-MX"/>
                        </w:rPr>
                      </w:pPr>
                      <w:r w:rsidRPr="00F54D24">
                        <w:rPr>
                          <w:rFonts w:ascii="Arial" w:hAnsi="Arial" w:cs="Arial"/>
                          <w:lang w:val="es-MX"/>
                        </w:rPr>
                        <w:t>Este documento no es una publicación oficial del Banco Interamericano de Desarrollo. Su propósito es servir como base para la discusión y diseño del programa: Convivencia Ciudadana y Mejoramiento de Barrios (HO-L1187). Las opiniones y conclusiones contenidas en este documento pueden no necesariamente coincidir con las políticas y opiniones del BID, su Directorio o sus países miembros. Este documento fue elaborad</w:t>
                      </w:r>
                      <w:r>
                        <w:rPr>
                          <w:rFonts w:ascii="Arial" w:hAnsi="Arial" w:cs="Arial"/>
                          <w:lang w:val="es-MX"/>
                        </w:rPr>
                        <w:t>o con insumos de los consultores Viviana Vélez y Walter Gómez.</w:t>
                      </w:r>
                    </w:p>
                  </w:txbxContent>
                </v:textbox>
              </v:shape>
            </w:pict>
          </mc:Fallback>
        </mc:AlternateContent>
      </w:r>
    </w:p>
    <w:p w14:paraId="1CFA8500" w14:textId="77777777" w:rsidR="00EB1F3A" w:rsidRPr="00DF0502" w:rsidRDefault="00EB1F3A" w:rsidP="00DF0502">
      <w:pPr>
        <w:tabs>
          <w:tab w:val="left" w:pos="1440"/>
          <w:tab w:val="left" w:pos="3060"/>
        </w:tabs>
        <w:spacing w:after="0" w:line="240" w:lineRule="auto"/>
        <w:ind w:left="567" w:hanging="567"/>
        <w:jc w:val="center"/>
        <w:rPr>
          <w:rFonts w:ascii="Arial" w:hAnsi="Arial" w:cs="Arial"/>
          <w:b/>
          <w:smallCaps/>
          <w:lang w:val="es-ES"/>
        </w:rPr>
      </w:pPr>
    </w:p>
    <w:p w14:paraId="51CD181B" w14:textId="77777777" w:rsidR="00EB1F3A" w:rsidRPr="00DF0502" w:rsidRDefault="00EB1F3A" w:rsidP="00DF0502">
      <w:pPr>
        <w:tabs>
          <w:tab w:val="left" w:pos="1440"/>
          <w:tab w:val="left" w:pos="3060"/>
        </w:tabs>
        <w:spacing w:after="0" w:line="240" w:lineRule="auto"/>
        <w:ind w:left="567" w:hanging="567"/>
        <w:jc w:val="center"/>
        <w:rPr>
          <w:rFonts w:ascii="Arial" w:hAnsi="Arial" w:cs="Arial"/>
          <w:b/>
          <w:smallCaps/>
          <w:lang w:val="es-ES"/>
        </w:rPr>
      </w:pPr>
    </w:p>
    <w:p w14:paraId="4422AC1C"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01318205"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6355B71B"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6A5E76FA"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450736E7"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40D20CD7" w14:textId="77777777" w:rsidR="00DF0502" w:rsidRPr="00DF0502" w:rsidRDefault="00DF0502" w:rsidP="00DF0502">
      <w:pPr>
        <w:tabs>
          <w:tab w:val="left" w:pos="1440"/>
          <w:tab w:val="left" w:pos="3060"/>
        </w:tabs>
        <w:spacing w:after="0" w:line="240" w:lineRule="auto"/>
        <w:ind w:left="567" w:hanging="567"/>
        <w:jc w:val="center"/>
        <w:rPr>
          <w:rFonts w:ascii="Arial" w:hAnsi="Arial" w:cs="Arial"/>
          <w:b/>
          <w:smallCaps/>
          <w:lang w:val="es-ES"/>
        </w:rPr>
      </w:pPr>
    </w:p>
    <w:p w14:paraId="5543748A" w14:textId="77777777" w:rsidR="00D40E66" w:rsidRDefault="00D40E66" w:rsidP="00DF0502">
      <w:pPr>
        <w:numPr>
          <w:ilvl w:val="0"/>
          <w:numId w:val="1"/>
        </w:numPr>
        <w:spacing w:after="0" w:line="240" w:lineRule="auto"/>
        <w:ind w:left="567" w:hanging="567"/>
        <w:jc w:val="both"/>
        <w:rPr>
          <w:rFonts w:ascii="Arial" w:hAnsi="Arial" w:cs="Arial"/>
          <w:b/>
          <w:lang w:val="es-ES"/>
        </w:rPr>
      </w:pPr>
      <w:r w:rsidRPr="00DF0502">
        <w:rPr>
          <w:rFonts w:ascii="Arial" w:hAnsi="Arial" w:cs="Arial"/>
          <w:b/>
          <w:lang w:val="es-ES"/>
        </w:rPr>
        <w:lastRenderedPageBreak/>
        <w:t>Introducción</w:t>
      </w:r>
    </w:p>
    <w:p w14:paraId="17DAA335" w14:textId="77777777" w:rsidR="00DF0502" w:rsidRPr="00DF0502" w:rsidRDefault="00DF0502" w:rsidP="00DF0502">
      <w:pPr>
        <w:spacing w:after="0" w:line="240" w:lineRule="auto"/>
        <w:ind w:left="567"/>
        <w:jc w:val="both"/>
        <w:rPr>
          <w:rFonts w:ascii="Arial" w:hAnsi="Arial" w:cs="Arial"/>
          <w:b/>
          <w:lang w:val="es-ES"/>
        </w:rPr>
      </w:pPr>
    </w:p>
    <w:p w14:paraId="39B3F043" w14:textId="77777777" w:rsidR="00D40E66" w:rsidRDefault="00D40E66"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En las líneas que siguen presentamos una evaluación costo-beneficio del Programa de Convivencia Ciudadana y Mejoramiento de Barrios (HO-L1187)</w:t>
      </w:r>
      <w:r w:rsidR="003566FC" w:rsidRPr="00DF0502">
        <w:rPr>
          <w:rFonts w:ascii="Arial" w:hAnsi="Arial" w:cs="Arial"/>
          <w:kern w:val="28"/>
          <w:sz w:val="22"/>
          <w:szCs w:val="22"/>
        </w:rPr>
        <w:t xml:space="preserve"> que se realizará en Honduras</w:t>
      </w:r>
      <w:r w:rsidRPr="00DF0502">
        <w:rPr>
          <w:rFonts w:ascii="Arial" w:hAnsi="Arial" w:cs="Arial"/>
          <w:kern w:val="28"/>
          <w:sz w:val="22"/>
          <w:szCs w:val="22"/>
        </w:rPr>
        <w:t xml:space="preserve">. Al ser un análisis ex-ante, muchas de las medidas necesarias para el cálculo de costos y beneficios fueron estimadas a partir de experiencias similares en otras regiones o aproximadas a partir de valores históricos del propio país. Asimismo, se plantean escenarios alternativos que tienen en cuenta distintos efectos de impacto además de los encontrados en la literatura. A los fines de interpretar y utilizar los resultados aquí expuestos con un fin de política se debe, por tanto, considerar que tales resultados sólo son válidos bajo la veracidad de los supuestos realizados. </w:t>
      </w:r>
    </w:p>
    <w:p w14:paraId="4715032C" w14:textId="77777777" w:rsidR="00DF0502" w:rsidRPr="00DF0502" w:rsidRDefault="00DF0502" w:rsidP="00DF0502">
      <w:pPr>
        <w:pStyle w:val="Paragraph"/>
        <w:numPr>
          <w:ilvl w:val="0"/>
          <w:numId w:val="0"/>
        </w:numPr>
        <w:spacing w:before="0" w:after="0"/>
        <w:ind w:left="567"/>
        <w:rPr>
          <w:rFonts w:ascii="Arial" w:hAnsi="Arial" w:cs="Arial"/>
          <w:kern w:val="28"/>
          <w:sz w:val="22"/>
          <w:szCs w:val="22"/>
        </w:rPr>
      </w:pPr>
    </w:p>
    <w:p w14:paraId="0C2777BE" w14:textId="77777777" w:rsidR="00D40E66" w:rsidRPr="00DF0502" w:rsidRDefault="00D40E66" w:rsidP="00DF0502">
      <w:pPr>
        <w:pStyle w:val="Paragraph"/>
        <w:numPr>
          <w:ilvl w:val="1"/>
          <w:numId w:val="1"/>
        </w:numPr>
        <w:spacing w:before="0" w:after="0"/>
        <w:rPr>
          <w:rFonts w:ascii="Arial" w:hAnsi="Arial" w:cs="Arial"/>
          <w:kern w:val="28"/>
          <w:sz w:val="22"/>
          <w:szCs w:val="22"/>
          <w:lang w:val="es-ES_tradnl"/>
        </w:rPr>
      </w:pPr>
      <w:r w:rsidRPr="00DF0502">
        <w:rPr>
          <w:rFonts w:ascii="Arial" w:hAnsi="Arial" w:cs="Arial"/>
          <w:kern w:val="28"/>
          <w:sz w:val="22"/>
          <w:szCs w:val="22"/>
        </w:rPr>
        <w:t xml:space="preserve">El Programa Convivencia </w:t>
      </w:r>
      <w:r w:rsidR="00FD0CD6" w:rsidRPr="00DF0502">
        <w:rPr>
          <w:rFonts w:ascii="Arial" w:hAnsi="Arial" w:cs="Arial"/>
          <w:kern w:val="28"/>
          <w:sz w:val="22"/>
          <w:szCs w:val="22"/>
        </w:rPr>
        <w:t xml:space="preserve">Ciudadana </w:t>
      </w:r>
      <w:r w:rsidRPr="00DF0502">
        <w:rPr>
          <w:rFonts w:ascii="Arial" w:hAnsi="Arial" w:cs="Arial"/>
          <w:kern w:val="28"/>
          <w:sz w:val="22"/>
          <w:szCs w:val="22"/>
        </w:rPr>
        <w:t xml:space="preserve">y Mejoramiento de Barrios (“el Programa”, en adelante) tiene como objetivo general </w:t>
      </w:r>
      <w:r w:rsidRPr="00DF0502">
        <w:rPr>
          <w:rFonts w:ascii="Arial" w:hAnsi="Arial" w:cs="Arial"/>
          <w:kern w:val="28"/>
          <w:sz w:val="22"/>
          <w:szCs w:val="22"/>
          <w:lang w:val="es-ES_tradnl"/>
        </w:rPr>
        <w:t xml:space="preserve">contribuir a mejorar la convivencia ciudadana en Honduras a través de la mejora en la calidad de vida en barrios vulnerables y la reducción de la incidencia de delitos </w:t>
      </w:r>
      <w:r w:rsidR="00FD0CD6" w:rsidRPr="00DF0502">
        <w:rPr>
          <w:rFonts w:ascii="Arial" w:hAnsi="Arial" w:cs="Arial"/>
          <w:kern w:val="28"/>
          <w:sz w:val="22"/>
          <w:szCs w:val="22"/>
          <w:lang w:val="es-ES_tradnl"/>
        </w:rPr>
        <w:t>violentos</w:t>
      </w:r>
      <w:r w:rsidRPr="00DF0502">
        <w:rPr>
          <w:rFonts w:ascii="Arial" w:hAnsi="Arial" w:cs="Arial"/>
          <w:kern w:val="28"/>
          <w:sz w:val="22"/>
          <w:szCs w:val="22"/>
          <w:lang w:val="es-ES_tradnl"/>
        </w:rPr>
        <w:t xml:space="preserve">. </w:t>
      </w:r>
      <w:r w:rsidRPr="00DF0502">
        <w:rPr>
          <w:rFonts w:ascii="Arial" w:hAnsi="Arial" w:cs="Arial"/>
          <w:kern w:val="28"/>
          <w:sz w:val="22"/>
          <w:szCs w:val="22"/>
        </w:rPr>
        <w:t>E</w:t>
      </w:r>
      <w:r w:rsidR="00FD0CD6" w:rsidRPr="00DF0502">
        <w:rPr>
          <w:rFonts w:ascii="Arial" w:hAnsi="Arial" w:cs="Arial"/>
          <w:kern w:val="28"/>
          <w:sz w:val="22"/>
          <w:szCs w:val="22"/>
        </w:rPr>
        <w:t>l Programa e</w:t>
      </w:r>
      <w:r w:rsidRPr="00DF0502">
        <w:rPr>
          <w:rFonts w:ascii="Arial" w:hAnsi="Arial" w:cs="Arial"/>
          <w:kern w:val="28"/>
          <w:sz w:val="22"/>
          <w:szCs w:val="22"/>
        </w:rPr>
        <w:t>s financiado por el Banco Interamericano de Desarrollo (BID).</w:t>
      </w:r>
    </w:p>
    <w:p w14:paraId="612975CF" w14:textId="77777777" w:rsidR="00DF0502" w:rsidRPr="00DF0502" w:rsidRDefault="00DF0502" w:rsidP="00DF0502">
      <w:pPr>
        <w:pStyle w:val="Paragraph"/>
        <w:numPr>
          <w:ilvl w:val="0"/>
          <w:numId w:val="0"/>
        </w:numPr>
        <w:spacing w:before="0" w:after="0"/>
        <w:ind w:left="567"/>
        <w:rPr>
          <w:rFonts w:ascii="Arial" w:hAnsi="Arial" w:cs="Arial"/>
          <w:kern w:val="28"/>
          <w:sz w:val="22"/>
          <w:szCs w:val="22"/>
          <w:lang w:val="es-ES_tradnl"/>
        </w:rPr>
      </w:pPr>
    </w:p>
    <w:p w14:paraId="0E997279" w14:textId="77777777" w:rsidR="00DA4569" w:rsidRDefault="00D40E66" w:rsidP="00DF0502">
      <w:pPr>
        <w:pStyle w:val="Paragraph"/>
        <w:numPr>
          <w:ilvl w:val="1"/>
          <w:numId w:val="1"/>
        </w:numPr>
        <w:spacing w:before="0" w:after="0"/>
        <w:rPr>
          <w:rFonts w:ascii="Arial" w:hAnsi="Arial" w:cs="Arial"/>
          <w:kern w:val="28"/>
          <w:sz w:val="22"/>
          <w:szCs w:val="22"/>
          <w:lang w:val="es-ES_tradnl"/>
        </w:rPr>
      </w:pPr>
      <w:r w:rsidRPr="00DF0502">
        <w:rPr>
          <w:rFonts w:ascii="Arial" w:hAnsi="Arial" w:cs="Arial"/>
          <w:kern w:val="28"/>
          <w:sz w:val="22"/>
          <w:szCs w:val="22"/>
          <w:lang w:val="es-ES_tradnl"/>
        </w:rPr>
        <w:t xml:space="preserve">Los objetivos específicos </w:t>
      </w:r>
      <w:r w:rsidR="00FD0CD6" w:rsidRPr="00DF0502">
        <w:rPr>
          <w:rFonts w:ascii="Arial" w:hAnsi="Arial" w:cs="Arial"/>
          <w:kern w:val="28"/>
          <w:sz w:val="22"/>
          <w:szCs w:val="22"/>
          <w:lang w:val="es-ES_tradnl"/>
        </w:rPr>
        <w:t xml:space="preserve">del Programa </w:t>
      </w:r>
      <w:r w:rsidRPr="00DF0502">
        <w:rPr>
          <w:rFonts w:ascii="Arial" w:hAnsi="Arial" w:cs="Arial"/>
          <w:kern w:val="28"/>
          <w:sz w:val="22"/>
          <w:szCs w:val="22"/>
          <w:lang w:val="es-ES_tradnl"/>
        </w:rPr>
        <w:t xml:space="preserve">son: (i) mejorar el hábitat de barrios urbanos vulnerables, aumentando el acceso a infraestructura de servicios básicos y de </w:t>
      </w:r>
      <w:r w:rsidR="00FD0CD6" w:rsidRPr="00DF0502">
        <w:rPr>
          <w:rFonts w:ascii="Arial" w:hAnsi="Arial" w:cs="Arial"/>
          <w:kern w:val="28"/>
          <w:sz w:val="22"/>
          <w:szCs w:val="22"/>
          <w:lang w:val="es-ES_tradnl"/>
        </w:rPr>
        <w:t xml:space="preserve">prevención </w:t>
      </w:r>
      <w:r w:rsidRPr="00DF0502">
        <w:rPr>
          <w:rFonts w:ascii="Arial" w:hAnsi="Arial" w:cs="Arial"/>
          <w:kern w:val="28"/>
          <w:sz w:val="22"/>
          <w:szCs w:val="22"/>
          <w:lang w:val="es-ES_tradnl"/>
        </w:rPr>
        <w:t xml:space="preserve">para </w:t>
      </w:r>
      <w:r w:rsidR="00FD0CD6" w:rsidRPr="00DF0502">
        <w:rPr>
          <w:rFonts w:ascii="Arial" w:hAnsi="Arial" w:cs="Arial"/>
          <w:kern w:val="28"/>
          <w:sz w:val="22"/>
          <w:szCs w:val="22"/>
          <w:lang w:val="es-ES_tradnl"/>
        </w:rPr>
        <w:t>disminuir delitos de robos y delitos sexuales</w:t>
      </w:r>
      <w:r w:rsidRPr="00DF0502">
        <w:rPr>
          <w:rFonts w:ascii="Arial" w:hAnsi="Arial" w:cs="Arial"/>
          <w:kern w:val="28"/>
          <w:sz w:val="22"/>
          <w:szCs w:val="22"/>
          <w:lang w:val="es-ES_tradnl"/>
        </w:rPr>
        <w:t>; (ii) reducir los niveles de incidencia de homicidios y violencia intrafamiliar (VIF) en los municipios intervenidos mejorando los servicios de prevención y atención a víctimas de la violencia; y (iii) mejorar la efectividad policial en investigación criminal, a través del incremento de la proporción de casos de homicidio con agresor identificado e informe de investigación aceptado</w:t>
      </w:r>
      <w:r w:rsidR="00FD0CD6" w:rsidRPr="00DF0502">
        <w:rPr>
          <w:rFonts w:ascii="Arial" w:hAnsi="Arial" w:cs="Arial"/>
          <w:kern w:val="28"/>
          <w:sz w:val="22"/>
          <w:szCs w:val="22"/>
          <w:lang w:val="es-ES_tradnl"/>
        </w:rPr>
        <w:t xml:space="preserve"> por el Ministerio Público</w:t>
      </w:r>
      <w:r w:rsidRPr="00DF0502">
        <w:rPr>
          <w:rFonts w:ascii="Arial" w:hAnsi="Arial" w:cs="Arial"/>
          <w:kern w:val="28"/>
          <w:sz w:val="22"/>
          <w:szCs w:val="22"/>
          <w:lang w:val="es-ES_tradnl"/>
        </w:rPr>
        <w:t>.</w:t>
      </w:r>
    </w:p>
    <w:p w14:paraId="2FC9517E" w14:textId="77777777" w:rsidR="00DF0502" w:rsidRPr="00DF0502" w:rsidRDefault="00DF0502" w:rsidP="00DF0502">
      <w:pPr>
        <w:pStyle w:val="Paragraph"/>
        <w:numPr>
          <w:ilvl w:val="0"/>
          <w:numId w:val="0"/>
        </w:numPr>
        <w:spacing w:before="0" w:after="0"/>
        <w:ind w:left="567"/>
        <w:rPr>
          <w:rFonts w:ascii="Arial" w:hAnsi="Arial" w:cs="Arial"/>
          <w:kern w:val="28"/>
          <w:sz w:val="22"/>
          <w:szCs w:val="22"/>
          <w:lang w:val="es-ES_tradnl"/>
        </w:rPr>
      </w:pPr>
    </w:p>
    <w:p w14:paraId="594817D4" w14:textId="77777777" w:rsidR="00DA4569" w:rsidRPr="00DF0502" w:rsidRDefault="00DA4569" w:rsidP="00DF0502">
      <w:pPr>
        <w:pStyle w:val="Paragraph"/>
        <w:numPr>
          <w:ilvl w:val="1"/>
          <w:numId w:val="1"/>
        </w:numPr>
        <w:spacing w:before="0" w:after="0"/>
        <w:rPr>
          <w:rFonts w:ascii="Arial" w:hAnsi="Arial" w:cs="Arial"/>
          <w:kern w:val="28"/>
          <w:sz w:val="22"/>
          <w:szCs w:val="22"/>
          <w:lang w:val="es-ES_tradnl"/>
        </w:rPr>
      </w:pPr>
      <w:r w:rsidRPr="00DF0502">
        <w:rPr>
          <w:rFonts w:ascii="Arial" w:hAnsi="Arial" w:cs="Arial"/>
          <w:sz w:val="22"/>
          <w:szCs w:val="22"/>
          <w:lang w:val="es-ES_tradnl"/>
        </w:rPr>
        <w:t>Para financiar las actividades del Proyecto, se prevé</w:t>
      </w:r>
      <w:r w:rsidR="007B47E0" w:rsidRPr="00DF0502">
        <w:rPr>
          <w:rFonts w:ascii="Arial" w:hAnsi="Arial" w:cs="Arial"/>
          <w:sz w:val="22"/>
          <w:szCs w:val="22"/>
          <w:lang w:val="es-ES_tradnl"/>
        </w:rPr>
        <w:t xml:space="preserve"> un préstamo a la República de Honduras </w:t>
      </w:r>
      <w:r w:rsidR="00DF0502">
        <w:rPr>
          <w:rFonts w:ascii="Arial" w:hAnsi="Arial" w:cs="Arial"/>
          <w:sz w:val="22"/>
          <w:szCs w:val="22"/>
          <w:lang w:val="es-ES_tradnl"/>
        </w:rPr>
        <w:t>equivalente a los US$</w:t>
      </w:r>
      <w:r w:rsidR="00DE68CB" w:rsidRPr="00DF0502">
        <w:rPr>
          <w:rFonts w:ascii="Arial" w:hAnsi="Arial" w:cs="Arial"/>
          <w:sz w:val="22"/>
          <w:szCs w:val="22"/>
          <w:lang w:val="es-ES_tradnl"/>
        </w:rPr>
        <w:t>56.349</w:t>
      </w:r>
      <w:r w:rsidR="00BB1A8F" w:rsidRPr="00DF0502">
        <w:rPr>
          <w:rFonts w:ascii="Arial" w:hAnsi="Arial" w:cs="Arial"/>
          <w:sz w:val="22"/>
          <w:szCs w:val="22"/>
          <w:lang w:val="es-ES_tradnl"/>
        </w:rPr>
        <w:t>.000</w:t>
      </w:r>
      <w:r w:rsidRPr="00DF0502">
        <w:rPr>
          <w:rFonts w:ascii="Arial" w:hAnsi="Arial" w:cs="Arial"/>
          <w:sz w:val="22"/>
          <w:szCs w:val="22"/>
          <w:lang w:val="es-ES_tradnl"/>
        </w:rPr>
        <w:t xml:space="preserve"> mill</w:t>
      </w:r>
      <w:r w:rsidR="007B47E0" w:rsidRPr="00DF0502">
        <w:rPr>
          <w:rFonts w:ascii="Arial" w:hAnsi="Arial" w:cs="Arial"/>
          <w:sz w:val="22"/>
          <w:szCs w:val="22"/>
          <w:lang w:val="es-ES_tradnl"/>
        </w:rPr>
        <w:t xml:space="preserve">ones. </w:t>
      </w:r>
      <w:r w:rsidRPr="00DF0502">
        <w:rPr>
          <w:rFonts w:ascii="Arial" w:hAnsi="Arial" w:cs="Arial"/>
          <w:sz w:val="22"/>
          <w:szCs w:val="22"/>
          <w:lang w:val="es-ES_tradnl"/>
        </w:rPr>
        <w:t>Se prevé que las actividades se iniciarían a inicios de 2018, por un lapso de 5 años.</w:t>
      </w:r>
    </w:p>
    <w:p w14:paraId="3DC6FDAD" w14:textId="77777777" w:rsidR="00DF0502" w:rsidRPr="00DF0502" w:rsidRDefault="00DF0502" w:rsidP="00DF0502">
      <w:pPr>
        <w:pStyle w:val="Paragraph"/>
        <w:numPr>
          <w:ilvl w:val="0"/>
          <w:numId w:val="0"/>
        </w:numPr>
        <w:spacing w:before="0" w:after="0"/>
        <w:ind w:left="567"/>
        <w:rPr>
          <w:rFonts w:ascii="Arial" w:hAnsi="Arial" w:cs="Arial"/>
          <w:kern w:val="28"/>
          <w:sz w:val="22"/>
          <w:szCs w:val="22"/>
          <w:lang w:val="es-ES_tradnl"/>
        </w:rPr>
      </w:pPr>
    </w:p>
    <w:p w14:paraId="15FEB1A3" w14:textId="77777777" w:rsidR="00DA4569" w:rsidRPr="00DF0502" w:rsidRDefault="00DA4569" w:rsidP="00DF0502">
      <w:pPr>
        <w:pStyle w:val="Paragraph"/>
        <w:numPr>
          <w:ilvl w:val="1"/>
          <w:numId w:val="1"/>
        </w:numPr>
        <w:spacing w:before="0" w:after="0"/>
        <w:rPr>
          <w:rFonts w:ascii="Arial" w:hAnsi="Arial" w:cs="Arial"/>
          <w:kern w:val="28"/>
          <w:sz w:val="22"/>
          <w:szCs w:val="22"/>
          <w:lang w:val="es-ES_tradnl"/>
        </w:rPr>
      </w:pPr>
      <w:r w:rsidRPr="00DF0502">
        <w:rPr>
          <w:rFonts w:ascii="Arial" w:hAnsi="Arial" w:cs="Arial"/>
          <w:sz w:val="22"/>
          <w:szCs w:val="22"/>
          <w:lang w:val="es-ES_tradnl"/>
        </w:rPr>
        <w:t xml:space="preserve">Los resultados esperados del </w:t>
      </w:r>
      <w:r w:rsidR="00FD0CD6" w:rsidRPr="00DF0502">
        <w:rPr>
          <w:rFonts w:ascii="Arial" w:hAnsi="Arial" w:cs="Arial"/>
          <w:sz w:val="22"/>
          <w:szCs w:val="22"/>
          <w:lang w:val="es-ES_tradnl"/>
        </w:rPr>
        <w:t>P</w:t>
      </w:r>
      <w:r w:rsidRPr="00DF0502">
        <w:rPr>
          <w:rFonts w:ascii="Arial" w:hAnsi="Arial" w:cs="Arial"/>
          <w:sz w:val="22"/>
          <w:szCs w:val="22"/>
          <w:lang w:val="es-ES_tradnl"/>
        </w:rPr>
        <w:t>royecto se resumen en la Matriz d</w:t>
      </w:r>
      <w:r w:rsidR="00716988" w:rsidRPr="00DF0502">
        <w:rPr>
          <w:rFonts w:ascii="Arial" w:hAnsi="Arial" w:cs="Arial"/>
          <w:sz w:val="22"/>
          <w:szCs w:val="22"/>
          <w:lang w:val="es-ES_tradnl"/>
        </w:rPr>
        <w:t>e Resultados, la cual contempla mejoras en el acceso a los servicios básicos en barrios vulnerables intervenidos; reducción de homicidios y de la VIF en los municipios y barrios beneficiados; y mejora de los niveles de efectividad policial en la preparación de informes criminalísticos sobre homicidios.</w:t>
      </w:r>
    </w:p>
    <w:p w14:paraId="66F1813F" w14:textId="77777777" w:rsidR="00DF0502" w:rsidRPr="00DF0502" w:rsidRDefault="00DF0502" w:rsidP="00DF0502">
      <w:pPr>
        <w:pStyle w:val="Paragraph"/>
        <w:numPr>
          <w:ilvl w:val="0"/>
          <w:numId w:val="0"/>
        </w:numPr>
        <w:spacing w:before="0" w:after="0"/>
        <w:ind w:left="567"/>
        <w:rPr>
          <w:rFonts w:ascii="Arial" w:hAnsi="Arial" w:cs="Arial"/>
          <w:kern w:val="28"/>
          <w:sz w:val="22"/>
          <w:szCs w:val="22"/>
          <w:lang w:val="es-ES_tradnl"/>
        </w:rPr>
      </w:pPr>
    </w:p>
    <w:p w14:paraId="59F82F38" w14:textId="77777777" w:rsidR="00DA4569" w:rsidRPr="00DF0502" w:rsidRDefault="00DA4569" w:rsidP="00DF0502">
      <w:pPr>
        <w:pStyle w:val="Paragraph"/>
        <w:numPr>
          <w:ilvl w:val="1"/>
          <w:numId w:val="1"/>
        </w:numPr>
        <w:spacing w:before="0" w:after="0"/>
        <w:rPr>
          <w:rFonts w:ascii="Arial" w:hAnsi="Arial" w:cs="Arial"/>
          <w:kern w:val="28"/>
          <w:sz w:val="22"/>
          <w:szCs w:val="22"/>
          <w:lang w:val="es-ES_tradnl"/>
        </w:rPr>
      </w:pPr>
      <w:r w:rsidRPr="00DF0502">
        <w:rPr>
          <w:rFonts w:ascii="Arial" w:hAnsi="Arial" w:cs="Arial"/>
          <w:sz w:val="22"/>
          <w:szCs w:val="22"/>
          <w:lang w:val="es-ES_tradnl"/>
        </w:rPr>
        <w:t>Este informe presenta una estimación de los costos y los beneficios de la implementación del Proyecto. Lo</w:t>
      </w:r>
      <w:r w:rsidR="00716988" w:rsidRPr="00DF0502">
        <w:rPr>
          <w:rFonts w:ascii="Arial" w:hAnsi="Arial" w:cs="Arial"/>
          <w:sz w:val="22"/>
          <w:szCs w:val="22"/>
          <w:lang w:val="es-ES_tradnl"/>
        </w:rPr>
        <w:t>s</w:t>
      </w:r>
      <w:r w:rsidR="00DF0502">
        <w:rPr>
          <w:rFonts w:ascii="Arial" w:hAnsi="Arial" w:cs="Arial"/>
          <w:sz w:val="22"/>
          <w:szCs w:val="22"/>
          <w:lang w:val="es-ES_tradnl"/>
        </w:rPr>
        <w:t xml:space="preserve"> costos se derivan de los US$</w:t>
      </w:r>
      <w:r w:rsidR="00794CAC" w:rsidRPr="00DF0502">
        <w:rPr>
          <w:rFonts w:ascii="Arial" w:hAnsi="Arial" w:cs="Arial"/>
          <w:sz w:val="22"/>
          <w:szCs w:val="22"/>
          <w:lang w:val="es-ES_tradnl"/>
        </w:rPr>
        <w:t>56.349.000</w:t>
      </w:r>
      <w:r w:rsidRPr="00DF0502">
        <w:rPr>
          <w:rFonts w:ascii="Arial" w:hAnsi="Arial" w:cs="Arial"/>
          <w:sz w:val="22"/>
          <w:szCs w:val="22"/>
          <w:lang w:val="es-ES_tradnl"/>
        </w:rPr>
        <w:t xml:space="preserve"> que cuesta el Proyecto, mientras que los beneficios tienen que ver con la cuantificación de los resultados espera</w:t>
      </w:r>
      <w:r w:rsidR="000C485E" w:rsidRPr="00DF0502">
        <w:rPr>
          <w:rFonts w:ascii="Arial" w:hAnsi="Arial" w:cs="Arial"/>
          <w:sz w:val="22"/>
          <w:szCs w:val="22"/>
          <w:lang w:val="es-ES_tradnl"/>
        </w:rPr>
        <w:t>dos en la Matriz de Resultados.</w:t>
      </w:r>
      <w:r w:rsidRPr="00DF0502">
        <w:rPr>
          <w:rFonts w:ascii="Arial" w:hAnsi="Arial" w:cs="Arial"/>
          <w:sz w:val="22"/>
          <w:szCs w:val="22"/>
          <w:lang w:val="es-ES_tradnl"/>
        </w:rPr>
        <w:t xml:space="preserve"> La comparación de costos y beneficios generan flujos netos de recursos, cuyo valor presente debe ser positivo para que el </w:t>
      </w:r>
      <w:r w:rsidR="00FD0CD6" w:rsidRPr="00DF0502">
        <w:rPr>
          <w:rFonts w:ascii="Arial" w:hAnsi="Arial" w:cs="Arial"/>
          <w:sz w:val="22"/>
          <w:szCs w:val="22"/>
          <w:lang w:val="es-ES_tradnl"/>
        </w:rPr>
        <w:t>P</w:t>
      </w:r>
      <w:r w:rsidRPr="00DF0502">
        <w:rPr>
          <w:rFonts w:ascii="Arial" w:hAnsi="Arial" w:cs="Arial"/>
          <w:sz w:val="22"/>
          <w:szCs w:val="22"/>
          <w:lang w:val="es-ES_tradnl"/>
        </w:rPr>
        <w:t>royecto sea económicamente viable.</w:t>
      </w:r>
    </w:p>
    <w:p w14:paraId="21384F50" w14:textId="77777777" w:rsidR="00FD0CD6" w:rsidRPr="00DF0502" w:rsidRDefault="00FD0CD6" w:rsidP="00DF0502">
      <w:pPr>
        <w:pStyle w:val="Paragraph"/>
        <w:numPr>
          <w:ilvl w:val="0"/>
          <w:numId w:val="0"/>
        </w:numPr>
        <w:spacing w:before="0" w:after="0"/>
        <w:ind w:left="567"/>
        <w:rPr>
          <w:rFonts w:ascii="Arial" w:hAnsi="Arial" w:cs="Arial"/>
          <w:kern w:val="28"/>
          <w:sz w:val="22"/>
          <w:szCs w:val="22"/>
          <w:lang w:val="es-ES_tradnl"/>
        </w:rPr>
      </w:pPr>
    </w:p>
    <w:p w14:paraId="08476CFC" w14:textId="77777777" w:rsidR="00716988" w:rsidRDefault="00716988" w:rsidP="00DF0502">
      <w:pPr>
        <w:numPr>
          <w:ilvl w:val="0"/>
          <w:numId w:val="1"/>
        </w:numPr>
        <w:spacing w:after="0" w:line="240" w:lineRule="auto"/>
        <w:ind w:left="567" w:hanging="567"/>
        <w:jc w:val="both"/>
        <w:rPr>
          <w:rFonts w:ascii="Arial" w:hAnsi="Arial" w:cs="Arial"/>
          <w:b/>
          <w:lang w:val="es-ES"/>
        </w:rPr>
      </w:pPr>
      <w:r w:rsidRPr="00DF0502">
        <w:rPr>
          <w:rFonts w:ascii="Arial" w:hAnsi="Arial" w:cs="Arial"/>
          <w:b/>
          <w:lang w:val="es-ES"/>
        </w:rPr>
        <w:t>Metodología</w:t>
      </w:r>
    </w:p>
    <w:p w14:paraId="372CA683" w14:textId="77777777" w:rsidR="00DF0502" w:rsidRPr="00DF0502" w:rsidRDefault="00DF0502" w:rsidP="00DF0502">
      <w:pPr>
        <w:spacing w:after="0" w:line="240" w:lineRule="auto"/>
        <w:ind w:left="567"/>
        <w:jc w:val="both"/>
        <w:rPr>
          <w:rFonts w:ascii="Arial" w:hAnsi="Arial" w:cs="Arial"/>
          <w:b/>
          <w:lang w:val="es-ES"/>
        </w:rPr>
      </w:pPr>
    </w:p>
    <w:p w14:paraId="46FCB473" w14:textId="77777777" w:rsidR="00716988" w:rsidRPr="00DF0502" w:rsidRDefault="00716988" w:rsidP="00DF0502">
      <w:pPr>
        <w:numPr>
          <w:ilvl w:val="1"/>
          <w:numId w:val="1"/>
        </w:numPr>
        <w:spacing w:after="0" w:line="240" w:lineRule="auto"/>
        <w:jc w:val="both"/>
        <w:rPr>
          <w:rFonts w:ascii="Arial" w:hAnsi="Arial" w:cs="Arial"/>
          <w:b/>
          <w:lang w:val="es-ES"/>
        </w:rPr>
      </w:pPr>
      <w:r w:rsidRPr="00DF0502">
        <w:rPr>
          <w:rFonts w:ascii="Arial" w:eastAsia="Times New Roman" w:hAnsi="Arial" w:cs="Arial"/>
          <w:lang w:val="es-ES_tradnl"/>
        </w:rPr>
        <w:t>Los cálculos realizados parten de la base de un grupo de Datos y de otro grupo de Supuestos, los que se describen a continuación. Con esa información, se procede a definir los beneficios y costos del Proyecto.</w:t>
      </w:r>
    </w:p>
    <w:p w14:paraId="67A376D8" w14:textId="77777777" w:rsidR="00DF0502" w:rsidRPr="00DF0502" w:rsidRDefault="00DF0502" w:rsidP="00DF0502">
      <w:pPr>
        <w:spacing w:after="0" w:line="240" w:lineRule="auto"/>
        <w:ind w:left="567"/>
        <w:jc w:val="both"/>
        <w:rPr>
          <w:rFonts w:ascii="Arial" w:hAnsi="Arial" w:cs="Arial"/>
          <w:b/>
          <w:lang w:val="es-ES"/>
        </w:rPr>
      </w:pPr>
    </w:p>
    <w:p w14:paraId="051318DC" w14:textId="77777777" w:rsidR="00716988" w:rsidRPr="00DF0502" w:rsidRDefault="00716988" w:rsidP="00DF0502">
      <w:pPr>
        <w:numPr>
          <w:ilvl w:val="1"/>
          <w:numId w:val="1"/>
        </w:numPr>
        <w:spacing w:after="0" w:line="240" w:lineRule="auto"/>
        <w:jc w:val="both"/>
        <w:rPr>
          <w:rFonts w:ascii="Arial" w:hAnsi="Arial" w:cs="Arial"/>
          <w:b/>
          <w:lang w:val="es-ES"/>
        </w:rPr>
      </w:pPr>
      <w:r w:rsidRPr="00DF0502">
        <w:rPr>
          <w:rFonts w:ascii="Arial" w:eastAsia="Times New Roman" w:hAnsi="Arial" w:cs="Arial"/>
          <w:lang w:val="es-ES_tradnl"/>
        </w:rPr>
        <w:t xml:space="preserve">En la Tabla 1 </w:t>
      </w:r>
      <w:r w:rsidR="00E711C5" w:rsidRPr="00DF0502">
        <w:rPr>
          <w:rFonts w:ascii="Arial" w:eastAsia="Times New Roman" w:hAnsi="Arial" w:cs="Arial"/>
          <w:lang w:val="es-ES_tradnl"/>
        </w:rPr>
        <w:t xml:space="preserve">a 3 </w:t>
      </w:r>
      <w:r w:rsidRPr="00DF0502">
        <w:rPr>
          <w:rFonts w:ascii="Arial" w:eastAsia="Times New Roman" w:hAnsi="Arial" w:cs="Arial"/>
          <w:lang w:val="es-ES_tradnl"/>
        </w:rPr>
        <w:t xml:space="preserve">se </w:t>
      </w:r>
      <w:r w:rsidR="005B1879" w:rsidRPr="00DF0502">
        <w:rPr>
          <w:rFonts w:ascii="Arial" w:eastAsia="Times New Roman" w:hAnsi="Arial" w:cs="Arial"/>
          <w:lang w:val="es-ES_tradnl"/>
        </w:rPr>
        <w:t>presentan los indicadores de resultado del programa por cada uno de los tres componentes.</w:t>
      </w:r>
      <w:r w:rsidR="002434FC" w:rsidRPr="00DF0502">
        <w:rPr>
          <w:rFonts w:ascii="Arial" w:eastAsia="Times New Roman" w:hAnsi="Arial" w:cs="Arial"/>
          <w:lang w:val="es-ES_tradnl"/>
        </w:rPr>
        <w:t xml:space="preserve"> Para monetizar los beneficios del programa</w:t>
      </w:r>
      <w:r w:rsidR="005B1879" w:rsidRPr="00DF0502">
        <w:rPr>
          <w:rFonts w:ascii="Arial" w:eastAsia="Times New Roman" w:hAnsi="Arial" w:cs="Arial"/>
          <w:lang w:val="es-ES_tradnl"/>
        </w:rPr>
        <w:t xml:space="preserve">, se utiliza el dato del PIB reportado por el Banco Mundial de </w:t>
      </w:r>
      <w:r w:rsidR="005B1879" w:rsidRPr="00DF0502">
        <w:rPr>
          <w:rFonts w:ascii="Arial" w:hAnsi="Arial" w:cs="Arial"/>
          <w:lang w:val="es-ES_tradnl"/>
        </w:rPr>
        <w:t>21.517.000.000 dólares corrientes de 2016, y un crecimiento del PIB de 3.5% en 2017.</w:t>
      </w:r>
      <w:r w:rsidR="00DF1F1A" w:rsidRPr="00DF0502">
        <w:rPr>
          <w:rFonts w:ascii="Arial" w:hAnsi="Arial" w:cs="Arial"/>
          <w:lang w:val="es-ES_tradnl"/>
        </w:rPr>
        <w:t xml:space="preserve"> </w:t>
      </w:r>
      <w:r w:rsidR="00DF1F1A" w:rsidRPr="00DF0502">
        <w:rPr>
          <w:rFonts w:ascii="Arial" w:eastAsia="Times New Roman" w:hAnsi="Arial" w:cs="Arial"/>
          <w:lang w:val="es-ES"/>
        </w:rPr>
        <w:t>S</w:t>
      </w:r>
      <w:r w:rsidR="00DF1F1A" w:rsidRPr="00DF0502">
        <w:rPr>
          <w:rFonts w:ascii="Arial" w:eastAsia="Times New Roman" w:hAnsi="Arial" w:cs="Arial"/>
          <w:lang w:val="es-ES_tradnl"/>
        </w:rPr>
        <w:t xml:space="preserve">e supuso también </w:t>
      </w:r>
      <w:r w:rsidR="00DF1F1A" w:rsidRPr="00DF0502">
        <w:rPr>
          <w:rFonts w:ascii="Arial" w:eastAsia="Times New Roman" w:hAnsi="Arial" w:cs="Arial"/>
          <w:lang w:val="es-ES_tradnl"/>
        </w:rPr>
        <w:lastRenderedPageBreak/>
        <w:t>que el tipo de cambio nominal se mantiene c</w:t>
      </w:r>
      <w:r w:rsidR="00DF0502">
        <w:rPr>
          <w:rFonts w:ascii="Arial" w:eastAsia="Times New Roman" w:hAnsi="Arial" w:cs="Arial"/>
          <w:lang w:val="es-ES_tradnl"/>
        </w:rPr>
        <w:t>onstante en el valor actual (23.</w:t>
      </w:r>
      <w:r w:rsidR="00DF1F1A" w:rsidRPr="00DF0502">
        <w:rPr>
          <w:rFonts w:ascii="Arial" w:eastAsia="Times New Roman" w:hAnsi="Arial" w:cs="Arial"/>
          <w:lang w:val="es-ES_tradnl"/>
        </w:rPr>
        <w:t>6346</w:t>
      </w:r>
      <w:r w:rsidR="00DF0502">
        <w:rPr>
          <w:rFonts w:ascii="Arial" w:eastAsia="Times New Roman" w:hAnsi="Arial" w:cs="Arial"/>
          <w:lang w:val="es-ES_tradnl"/>
        </w:rPr>
        <w:t xml:space="preserve"> Lempiras por dólar). </w:t>
      </w:r>
      <w:r w:rsidR="00DF1F1A" w:rsidRPr="00DF0502">
        <w:rPr>
          <w:rFonts w:ascii="Arial" w:eastAsia="Times New Roman" w:hAnsi="Arial" w:cs="Arial"/>
          <w:lang w:val="es-ES_tradnl"/>
        </w:rPr>
        <w:t>Finalmente, la tasa de descuento que se utiliza para calcular los valores presentes es de 12%, que es la tasa empleada por el Banco.</w:t>
      </w:r>
    </w:p>
    <w:p w14:paraId="48AD61F9" w14:textId="77777777" w:rsidR="00A340FA" w:rsidRPr="00DF0502" w:rsidRDefault="00A340FA" w:rsidP="00DF0502">
      <w:pPr>
        <w:spacing w:after="0" w:line="240" w:lineRule="auto"/>
        <w:jc w:val="both"/>
        <w:rPr>
          <w:rFonts w:ascii="Arial" w:eastAsia="Times New Roman" w:hAnsi="Arial" w:cs="Arial"/>
          <w:lang w:val="es-ES_tradnl"/>
        </w:rPr>
      </w:pPr>
    </w:p>
    <w:p w14:paraId="3E94742F" w14:textId="77777777" w:rsidR="00EC433C" w:rsidRDefault="00716988" w:rsidP="00DF0502">
      <w:pPr>
        <w:numPr>
          <w:ilvl w:val="0"/>
          <w:numId w:val="1"/>
        </w:numPr>
        <w:spacing w:after="0" w:line="240" w:lineRule="auto"/>
        <w:ind w:left="567" w:hanging="567"/>
        <w:jc w:val="both"/>
        <w:rPr>
          <w:rFonts w:ascii="Arial" w:hAnsi="Arial" w:cs="Arial"/>
          <w:b/>
          <w:lang w:val="es-ES"/>
        </w:rPr>
      </w:pPr>
      <w:r w:rsidRPr="00DF0502">
        <w:rPr>
          <w:rFonts w:ascii="Arial" w:hAnsi="Arial" w:cs="Arial"/>
          <w:b/>
          <w:lang w:val="es-ES"/>
        </w:rPr>
        <w:t>Estimaciones</w:t>
      </w:r>
    </w:p>
    <w:p w14:paraId="603A0A09" w14:textId="77777777" w:rsidR="00DF0502" w:rsidRPr="00DF0502" w:rsidRDefault="00DF0502" w:rsidP="00DF0502">
      <w:pPr>
        <w:spacing w:after="0" w:line="240" w:lineRule="auto"/>
        <w:ind w:left="567"/>
        <w:jc w:val="both"/>
        <w:rPr>
          <w:rFonts w:ascii="Arial" w:hAnsi="Arial" w:cs="Arial"/>
          <w:b/>
          <w:lang w:val="es-ES"/>
        </w:rPr>
      </w:pPr>
    </w:p>
    <w:p w14:paraId="2D9FE8BE" w14:textId="77777777" w:rsidR="000C485E" w:rsidRPr="00DF0502" w:rsidRDefault="000C485E" w:rsidP="00DF0502">
      <w:pPr>
        <w:pStyle w:val="Paragraph"/>
        <w:numPr>
          <w:ilvl w:val="1"/>
          <w:numId w:val="1"/>
        </w:numPr>
        <w:spacing w:before="0" w:after="0"/>
        <w:rPr>
          <w:rFonts w:ascii="Arial" w:eastAsia="Calibri" w:hAnsi="Arial" w:cs="Arial"/>
          <w:sz w:val="22"/>
          <w:szCs w:val="22"/>
        </w:rPr>
      </w:pPr>
      <w:r w:rsidRPr="00DF0502">
        <w:rPr>
          <w:rFonts w:ascii="Arial" w:hAnsi="Arial" w:cs="Arial"/>
          <w:sz w:val="22"/>
          <w:szCs w:val="22"/>
        </w:rPr>
        <w:t xml:space="preserve">En esta sección se presentan las estimaciones de costos y beneficios para cada uno de los componentes del programa. </w:t>
      </w:r>
      <w:r w:rsidRPr="00DF0502">
        <w:rPr>
          <w:rFonts w:ascii="Arial" w:hAnsi="Arial" w:cs="Arial"/>
          <w:sz w:val="22"/>
          <w:szCs w:val="22"/>
          <w:lang w:val="es-PE"/>
        </w:rPr>
        <w:t>Se prevé que el Proyecto empieza en 2018</w:t>
      </w:r>
      <w:r w:rsidR="00DF0502">
        <w:rPr>
          <w:rFonts w:ascii="Arial" w:hAnsi="Arial" w:cs="Arial"/>
          <w:sz w:val="22"/>
          <w:szCs w:val="22"/>
          <w:lang w:val="es-PE"/>
        </w:rPr>
        <w:t> </w:t>
      </w:r>
      <w:r w:rsidRPr="00DF0502">
        <w:rPr>
          <w:rFonts w:ascii="Arial" w:hAnsi="Arial" w:cs="Arial"/>
          <w:sz w:val="22"/>
          <w:szCs w:val="22"/>
          <w:lang w:val="es-PE"/>
        </w:rPr>
        <w:t xml:space="preserve">(año 1), y se considera un horizonte de 20 años (hasta 2037). La inversión se realiza durante los primeros cinco años (2018-2022) según el cronograma definido en el Plan Financiero del Proyecto. Se supone además que los beneficios del Proyecto empiezan a materializarse desde el </w:t>
      </w:r>
      <w:r w:rsidR="00642D5F" w:rsidRPr="00DF0502">
        <w:rPr>
          <w:rFonts w:ascii="Arial" w:hAnsi="Arial" w:cs="Arial"/>
          <w:sz w:val="22"/>
          <w:szCs w:val="22"/>
          <w:lang w:val="es-PE"/>
        </w:rPr>
        <w:t>cuarto</w:t>
      </w:r>
      <w:r w:rsidRPr="00DF0502">
        <w:rPr>
          <w:rFonts w:ascii="Arial" w:hAnsi="Arial" w:cs="Arial"/>
          <w:sz w:val="22"/>
          <w:szCs w:val="22"/>
          <w:lang w:val="es-PE"/>
        </w:rPr>
        <w:t xml:space="preserve"> año de implantado el mismo.</w:t>
      </w:r>
    </w:p>
    <w:p w14:paraId="6AB082F5" w14:textId="77777777" w:rsidR="00A340FA" w:rsidRPr="00DF0502" w:rsidRDefault="00A340FA" w:rsidP="00DF0502">
      <w:pPr>
        <w:pStyle w:val="Paragraph"/>
        <w:numPr>
          <w:ilvl w:val="0"/>
          <w:numId w:val="0"/>
        </w:numPr>
        <w:spacing w:before="0" w:after="0"/>
        <w:ind w:left="567"/>
        <w:rPr>
          <w:rFonts w:ascii="Arial" w:eastAsia="Calibri" w:hAnsi="Arial" w:cs="Arial"/>
          <w:sz w:val="22"/>
          <w:szCs w:val="22"/>
        </w:rPr>
      </w:pPr>
    </w:p>
    <w:p w14:paraId="109CEB37" w14:textId="77777777" w:rsidR="00044248" w:rsidRDefault="00044248" w:rsidP="00DF0502">
      <w:pPr>
        <w:pStyle w:val="Paragraph"/>
        <w:numPr>
          <w:ilvl w:val="0"/>
          <w:numId w:val="0"/>
        </w:numPr>
        <w:spacing w:before="0" w:after="0"/>
        <w:ind w:left="567"/>
        <w:rPr>
          <w:rFonts w:ascii="Arial" w:hAnsi="Arial" w:cs="Arial"/>
          <w:b/>
          <w:sz w:val="22"/>
          <w:szCs w:val="22"/>
          <w:u w:val="single"/>
          <w:lang w:val="es-PE"/>
        </w:rPr>
      </w:pPr>
      <w:r w:rsidRPr="00DF0502">
        <w:rPr>
          <w:rFonts w:ascii="Arial" w:hAnsi="Arial" w:cs="Arial"/>
          <w:b/>
          <w:sz w:val="22"/>
          <w:szCs w:val="22"/>
          <w:u w:val="single"/>
          <w:lang w:val="es-PE"/>
        </w:rPr>
        <w:t>COMPONENTE I</w:t>
      </w:r>
    </w:p>
    <w:p w14:paraId="6EF85A45" w14:textId="77777777" w:rsidR="00DF0502" w:rsidRPr="00DF0502" w:rsidRDefault="00DF0502" w:rsidP="00DF0502">
      <w:pPr>
        <w:pStyle w:val="Paragraph"/>
        <w:numPr>
          <w:ilvl w:val="0"/>
          <w:numId w:val="0"/>
        </w:numPr>
        <w:spacing w:before="0" w:after="0"/>
        <w:ind w:left="567"/>
        <w:rPr>
          <w:rFonts w:ascii="Arial" w:eastAsia="Calibri" w:hAnsi="Arial" w:cs="Arial"/>
          <w:b/>
          <w:sz w:val="22"/>
          <w:szCs w:val="22"/>
          <w:u w:val="single"/>
        </w:rPr>
      </w:pPr>
    </w:p>
    <w:p w14:paraId="48ABF93C" w14:textId="77777777" w:rsidR="00EC433C" w:rsidRDefault="00EC433C" w:rsidP="00DF0502">
      <w:pPr>
        <w:pStyle w:val="Paragraph"/>
        <w:numPr>
          <w:ilvl w:val="1"/>
          <w:numId w:val="1"/>
        </w:numPr>
        <w:spacing w:before="0" w:after="0"/>
        <w:rPr>
          <w:rFonts w:ascii="Arial" w:eastAsia="Calibri" w:hAnsi="Arial" w:cs="Arial"/>
          <w:sz w:val="22"/>
          <w:szCs w:val="22"/>
        </w:rPr>
      </w:pPr>
      <w:r w:rsidRPr="00DF0502">
        <w:rPr>
          <w:rFonts w:ascii="Arial" w:eastAsia="Calibri" w:hAnsi="Arial" w:cs="Arial"/>
          <w:b/>
          <w:sz w:val="22"/>
          <w:szCs w:val="22"/>
        </w:rPr>
        <w:t>Componente 1. Mejoramiento del hábitat de barrios urbanos vulnerables</w:t>
      </w:r>
      <w:r w:rsidRPr="00DF0502">
        <w:rPr>
          <w:rFonts w:ascii="Arial" w:eastAsia="Calibri" w:hAnsi="Arial" w:cs="Arial"/>
          <w:b/>
          <w:sz w:val="22"/>
          <w:szCs w:val="22"/>
          <w:vertAlign w:val="superscript"/>
        </w:rPr>
        <w:footnoteReference w:id="2"/>
      </w:r>
      <w:r w:rsidR="00033E27" w:rsidRPr="00DF0502">
        <w:rPr>
          <w:rFonts w:ascii="Arial" w:eastAsia="Calibri" w:hAnsi="Arial" w:cs="Arial"/>
          <w:b/>
          <w:sz w:val="22"/>
          <w:szCs w:val="22"/>
        </w:rPr>
        <w:t> (US$</w:t>
      </w:r>
      <w:r w:rsidR="00A405B9" w:rsidRPr="00DF0502">
        <w:rPr>
          <w:rFonts w:ascii="Arial" w:eastAsia="Calibri" w:hAnsi="Arial" w:cs="Arial"/>
          <w:b/>
          <w:sz w:val="22"/>
          <w:szCs w:val="22"/>
        </w:rPr>
        <w:t xml:space="preserve"> </w:t>
      </w:r>
      <w:r w:rsidR="00C8789E" w:rsidRPr="00DF0502">
        <w:rPr>
          <w:rFonts w:ascii="Arial" w:eastAsia="Calibri" w:hAnsi="Arial" w:cs="Arial"/>
          <w:b/>
          <w:sz w:val="22"/>
          <w:szCs w:val="22"/>
        </w:rPr>
        <w:t>18.219.</w:t>
      </w:r>
      <w:r w:rsidR="00033E27" w:rsidRPr="00DF0502">
        <w:rPr>
          <w:rFonts w:ascii="Arial" w:eastAsia="Calibri" w:hAnsi="Arial" w:cs="Arial"/>
          <w:b/>
          <w:sz w:val="22"/>
          <w:szCs w:val="22"/>
        </w:rPr>
        <w:t>000</w:t>
      </w:r>
      <w:r w:rsidRPr="00DF0502">
        <w:rPr>
          <w:rFonts w:ascii="Arial" w:eastAsia="Calibri" w:hAnsi="Arial" w:cs="Arial"/>
          <w:b/>
          <w:sz w:val="22"/>
          <w:szCs w:val="22"/>
        </w:rPr>
        <w:t>)</w:t>
      </w:r>
      <w:r w:rsidRPr="00DF0502">
        <w:rPr>
          <w:rFonts w:ascii="Arial" w:eastAsia="Calibri" w:hAnsi="Arial" w:cs="Arial"/>
          <w:sz w:val="22"/>
          <w:szCs w:val="22"/>
        </w:rPr>
        <w:t>. El propósito de este componente es mejorar el acceso a servicios de infraestructura urbana y generar espacios con condiciones de seguridad, para incentivar una mejor convivencia y aumentar la capacidad de los ciudadanos para el cumplimiento pacífico de normas. Este componente contempla el financiamiento de las actividades en dos áreas:</w:t>
      </w:r>
    </w:p>
    <w:p w14:paraId="0885497E" w14:textId="77777777" w:rsidR="00DF0502" w:rsidRPr="00DF0502" w:rsidRDefault="00DF0502" w:rsidP="00DF0502">
      <w:pPr>
        <w:pStyle w:val="Paragraph"/>
        <w:numPr>
          <w:ilvl w:val="0"/>
          <w:numId w:val="0"/>
        </w:numPr>
        <w:spacing w:before="0" w:after="0"/>
        <w:ind w:left="567"/>
        <w:rPr>
          <w:rFonts w:ascii="Arial" w:eastAsia="Calibri" w:hAnsi="Arial" w:cs="Arial"/>
          <w:sz w:val="22"/>
          <w:szCs w:val="22"/>
        </w:rPr>
      </w:pPr>
    </w:p>
    <w:p w14:paraId="7C612051" w14:textId="77777777" w:rsidR="007C3A06" w:rsidRPr="0096772D" w:rsidRDefault="00EC433C" w:rsidP="007C3A06">
      <w:pPr>
        <w:pStyle w:val="subpar"/>
        <w:numPr>
          <w:ilvl w:val="2"/>
          <w:numId w:val="4"/>
        </w:numPr>
        <w:tabs>
          <w:tab w:val="clear" w:pos="2304"/>
          <w:tab w:val="num" w:pos="1152"/>
          <w:tab w:val="num" w:pos="5544"/>
        </w:tabs>
        <w:ind w:left="1152"/>
      </w:pPr>
      <w:r w:rsidRPr="007C3A06">
        <w:rPr>
          <w:rFonts w:ascii="Arial" w:eastAsia="Calibri" w:hAnsi="Arial" w:cs="Arial"/>
          <w:b/>
          <w:sz w:val="22"/>
          <w:szCs w:val="22"/>
          <w:lang w:val="es-ES"/>
        </w:rPr>
        <w:t>Infraestructura básica:</w:t>
      </w:r>
      <w:r w:rsidRPr="007C3A06">
        <w:rPr>
          <w:rFonts w:ascii="Arial" w:eastAsia="Calibri" w:hAnsi="Arial" w:cs="Arial"/>
          <w:sz w:val="22"/>
          <w:szCs w:val="22"/>
          <w:lang w:val="es-ES"/>
        </w:rPr>
        <w:t xml:space="preserve"> </w:t>
      </w:r>
      <w:r w:rsidR="007C3A06" w:rsidRPr="009B37D5">
        <w:rPr>
          <w:rFonts w:ascii="Arial" w:hAnsi="Arial" w:cs="Arial"/>
          <w:sz w:val="22"/>
          <w:szCs w:val="22"/>
        </w:rPr>
        <w:t>busca mejorar la</w:t>
      </w:r>
      <w:r w:rsidR="007C3A06" w:rsidRPr="0096772D">
        <w:t xml:space="preserve"> </w:t>
      </w:r>
      <w:r w:rsidR="007C3A06" w:rsidRPr="009B37D5">
        <w:rPr>
          <w:rFonts w:ascii="Arial" w:hAnsi="Arial" w:cs="Arial"/>
          <w:sz w:val="22"/>
          <w:szCs w:val="22"/>
        </w:rPr>
        <w:t xml:space="preserve">infraestructura urbana básica, social y ambiental de los barrios </w:t>
      </w:r>
      <w:r w:rsidR="007C3A06">
        <w:rPr>
          <w:rFonts w:ascii="Arial" w:hAnsi="Arial" w:cs="Arial"/>
          <w:sz w:val="22"/>
          <w:szCs w:val="22"/>
        </w:rPr>
        <w:t>vulnerables</w:t>
      </w:r>
      <w:r w:rsidR="007C3A06" w:rsidRPr="009B37D5">
        <w:rPr>
          <w:rFonts w:ascii="Arial" w:hAnsi="Arial" w:cs="Arial"/>
          <w:sz w:val="22"/>
          <w:szCs w:val="22"/>
        </w:rPr>
        <w:t xml:space="preserve"> del MDC</w:t>
      </w:r>
      <w:r w:rsidR="007C3A06" w:rsidRPr="009B37D5">
        <w:rPr>
          <w:rFonts w:ascii="Arial" w:hAnsi="Arial" w:cs="Arial"/>
          <w:sz w:val="22"/>
          <w:szCs w:val="22"/>
          <w:vertAlign w:val="superscript"/>
          <w:lang w:val="es-ES"/>
        </w:rPr>
        <w:footnoteReference w:id="3"/>
      </w:r>
      <w:r w:rsidR="007C3A06">
        <w:rPr>
          <w:rFonts w:ascii="Arial" w:hAnsi="Arial" w:cs="Arial"/>
          <w:sz w:val="22"/>
          <w:szCs w:val="22"/>
        </w:rPr>
        <w:t xml:space="preserve"> (ver ¶</w:t>
      </w:r>
      <w:r w:rsidR="007C3A06">
        <w:rPr>
          <w:rFonts w:ascii="Arial" w:hAnsi="Arial" w:cs="Arial"/>
          <w:sz w:val="22"/>
          <w:szCs w:val="22"/>
        </w:rPr>
        <w:fldChar w:fldCharType="begin"/>
      </w:r>
      <w:r w:rsidR="007C3A06">
        <w:rPr>
          <w:rFonts w:ascii="Arial" w:hAnsi="Arial" w:cs="Arial"/>
          <w:sz w:val="22"/>
          <w:szCs w:val="22"/>
        </w:rPr>
        <w:instrText xml:space="preserve"> REF _Ref507163034 \r \h </w:instrText>
      </w:r>
      <w:r w:rsidR="007C3A06">
        <w:rPr>
          <w:rFonts w:ascii="Arial" w:hAnsi="Arial" w:cs="Arial"/>
          <w:sz w:val="22"/>
          <w:szCs w:val="22"/>
        </w:rPr>
      </w:r>
      <w:r w:rsidR="007C3A06">
        <w:rPr>
          <w:rFonts w:ascii="Arial" w:hAnsi="Arial" w:cs="Arial"/>
          <w:sz w:val="22"/>
          <w:szCs w:val="22"/>
        </w:rPr>
        <w:fldChar w:fldCharType="separate"/>
      </w:r>
      <w:r w:rsidR="007C3A06">
        <w:rPr>
          <w:rFonts w:ascii="Arial" w:hAnsi="Arial" w:cs="Arial"/>
          <w:sz w:val="22"/>
          <w:szCs w:val="22"/>
        </w:rPr>
        <w:t>1.9</w:t>
      </w:r>
      <w:r w:rsidR="007C3A06">
        <w:rPr>
          <w:rFonts w:ascii="Arial" w:hAnsi="Arial" w:cs="Arial"/>
          <w:sz w:val="22"/>
          <w:szCs w:val="22"/>
        </w:rPr>
        <w:fldChar w:fldCharType="end"/>
      </w:r>
      <w:r w:rsidR="007C3A06">
        <w:rPr>
          <w:rFonts w:ascii="Arial" w:hAnsi="Arial" w:cs="Arial"/>
          <w:sz w:val="22"/>
          <w:szCs w:val="22"/>
        </w:rPr>
        <w:t>)</w:t>
      </w:r>
      <w:r w:rsidR="007C3A06" w:rsidRPr="009B37D5">
        <w:rPr>
          <w:rFonts w:ascii="Arial" w:hAnsi="Arial" w:cs="Arial"/>
          <w:sz w:val="22"/>
          <w:szCs w:val="22"/>
        </w:rPr>
        <w:t>, teniendo como marco el Plan Integral de Mejoramiento de Barrios</w:t>
      </w:r>
      <w:r w:rsidR="007C3A06">
        <w:rPr>
          <w:rFonts w:ascii="Arial" w:hAnsi="Arial" w:cs="Arial"/>
          <w:sz w:val="22"/>
          <w:szCs w:val="22"/>
        </w:rPr>
        <w:t xml:space="preserve"> </w:t>
      </w:r>
      <w:r w:rsidR="007C3A06" w:rsidRPr="00534054">
        <w:rPr>
          <w:rFonts w:ascii="Arial" w:hAnsi="Arial" w:cs="Arial"/>
          <w:sz w:val="22"/>
          <w:szCs w:val="22"/>
        </w:rPr>
        <w:t>(PIMB)</w:t>
      </w:r>
      <w:r w:rsidR="007C3A06" w:rsidRPr="009B37D5">
        <w:rPr>
          <w:rFonts w:ascii="Arial" w:hAnsi="Arial" w:cs="Arial"/>
          <w:sz w:val="22"/>
          <w:szCs w:val="22"/>
        </w:rPr>
        <w:t xml:space="preserve">, </w:t>
      </w:r>
      <w:r w:rsidR="007C3A06">
        <w:rPr>
          <w:rFonts w:ascii="Arial" w:hAnsi="Arial" w:cs="Arial"/>
          <w:sz w:val="22"/>
          <w:szCs w:val="22"/>
        </w:rPr>
        <w:t>que</w:t>
      </w:r>
      <w:r w:rsidR="007C3A06" w:rsidRPr="009B37D5">
        <w:rPr>
          <w:rFonts w:ascii="Arial" w:hAnsi="Arial" w:cs="Arial"/>
          <w:sz w:val="22"/>
          <w:szCs w:val="22"/>
        </w:rPr>
        <w:t xml:space="preserve"> incluye los diseños urbanísticos, de ingeniería, la programación y presupuestos</w:t>
      </w:r>
      <w:r w:rsidR="007C3A06" w:rsidRPr="0096772D">
        <w:rPr>
          <w:rStyle w:val="FootnoteReference"/>
          <w:rFonts w:ascii="Arial" w:hAnsi="Arial" w:cs="Arial"/>
        </w:rPr>
        <w:footnoteReference w:id="4"/>
      </w:r>
      <w:r w:rsidR="007C3A06" w:rsidRPr="009B37D5">
        <w:rPr>
          <w:rFonts w:ascii="Arial" w:hAnsi="Arial" w:cs="Arial"/>
          <w:sz w:val="22"/>
          <w:szCs w:val="22"/>
        </w:rPr>
        <w:t xml:space="preserve">. Se financiará: (i) asistencia técnica para preparación de </w:t>
      </w:r>
      <w:r w:rsidR="007C3A06">
        <w:rPr>
          <w:rFonts w:ascii="Arial" w:hAnsi="Arial" w:cs="Arial"/>
          <w:sz w:val="22"/>
          <w:szCs w:val="22"/>
        </w:rPr>
        <w:t>PIMB</w:t>
      </w:r>
      <w:r w:rsidR="007C3A06" w:rsidRPr="009B37D5">
        <w:rPr>
          <w:rFonts w:ascii="Arial" w:hAnsi="Arial" w:cs="Arial"/>
          <w:sz w:val="22"/>
          <w:szCs w:val="22"/>
        </w:rPr>
        <w:t xml:space="preserve">; y (ii) inversiones en obras de infraestructura </w:t>
      </w:r>
      <w:r w:rsidR="007C3A06" w:rsidRPr="009B37D5">
        <w:rPr>
          <w:rFonts w:ascii="Arial" w:hAnsi="Arial" w:cs="Arial"/>
          <w:color w:val="000000"/>
          <w:sz w:val="22"/>
          <w:szCs w:val="22"/>
          <w:lang w:val="es-HN"/>
        </w:rPr>
        <w:t xml:space="preserve">básica </w:t>
      </w:r>
      <w:r w:rsidR="007C3A06">
        <w:rPr>
          <w:rFonts w:ascii="Arial" w:hAnsi="Arial" w:cs="Arial"/>
          <w:color w:val="000000"/>
          <w:sz w:val="22"/>
          <w:szCs w:val="22"/>
          <w:lang w:val="es-HN"/>
        </w:rPr>
        <w:t xml:space="preserve">basado en </w:t>
      </w:r>
      <w:r w:rsidR="007C3A06" w:rsidRPr="009B37D5">
        <w:rPr>
          <w:rFonts w:ascii="Arial" w:hAnsi="Arial" w:cs="Arial"/>
          <w:iCs/>
          <w:color w:val="000000"/>
          <w:sz w:val="22"/>
          <w:szCs w:val="22"/>
          <w:lang w:val="es-HN"/>
        </w:rPr>
        <w:t>PIMB</w:t>
      </w:r>
      <w:r w:rsidR="007C3A06" w:rsidRPr="009B37D5">
        <w:rPr>
          <w:rFonts w:ascii="Arial" w:hAnsi="Arial" w:cs="Arial"/>
          <w:color w:val="000000"/>
          <w:sz w:val="22"/>
          <w:szCs w:val="22"/>
          <w:lang w:val="es-HN"/>
        </w:rPr>
        <w:t>, construcción</w:t>
      </w:r>
      <w:r w:rsidR="007C3A06" w:rsidRPr="0096772D">
        <w:rPr>
          <w:color w:val="000000"/>
          <w:lang w:val="es-HN"/>
        </w:rPr>
        <w:t xml:space="preserve"> </w:t>
      </w:r>
      <w:r w:rsidR="007C3A06" w:rsidRPr="009B37D5">
        <w:rPr>
          <w:rFonts w:ascii="Arial" w:hAnsi="Arial" w:cs="Arial"/>
          <w:color w:val="000000"/>
          <w:sz w:val="22"/>
          <w:szCs w:val="22"/>
          <w:lang w:val="es-HN"/>
        </w:rPr>
        <w:t>de sistemas de agua y saneamiento, alumbrado público</w:t>
      </w:r>
      <w:r w:rsidR="007C3A06" w:rsidRPr="009B37D5">
        <w:rPr>
          <w:rFonts w:ascii="Arial" w:hAnsi="Arial" w:cs="Arial"/>
          <w:color w:val="000000"/>
          <w:sz w:val="22"/>
          <w:szCs w:val="22"/>
          <w:vertAlign w:val="superscript"/>
          <w:lang w:val="es-HN"/>
        </w:rPr>
        <w:footnoteReference w:id="5"/>
      </w:r>
      <w:r w:rsidR="007C3A06" w:rsidRPr="0096772D">
        <w:rPr>
          <w:rFonts w:ascii="Arial" w:hAnsi="Arial" w:cs="Arial"/>
          <w:color w:val="000000"/>
          <w:sz w:val="22"/>
          <w:szCs w:val="22"/>
          <w:lang w:val="es-HN"/>
        </w:rPr>
        <w:t xml:space="preserve"> y</w:t>
      </w:r>
      <w:r w:rsidR="007C3A06" w:rsidRPr="009B37D5">
        <w:rPr>
          <w:rFonts w:ascii="Arial" w:hAnsi="Arial" w:cs="Arial"/>
          <w:color w:val="000000"/>
          <w:sz w:val="22"/>
          <w:szCs w:val="22"/>
          <w:lang w:val="es-HN"/>
        </w:rPr>
        <w:t xml:space="preserve"> mejoramiento vial</w:t>
      </w:r>
      <w:r w:rsidR="007C3A06" w:rsidRPr="009B37D5">
        <w:rPr>
          <w:rFonts w:ascii="Arial" w:hAnsi="Arial" w:cs="Arial"/>
          <w:color w:val="000000"/>
          <w:sz w:val="22"/>
          <w:szCs w:val="22"/>
          <w:vertAlign w:val="superscript"/>
          <w:lang w:val="es-HN"/>
        </w:rPr>
        <w:footnoteReference w:id="6"/>
      </w:r>
      <w:r w:rsidR="007C3A06" w:rsidRPr="0096772D">
        <w:rPr>
          <w:rFonts w:ascii="Arial" w:hAnsi="Arial" w:cs="Arial"/>
          <w:color w:val="000000"/>
          <w:sz w:val="22"/>
          <w:szCs w:val="22"/>
          <w:lang w:val="es-HN"/>
        </w:rPr>
        <w:t xml:space="preserve">. El diseño de estas </w:t>
      </w:r>
      <w:r w:rsidR="007C3A06" w:rsidRPr="009B37D5">
        <w:rPr>
          <w:rFonts w:ascii="Arial" w:hAnsi="Arial" w:cs="Arial"/>
          <w:color w:val="000000"/>
          <w:sz w:val="22"/>
          <w:szCs w:val="22"/>
          <w:lang w:val="es-HN"/>
        </w:rPr>
        <w:t xml:space="preserve">obras </w:t>
      </w:r>
      <w:r w:rsidR="007C3A06" w:rsidRPr="0096772D">
        <w:rPr>
          <w:rFonts w:ascii="Arial" w:hAnsi="Arial" w:cs="Arial"/>
          <w:color w:val="000000"/>
          <w:sz w:val="22"/>
          <w:szCs w:val="22"/>
          <w:lang w:val="es-HN"/>
        </w:rPr>
        <w:t xml:space="preserve">incluye elementos de eficiencia energética y </w:t>
      </w:r>
      <w:r w:rsidR="007C3A06" w:rsidRPr="009B37D5">
        <w:rPr>
          <w:rFonts w:ascii="Arial" w:hAnsi="Arial" w:cs="Arial"/>
          <w:color w:val="000000"/>
          <w:sz w:val="22"/>
          <w:szCs w:val="22"/>
          <w:lang w:val="es-HN"/>
        </w:rPr>
        <w:t>mitigación de riesgos</w:t>
      </w:r>
      <w:r w:rsidR="007C3A06" w:rsidRPr="0096772D">
        <w:rPr>
          <w:rFonts w:ascii="Arial" w:hAnsi="Arial" w:cs="Arial"/>
          <w:color w:val="000000"/>
          <w:sz w:val="22"/>
          <w:szCs w:val="22"/>
          <w:lang w:val="es-HN"/>
        </w:rPr>
        <w:t xml:space="preserve"> frente a la</w:t>
      </w:r>
      <w:r w:rsidR="007C3A06">
        <w:rPr>
          <w:rFonts w:ascii="Arial" w:hAnsi="Arial" w:cs="Arial"/>
          <w:color w:val="000000"/>
          <w:sz w:val="22"/>
          <w:szCs w:val="22"/>
          <w:lang w:val="es-HN"/>
        </w:rPr>
        <w:t>s</w:t>
      </w:r>
      <w:r w:rsidR="007C3A06" w:rsidRPr="0096772D">
        <w:rPr>
          <w:rFonts w:ascii="Arial" w:hAnsi="Arial" w:cs="Arial"/>
          <w:color w:val="000000"/>
          <w:sz w:val="22"/>
          <w:szCs w:val="22"/>
          <w:lang w:val="es-HN"/>
        </w:rPr>
        <w:t xml:space="preserve"> vulnerabilidades ambientales</w:t>
      </w:r>
      <w:r w:rsidR="007C3A06" w:rsidRPr="009B37D5">
        <w:rPr>
          <w:rFonts w:ascii="Arial" w:hAnsi="Arial" w:cs="Arial"/>
          <w:sz w:val="22"/>
          <w:szCs w:val="22"/>
        </w:rPr>
        <w:t>.</w:t>
      </w:r>
    </w:p>
    <w:p w14:paraId="3521B073" w14:textId="6449C7D0" w:rsidR="007C3A06" w:rsidRPr="007C3A06" w:rsidRDefault="007C3A06" w:rsidP="008233B5">
      <w:pPr>
        <w:pStyle w:val="subpar"/>
        <w:numPr>
          <w:ilvl w:val="0"/>
          <w:numId w:val="0"/>
        </w:numPr>
        <w:spacing w:before="0" w:after="0"/>
        <w:ind w:left="1080"/>
        <w:rPr>
          <w:rFonts w:ascii="Arial" w:eastAsia="Calibri" w:hAnsi="Arial" w:cs="Arial"/>
          <w:sz w:val="22"/>
          <w:szCs w:val="22"/>
          <w:lang w:val="es-ES"/>
        </w:rPr>
      </w:pPr>
    </w:p>
    <w:p w14:paraId="687AEA57" w14:textId="77777777" w:rsidR="007C3A06" w:rsidRPr="008233B5" w:rsidRDefault="007C3A06" w:rsidP="007C3A06">
      <w:pPr>
        <w:numPr>
          <w:ilvl w:val="2"/>
          <w:numId w:val="4"/>
        </w:numPr>
        <w:tabs>
          <w:tab w:val="clear" w:pos="2304"/>
          <w:tab w:val="num" w:pos="1152"/>
          <w:tab w:val="num" w:pos="5544"/>
        </w:tabs>
        <w:spacing w:before="120" w:after="120" w:line="240" w:lineRule="auto"/>
        <w:ind w:left="1152"/>
        <w:jc w:val="both"/>
        <w:outlineLvl w:val="2"/>
        <w:rPr>
          <w:lang w:val="es-ES_tradnl"/>
        </w:rPr>
      </w:pPr>
      <w:r w:rsidRPr="008233B5">
        <w:rPr>
          <w:rFonts w:ascii="Arial" w:hAnsi="Arial" w:cs="Arial"/>
          <w:b/>
          <w:lang w:val="es-ES_tradnl"/>
        </w:rPr>
        <w:t>Intervenciones para promover la convivencia ciudadana y emprendimiento a nivel barrial:</w:t>
      </w:r>
      <w:r w:rsidRPr="008233B5">
        <w:rPr>
          <w:rFonts w:ascii="Arial" w:hAnsi="Arial" w:cs="Arial"/>
          <w:lang w:val="es-ES_tradnl"/>
        </w:rPr>
        <w:t xml:space="preserve"> se financiarán intervenciones para apoyar a jóvenes y mujeres en situación de riesgo de los barrios a intervenir para capacitarlos en: (i) cultura</w:t>
      </w:r>
      <w:r w:rsidRPr="003D3238">
        <w:rPr>
          <w:rFonts w:ascii="Arial" w:hAnsi="Arial" w:cs="Arial"/>
          <w:color w:val="000000"/>
          <w:lang w:val="es-HN"/>
        </w:rPr>
        <w:t>, deportes y valores</w:t>
      </w:r>
      <w:r w:rsidRPr="008233B5">
        <w:rPr>
          <w:rFonts w:ascii="Arial" w:hAnsi="Arial" w:cs="Arial"/>
          <w:lang w:val="es-ES_tradnl"/>
        </w:rPr>
        <w:t xml:space="preserve">; y (ii) </w:t>
      </w:r>
      <w:r w:rsidRPr="003D3238">
        <w:rPr>
          <w:rFonts w:ascii="Arial" w:hAnsi="Arial" w:cs="Arial"/>
          <w:color w:val="000000"/>
          <w:lang w:val="es-HN"/>
        </w:rPr>
        <w:t xml:space="preserve">formación laboral </w:t>
      </w:r>
      <w:r>
        <w:rPr>
          <w:rFonts w:ascii="Arial" w:hAnsi="Arial" w:cs="Arial"/>
          <w:color w:val="000000"/>
          <w:lang w:val="es-HN"/>
        </w:rPr>
        <w:t>para</w:t>
      </w:r>
      <w:r w:rsidRPr="003D3238">
        <w:rPr>
          <w:rFonts w:ascii="Arial" w:hAnsi="Arial" w:cs="Arial"/>
          <w:color w:val="000000"/>
          <w:lang w:val="es-HN"/>
        </w:rPr>
        <w:t xml:space="preserve"> emprendimientos productivos que contribuy</w:t>
      </w:r>
      <w:r>
        <w:rPr>
          <w:rFonts w:ascii="Arial" w:hAnsi="Arial" w:cs="Arial"/>
          <w:color w:val="000000"/>
          <w:lang w:val="es-HN"/>
        </w:rPr>
        <w:t>e</w:t>
      </w:r>
      <w:r w:rsidRPr="003D3238">
        <w:rPr>
          <w:rFonts w:ascii="Arial" w:hAnsi="Arial" w:cs="Arial"/>
          <w:color w:val="000000"/>
          <w:lang w:val="es-HN"/>
        </w:rPr>
        <w:t>n a</w:t>
      </w:r>
      <w:r>
        <w:rPr>
          <w:rFonts w:ascii="Arial" w:hAnsi="Arial" w:cs="Arial"/>
          <w:color w:val="000000"/>
          <w:lang w:val="es-HN"/>
        </w:rPr>
        <w:t>l mejoramiento psicosocial y económico de esta población</w:t>
      </w:r>
      <w:r w:rsidRPr="003D3238">
        <w:rPr>
          <w:rFonts w:ascii="Arial" w:hAnsi="Arial" w:cs="Arial"/>
          <w:color w:val="000000"/>
          <w:vertAlign w:val="superscript"/>
          <w:lang w:val="es-HN"/>
        </w:rPr>
        <w:footnoteReference w:id="7"/>
      </w:r>
      <w:r w:rsidRPr="008233B5">
        <w:rPr>
          <w:rFonts w:ascii="Arial" w:hAnsi="Arial" w:cs="Arial"/>
          <w:lang w:val="es-ES_tradnl"/>
        </w:rPr>
        <w:t>.</w:t>
      </w:r>
    </w:p>
    <w:p w14:paraId="2C550BBB" w14:textId="77777777" w:rsidR="00DF0502" w:rsidRPr="00DF0502" w:rsidRDefault="00DF0502" w:rsidP="00DF0502">
      <w:pPr>
        <w:pStyle w:val="subpar"/>
        <w:numPr>
          <w:ilvl w:val="0"/>
          <w:numId w:val="0"/>
        </w:numPr>
        <w:spacing w:before="0" w:after="0"/>
        <w:ind w:left="1080"/>
        <w:rPr>
          <w:rFonts w:ascii="Arial" w:eastAsia="Calibri" w:hAnsi="Arial" w:cs="Arial"/>
          <w:sz w:val="22"/>
          <w:szCs w:val="22"/>
          <w:lang w:val="es-ES"/>
        </w:rPr>
      </w:pPr>
    </w:p>
    <w:p w14:paraId="55AFBDE1" w14:textId="77777777" w:rsidR="00DF0502" w:rsidRDefault="00EC433C" w:rsidP="00DF0502">
      <w:pPr>
        <w:pStyle w:val="Paragraph"/>
        <w:numPr>
          <w:ilvl w:val="0"/>
          <w:numId w:val="0"/>
        </w:numPr>
        <w:spacing w:before="0" w:after="0"/>
        <w:ind w:left="567"/>
        <w:rPr>
          <w:rFonts w:ascii="Arial" w:eastAsia="Calibri" w:hAnsi="Arial" w:cs="Arial"/>
          <w:b/>
          <w:sz w:val="22"/>
          <w:szCs w:val="22"/>
          <w:u w:val="single"/>
        </w:rPr>
      </w:pPr>
      <w:r w:rsidRPr="00DF0502">
        <w:rPr>
          <w:rFonts w:ascii="Arial" w:eastAsia="Calibri" w:hAnsi="Arial" w:cs="Arial"/>
          <w:b/>
          <w:sz w:val="22"/>
          <w:szCs w:val="22"/>
          <w:u w:val="single"/>
        </w:rPr>
        <w:lastRenderedPageBreak/>
        <w:t xml:space="preserve">Beneficios esperados </w:t>
      </w:r>
    </w:p>
    <w:p w14:paraId="52143C60" w14:textId="77777777" w:rsidR="00DF0502" w:rsidRPr="00DF0502" w:rsidRDefault="00DF0502" w:rsidP="00DF0502">
      <w:pPr>
        <w:pStyle w:val="Paragraph"/>
        <w:numPr>
          <w:ilvl w:val="0"/>
          <w:numId w:val="0"/>
        </w:numPr>
        <w:spacing w:before="0" w:after="0"/>
        <w:ind w:left="567"/>
        <w:rPr>
          <w:rFonts w:ascii="Arial" w:eastAsia="Calibri" w:hAnsi="Arial" w:cs="Arial"/>
          <w:b/>
          <w:sz w:val="22"/>
          <w:szCs w:val="22"/>
          <w:u w:val="single"/>
        </w:rPr>
      </w:pPr>
    </w:p>
    <w:p w14:paraId="6D5D0E55" w14:textId="77777777" w:rsidR="00144868" w:rsidRDefault="00144868" w:rsidP="00DF0502">
      <w:pPr>
        <w:pStyle w:val="Caption"/>
        <w:keepNext/>
        <w:spacing w:after="0"/>
        <w:rPr>
          <w:rFonts w:ascii="Arial" w:hAnsi="Arial" w:cs="Arial"/>
          <w:b/>
          <w:i w:val="0"/>
          <w:color w:val="auto"/>
          <w:sz w:val="22"/>
          <w:szCs w:val="22"/>
          <w:lang w:val="es-ES_tradnl"/>
        </w:rPr>
      </w:pPr>
      <w:r w:rsidRPr="00DF0502">
        <w:rPr>
          <w:rFonts w:ascii="Arial" w:hAnsi="Arial" w:cs="Arial"/>
          <w:b/>
          <w:i w:val="0"/>
          <w:color w:val="auto"/>
          <w:sz w:val="22"/>
          <w:szCs w:val="22"/>
          <w:lang w:val="es-ES_tradnl"/>
        </w:rPr>
        <w:t xml:space="preserve">Tabla </w:t>
      </w:r>
      <w:r w:rsidRPr="00DF0502">
        <w:rPr>
          <w:rFonts w:ascii="Arial" w:hAnsi="Arial" w:cs="Arial"/>
          <w:b/>
          <w:i w:val="0"/>
          <w:color w:val="auto"/>
          <w:sz w:val="22"/>
          <w:szCs w:val="22"/>
        </w:rPr>
        <w:fldChar w:fldCharType="begin"/>
      </w:r>
      <w:r w:rsidRPr="00DF0502">
        <w:rPr>
          <w:rFonts w:ascii="Arial" w:hAnsi="Arial" w:cs="Arial"/>
          <w:b/>
          <w:i w:val="0"/>
          <w:color w:val="auto"/>
          <w:sz w:val="22"/>
          <w:szCs w:val="22"/>
          <w:lang w:val="es-ES_tradnl"/>
        </w:rPr>
        <w:instrText xml:space="preserve"> SEQ Tabla \* ARABIC </w:instrText>
      </w:r>
      <w:r w:rsidRPr="00DF0502">
        <w:rPr>
          <w:rFonts w:ascii="Arial" w:hAnsi="Arial" w:cs="Arial"/>
          <w:b/>
          <w:i w:val="0"/>
          <w:color w:val="auto"/>
          <w:sz w:val="22"/>
          <w:szCs w:val="22"/>
        </w:rPr>
        <w:fldChar w:fldCharType="separate"/>
      </w:r>
      <w:r w:rsidRPr="00DF0502">
        <w:rPr>
          <w:rFonts w:ascii="Arial" w:hAnsi="Arial" w:cs="Arial"/>
          <w:b/>
          <w:i w:val="0"/>
          <w:noProof/>
          <w:color w:val="auto"/>
          <w:sz w:val="22"/>
          <w:szCs w:val="22"/>
          <w:lang w:val="es-ES_tradnl"/>
        </w:rPr>
        <w:t>1</w:t>
      </w:r>
      <w:r w:rsidRPr="00DF0502">
        <w:rPr>
          <w:rFonts w:ascii="Arial" w:hAnsi="Arial" w:cs="Arial"/>
          <w:b/>
          <w:i w:val="0"/>
          <w:color w:val="auto"/>
          <w:sz w:val="22"/>
          <w:szCs w:val="22"/>
        </w:rPr>
        <w:fldChar w:fldCharType="end"/>
      </w:r>
      <w:r w:rsidRPr="00DF0502">
        <w:rPr>
          <w:rFonts w:ascii="Arial" w:hAnsi="Arial" w:cs="Arial"/>
          <w:b/>
          <w:i w:val="0"/>
          <w:color w:val="auto"/>
          <w:sz w:val="22"/>
          <w:szCs w:val="22"/>
          <w:lang w:val="es-ES_tradnl"/>
        </w:rPr>
        <w:t>: Matriz de resultados para el Componente 1</w:t>
      </w:r>
    </w:p>
    <w:p w14:paraId="25FBBC74" w14:textId="77777777" w:rsidR="00DF0502" w:rsidRPr="00DF0502" w:rsidRDefault="00DF0502" w:rsidP="00DF0502">
      <w:pPr>
        <w:rPr>
          <w:lang w:val="es-ES_tradnl"/>
        </w:rPr>
      </w:pPr>
    </w:p>
    <w:p w14:paraId="4579856F" w14:textId="77777777" w:rsidR="000544F4" w:rsidRPr="00DF0502" w:rsidRDefault="000544F4" w:rsidP="00DF0502">
      <w:pPr>
        <w:autoSpaceDE w:val="0"/>
        <w:adjustRightInd w:val="0"/>
        <w:spacing w:after="0" w:line="240" w:lineRule="auto"/>
        <w:jc w:val="both"/>
        <w:rPr>
          <w:rFonts w:ascii="Arial" w:hAnsi="Arial" w:cs="Arial"/>
          <w:lang w:val="es-NI"/>
        </w:rPr>
      </w:pPr>
      <w:r w:rsidRPr="00DF0502">
        <w:rPr>
          <w:rFonts w:ascii="Arial" w:hAnsi="Arial" w:cs="Arial"/>
          <w:b/>
          <w:caps/>
          <w:u w:val="single"/>
          <w:lang w:val="es-ES_tradnl" w:eastAsia="zh-CN"/>
        </w:rPr>
        <w:t>resultado #1:</w:t>
      </w:r>
      <w:r w:rsidRPr="00DF0502">
        <w:rPr>
          <w:rFonts w:ascii="Arial" w:hAnsi="Arial" w:cs="Arial"/>
          <w:lang w:val="es-MX"/>
        </w:rPr>
        <w:t xml:space="preserve"> mejorar el acceso a los servicios básicos en barrios vulnerables intervenidos y disminuir delitos violentos como robos y delitos sexuales. </w:t>
      </w:r>
    </w:p>
    <w:p w14:paraId="6200BE40" w14:textId="77777777" w:rsidR="00144868" w:rsidRPr="00DF0502" w:rsidRDefault="00144868" w:rsidP="00DF0502">
      <w:pPr>
        <w:pStyle w:val="Paragraph"/>
        <w:numPr>
          <w:ilvl w:val="0"/>
          <w:numId w:val="0"/>
        </w:numPr>
        <w:spacing w:before="0" w:after="0"/>
        <w:ind w:left="567"/>
        <w:rPr>
          <w:rFonts w:ascii="Arial" w:eastAsia="Calibri" w:hAnsi="Arial" w:cs="Arial"/>
          <w:b/>
          <w:sz w:val="22"/>
          <w:szCs w:val="22"/>
          <w:u w:val="single"/>
          <w:lang w:val="es-NI"/>
        </w:rPr>
      </w:pPr>
    </w:p>
    <w:tbl>
      <w:tblPr>
        <w:tblW w:w="9090" w:type="dxa"/>
        <w:tblInd w:w="-162" w:type="dxa"/>
        <w:tblLayout w:type="fixed"/>
        <w:tblCellMar>
          <w:left w:w="10" w:type="dxa"/>
          <w:right w:w="10" w:type="dxa"/>
        </w:tblCellMar>
        <w:tblLook w:val="04A0" w:firstRow="1" w:lastRow="0" w:firstColumn="1" w:lastColumn="0" w:noHBand="0" w:noVBand="1"/>
      </w:tblPr>
      <w:tblGrid>
        <w:gridCol w:w="2250"/>
        <w:gridCol w:w="1170"/>
        <w:gridCol w:w="720"/>
        <w:gridCol w:w="720"/>
        <w:gridCol w:w="720"/>
        <w:gridCol w:w="720"/>
        <w:gridCol w:w="720"/>
        <w:gridCol w:w="2070"/>
      </w:tblGrid>
      <w:tr w:rsidR="00144868" w:rsidRPr="00DF0502" w14:paraId="3011CFC8" w14:textId="77777777" w:rsidTr="001C5A73">
        <w:trPr>
          <w:trHeight w:val="424"/>
          <w:tblHeader/>
        </w:trPr>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18F8FAA" w14:textId="77777777" w:rsidR="00144868" w:rsidRPr="00DF0502" w:rsidRDefault="00144868" w:rsidP="00DF0502">
            <w:pPr>
              <w:spacing w:after="0" w:line="240" w:lineRule="auto"/>
              <w:jc w:val="center"/>
              <w:rPr>
                <w:rFonts w:ascii="Arial" w:hAnsi="Arial" w:cs="Arial"/>
                <w:b/>
                <w:sz w:val="18"/>
                <w:szCs w:val="18"/>
                <w:lang w:val="es-NI"/>
              </w:rPr>
            </w:pPr>
            <w:r w:rsidRPr="00DF0502">
              <w:rPr>
                <w:rFonts w:ascii="Arial" w:hAnsi="Arial" w:cs="Arial"/>
                <w:b/>
                <w:sz w:val="18"/>
                <w:szCs w:val="18"/>
                <w:lang w:val="es-NI"/>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B87549D" w14:textId="77777777" w:rsidR="00144868" w:rsidRPr="00DF0502" w:rsidRDefault="00144868"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1C5B511" w14:textId="77777777" w:rsidR="00144868" w:rsidRPr="00DF0502" w:rsidRDefault="00144868" w:rsidP="00DF0502">
            <w:pPr>
              <w:tabs>
                <w:tab w:val="center" w:pos="702"/>
              </w:tabs>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C0498E" w14:textId="77777777" w:rsidR="00144868" w:rsidRPr="00DF0502" w:rsidRDefault="00144868"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Año 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D2BA82" w14:textId="77777777" w:rsidR="00144868" w:rsidRPr="00DF0502" w:rsidRDefault="00144868"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2021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49D2AF" w14:textId="77777777" w:rsidR="00144868" w:rsidRPr="00DF0502" w:rsidRDefault="00144868"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2022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246C07" w14:textId="77777777" w:rsidR="00144868" w:rsidRPr="00DF0502" w:rsidRDefault="00144868"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Meta final</w:t>
            </w:r>
            <w:r w:rsidRPr="00DF0502">
              <w:rPr>
                <w:rFonts w:ascii="Arial" w:hAnsi="Arial" w:cs="Arial"/>
                <w:b/>
                <w:sz w:val="18"/>
                <w:szCs w:val="18"/>
                <w:vertAlign w:val="superscript"/>
                <w:lang w:val="es-NI"/>
              </w:rPr>
              <w:t>1</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5103F7" w14:textId="77777777" w:rsidR="00144868" w:rsidRPr="00DF0502" w:rsidRDefault="00144868"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Medios de verificación</w:t>
            </w:r>
          </w:p>
        </w:tc>
      </w:tr>
      <w:tr w:rsidR="00144868" w:rsidRPr="007C3A06" w14:paraId="6CE0FCA1"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CF636" w14:textId="77777777" w:rsidR="00144868" w:rsidRPr="00DF0502" w:rsidRDefault="00144868"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#1.1</w:t>
            </w:r>
            <w:r w:rsidRPr="00DF0502">
              <w:rPr>
                <w:rFonts w:ascii="Arial" w:hAnsi="Arial" w:cs="Arial"/>
                <w:sz w:val="18"/>
                <w:szCs w:val="18"/>
                <w:lang w:val="es-NI" w:eastAsia="pt-BR"/>
              </w:rPr>
              <w:t xml:space="preserve"> Viviendas con conexión de agua potable en los barrios intervenidos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E4531"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13EE4"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35</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6A5B7"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EB0451A"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54</w:t>
            </w:r>
          </w:p>
        </w:tc>
        <w:tc>
          <w:tcPr>
            <w:tcW w:w="720" w:type="dxa"/>
            <w:tcBorders>
              <w:top w:val="single" w:sz="4" w:space="0" w:color="000000"/>
              <w:left w:val="single" w:sz="4" w:space="0" w:color="000000"/>
              <w:bottom w:val="single" w:sz="4" w:space="0" w:color="000000"/>
              <w:right w:val="single" w:sz="4" w:space="0" w:color="000000"/>
            </w:tcBorders>
          </w:tcPr>
          <w:p w14:paraId="4B57FEBD"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720" w:type="dxa"/>
            <w:tcBorders>
              <w:top w:val="single" w:sz="4" w:space="0" w:color="000000"/>
              <w:left w:val="single" w:sz="4" w:space="0" w:color="000000"/>
              <w:bottom w:val="single" w:sz="4" w:space="0" w:color="000000"/>
              <w:right w:val="single" w:sz="4" w:space="0" w:color="000000"/>
            </w:tcBorders>
          </w:tcPr>
          <w:p w14:paraId="09D48217"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F4F46"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144868" w:rsidRPr="007C3A06" w14:paraId="67D63B9A"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8A247" w14:textId="77777777" w:rsidR="00144868" w:rsidRPr="00DF0502" w:rsidRDefault="00144868"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1.2 Viviendas con conexión de alcantarillado en los barrios intervenidos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645F4"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520C"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656E0"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46F91E9"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54</w:t>
            </w:r>
          </w:p>
        </w:tc>
        <w:tc>
          <w:tcPr>
            <w:tcW w:w="720" w:type="dxa"/>
            <w:tcBorders>
              <w:top w:val="single" w:sz="4" w:space="0" w:color="000000"/>
              <w:left w:val="single" w:sz="4" w:space="0" w:color="000000"/>
              <w:bottom w:val="single" w:sz="4" w:space="0" w:color="000000"/>
              <w:right w:val="single" w:sz="4" w:space="0" w:color="000000"/>
            </w:tcBorders>
          </w:tcPr>
          <w:p w14:paraId="773D7CDF"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720" w:type="dxa"/>
            <w:tcBorders>
              <w:top w:val="single" w:sz="4" w:space="0" w:color="000000"/>
              <w:left w:val="single" w:sz="4" w:space="0" w:color="000000"/>
              <w:bottom w:val="single" w:sz="4" w:space="0" w:color="000000"/>
              <w:right w:val="single" w:sz="4" w:space="0" w:color="000000"/>
            </w:tcBorders>
          </w:tcPr>
          <w:p w14:paraId="0CEC6024"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0F28F"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144868" w:rsidRPr="007C3A06" w14:paraId="5DEC3696"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9731D" w14:textId="77777777" w:rsidR="00144868" w:rsidRPr="00DF0502" w:rsidRDefault="00144868"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1.3 Viviendas cubiertas con alumbrado público en los barrios intervenidos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1F628"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D0F1B"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63</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6FF4"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8D8A1C1"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54</w:t>
            </w:r>
          </w:p>
        </w:tc>
        <w:tc>
          <w:tcPr>
            <w:tcW w:w="720" w:type="dxa"/>
            <w:tcBorders>
              <w:top w:val="single" w:sz="4" w:space="0" w:color="000000"/>
              <w:left w:val="single" w:sz="4" w:space="0" w:color="000000"/>
              <w:bottom w:val="single" w:sz="4" w:space="0" w:color="000000"/>
              <w:right w:val="single" w:sz="4" w:space="0" w:color="000000"/>
            </w:tcBorders>
          </w:tcPr>
          <w:p w14:paraId="29C2593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720" w:type="dxa"/>
            <w:tcBorders>
              <w:top w:val="single" w:sz="4" w:space="0" w:color="000000"/>
              <w:left w:val="single" w:sz="4" w:space="0" w:color="000000"/>
              <w:bottom w:val="single" w:sz="4" w:space="0" w:color="000000"/>
              <w:right w:val="single" w:sz="4" w:space="0" w:color="000000"/>
            </w:tcBorders>
          </w:tcPr>
          <w:p w14:paraId="1FE515E8"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61BFB"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144868" w:rsidRPr="00F45456" w14:paraId="55F94B69"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7E" w14:textId="77777777" w:rsidR="00144868" w:rsidRPr="00DF0502" w:rsidRDefault="00144868"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1.4 Vías pavimentadas en los barrios intervenidos sobre el total de vías del Distrito Central</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AC01C"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Porcentaje </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8BFF3"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959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04F59D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0.6</w:t>
            </w:r>
          </w:p>
        </w:tc>
        <w:tc>
          <w:tcPr>
            <w:tcW w:w="720" w:type="dxa"/>
            <w:tcBorders>
              <w:top w:val="single" w:sz="4" w:space="0" w:color="000000"/>
              <w:left w:val="single" w:sz="4" w:space="0" w:color="000000"/>
              <w:bottom w:val="single" w:sz="4" w:space="0" w:color="000000"/>
              <w:right w:val="single" w:sz="4" w:space="0" w:color="000000"/>
            </w:tcBorders>
          </w:tcPr>
          <w:p w14:paraId="6F361F03"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1.2</w:t>
            </w:r>
          </w:p>
        </w:tc>
        <w:tc>
          <w:tcPr>
            <w:tcW w:w="720" w:type="dxa"/>
            <w:tcBorders>
              <w:top w:val="single" w:sz="4" w:space="0" w:color="000000"/>
              <w:left w:val="single" w:sz="4" w:space="0" w:color="000000"/>
              <w:bottom w:val="single" w:sz="4" w:space="0" w:color="000000"/>
              <w:right w:val="single" w:sz="4" w:space="0" w:color="000000"/>
            </w:tcBorders>
          </w:tcPr>
          <w:p w14:paraId="0A509FBE"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1.2</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CF3FE"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Informes del programa e informes municipales del Distrito Central </w:t>
            </w:r>
          </w:p>
        </w:tc>
      </w:tr>
      <w:tr w:rsidR="00144868" w:rsidRPr="007C3A06" w14:paraId="2F50E2DB"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EE9D0"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1.5 Cobertura de viviendas que cuentan con el servicio de recolección de desechos líquidos y sólidos, en los barrios intervenidos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CB544"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Porcentaje </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2D057"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80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F5CE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80B7503"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85</w:t>
            </w:r>
          </w:p>
        </w:tc>
        <w:tc>
          <w:tcPr>
            <w:tcW w:w="720" w:type="dxa"/>
            <w:tcBorders>
              <w:top w:val="single" w:sz="4" w:space="0" w:color="000000"/>
              <w:left w:val="single" w:sz="4" w:space="0" w:color="000000"/>
              <w:bottom w:val="single" w:sz="4" w:space="0" w:color="000000"/>
              <w:right w:val="single" w:sz="4" w:space="0" w:color="000000"/>
            </w:tcBorders>
          </w:tcPr>
          <w:p w14:paraId="6A94DA4A"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95</w:t>
            </w:r>
          </w:p>
        </w:tc>
        <w:tc>
          <w:tcPr>
            <w:tcW w:w="720" w:type="dxa"/>
            <w:tcBorders>
              <w:top w:val="single" w:sz="4" w:space="0" w:color="000000"/>
              <w:left w:val="single" w:sz="4" w:space="0" w:color="000000"/>
              <w:bottom w:val="single" w:sz="4" w:space="0" w:color="000000"/>
              <w:right w:val="single" w:sz="4" w:space="0" w:color="000000"/>
            </w:tcBorders>
          </w:tcPr>
          <w:p w14:paraId="6B873FCB"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732B3"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144868" w:rsidRPr="007C3A06" w14:paraId="08389263"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BBFA1"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1.6 Población que ha cambiado hábitos diarios para evitar ser víctima de violencia, que afectan la calidad de vida negativamente, en los barrios intervenidos, en los últimos 12 meses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355AF"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AFE60"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56</w:t>
            </w:r>
            <w:r w:rsidRPr="00DF0502">
              <w:rPr>
                <w:rStyle w:val="FootnoteReference"/>
                <w:rFonts w:ascii="Arial" w:hAnsi="Arial" w:cs="Arial"/>
                <w:sz w:val="18"/>
                <w:szCs w:val="18"/>
                <w:lang w:val="es-NI"/>
              </w:rPr>
              <w:footnoteReference w:id="8"/>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DA6FC"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1CBB9A2"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50</w:t>
            </w:r>
          </w:p>
        </w:tc>
        <w:tc>
          <w:tcPr>
            <w:tcW w:w="720" w:type="dxa"/>
            <w:tcBorders>
              <w:top w:val="single" w:sz="4" w:space="0" w:color="000000"/>
              <w:left w:val="single" w:sz="4" w:space="0" w:color="000000"/>
              <w:bottom w:val="single" w:sz="4" w:space="0" w:color="000000"/>
              <w:right w:val="single" w:sz="4" w:space="0" w:color="000000"/>
            </w:tcBorders>
          </w:tcPr>
          <w:p w14:paraId="6F9D5C82"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45</w:t>
            </w:r>
          </w:p>
        </w:tc>
        <w:tc>
          <w:tcPr>
            <w:tcW w:w="720" w:type="dxa"/>
            <w:tcBorders>
              <w:top w:val="single" w:sz="4" w:space="0" w:color="000000"/>
              <w:left w:val="single" w:sz="4" w:space="0" w:color="000000"/>
              <w:bottom w:val="single" w:sz="4" w:space="0" w:color="000000"/>
              <w:right w:val="single" w:sz="4" w:space="0" w:color="000000"/>
            </w:tcBorders>
          </w:tcPr>
          <w:p w14:paraId="02F2CD3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45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725F9"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Encuesta de Marginación urbana y Violencia </w:t>
            </w:r>
          </w:p>
        </w:tc>
      </w:tr>
      <w:tr w:rsidR="00144868" w:rsidRPr="007C3A06" w14:paraId="668B904C"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48AAC"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1.7 Prevalencia de Robos en los barrios intervenidos para personas de 18 años y mayores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8D6DB"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75876"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28</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99CF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F1720AC"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25</w:t>
            </w:r>
          </w:p>
        </w:tc>
        <w:tc>
          <w:tcPr>
            <w:tcW w:w="720" w:type="dxa"/>
            <w:tcBorders>
              <w:top w:val="single" w:sz="4" w:space="0" w:color="000000"/>
              <w:left w:val="single" w:sz="4" w:space="0" w:color="000000"/>
              <w:bottom w:val="single" w:sz="4" w:space="0" w:color="000000"/>
              <w:right w:val="single" w:sz="4" w:space="0" w:color="000000"/>
            </w:tcBorders>
          </w:tcPr>
          <w:p w14:paraId="554D2CC4"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w:t>
            </w:r>
          </w:p>
        </w:tc>
        <w:tc>
          <w:tcPr>
            <w:tcW w:w="720" w:type="dxa"/>
            <w:tcBorders>
              <w:top w:val="single" w:sz="4" w:space="0" w:color="000000"/>
              <w:left w:val="single" w:sz="4" w:space="0" w:color="000000"/>
              <w:bottom w:val="single" w:sz="4" w:space="0" w:color="000000"/>
              <w:right w:val="single" w:sz="4" w:space="0" w:color="000000"/>
            </w:tcBorders>
          </w:tcPr>
          <w:p w14:paraId="0CBB4395"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C5F95"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144868" w:rsidRPr="007C3A06" w14:paraId="1CB6B1E1"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BA428" w14:textId="77777777" w:rsidR="00144868" w:rsidRPr="00DF0502" w:rsidRDefault="00144868"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1.8 Prevalencia de delitos sexuales por 1,000 mujeres en los barrios intervenidos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53F44" w14:textId="77777777" w:rsidR="00144868" w:rsidRPr="00DF0502" w:rsidRDefault="00144868" w:rsidP="00DF0502">
            <w:pPr>
              <w:spacing w:after="0" w:line="240" w:lineRule="auto"/>
              <w:jc w:val="center"/>
              <w:rPr>
                <w:rFonts w:ascii="Arial" w:hAnsi="Arial" w:cs="Arial"/>
                <w:sz w:val="18"/>
                <w:szCs w:val="18"/>
                <w:lang w:val="es-ES_tradnl"/>
              </w:rPr>
            </w:pPr>
            <w:r w:rsidRPr="00DF0502">
              <w:rPr>
                <w:rFonts w:ascii="Arial" w:hAnsi="Arial" w:cs="Arial"/>
                <w:sz w:val="18"/>
                <w:szCs w:val="18"/>
                <w:lang w:val="es-NI"/>
              </w:rPr>
              <w:t>Tasa</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8D809"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3.8</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4C449"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50AF764"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3.4</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0C18D20"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4FB747" w14:textId="77777777" w:rsidR="00144868" w:rsidRPr="00DF0502" w:rsidRDefault="00144868"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F08A" w14:textId="77777777" w:rsidR="00144868" w:rsidRPr="00DF0502" w:rsidRDefault="00144868" w:rsidP="00DF0502">
            <w:pPr>
              <w:spacing w:after="0" w:line="240" w:lineRule="auto"/>
              <w:rPr>
                <w:rFonts w:ascii="Arial" w:hAnsi="Arial" w:cs="Arial"/>
                <w:b/>
                <w:sz w:val="18"/>
                <w:szCs w:val="18"/>
                <w:lang w:val="es-NI"/>
              </w:rPr>
            </w:pPr>
            <w:r w:rsidRPr="00DF0502">
              <w:rPr>
                <w:rFonts w:ascii="Arial" w:hAnsi="Arial" w:cs="Arial"/>
                <w:sz w:val="18"/>
                <w:szCs w:val="18"/>
                <w:lang w:val="es-NI"/>
              </w:rPr>
              <w:t>Sistema Estadístico Policial en Línea</w:t>
            </w:r>
            <w:r w:rsidRPr="00DF0502">
              <w:rPr>
                <w:rFonts w:ascii="Arial" w:hAnsi="Arial" w:cs="Arial"/>
                <w:b/>
                <w:sz w:val="18"/>
                <w:szCs w:val="18"/>
                <w:lang w:val="es-NI"/>
              </w:rPr>
              <w:t xml:space="preserve"> (</w:t>
            </w:r>
            <w:r w:rsidRPr="00DF0502">
              <w:rPr>
                <w:rFonts w:ascii="Arial" w:hAnsi="Arial" w:cs="Arial"/>
                <w:sz w:val="18"/>
                <w:szCs w:val="18"/>
                <w:lang w:val="es-NI"/>
              </w:rPr>
              <w:t xml:space="preserve">SEPOL) y Observatorios </w:t>
            </w:r>
          </w:p>
          <w:p w14:paraId="2BB6BE7E" w14:textId="77777777" w:rsidR="00144868" w:rsidRPr="00DF0502" w:rsidRDefault="00144868" w:rsidP="00DF0502">
            <w:pPr>
              <w:spacing w:after="0" w:line="240" w:lineRule="auto"/>
              <w:rPr>
                <w:rFonts w:ascii="Arial" w:hAnsi="Arial" w:cs="Arial"/>
                <w:sz w:val="18"/>
                <w:szCs w:val="18"/>
                <w:lang w:val="es-NI"/>
              </w:rPr>
            </w:pPr>
          </w:p>
        </w:tc>
      </w:tr>
    </w:tbl>
    <w:p w14:paraId="27D2D0DE" w14:textId="77777777" w:rsidR="00144868" w:rsidRPr="00DF0502" w:rsidRDefault="00144868" w:rsidP="00DF0502">
      <w:pPr>
        <w:pStyle w:val="Paragraph"/>
        <w:numPr>
          <w:ilvl w:val="0"/>
          <w:numId w:val="0"/>
        </w:numPr>
        <w:spacing w:before="0" w:after="0"/>
        <w:ind w:left="567"/>
        <w:rPr>
          <w:rFonts w:ascii="Arial" w:eastAsia="Calibri" w:hAnsi="Arial" w:cs="Arial"/>
          <w:b/>
          <w:sz w:val="22"/>
          <w:szCs w:val="22"/>
          <w:u w:val="single"/>
        </w:rPr>
      </w:pPr>
    </w:p>
    <w:p w14:paraId="5DA39D1A" w14:textId="77777777" w:rsidR="00D6460B" w:rsidRPr="00DF0502" w:rsidRDefault="00A7743F" w:rsidP="00DF0502">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 xml:space="preserve">La literatura que estudia las causas del crimen muestra que </w:t>
      </w:r>
      <w:r w:rsidR="00E53B28" w:rsidRPr="00DF0502">
        <w:rPr>
          <w:rFonts w:ascii="Arial" w:hAnsi="Arial" w:cs="Arial"/>
          <w:kern w:val="28"/>
          <w:lang w:val="es-ES_tradnl"/>
        </w:rPr>
        <w:t>los grupos delictivos</w:t>
      </w:r>
      <w:r w:rsidRPr="00DF0502">
        <w:rPr>
          <w:rFonts w:ascii="Arial" w:hAnsi="Arial" w:cs="Arial"/>
          <w:kern w:val="28"/>
          <w:lang w:val="es-ES_tradnl"/>
        </w:rPr>
        <w:t xml:space="preserve"> surgen como consecuencia de la ausencia del estado (Gambetta 1993). Por lo tanto, la eliminación o la atenuación de la presencia de </w:t>
      </w:r>
      <w:r w:rsidR="00E53B28" w:rsidRPr="00DF0502">
        <w:rPr>
          <w:rFonts w:ascii="Arial" w:hAnsi="Arial" w:cs="Arial"/>
          <w:kern w:val="28"/>
          <w:lang w:val="es-ES_tradnl"/>
        </w:rPr>
        <w:t>grupos delictivos</w:t>
      </w:r>
      <w:r w:rsidRPr="00DF0502">
        <w:rPr>
          <w:rFonts w:ascii="Arial" w:hAnsi="Arial" w:cs="Arial"/>
          <w:kern w:val="28"/>
          <w:lang w:val="es-ES_tradnl"/>
        </w:rPr>
        <w:t xml:space="preserve"> supone </w:t>
      </w:r>
      <w:r w:rsidRPr="00DF0502">
        <w:rPr>
          <w:rFonts w:ascii="Arial" w:hAnsi="Arial" w:cs="Arial"/>
          <w:kern w:val="28"/>
          <w:lang w:val="es-ES_tradnl"/>
        </w:rPr>
        <w:lastRenderedPageBreak/>
        <w:t xml:space="preserve">una mayor presencia del estado, sobre todo en aquellas locaciones en donde el crimen está más prevalente, como por ejemplo los barrios urbanos pobres. </w:t>
      </w:r>
      <w:r w:rsidR="00E85794" w:rsidRPr="00DF0502">
        <w:rPr>
          <w:rFonts w:ascii="Arial" w:hAnsi="Arial" w:cs="Arial"/>
          <w:kern w:val="28"/>
          <w:lang w:val="es-ES_tradnl"/>
        </w:rPr>
        <w:t>La mejora del hábitat</w:t>
      </w:r>
      <w:r w:rsidRPr="00DF0502">
        <w:rPr>
          <w:rFonts w:ascii="Arial" w:hAnsi="Arial" w:cs="Arial"/>
          <w:kern w:val="28"/>
          <w:lang w:val="es-ES_tradnl"/>
        </w:rPr>
        <w:t xml:space="preserve"> de barrios urbanos supone un incremento en la presencia del estado, y de acuerdo </w:t>
      </w:r>
      <w:r w:rsidR="00E53B28" w:rsidRPr="00DF0502">
        <w:rPr>
          <w:rFonts w:ascii="Arial" w:hAnsi="Arial" w:cs="Arial"/>
          <w:kern w:val="28"/>
          <w:lang w:val="es-ES_tradnl"/>
        </w:rPr>
        <w:t>con</w:t>
      </w:r>
      <w:r w:rsidRPr="00DF0502">
        <w:rPr>
          <w:rFonts w:ascii="Arial" w:hAnsi="Arial" w:cs="Arial"/>
          <w:kern w:val="28"/>
          <w:lang w:val="es-ES_tradnl"/>
        </w:rPr>
        <w:t xml:space="preserve"> lo discutido anteriormente, el aumento en la presencia del estado en el ámbito urbano supone una competencia para </w:t>
      </w:r>
      <w:r w:rsidR="00E53B28" w:rsidRPr="00DF0502">
        <w:rPr>
          <w:rFonts w:ascii="Arial" w:hAnsi="Arial" w:cs="Arial"/>
          <w:kern w:val="28"/>
          <w:lang w:val="es-ES_tradnl"/>
        </w:rPr>
        <w:t>grupos delictivos</w:t>
      </w:r>
      <w:r w:rsidRPr="00DF0502">
        <w:rPr>
          <w:rFonts w:ascii="Arial" w:hAnsi="Arial" w:cs="Arial"/>
          <w:kern w:val="28"/>
          <w:lang w:val="es-ES_tradnl"/>
        </w:rPr>
        <w:t>. Por lo tanto, la presencia del estado tiene el impacto de reducir la incidencia del crimen</w:t>
      </w:r>
      <w:r w:rsidR="00D6460B" w:rsidRPr="00DF0502">
        <w:rPr>
          <w:rFonts w:ascii="Arial" w:hAnsi="Arial" w:cs="Arial"/>
          <w:lang w:val="es-ES"/>
        </w:rPr>
        <w:t>.</w:t>
      </w:r>
    </w:p>
    <w:p w14:paraId="68CEE115" w14:textId="77777777" w:rsidR="00D6460B" w:rsidRPr="00C94B0A" w:rsidRDefault="00D6460B" w:rsidP="00DF0502">
      <w:pPr>
        <w:numPr>
          <w:ilvl w:val="1"/>
          <w:numId w:val="1"/>
        </w:numPr>
        <w:spacing w:after="0" w:line="240" w:lineRule="auto"/>
        <w:jc w:val="both"/>
        <w:rPr>
          <w:rFonts w:ascii="Arial" w:hAnsi="Arial" w:cs="Arial"/>
          <w:kern w:val="28"/>
          <w:lang w:val="es-ES_tradnl"/>
        </w:rPr>
      </w:pPr>
      <w:r w:rsidRPr="00DF0502">
        <w:rPr>
          <w:rFonts w:ascii="Arial" w:hAnsi="Arial" w:cs="Arial"/>
          <w:lang w:val="es-ES"/>
        </w:rPr>
        <w:t>El crimen tiene consecuencias económicas profundas, además de los costos psicológicos y sociales que van asociados a estos grupos delictivos. Los efectos son tanto de corto como de largo plazo. En el corto plazo, las actividades violentas destruyen parte del stock de capital social y humano. En el largo plazo, la presencia de estos grupos delictivos incrementa el riesgo y la incertidumbre en el ambiente de negocios, lo cual al final conduce a una reducción en el potencial de crecimiento de la economía (Pinotti, 2015). La presencia de estos grupos delictivos se relaciona con un estado ausente con instituciones débiles.</w:t>
      </w:r>
    </w:p>
    <w:p w14:paraId="639DDF62" w14:textId="77777777" w:rsidR="00085D2F" w:rsidRPr="00DF0502" w:rsidRDefault="00085D2F" w:rsidP="00C94B0A">
      <w:pPr>
        <w:spacing w:after="0" w:line="240" w:lineRule="auto"/>
        <w:ind w:left="567"/>
        <w:jc w:val="both"/>
        <w:rPr>
          <w:rFonts w:ascii="Arial" w:hAnsi="Arial" w:cs="Arial"/>
          <w:kern w:val="28"/>
          <w:lang w:val="es-ES_tradnl"/>
        </w:rPr>
      </w:pPr>
    </w:p>
    <w:p w14:paraId="3A8F9D00" w14:textId="77777777" w:rsidR="00DF0502" w:rsidRPr="00C94B0A" w:rsidRDefault="00085D2F" w:rsidP="00DF0502">
      <w:pPr>
        <w:spacing w:after="0" w:line="240" w:lineRule="auto"/>
        <w:ind w:left="567"/>
        <w:jc w:val="both"/>
        <w:rPr>
          <w:rFonts w:ascii="Arial" w:hAnsi="Arial" w:cs="Arial"/>
          <w:b/>
          <w:kern w:val="28"/>
          <w:u w:val="single"/>
          <w:lang w:val="es-ES_tradnl"/>
        </w:rPr>
      </w:pPr>
      <w:r w:rsidRPr="00C94B0A">
        <w:rPr>
          <w:rFonts w:ascii="Arial" w:hAnsi="Arial" w:cs="Arial"/>
          <w:b/>
          <w:kern w:val="28"/>
          <w:u w:val="single"/>
          <w:lang w:val="es-ES_tradnl"/>
        </w:rPr>
        <w:t>Supuestos</w:t>
      </w:r>
    </w:p>
    <w:p w14:paraId="3286E025" w14:textId="0CAB403D" w:rsidR="006D4FD5" w:rsidRDefault="00D6460B" w:rsidP="006D4FD5">
      <w:pPr>
        <w:numPr>
          <w:ilvl w:val="2"/>
          <w:numId w:val="1"/>
        </w:numPr>
        <w:spacing w:after="0" w:line="240" w:lineRule="auto"/>
        <w:jc w:val="both"/>
        <w:rPr>
          <w:rFonts w:ascii="Arial" w:hAnsi="Arial" w:cs="Arial"/>
          <w:lang w:val="es-ES"/>
        </w:rPr>
      </w:pPr>
      <w:r w:rsidRPr="00DF0502">
        <w:rPr>
          <w:rFonts w:ascii="Arial" w:hAnsi="Arial" w:cs="Arial"/>
          <w:lang w:val="es-ES"/>
        </w:rPr>
        <w:t xml:space="preserve">Para asignar un valor monetario a los beneficios esperados del programa, </w:t>
      </w:r>
      <w:r w:rsidR="007A1F3B">
        <w:rPr>
          <w:rFonts w:ascii="Arial" w:hAnsi="Arial" w:cs="Arial"/>
          <w:lang w:val="es-ES"/>
        </w:rPr>
        <w:t xml:space="preserve">primero se identifican </w:t>
      </w:r>
      <w:r w:rsidR="007A1F3B">
        <w:rPr>
          <w:rFonts w:ascii="Arial" w:hAnsi="Arial" w:cs="Arial"/>
          <w:color w:val="211E1E"/>
          <w:lang w:val="es-ES_tradnl"/>
        </w:rPr>
        <w:t xml:space="preserve">los costos en que se incurre por </w:t>
      </w:r>
      <w:r w:rsidR="003421AC">
        <w:rPr>
          <w:rFonts w:ascii="Arial" w:hAnsi="Arial" w:cs="Arial"/>
          <w:color w:val="211E1E"/>
          <w:lang w:val="es-ES_tradnl"/>
        </w:rPr>
        <w:t>el delito no letal</w:t>
      </w:r>
      <w:r w:rsidR="007A1F3B">
        <w:rPr>
          <w:rFonts w:ascii="Arial" w:hAnsi="Arial" w:cs="Arial"/>
          <w:color w:val="211E1E"/>
          <w:lang w:val="es-ES_tradnl"/>
        </w:rPr>
        <w:t xml:space="preserve">, medidos como porcentaje del PIB. Primero, </w:t>
      </w:r>
      <w:r w:rsidR="003421AC">
        <w:rPr>
          <w:rFonts w:ascii="Arial" w:hAnsi="Arial" w:cs="Arial"/>
          <w:lang w:val="es-ES"/>
        </w:rPr>
        <w:t>l</w:t>
      </w:r>
      <w:r w:rsidR="003421AC" w:rsidRPr="00DF0502">
        <w:rPr>
          <w:rFonts w:ascii="Arial" w:hAnsi="Arial" w:cs="Arial"/>
          <w:lang w:val="es-ES"/>
        </w:rPr>
        <w:t>os costos sociales de crímenes no letales en Honduras alcanzan el 0,3% del PBI (Jaitman, 2017)</w:t>
      </w:r>
      <w:r w:rsidR="007A1F3B">
        <w:rPr>
          <w:rFonts w:ascii="Arial" w:hAnsi="Arial" w:cs="Arial"/>
          <w:color w:val="211E1E"/>
          <w:lang w:val="es-ES_tradnl"/>
        </w:rPr>
        <w:t xml:space="preserve">. Segundo, </w:t>
      </w:r>
      <w:r w:rsidR="003421AC" w:rsidRPr="00DF0502">
        <w:rPr>
          <w:rFonts w:ascii="Arial" w:hAnsi="Arial" w:cs="Arial"/>
          <w:lang w:val="es-ES"/>
        </w:rPr>
        <w:t xml:space="preserve">El gasto de los hogares en medidas de protección equivale al 0,41% del PIB, según los datos de la </w:t>
      </w:r>
      <w:r w:rsidR="003421AC" w:rsidRPr="00DF0502">
        <w:rPr>
          <w:rFonts w:ascii="Arial" w:hAnsi="Arial" w:cs="Arial"/>
          <w:lang w:val="es-MX"/>
        </w:rPr>
        <w:t>Encuesta Nacional de Victimización y Percepción de la Seguridad Pública (Envipe) 2016 en México (Inegi, 2016)</w:t>
      </w:r>
      <w:r w:rsidR="007A1F3B">
        <w:rPr>
          <w:rFonts w:ascii="Arial" w:hAnsi="Arial" w:cs="Arial"/>
          <w:color w:val="211E1E"/>
          <w:lang w:val="es-ES_tradnl"/>
        </w:rPr>
        <w:t xml:space="preserve">. Tercero, </w:t>
      </w:r>
      <w:r w:rsidR="003421AC" w:rsidRPr="00DF0502">
        <w:rPr>
          <w:rFonts w:ascii="Arial" w:hAnsi="Arial" w:cs="Arial"/>
          <w:lang w:val="es-ES"/>
        </w:rPr>
        <w:t xml:space="preserve">los costos relacionados con el crimen incurridos por los gobiernos en Latinoamérica y el Caribe oscilan entre 0.95 y 1.51% del PIB, abarcando el gasto en </w:t>
      </w:r>
      <w:r w:rsidR="003421AC" w:rsidRPr="00DF0502">
        <w:rPr>
          <w:rStyle w:val="A12"/>
          <w:rFonts w:ascii="Arial" w:hAnsi="Arial" w:cs="Arial"/>
          <w:sz w:val="22"/>
          <w:szCs w:val="22"/>
          <w:lang w:val="es-MX"/>
        </w:rPr>
        <w:t>administración de justicia, servicios policiales y administración penitenciaria</w:t>
      </w:r>
      <w:r w:rsidR="003421AC" w:rsidRPr="00DF0502">
        <w:rPr>
          <w:rFonts w:ascii="Arial" w:hAnsi="Arial" w:cs="Arial"/>
          <w:lang w:val="es-ES"/>
        </w:rPr>
        <w:t>. Para efectos de este análisis se supone que este costo para Honduras representa 1.2% del PIB</w:t>
      </w:r>
      <w:r w:rsidR="003421AC">
        <w:rPr>
          <w:rFonts w:ascii="Arial" w:hAnsi="Arial" w:cs="Arial"/>
          <w:lang w:val="es-ES"/>
        </w:rPr>
        <w:t>.</w:t>
      </w:r>
      <w:r w:rsidR="003C2B3C">
        <w:rPr>
          <w:rFonts w:ascii="Arial" w:hAnsi="Arial" w:cs="Arial"/>
          <w:lang w:val="es-ES"/>
        </w:rPr>
        <w:t xml:space="preserve"> </w:t>
      </w:r>
      <w:r w:rsidR="006D4FD5">
        <w:rPr>
          <w:rFonts w:ascii="Arial" w:hAnsi="Arial" w:cs="Arial"/>
          <w:lang w:val="es-ES"/>
        </w:rPr>
        <w:t>Para calcular los costos a nivel de barrios, s</w:t>
      </w:r>
      <w:r w:rsidR="006D4FD5">
        <w:rPr>
          <w:rFonts w:ascii="Arial" w:hAnsi="Arial" w:cs="Arial"/>
          <w:lang w:val="es-ES_tradnl"/>
        </w:rPr>
        <w:t>e supone que la cantidad de delitos no letales como robos que ocurren en los barrios a intervenir es aproximadamente 1% del total del país, equivalente a la población que reside en esa zona. (ver Tablas 2 y 3)</w:t>
      </w:r>
    </w:p>
    <w:p w14:paraId="06B77E9F" w14:textId="042DA94C" w:rsidR="00BF2624" w:rsidRPr="00C94B0A" w:rsidRDefault="003C2B3C" w:rsidP="00C94B0A">
      <w:pPr>
        <w:numPr>
          <w:ilvl w:val="2"/>
          <w:numId w:val="1"/>
        </w:numPr>
        <w:spacing w:after="0" w:line="240" w:lineRule="auto"/>
        <w:jc w:val="both"/>
        <w:rPr>
          <w:rFonts w:ascii="Arial" w:hAnsi="Arial" w:cs="Arial"/>
          <w:lang w:val="es-ES"/>
        </w:rPr>
      </w:pPr>
      <w:r w:rsidRPr="006D4FD5">
        <w:rPr>
          <w:rFonts w:ascii="Arial" w:hAnsi="Arial" w:cs="Arial"/>
          <w:lang w:val="es-ES"/>
        </w:rPr>
        <w:t xml:space="preserve">Cuarto, la delincuencia afecta el valor de las viviendas. En los barrios a intervenir, </w:t>
      </w:r>
      <w:r w:rsidRPr="006D4FD5">
        <w:rPr>
          <w:rFonts w:ascii="Arial" w:hAnsi="Arial" w:cs="Arial"/>
          <w:kern w:val="28"/>
          <w:lang w:val="es-ES_tradnl"/>
        </w:rPr>
        <w:t>el valor promedio de una casa de 35 metros cuadrados se estima en 15.000 dólares y el número de viviendas que afecta el proyecto es de 2.800.</w:t>
      </w:r>
      <w:r w:rsidR="002717C8" w:rsidRPr="006D4FD5">
        <w:rPr>
          <w:rFonts w:ascii="Arial" w:hAnsi="Arial" w:cs="Arial"/>
          <w:kern w:val="28"/>
          <w:lang w:val="es-ES_tradnl"/>
        </w:rPr>
        <w:t xml:space="preserve"> </w:t>
      </w:r>
      <w:r w:rsidR="006D4FD5">
        <w:rPr>
          <w:rFonts w:ascii="Arial" w:hAnsi="Arial" w:cs="Arial"/>
          <w:kern w:val="28"/>
          <w:lang w:val="es-ES_tradnl"/>
        </w:rPr>
        <w:t>(ver Tablas 2 y 3)</w:t>
      </w:r>
    </w:p>
    <w:p w14:paraId="48815A93" w14:textId="77777777" w:rsidR="004E69BB" w:rsidRDefault="004E69BB" w:rsidP="004E69BB">
      <w:pPr>
        <w:spacing w:after="0" w:line="240" w:lineRule="auto"/>
        <w:ind w:left="567"/>
        <w:jc w:val="both"/>
        <w:rPr>
          <w:rFonts w:ascii="Arial" w:hAnsi="Arial" w:cs="Arial"/>
          <w:kern w:val="28"/>
          <w:lang w:val="es-ES_tradnl"/>
        </w:rPr>
      </w:pPr>
    </w:p>
    <w:p w14:paraId="257C97D0" w14:textId="77777777" w:rsidR="004E69BB" w:rsidRDefault="004E69BB">
      <w:pPr>
        <w:spacing w:after="0" w:line="240" w:lineRule="auto"/>
        <w:ind w:left="567"/>
        <w:jc w:val="both"/>
        <w:rPr>
          <w:rFonts w:ascii="Arial" w:hAnsi="Arial" w:cs="Arial"/>
          <w:b/>
          <w:kern w:val="28"/>
          <w:lang w:val="es-ES_tradnl"/>
        </w:rPr>
      </w:pPr>
      <w:r w:rsidRPr="00C94B0A">
        <w:rPr>
          <w:rFonts w:ascii="Arial" w:hAnsi="Arial" w:cs="Arial"/>
          <w:b/>
          <w:kern w:val="28"/>
          <w:lang w:val="es-ES_tradnl"/>
        </w:rPr>
        <w:t xml:space="preserve">Tabla </w:t>
      </w:r>
      <w:r w:rsidR="00C5735D">
        <w:rPr>
          <w:rFonts w:ascii="Arial" w:hAnsi="Arial" w:cs="Arial"/>
          <w:b/>
          <w:kern w:val="28"/>
          <w:lang w:val="es-ES_tradnl"/>
        </w:rPr>
        <w:t>2</w:t>
      </w:r>
      <w:r w:rsidRPr="00C94B0A">
        <w:rPr>
          <w:rFonts w:ascii="Arial" w:hAnsi="Arial" w:cs="Arial"/>
          <w:b/>
          <w:kern w:val="28"/>
          <w:lang w:val="es-ES_tradnl"/>
        </w:rPr>
        <w:t xml:space="preserve">. Parámetros </w:t>
      </w:r>
    </w:p>
    <w:p w14:paraId="37D8DB4F" w14:textId="77777777" w:rsidR="00800295" w:rsidRPr="00C94B0A" w:rsidRDefault="00800295" w:rsidP="00C94B0A">
      <w:pPr>
        <w:spacing w:after="0" w:line="240" w:lineRule="auto"/>
        <w:ind w:left="567"/>
        <w:jc w:val="both"/>
        <w:rPr>
          <w:rFonts w:ascii="Arial" w:hAnsi="Arial" w:cs="Arial"/>
          <w:b/>
          <w:kern w:val="28"/>
          <w:lang w:val="es-ES_tradnl"/>
        </w:rPr>
      </w:pPr>
      <w:r w:rsidRPr="00800295">
        <w:rPr>
          <w:noProof/>
        </w:rPr>
        <w:drawing>
          <wp:inline distT="0" distB="0" distL="0" distR="0" wp14:anchorId="172BA171" wp14:editId="7FDD34A7">
            <wp:extent cx="5396230" cy="1970588"/>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6230" cy="1970588"/>
                    </a:xfrm>
                    <a:prstGeom prst="rect">
                      <a:avLst/>
                    </a:prstGeom>
                    <a:noFill/>
                    <a:ln>
                      <a:noFill/>
                    </a:ln>
                  </pic:spPr>
                </pic:pic>
              </a:graphicData>
            </a:graphic>
          </wp:inline>
        </w:drawing>
      </w:r>
    </w:p>
    <w:p w14:paraId="156229E3" w14:textId="77777777" w:rsidR="007A1F3B" w:rsidRPr="00C94B0A" w:rsidRDefault="007A1F3B" w:rsidP="00C94B0A">
      <w:pPr>
        <w:pStyle w:val="ListParagraph"/>
        <w:spacing w:after="0" w:line="240" w:lineRule="auto"/>
        <w:ind w:left="567"/>
        <w:jc w:val="both"/>
        <w:rPr>
          <w:rFonts w:ascii="Arial" w:hAnsi="Arial" w:cs="Arial"/>
          <w:kern w:val="28"/>
          <w:lang w:val="es-ES_tradnl"/>
        </w:rPr>
      </w:pPr>
    </w:p>
    <w:p w14:paraId="71EDA82D" w14:textId="77777777" w:rsidR="007A1F3B" w:rsidRDefault="007A1F3B" w:rsidP="004E69BB">
      <w:pPr>
        <w:pStyle w:val="ListParagraph"/>
        <w:ind w:left="540"/>
        <w:rPr>
          <w:rFonts w:ascii="Arial" w:hAnsi="Arial" w:cs="Arial"/>
          <w:lang w:val="es-ES"/>
        </w:rPr>
      </w:pPr>
    </w:p>
    <w:p w14:paraId="4559C7D3" w14:textId="77777777" w:rsidR="004E69BB" w:rsidRPr="00C94B0A" w:rsidRDefault="004E69BB" w:rsidP="004E69BB">
      <w:pPr>
        <w:pStyle w:val="ListParagraph"/>
        <w:ind w:left="540"/>
        <w:rPr>
          <w:rFonts w:ascii="Arial" w:hAnsi="Arial" w:cs="Arial"/>
          <w:b/>
          <w:lang w:val="es-ES"/>
        </w:rPr>
      </w:pPr>
      <w:r w:rsidRPr="00C94B0A">
        <w:rPr>
          <w:rFonts w:ascii="Arial" w:hAnsi="Arial" w:cs="Arial"/>
          <w:b/>
          <w:lang w:val="es-ES"/>
        </w:rPr>
        <w:t xml:space="preserve">Tabla </w:t>
      </w:r>
      <w:r w:rsidR="00C5735D">
        <w:rPr>
          <w:rFonts w:ascii="Arial" w:hAnsi="Arial" w:cs="Arial"/>
          <w:b/>
          <w:lang w:val="es-ES"/>
        </w:rPr>
        <w:t>3</w:t>
      </w:r>
      <w:r w:rsidRPr="00C94B0A">
        <w:rPr>
          <w:rFonts w:ascii="Arial" w:hAnsi="Arial" w:cs="Arial"/>
          <w:b/>
          <w:lang w:val="es-ES"/>
        </w:rPr>
        <w:t xml:space="preserve">. </w:t>
      </w:r>
      <w:r w:rsidRPr="00C94B0A">
        <w:rPr>
          <w:rFonts w:ascii="Arial" w:hAnsi="Arial" w:cs="Arial"/>
          <w:b/>
          <w:lang w:val="es-ES"/>
        </w:rPr>
        <w:t>Costos</w:t>
      </w:r>
    </w:p>
    <w:p w14:paraId="2053BEB3" w14:textId="77777777" w:rsidR="004E69BB" w:rsidRDefault="00C5735D" w:rsidP="00C94B0A">
      <w:pPr>
        <w:pStyle w:val="ListParagraph"/>
        <w:ind w:left="540"/>
        <w:rPr>
          <w:rFonts w:ascii="Arial" w:hAnsi="Arial" w:cs="Arial"/>
          <w:lang w:val="es-ES"/>
        </w:rPr>
      </w:pPr>
      <w:r w:rsidRPr="00C5735D">
        <w:rPr>
          <w:noProof/>
        </w:rPr>
        <w:lastRenderedPageBreak/>
        <w:drawing>
          <wp:inline distT="0" distB="0" distL="0" distR="0" wp14:anchorId="6439EB3E" wp14:editId="1D029E0A">
            <wp:extent cx="5396230" cy="40906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6230" cy="409069"/>
                    </a:xfrm>
                    <a:prstGeom prst="rect">
                      <a:avLst/>
                    </a:prstGeom>
                    <a:noFill/>
                    <a:ln>
                      <a:noFill/>
                    </a:ln>
                  </pic:spPr>
                </pic:pic>
              </a:graphicData>
            </a:graphic>
          </wp:inline>
        </w:drawing>
      </w:r>
    </w:p>
    <w:p w14:paraId="47C792B9" w14:textId="77777777" w:rsidR="004E69BB" w:rsidRDefault="004E69BB" w:rsidP="007A1F3B">
      <w:pPr>
        <w:pStyle w:val="ListParagraph"/>
        <w:rPr>
          <w:rFonts w:ascii="Arial" w:hAnsi="Arial" w:cs="Arial"/>
          <w:lang w:val="es-ES"/>
        </w:rPr>
      </w:pPr>
    </w:p>
    <w:p w14:paraId="4E5497CD" w14:textId="77777777" w:rsidR="004E69BB" w:rsidRDefault="00800295" w:rsidP="00C94B0A">
      <w:pPr>
        <w:pStyle w:val="ListParagraph"/>
        <w:ind w:left="540"/>
        <w:rPr>
          <w:rFonts w:ascii="Arial" w:hAnsi="Arial" w:cs="Arial"/>
          <w:lang w:val="es-ES"/>
        </w:rPr>
      </w:pPr>
      <w:r w:rsidRPr="00800295">
        <w:rPr>
          <w:noProof/>
        </w:rPr>
        <w:drawing>
          <wp:inline distT="0" distB="0" distL="0" distR="0" wp14:anchorId="0875AA6C" wp14:editId="25179AF9">
            <wp:extent cx="5396230" cy="487401"/>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6230" cy="487401"/>
                    </a:xfrm>
                    <a:prstGeom prst="rect">
                      <a:avLst/>
                    </a:prstGeom>
                    <a:noFill/>
                    <a:ln>
                      <a:noFill/>
                    </a:ln>
                  </pic:spPr>
                </pic:pic>
              </a:graphicData>
            </a:graphic>
          </wp:inline>
        </w:drawing>
      </w:r>
    </w:p>
    <w:p w14:paraId="1E507016" w14:textId="40D414B4" w:rsidR="00572539" w:rsidRPr="00C94B0A" w:rsidRDefault="00FE7497" w:rsidP="00572539">
      <w:pPr>
        <w:numPr>
          <w:ilvl w:val="1"/>
          <w:numId w:val="1"/>
        </w:numPr>
        <w:spacing w:after="0" w:line="240" w:lineRule="auto"/>
        <w:jc w:val="both"/>
        <w:rPr>
          <w:rFonts w:ascii="Arial" w:eastAsiaTheme="minorHAnsi" w:hAnsi="Arial" w:cs="Arial"/>
          <w:color w:val="000000"/>
          <w:lang w:val="es-ES_tradnl"/>
        </w:rPr>
      </w:pPr>
      <w:r>
        <w:rPr>
          <w:rFonts w:ascii="Arial" w:hAnsi="Arial" w:cs="Arial"/>
          <w:lang w:val="es-ES"/>
        </w:rPr>
        <w:t>L</w:t>
      </w:r>
      <w:r w:rsidR="00A6284B" w:rsidRPr="00DF0502" w:rsidDel="007A1F3B">
        <w:rPr>
          <w:rFonts w:ascii="Arial" w:hAnsi="Arial" w:cs="Arial"/>
          <w:lang w:val="es-ES"/>
        </w:rPr>
        <w:t>os efectos del programa se estima</w:t>
      </w:r>
      <w:r>
        <w:rPr>
          <w:rFonts w:ascii="Arial" w:hAnsi="Arial" w:cs="Arial"/>
          <w:lang w:val="es-ES"/>
        </w:rPr>
        <w:t>n</w:t>
      </w:r>
      <w:r w:rsidR="00A6284B" w:rsidRPr="00DF0502" w:rsidDel="007A1F3B">
        <w:rPr>
          <w:rFonts w:ascii="Arial" w:hAnsi="Arial" w:cs="Arial"/>
          <w:lang w:val="es-ES"/>
        </w:rPr>
        <w:t xml:space="preserve"> con base en </w:t>
      </w:r>
      <w:r w:rsidR="00A6284B">
        <w:rPr>
          <w:rFonts w:ascii="Arial" w:hAnsi="Arial" w:cs="Arial"/>
          <w:lang w:val="es-ES"/>
        </w:rPr>
        <w:t xml:space="preserve">estudios de efectividad de intervenciones similares a las planeadas por el programa y al valor esperado de los indicadores definidos en la MIR. </w:t>
      </w:r>
      <w:r w:rsidR="00A6284B" w:rsidRPr="00DF0502" w:rsidDel="007A1F3B">
        <w:rPr>
          <w:rFonts w:ascii="Arial" w:hAnsi="Arial" w:cs="Arial"/>
          <w:lang w:val="es-ES"/>
        </w:rPr>
        <w:t xml:space="preserve"> </w:t>
      </w:r>
    </w:p>
    <w:p w14:paraId="0EE8C2F4" w14:textId="77777777" w:rsidR="00572539" w:rsidRDefault="00572539" w:rsidP="00C94B0A">
      <w:pPr>
        <w:pStyle w:val="ListParagraph"/>
        <w:rPr>
          <w:rFonts w:ascii="Arial" w:hAnsi="Arial" w:cs="Arial"/>
          <w:lang w:val="es-ES"/>
        </w:rPr>
      </w:pPr>
    </w:p>
    <w:p w14:paraId="128BBEA5" w14:textId="77777777" w:rsidR="00572539" w:rsidRPr="00C94B0A" w:rsidRDefault="00572539" w:rsidP="00572539">
      <w:pPr>
        <w:numPr>
          <w:ilvl w:val="1"/>
          <w:numId w:val="1"/>
        </w:numPr>
        <w:spacing w:after="0" w:line="240" w:lineRule="auto"/>
        <w:jc w:val="both"/>
        <w:rPr>
          <w:rFonts w:ascii="Arial" w:eastAsiaTheme="minorHAnsi" w:hAnsi="Arial" w:cs="Arial"/>
          <w:color w:val="000000"/>
          <w:lang w:val="es-ES_tradnl"/>
        </w:rPr>
      </w:pPr>
      <w:r w:rsidRPr="00DF0502">
        <w:rPr>
          <w:rFonts w:ascii="Arial" w:hAnsi="Arial" w:cs="Arial"/>
          <w:lang w:val="es-ES"/>
        </w:rPr>
        <w:t xml:space="preserve">Con respecto al valor de las viviendas, </w:t>
      </w:r>
      <w:r w:rsidRPr="00DF0502">
        <w:rPr>
          <w:rFonts w:ascii="Arial" w:hAnsi="Arial" w:cs="Arial"/>
          <w:kern w:val="28"/>
          <w:lang w:val="es-ES_tradnl"/>
        </w:rPr>
        <w:t xml:space="preserve">Ajzenman et al. (2015) encuentran que la violencia tiene un efecto negativo sobre el precio de los inmuebles. Los autores explotan el aumento en violencia que se da durante el período 2008-11 en México para estimar su efecto sobre el precio de las casas. Encuentra que el impacto de la violencia en los precios de los inmuebles se origina principalmente en los sectores más pobres de la población. Un aumento en los homicidios de un desvío estándar lleva a una caída del 3% en el precio de casas de bajos ingresos. </w:t>
      </w:r>
    </w:p>
    <w:p w14:paraId="161D75AB" w14:textId="77777777" w:rsidR="00F5442B" w:rsidRDefault="00F5442B" w:rsidP="00C94B0A">
      <w:pPr>
        <w:pStyle w:val="ListParagraph"/>
        <w:rPr>
          <w:rFonts w:ascii="Arial" w:eastAsiaTheme="minorHAnsi" w:hAnsi="Arial" w:cs="Arial"/>
          <w:color w:val="000000"/>
          <w:lang w:val="es-ES_tradnl"/>
        </w:rPr>
      </w:pPr>
    </w:p>
    <w:p w14:paraId="0337DDAB" w14:textId="77777777" w:rsidR="00F5442B" w:rsidRPr="00C94B0A" w:rsidRDefault="00572539" w:rsidP="00C94B0A">
      <w:pPr>
        <w:numPr>
          <w:ilvl w:val="1"/>
          <w:numId w:val="1"/>
        </w:numPr>
        <w:spacing w:after="0" w:line="240" w:lineRule="auto"/>
        <w:jc w:val="both"/>
        <w:rPr>
          <w:rFonts w:ascii="Arial" w:eastAsiaTheme="minorHAnsi" w:hAnsi="Arial" w:cs="Arial"/>
          <w:color w:val="000000"/>
          <w:lang w:val="es-ES_tradnl"/>
        </w:rPr>
      </w:pPr>
      <w:r w:rsidRPr="004A3071">
        <w:rPr>
          <w:rFonts w:ascii="Arial" w:eastAsia="Times New Roman" w:hAnsi="Arial" w:cs="Arial"/>
          <w:lang w:val="es-ES_tradnl" w:eastAsia="es-ES_tradnl"/>
        </w:rPr>
        <w:t xml:space="preserve">En cuanto a los costos macro del delito, algunos estudios sugieren que las mejoras en </w:t>
      </w:r>
      <w:r w:rsidRPr="00F5442B">
        <w:rPr>
          <w:rFonts w:ascii="Arial" w:eastAsia="Times New Roman" w:hAnsi="Arial" w:cs="Arial"/>
          <w:lang w:val="es-ES_tradnl" w:eastAsia="es-ES_tradnl"/>
        </w:rPr>
        <w:t>servicios básicos llevan a una disminución en el crimen. Welsh y Farrington (2008) realizan una revisión de la literatura en la cual hacen un meta análisis que incluye 13 trabajos donde encuentran que las mejoras en el alumbrado público reducen el crimen. La reducción total en el crimen luego de las mejoras en la</w:t>
      </w:r>
      <w:r w:rsidR="00F5442B" w:rsidRPr="00F5442B">
        <w:rPr>
          <w:rFonts w:ascii="Arial" w:eastAsia="Times New Roman" w:hAnsi="Arial" w:cs="Arial"/>
          <w:lang w:val="es-ES_tradnl" w:eastAsia="es-ES_tradnl"/>
        </w:rPr>
        <w:t xml:space="preserve"> </w:t>
      </w:r>
      <w:r w:rsidR="00F5442B">
        <w:rPr>
          <w:rFonts w:ascii="Arial" w:eastAsia="Times New Roman" w:hAnsi="Arial" w:cs="Arial"/>
          <w:lang w:val="es-ES_tradnl" w:eastAsia="es-ES_tradnl"/>
        </w:rPr>
        <w:t>iluminación es del</w:t>
      </w:r>
      <w:r w:rsidR="00550D64">
        <w:rPr>
          <w:rFonts w:ascii="Arial" w:eastAsia="Times New Roman" w:hAnsi="Arial" w:cs="Arial"/>
          <w:lang w:val="es-ES_tradnl" w:eastAsia="es-ES_tradnl"/>
        </w:rPr>
        <w:t xml:space="preserve"> 20% en las áreas experimentales comparadas con las áreas control.</w:t>
      </w:r>
      <w:r w:rsidR="00F5442B">
        <w:rPr>
          <w:rFonts w:ascii="Arial" w:eastAsia="Times New Roman" w:hAnsi="Arial" w:cs="Arial"/>
          <w:lang w:val="es-ES_tradnl" w:eastAsia="es-ES_tradnl"/>
        </w:rPr>
        <w:t xml:space="preserve"> </w:t>
      </w:r>
    </w:p>
    <w:p w14:paraId="113F939C" w14:textId="77777777" w:rsidR="00D6460B" w:rsidRPr="00DF0502" w:rsidRDefault="00D6460B" w:rsidP="004A3071">
      <w:pPr>
        <w:spacing w:after="0" w:line="240" w:lineRule="auto"/>
        <w:jc w:val="both"/>
        <w:rPr>
          <w:rStyle w:val="A12"/>
          <w:rFonts w:ascii="Arial" w:hAnsi="Arial" w:cs="Arial"/>
          <w:color w:val="auto"/>
          <w:sz w:val="22"/>
          <w:szCs w:val="22"/>
          <w:lang w:val="es-ES"/>
        </w:rPr>
      </w:pPr>
    </w:p>
    <w:p w14:paraId="4F0E7AC6" w14:textId="77777777" w:rsidR="00DF0502" w:rsidRPr="00DF0502" w:rsidRDefault="00DF0502" w:rsidP="00C94B0A">
      <w:pPr>
        <w:spacing w:after="0" w:line="240" w:lineRule="auto"/>
        <w:jc w:val="both"/>
        <w:rPr>
          <w:rFonts w:ascii="Arial" w:hAnsi="Arial" w:cs="Arial"/>
          <w:color w:val="211E1E"/>
          <w:lang w:val="es-ES_tradnl"/>
        </w:rPr>
      </w:pPr>
    </w:p>
    <w:p w14:paraId="7988EA1F" w14:textId="557467D8" w:rsidR="00EC433C" w:rsidRPr="00DF0502" w:rsidRDefault="00FE7497" w:rsidP="00DF0502">
      <w:pPr>
        <w:numPr>
          <w:ilvl w:val="1"/>
          <w:numId w:val="1"/>
        </w:numPr>
        <w:spacing w:after="0" w:line="240" w:lineRule="auto"/>
        <w:jc w:val="both"/>
        <w:rPr>
          <w:rFonts w:ascii="Arial" w:hAnsi="Arial" w:cs="Arial"/>
          <w:kern w:val="28"/>
          <w:lang w:val="es-ES_tradnl"/>
        </w:rPr>
      </w:pPr>
      <w:r>
        <w:rPr>
          <w:rFonts w:ascii="Arial" w:hAnsi="Arial" w:cs="Arial"/>
          <w:kern w:val="28"/>
          <w:lang w:val="es-ES_tradnl"/>
        </w:rPr>
        <w:t>La magnitud</w:t>
      </w:r>
      <w:r>
        <w:rPr>
          <w:rFonts w:ascii="Arial" w:hAnsi="Arial" w:cs="Arial"/>
          <w:kern w:val="28"/>
          <w:lang w:val="es-ES_tradnl"/>
        </w:rPr>
        <w:t xml:space="preserve"> de los efectos del programa se estima a partir del año 4 y de acuerdo con los valores esperados de los indicadores de resultado definidos en la MIR,</w:t>
      </w:r>
      <w:r w:rsidR="00F5442B">
        <w:rPr>
          <w:rFonts w:ascii="Arial" w:hAnsi="Arial" w:cs="Arial"/>
          <w:kern w:val="28"/>
          <w:lang w:val="es-ES_tradnl"/>
        </w:rPr>
        <w:t xml:space="preserve"> bajo los siguientes supuestos</w:t>
      </w:r>
      <w:r w:rsidR="00FC154E">
        <w:rPr>
          <w:rFonts w:ascii="Arial" w:hAnsi="Arial" w:cs="Arial"/>
          <w:kern w:val="28"/>
          <w:lang w:val="es-ES_tradnl"/>
        </w:rPr>
        <w:t xml:space="preserve"> (ver Tabla 4)</w:t>
      </w:r>
      <w:r w:rsidR="008651F8" w:rsidRPr="00DF0502">
        <w:rPr>
          <w:rFonts w:ascii="Arial" w:hAnsi="Arial" w:cs="Arial"/>
          <w:kern w:val="28"/>
          <w:lang w:val="es-ES_tradnl"/>
        </w:rPr>
        <w:t>:</w:t>
      </w:r>
    </w:p>
    <w:p w14:paraId="148AB28E" w14:textId="77777777" w:rsidR="00F5442B" w:rsidRDefault="00F5442B" w:rsidP="00F5442B">
      <w:pPr>
        <w:spacing w:after="0" w:line="240" w:lineRule="auto"/>
        <w:ind w:left="1080"/>
        <w:jc w:val="both"/>
        <w:rPr>
          <w:rFonts w:ascii="Arial" w:hAnsi="Arial" w:cs="Arial"/>
          <w:lang w:val="es-ES"/>
        </w:rPr>
      </w:pPr>
    </w:p>
    <w:p w14:paraId="59D5FBFF" w14:textId="7E16E768" w:rsidR="00572539" w:rsidRPr="00C94B0A" w:rsidRDefault="00F5442B" w:rsidP="00C94B0A">
      <w:pPr>
        <w:pStyle w:val="ListParagraph"/>
        <w:numPr>
          <w:ilvl w:val="0"/>
          <w:numId w:val="17"/>
        </w:numPr>
        <w:spacing w:after="0" w:line="240" w:lineRule="auto"/>
        <w:ind w:left="1080"/>
        <w:jc w:val="both"/>
        <w:rPr>
          <w:rFonts w:ascii="Arial" w:hAnsi="Arial" w:cs="Arial"/>
          <w:lang w:val="es-ES"/>
        </w:rPr>
      </w:pPr>
      <w:r w:rsidRPr="00C94B0A">
        <w:rPr>
          <w:rFonts w:ascii="Arial" w:hAnsi="Arial" w:cs="Arial"/>
          <w:lang w:val="es-ES"/>
        </w:rPr>
        <w:t>L</w:t>
      </w:r>
      <w:r w:rsidR="00572539" w:rsidRPr="00C94B0A">
        <w:rPr>
          <w:rFonts w:ascii="Arial" w:hAnsi="Arial" w:cs="Arial"/>
          <w:lang w:val="es-ES"/>
        </w:rPr>
        <w:t xml:space="preserve">os delitos </w:t>
      </w:r>
      <w:r>
        <w:rPr>
          <w:rFonts w:ascii="Arial" w:hAnsi="Arial" w:cs="Arial"/>
          <w:lang w:val="es-ES"/>
        </w:rPr>
        <w:t xml:space="preserve">como por ejemplo los delitos sexuales, </w:t>
      </w:r>
      <w:r w:rsidR="00572539" w:rsidRPr="00C94B0A">
        <w:rPr>
          <w:rFonts w:ascii="Arial" w:hAnsi="Arial" w:cs="Arial"/>
          <w:lang w:val="es-ES"/>
        </w:rPr>
        <w:t>bajan principalmente debido a las mejoras en el alumbrado, en la MIR los delitos sexuales bajan aproximadamente 1 desviación estándar en el año 4 (de 3.8 a 3.4 en el indicador #1.8 de la MIR), entonces siguiendo a Ajsenman (2015), las viviendas aumentan su valor 3%</w:t>
      </w:r>
    </w:p>
    <w:p w14:paraId="013140D4" w14:textId="77777777" w:rsidR="00572539" w:rsidRDefault="00F5442B" w:rsidP="00572539">
      <w:pPr>
        <w:numPr>
          <w:ilvl w:val="2"/>
          <w:numId w:val="1"/>
        </w:numPr>
        <w:spacing w:after="0" w:line="240" w:lineRule="auto"/>
        <w:jc w:val="both"/>
        <w:rPr>
          <w:rFonts w:ascii="Arial" w:hAnsi="Arial" w:cs="Arial"/>
          <w:lang w:val="es-ES"/>
        </w:rPr>
      </w:pPr>
      <w:r>
        <w:rPr>
          <w:rFonts w:ascii="Arial" w:hAnsi="Arial" w:cs="Arial"/>
          <w:lang w:val="es-ES"/>
        </w:rPr>
        <w:t>E</w:t>
      </w:r>
      <w:r w:rsidR="00572539" w:rsidRPr="00572539">
        <w:rPr>
          <w:rFonts w:ascii="Arial" w:hAnsi="Arial" w:cs="Arial"/>
          <w:lang w:val="es-ES"/>
        </w:rPr>
        <w:t>n la MIR los delitos sexuales bajan aproximadamente 2 desviaciones estándar en el año 5 (de 3.8 a 3.0</w:t>
      </w:r>
      <w:r w:rsidR="00572539">
        <w:rPr>
          <w:rFonts w:ascii="Arial" w:hAnsi="Arial" w:cs="Arial"/>
          <w:lang w:val="es-ES"/>
        </w:rPr>
        <w:t xml:space="preserve"> </w:t>
      </w:r>
      <w:r w:rsidR="00572539" w:rsidRPr="00572539">
        <w:rPr>
          <w:rFonts w:ascii="Arial" w:hAnsi="Arial" w:cs="Arial"/>
          <w:lang w:val="es-ES"/>
        </w:rPr>
        <w:t xml:space="preserve">en </w:t>
      </w:r>
      <w:r w:rsidR="00572539">
        <w:rPr>
          <w:rFonts w:ascii="Arial" w:hAnsi="Arial" w:cs="Arial"/>
          <w:lang w:val="es-ES"/>
        </w:rPr>
        <w:t>el indicador #1.8 de</w:t>
      </w:r>
      <w:r w:rsidR="00572539" w:rsidRPr="00572539">
        <w:rPr>
          <w:rFonts w:ascii="Arial" w:hAnsi="Arial" w:cs="Arial"/>
          <w:lang w:val="es-ES"/>
        </w:rPr>
        <w:t xml:space="preserve"> la MIR), entonces siguiendo a Ajsenman (2015), las viviendas aumentan su valor 6%</w:t>
      </w:r>
      <w:r w:rsidR="00EB04ED">
        <w:rPr>
          <w:rFonts w:ascii="Arial" w:hAnsi="Arial" w:cs="Arial"/>
          <w:lang w:val="es-ES"/>
        </w:rPr>
        <w:t xml:space="preserve">. </w:t>
      </w:r>
    </w:p>
    <w:p w14:paraId="5990BAAA" w14:textId="77777777" w:rsidR="00EB04ED" w:rsidRPr="00C94B0A" w:rsidRDefault="00F5442B" w:rsidP="00BB0C83">
      <w:pPr>
        <w:numPr>
          <w:ilvl w:val="2"/>
          <w:numId w:val="1"/>
        </w:numPr>
        <w:spacing w:after="0" w:line="240" w:lineRule="auto"/>
        <w:jc w:val="both"/>
        <w:rPr>
          <w:rFonts w:ascii="Arial" w:hAnsi="Arial" w:cs="Arial"/>
          <w:lang w:val="es-ES"/>
        </w:rPr>
      </w:pPr>
      <w:r>
        <w:rPr>
          <w:rFonts w:ascii="Arial" w:hAnsi="Arial" w:cs="Arial"/>
          <w:lang w:val="es-ES"/>
        </w:rPr>
        <w:t>L</w:t>
      </w:r>
      <w:r w:rsidR="00BB0C83" w:rsidRPr="00BB0C83">
        <w:rPr>
          <w:rFonts w:ascii="Arial" w:hAnsi="Arial" w:cs="Arial"/>
          <w:lang w:val="es-ES"/>
        </w:rPr>
        <w:t xml:space="preserve">os delitos </w:t>
      </w:r>
      <w:r>
        <w:rPr>
          <w:rFonts w:ascii="Arial" w:hAnsi="Arial" w:cs="Arial"/>
          <w:lang w:val="es-ES"/>
        </w:rPr>
        <w:t xml:space="preserve">como por ejemplo los robos, </w:t>
      </w:r>
      <w:r w:rsidR="00BB0C83" w:rsidRPr="00BB0C83">
        <w:rPr>
          <w:rFonts w:ascii="Arial" w:hAnsi="Arial" w:cs="Arial"/>
          <w:lang w:val="es-ES"/>
        </w:rPr>
        <w:t xml:space="preserve">bajan debido a las mejoras en el alumbrado, los robos pasan de 28% a 25% en </w:t>
      </w:r>
      <w:r w:rsidR="00BB0C83">
        <w:rPr>
          <w:rFonts w:ascii="Arial" w:hAnsi="Arial" w:cs="Arial"/>
          <w:lang w:val="es-ES"/>
        </w:rPr>
        <w:t xml:space="preserve">el indicador #1.7 de </w:t>
      </w:r>
      <w:r w:rsidR="00BB0C83" w:rsidRPr="00BB0C83">
        <w:rPr>
          <w:rFonts w:ascii="Arial" w:hAnsi="Arial" w:cs="Arial"/>
          <w:lang w:val="es-ES"/>
        </w:rPr>
        <w:t>la MIR lo que equivale a una disminución del 11%</w:t>
      </w:r>
      <w:r>
        <w:rPr>
          <w:rFonts w:ascii="Arial" w:hAnsi="Arial" w:cs="Arial"/>
          <w:lang w:val="es-ES"/>
        </w:rPr>
        <w:t xml:space="preserve"> en el a</w:t>
      </w:r>
      <w:r>
        <w:rPr>
          <w:rFonts w:ascii="Arial" w:hAnsi="Arial" w:cs="Arial"/>
          <w:lang w:val="es-MX"/>
        </w:rPr>
        <w:t>ño 4 cuando no se han completado las obras de mejora.</w:t>
      </w:r>
      <w:r w:rsidR="00FE7497">
        <w:rPr>
          <w:rFonts w:ascii="Arial" w:hAnsi="Arial" w:cs="Arial"/>
          <w:lang w:val="es-MX"/>
        </w:rPr>
        <w:t xml:space="preserve"> </w:t>
      </w:r>
      <w:r w:rsidR="00FE7497" w:rsidRPr="00DF0502">
        <w:rPr>
          <w:rFonts w:ascii="Arial" w:hAnsi="Arial" w:cs="Arial"/>
          <w:kern w:val="28"/>
          <w:lang w:val="es-ES_tradnl"/>
        </w:rPr>
        <w:t>Se supone que el valor de las casas se mantiene en años posteriores.</w:t>
      </w:r>
    </w:p>
    <w:p w14:paraId="2055E7B3" w14:textId="77777777" w:rsidR="00FE7497" w:rsidRDefault="00FE7497" w:rsidP="00BB0C83">
      <w:pPr>
        <w:numPr>
          <w:ilvl w:val="2"/>
          <w:numId w:val="1"/>
        </w:numPr>
        <w:spacing w:after="0" w:line="240" w:lineRule="auto"/>
        <w:jc w:val="both"/>
        <w:rPr>
          <w:rFonts w:ascii="Arial" w:hAnsi="Arial" w:cs="Arial"/>
          <w:lang w:val="es-ES"/>
        </w:rPr>
      </w:pPr>
      <w:r>
        <w:rPr>
          <w:rFonts w:ascii="Arial" w:hAnsi="Arial" w:cs="Arial"/>
          <w:lang w:val="es-ES"/>
        </w:rPr>
        <w:t>Tal y como se explicó arriba, se mejorará la infraestructura básica de 2,800 viviendas, cuyo valor se calcula en 15,000 dólares por vivienda.</w:t>
      </w:r>
    </w:p>
    <w:p w14:paraId="1AA67819" w14:textId="77777777" w:rsidR="00BB0C83" w:rsidRPr="00C94B0A" w:rsidRDefault="00F5442B" w:rsidP="00BB0C83">
      <w:pPr>
        <w:numPr>
          <w:ilvl w:val="2"/>
          <w:numId w:val="1"/>
        </w:numPr>
        <w:spacing w:after="0" w:line="240" w:lineRule="auto"/>
        <w:jc w:val="both"/>
        <w:rPr>
          <w:rFonts w:ascii="Arial" w:hAnsi="Arial" w:cs="Arial"/>
          <w:lang w:val="es-ES"/>
        </w:rPr>
      </w:pPr>
      <w:r>
        <w:rPr>
          <w:rFonts w:ascii="Arial" w:hAnsi="Arial" w:cs="Arial"/>
          <w:lang w:val="es-ES"/>
        </w:rPr>
        <w:t>L</w:t>
      </w:r>
      <w:r w:rsidR="00BB0C83" w:rsidRPr="00BB0C83">
        <w:rPr>
          <w:rFonts w:ascii="Arial" w:hAnsi="Arial" w:cs="Arial"/>
          <w:lang w:val="es-ES"/>
        </w:rPr>
        <w:t xml:space="preserve">os robos pasan de 25% a 20% en </w:t>
      </w:r>
      <w:r w:rsidR="00BB0C83">
        <w:rPr>
          <w:rFonts w:ascii="Arial" w:hAnsi="Arial" w:cs="Arial"/>
          <w:lang w:val="es-ES"/>
        </w:rPr>
        <w:t xml:space="preserve">indicador #1.7 de </w:t>
      </w:r>
      <w:r w:rsidR="00BB0C83" w:rsidRPr="00BB0C83">
        <w:rPr>
          <w:rFonts w:ascii="Arial" w:hAnsi="Arial" w:cs="Arial"/>
          <w:lang w:val="es-ES"/>
        </w:rPr>
        <w:t>la MIR lo que equivale a una disminución del 28%</w:t>
      </w:r>
      <w:r>
        <w:rPr>
          <w:rFonts w:ascii="Arial" w:hAnsi="Arial" w:cs="Arial"/>
          <w:lang w:val="es-ES"/>
        </w:rPr>
        <w:t xml:space="preserve"> en el año 5 cuando ya se ha mejorado el alumbrado público además de la conexión de agua potable, la red de alcantarillado y la pavimaentación</w:t>
      </w:r>
      <w:r w:rsidR="00BB0C83" w:rsidRPr="00BB0C83">
        <w:rPr>
          <w:rFonts w:ascii="Arial" w:hAnsi="Arial" w:cs="Arial"/>
          <w:lang w:val="es-ES"/>
        </w:rPr>
        <w:t xml:space="preserve">, lo cual es consistente con la reducción </w:t>
      </w:r>
      <w:r w:rsidR="00BB0C83" w:rsidRPr="00BB0C83">
        <w:rPr>
          <w:rFonts w:ascii="Arial" w:hAnsi="Arial" w:cs="Arial"/>
          <w:lang w:val="es-ES"/>
        </w:rPr>
        <w:lastRenderedPageBreak/>
        <w:t>encontrada por Welsh y Farrington (2008) del 20%</w:t>
      </w:r>
      <w:r>
        <w:rPr>
          <w:rFonts w:ascii="Arial" w:hAnsi="Arial" w:cs="Arial"/>
          <w:lang w:val="es-ES"/>
        </w:rPr>
        <w:t xml:space="preserve"> debido solamente a la mejora en el alumbrado público. </w:t>
      </w:r>
    </w:p>
    <w:p w14:paraId="7F5A2827" w14:textId="77777777" w:rsidR="008651F8" w:rsidRPr="00DF0502" w:rsidRDefault="008651F8" w:rsidP="00DF0502">
      <w:pPr>
        <w:pStyle w:val="Paragraph"/>
        <w:numPr>
          <w:ilvl w:val="2"/>
          <w:numId w:val="1"/>
        </w:numPr>
        <w:spacing w:before="0" w:after="0"/>
        <w:rPr>
          <w:rFonts w:ascii="Arial" w:eastAsia="Calibri" w:hAnsi="Arial" w:cs="Arial"/>
          <w:kern w:val="28"/>
          <w:sz w:val="22"/>
          <w:szCs w:val="22"/>
          <w:lang w:val="es-ES_tradnl"/>
        </w:rPr>
      </w:pPr>
      <w:r w:rsidRPr="00DF0502">
        <w:rPr>
          <w:rFonts w:ascii="Arial" w:eastAsia="Calibri" w:hAnsi="Arial" w:cs="Arial"/>
          <w:kern w:val="28"/>
          <w:sz w:val="22"/>
          <w:szCs w:val="22"/>
          <w:lang w:val="es-ES_tradnl"/>
        </w:rPr>
        <w:t>La tasa de descuento utilizada es del 12%, según el estándar del Banco.</w:t>
      </w:r>
    </w:p>
    <w:p w14:paraId="40C34E8A" w14:textId="3B726271" w:rsidR="002931A9" w:rsidRDefault="002931A9" w:rsidP="00DF0502">
      <w:pPr>
        <w:pStyle w:val="Paragraph"/>
        <w:numPr>
          <w:ilvl w:val="0"/>
          <w:numId w:val="0"/>
        </w:numPr>
        <w:spacing w:before="0" w:after="0"/>
        <w:ind w:left="720"/>
        <w:rPr>
          <w:rFonts w:ascii="Arial" w:eastAsia="Calibri" w:hAnsi="Arial" w:cs="Arial"/>
          <w:kern w:val="28"/>
          <w:sz w:val="22"/>
          <w:szCs w:val="22"/>
          <w:lang w:val="es-ES_tradnl"/>
        </w:rPr>
      </w:pPr>
    </w:p>
    <w:p w14:paraId="1FA8CD0A" w14:textId="77777777" w:rsidR="002931A9" w:rsidRPr="00C94B0A" w:rsidRDefault="002931A9" w:rsidP="00C94B0A">
      <w:pPr>
        <w:pStyle w:val="Paragraph"/>
        <w:numPr>
          <w:ilvl w:val="0"/>
          <w:numId w:val="0"/>
        </w:numPr>
        <w:spacing w:before="0" w:after="0"/>
        <w:ind w:left="540"/>
        <w:rPr>
          <w:rFonts w:ascii="Arial" w:eastAsia="Calibri" w:hAnsi="Arial" w:cs="Arial"/>
          <w:b/>
          <w:kern w:val="28"/>
          <w:sz w:val="22"/>
          <w:szCs w:val="22"/>
          <w:lang w:val="es-ES_tradnl"/>
        </w:rPr>
      </w:pPr>
      <w:r w:rsidRPr="00C94B0A">
        <w:rPr>
          <w:rFonts w:ascii="Arial" w:eastAsia="Calibri" w:hAnsi="Arial" w:cs="Arial"/>
          <w:b/>
          <w:kern w:val="28"/>
          <w:sz w:val="22"/>
          <w:szCs w:val="22"/>
          <w:lang w:val="es-ES_tradnl"/>
        </w:rPr>
        <w:t xml:space="preserve">Tabla </w:t>
      </w:r>
      <w:r w:rsidR="00C5735D">
        <w:rPr>
          <w:rFonts w:ascii="Arial" w:eastAsia="Calibri" w:hAnsi="Arial" w:cs="Arial"/>
          <w:b/>
          <w:kern w:val="28"/>
          <w:sz w:val="22"/>
          <w:szCs w:val="22"/>
          <w:lang w:val="es-ES_tradnl"/>
        </w:rPr>
        <w:t>4</w:t>
      </w:r>
      <w:r w:rsidRPr="00C94B0A">
        <w:rPr>
          <w:rFonts w:ascii="Arial" w:eastAsia="Calibri" w:hAnsi="Arial" w:cs="Arial"/>
          <w:b/>
          <w:kern w:val="28"/>
          <w:sz w:val="22"/>
          <w:szCs w:val="22"/>
          <w:lang w:val="es-ES_tradnl"/>
        </w:rPr>
        <w:t xml:space="preserve">. Efectos </w:t>
      </w:r>
    </w:p>
    <w:p w14:paraId="29CEC85C" w14:textId="77777777" w:rsidR="002931A9" w:rsidRDefault="00800295" w:rsidP="00C94B0A">
      <w:pPr>
        <w:pStyle w:val="Paragraph"/>
        <w:numPr>
          <w:ilvl w:val="0"/>
          <w:numId w:val="0"/>
        </w:numPr>
        <w:spacing w:before="0" w:after="0"/>
        <w:ind w:left="540"/>
        <w:rPr>
          <w:rFonts w:ascii="Arial" w:eastAsia="Calibri" w:hAnsi="Arial" w:cs="Arial"/>
          <w:kern w:val="28"/>
          <w:sz w:val="22"/>
          <w:szCs w:val="22"/>
          <w:lang w:val="es-ES_tradnl"/>
        </w:rPr>
      </w:pPr>
      <w:r w:rsidRPr="00800295">
        <w:rPr>
          <w:rFonts w:eastAsia="Calibri"/>
          <w:noProof/>
        </w:rPr>
        <w:drawing>
          <wp:inline distT="0" distB="0" distL="0" distR="0" wp14:anchorId="15A0FC9B" wp14:editId="5C0777FC">
            <wp:extent cx="5396230" cy="111428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6230" cy="1114280"/>
                    </a:xfrm>
                    <a:prstGeom prst="rect">
                      <a:avLst/>
                    </a:prstGeom>
                    <a:noFill/>
                    <a:ln>
                      <a:noFill/>
                    </a:ln>
                  </pic:spPr>
                </pic:pic>
              </a:graphicData>
            </a:graphic>
          </wp:inline>
        </w:drawing>
      </w:r>
    </w:p>
    <w:p w14:paraId="7CE92F16" w14:textId="77777777" w:rsidR="002931A9" w:rsidRDefault="002931A9" w:rsidP="00DF0502">
      <w:pPr>
        <w:pStyle w:val="Paragraph"/>
        <w:numPr>
          <w:ilvl w:val="0"/>
          <w:numId w:val="0"/>
        </w:numPr>
        <w:spacing w:before="0" w:after="0"/>
        <w:ind w:left="720"/>
        <w:rPr>
          <w:rFonts w:ascii="Arial" w:eastAsia="Calibri" w:hAnsi="Arial" w:cs="Arial"/>
          <w:kern w:val="28"/>
          <w:sz w:val="22"/>
          <w:szCs w:val="22"/>
          <w:lang w:val="es-ES_tradnl"/>
        </w:rPr>
      </w:pPr>
    </w:p>
    <w:p w14:paraId="18C04BA4" w14:textId="77777777" w:rsidR="002931A9" w:rsidRDefault="002931A9" w:rsidP="00DF0502">
      <w:pPr>
        <w:pStyle w:val="Paragraph"/>
        <w:numPr>
          <w:ilvl w:val="0"/>
          <w:numId w:val="0"/>
        </w:numPr>
        <w:spacing w:before="0" w:after="0"/>
        <w:ind w:left="720"/>
        <w:rPr>
          <w:rFonts w:ascii="Arial" w:eastAsia="Calibri" w:hAnsi="Arial" w:cs="Arial"/>
          <w:kern w:val="28"/>
          <w:sz w:val="22"/>
          <w:szCs w:val="22"/>
          <w:lang w:val="es-ES_tradnl"/>
        </w:rPr>
      </w:pPr>
    </w:p>
    <w:p w14:paraId="242294BE" w14:textId="77777777" w:rsidR="008651F8" w:rsidRPr="00DF0502" w:rsidRDefault="008651F8" w:rsidP="00DF0502">
      <w:pPr>
        <w:pStyle w:val="Paragraph"/>
        <w:numPr>
          <w:ilvl w:val="0"/>
          <w:numId w:val="0"/>
        </w:numPr>
        <w:spacing w:before="0" w:after="0"/>
        <w:ind w:left="720"/>
        <w:rPr>
          <w:rFonts w:ascii="Arial" w:eastAsia="Calibri" w:hAnsi="Arial" w:cs="Arial"/>
          <w:kern w:val="28"/>
          <w:sz w:val="22"/>
          <w:szCs w:val="22"/>
          <w:lang w:val="es-ES_tradnl"/>
        </w:rPr>
      </w:pPr>
    </w:p>
    <w:p w14:paraId="5DB0FF69" w14:textId="77777777" w:rsidR="00EC433C" w:rsidRPr="00DF0502" w:rsidRDefault="00EC433C" w:rsidP="00DF0502">
      <w:pPr>
        <w:pStyle w:val="Paragraph"/>
        <w:numPr>
          <w:ilvl w:val="0"/>
          <w:numId w:val="0"/>
        </w:numPr>
        <w:spacing w:before="0" w:after="0"/>
        <w:ind w:left="567"/>
        <w:rPr>
          <w:rFonts w:ascii="Arial" w:hAnsi="Arial" w:cs="Arial"/>
          <w:b/>
          <w:kern w:val="28"/>
          <w:sz w:val="22"/>
          <w:szCs w:val="22"/>
          <w:u w:val="single"/>
        </w:rPr>
      </w:pPr>
      <w:r w:rsidRPr="00DF0502">
        <w:rPr>
          <w:rFonts w:ascii="Arial" w:hAnsi="Arial" w:cs="Arial"/>
          <w:b/>
          <w:kern w:val="28"/>
          <w:sz w:val="22"/>
          <w:szCs w:val="22"/>
          <w:u w:val="single"/>
        </w:rPr>
        <w:t>Costo</w:t>
      </w:r>
      <w:r w:rsidR="004E69BB">
        <w:rPr>
          <w:rFonts w:ascii="Arial" w:hAnsi="Arial" w:cs="Arial"/>
          <w:b/>
          <w:kern w:val="28"/>
          <w:sz w:val="22"/>
          <w:szCs w:val="22"/>
          <w:u w:val="single"/>
        </w:rPr>
        <w:t xml:space="preserve"> del Programa</w:t>
      </w:r>
    </w:p>
    <w:p w14:paraId="3523E37C" w14:textId="77777777" w:rsidR="00EC433C" w:rsidRPr="00DF0502" w:rsidRDefault="00EC433C"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 xml:space="preserve">Para el cálculo de los costos </w:t>
      </w:r>
      <w:r w:rsidR="00E85DFB">
        <w:rPr>
          <w:rFonts w:ascii="Arial" w:hAnsi="Arial" w:cs="Arial"/>
          <w:kern w:val="28"/>
          <w:sz w:val="22"/>
          <w:szCs w:val="22"/>
        </w:rPr>
        <w:t xml:space="preserve">del programa </w:t>
      </w:r>
      <w:r w:rsidRPr="00DF0502">
        <w:rPr>
          <w:rFonts w:ascii="Arial" w:hAnsi="Arial" w:cs="Arial"/>
          <w:kern w:val="28"/>
          <w:sz w:val="22"/>
          <w:szCs w:val="22"/>
        </w:rPr>
        <w:t>se utilizan los siguientes supuestos:</w:t>
      </w:r>
    </w:p>
    <w:p w14:paraId="3CDAD39B" w14:textId="77777777" w:rsidR="00EC433C" w:rsidRPr="00DF0502" w:rsidRDefault="00EC433C" w:rsidP="00DF0502">
      <w:pPr>
        <w:pStyle w:val="Vieta"/>
        <w:spacing w:line="240" w:lineRule="auto"/>
        <w:rPr>
          <w:rFonts w:ascii="Arial" w:hAnsi="Arial" w:cs="Arial"/>
          <w:sz w:val="22"/>
          <w:szCs w:val="22"/>
        </w:rPr>
      </w:pPr>
      <w:r w:rsidRPr="00DF0502">
        <w:rPr>
          <w:rFonts w:ascii="Arial" w:hAnsi="Arial" w:cs="Arial"/>
          <w:sz w:val="22"/>
          <w:szCs w:val="22"/>
        </w:rPr>
        <w:t xml:space="preserve">Los costos correspondientes al Componente </w:t>
      </w:r>
      <w:r w:rsidR="00044248" w:rsidRPr="00DF0502">
        <w:rPr>
          <w:rFonts w:ascii="Arial" w:hAnsi="Arial" w:cs="Arial"/>
          <w:sz w:val="22"/>
          <w:szCs w:val="22"/>
        </w:rPr>
        <w:t xml:space="preserve">I </w:t>
      </w:r>
      <w:r w:rsidRPr="00DF0502">
        <w:rPr>
          <w:rFonts w:ascii="Arial" w:hAnsi="Arial" w:cs="Arial"/>
          <w:sz w:val="22"/>
          <w:szCs w:val="22"/>
        </w:rPr>
        <w:t xml:space="preserve">ascienden a </w:t>
      </w:r>
      <w:r w:rsidR="002972BF" w:rsidRPr="00DF0502">
        <w:rPr>
          <w:rFonts w:ascii="Arial" w:hAnsi="Arial" w:cs="Arial"/>
          <w:b/>
          <w:spacing w:val="-2"/>
          <w:sz w:val="22"/>
          <w:szCs w:val="22"/>
        </w:rPr>
        <w:t>US$1</w:t>
      </w:r>
      <w:r w:rsidR="00A95480" w:rsidRPr="00DF0502">
        <w:rPr>
          <w:rFonts w:ascii="Arial" w:hAnsi="Arial" w:cs="Arial"/>
          <w:b/>
          <w:spacing w:val="-2"/>
          <w:sz w:val="22"/>
          <w:szCs w:val="22"/>
        </w:rPr>
        <w:t>8</w:t>
      </w:r>
      <w:r w:rsidR="006B54E1" w:rsidRPr="00DF0502">
        <w:rPr>
          <w:rFonts w:ascii="Arial" w:hAnsi="Arial" w:cs="Arial"/>
          <w:b/>
          <w:spacing w:val="-2"/>
          <w:sz w:val="22"/>
          <w:szCs w:val="22"/>
        </w:rPr>
        <w:t>.219</w:t>
      </w:r>
      <w:r w:rsidR="008972DC" w:rsidRPr="00DF0502">
        <w:rPr>
          <w:rFonts w:ascii="Arial" w:hAnsi="Arial" w:cs="Arial"/>
          <w:b/>
          <w:spacing w:val="-2"/>
          <w:sz w:val="22"/>
          <w:szCs w:val="22"/>
        </w:rPr>
        <w:t>.000</w:t>
      </w:r>
      <w:r w:rsidRPr="00DF0502">
        <w:rPr>
          <w:rFonts w:ascii="Arial" w:hAnsi="Arial" w:cs="Arial"/>
          <w:sz w:val="22"/>
          <w:szCs w:val="22"/>
        </w:rPr>
        <w:t>, según datos del programa.</w:t>
      </w:r>
    </w:p>
    <w:p w14:paraId="31F4A6B2" w14:textId="77777777" w:rsidR="00044248" w:rsidRPr="00DF0502" w:rsidRDefault="00044248" w:rsidP="00DF0502">
      <w:pPr>
        <w:pStyle w:val="Vieta"/>
        <w:spacing w:line="240" w:lineRule="auto"/>
        <w:rPr>
          <w:rFonts w:ascii="Arial" w:hAnsi="Arial" w:cs="Arial"/>
          <w:sz w:val="22"/>
          <w:szCs w:val="22"/>
        </w:rPr>
      </w:pPr>
      <w:r w:rsidRPr="00DF0502">
        <w:rPr>
          <w:rFonts w:ascii="Arial" w:hAnsi="Arial" w:cs="Arial"/>
          <w:sz w:val="22"/>
          <w:szCs w:val="22"/>
        </w:rPr>
        <w:t>Los costos se ejecutarán en partes iguales a lo largo de los primeros 5 años.</w:t>
      </w:r>
    </w:p>
    <w:p w14:paraId="11ABB5C9" w14:textId="77777777" w:rsidR="00044248" w:rsidRDefault="00044248" w:rsidP="00DF0502">
      <w:pPr>
        <w:pStyle w:val="Vieta"/>
        <w:spacing w:line="240" w:lineRule="auto"/>
        <w:rPr>
          <w:rFonts w:ascii="Arial" w:hAnsi="Arial" w:cs="Arial"/>
          <w:sz w:val="22"/>
          <w:szCs w:val="22"/>
        </w:rPr>
      </w:pPr>
      <w:r w:rsidRPr="00DF0502">
        <w:rPr>
          <w:rFonts w:ascii="Arial" w:hAnsi="Arial" w:cs="Arial"/>
          <w:sz w:val="22"/>
          <w:szCs w:val="22"/>
        </w:rPr>
        <w:t>El horizonte a partir del cual se calculan beneficios es de 20 años. Luego de transcurrido ese período no se computarán beneficios, aunque es posible que existan. Este supuesto es conservador ya que, de no cumplirse, los beneficios finales serían mayores a los estimados en este análisis.</w:t>
      </w:r>
    </w:p>
    <w:p w14:paraId="03699F90" w14:textId="77777777" w:rsidR="00DF0502" w:rsidRPr="00DF0502" w:rsidRDefault="00DF0502" w:rsidP="00DF0502">
      <w:pPr>
        <w:pStyle w:val="Vieta"/>
        <w:numPr>
          <w:ilvl w:val="0"/>
          <w:numId w:val="0"/>
        </w:numPr>
        <w:spacing w:line="240" w:lineRule="auto"/>
        <w:ind w:left="993"/>
        <w:rPr>
          <w:rFonts w:ascii="Arial" w:hAnsi="Arial" w:cs="Arial"/>
          <w:sz w:val="22"/>
          <w:szCs w:val="22"/>
        </w:rPr>
      </w:pPr>
    </w:p>
    <w:p w14:paraId="061B0BFE" w14:textId="77777777" w:rsidR="00EC433C" w:rsidRPr="00DF0502" w:rsidRDefault="00EC433C" w:rsidP="00DF0502">
      <w:pPr>
        <w:pStyle w:val="Vieta"/>
        <w:numPr>
          <w:ilvl w:val="0"/>
          <w:numId w:val="0"/>
        </w:numPr>
        <w:spacing w:line="240" w:lineRule="auto"/>
        <w:ind w:left="567"/>
        <w:rPr>
          <w:rFonts w:ascii="Arial" w:hAnsi="Arial" w:cs="Arial"/>
          <w:b/>
          <w:sz w:val="22"/>
          <w:szCs w:val="22"/>
          <w:u w:val="single"/>
        </w:rPr>
      </w:pPr>
      <w:r w:rsidRPr="00DF0502">
        <w:rPr>
          <w:rFonts w:ascii="Arial" w:hAnsi="Arial" w:cs="Arial"/>
          <w:b/>
          <w:sz w:val="22"/>
          <w:szCs w:val="22"/>
          <w:u w:val="single"/>
        </w:rPr>
        <w:t>Cálculos</w:t>
      </w:r>
    </w:p>
    <w:p w14:paraId="56A7B6FC" w14:textId="77777777" w:rsidR="00AB4587" w:rsidRDefault="004739E2"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 xml:space="preserve">El primer cálculo necesario para el análisis consiste en la estimación de los beneficios anuales derivados de los ahorros a causa de la reducción </w:t>
      </w:r>
      <w:r w:rsidR="000808D5" w:rsidRPr="00DF0502">
        <w:rPr>
          <w:rFonts w:ascii="Arial" w:hAnsi="Arial" w:cs="Arial"/>
          <w:kern w:val="28"/>
          <w:sz w:val="22"/>
          <w:szCs w:val="22"/>
        </w:rPr>
        <w:t xml:space="preserve">del </w:t>
      </w:r>
      <w:r w:rsidR="008631A5" w:rsidRPr="00DF0502">
        <w:rPr>
          <w:rFonts w:ascii="Arial" w:hAnsi="Arial" w:cs="Arial"/>
          <w:kern w:val="28"/>
          <w:sz w:val="22"/>
          <w:szCs w:val="22"/>
        </w:rPr>
        <w:t>crimen en el valor de las viviendas y en el PIB</w:t>
      </w:r>
      <w:r w:rsidRPr="00DF0502">
        <w:rPr>
          <w:rFonts w:ascii="Arial" w:hAnsi="Arial" w:cs="Arial"/>
          <w:kern w:val="28"/>
          <w:sz w:val="22"/>
          <w:szCs w:val="22"/>
        </w:rPr>
        <w:t xml:space="preserve">. </w:t>
      </w:r>
    </w:p>
    <w:p w14:paraId="7B23C5B9" w14:textId="77777777" w:rsidR="00AB4587" w:rsidRDefault="00AB4587" w:rsidP="00C94B0A">
      <w:pPr>
        <w:pStyle w:val="Paragraph"/>
        <w:numPr>
          <w:ilvl w:val="0"/>
          <w:numId w:val="0"/>
        </w:numPr>
        <w:spacing w:before="0" w:after="0"/>
        <w:ind w:left="567"/>
        <w:rPr>
          <w:rFonts w:ascii="Arial" w:hAnsi="Arial" w:cs="Arial"/>
          <w:kern w:val="28"/>
          <w:sz w:val="22"/>
          <w:szCs w:val="22"/>
        </w:rPr>
      </w:pPr>
    </w:p>
    <w:p w14:paraId="266544CB" w14:textId="77777777" w:rsidR="00AB4587" w:rsidRPr="00C94B0A" w:rsidRDefault="00AB4587" w:rsidP="00C94B0A">
      <w:pPr>
        <w:pStyle w:val="ListParagraph"/>
        <w:numPr>
          <w:ilvl w:val="0"/>
          <w:numId w:val="20"/>
        </w:numPr>
        <w:spacing w:after="0" w:line="240" w:lineRule="auto"/>
        <w:ind w:left="990" w:hanging="450"/>
        <w:jc w:val="both"/>
        <w:rPr>
          <w:rFonts w:ascii="Arial" w:eastAsia="Times New Roman" w:hAnsi="Arial" w:cs="Arial"/>
          <w:color w:val="000000"/>
          <w:lang w:val="es-MX"/>
        </w:rPr>
      </w:pPr>
      <w:r w:rsidRPr="00AB4587">
        <w:rPr>
          <w:rFonts w:ascii="Arial" w:hAnsi="Arial" w:cs="Arial"/>
          <w:lang w:val="es-MX"/>
        </w:rPr>
        <w:t xml:space="preserve">Se dejará de tener pérdidas debido a la reducción de la delincuencia (robos y delitos sexuales) en los barrios intervenidos. Los costos presentados en la Tabla </w:t>
      </w:r>
      <w:r w:rsidR="00A41F5F">
        <w:rPr>
          <w:rFonts w:ascii="Arial" w:hAnsi="Arial" w:cs="Arial"/>
          <w:lang w:val="es-MX"/>
        </w:rPr>
        <w:t>3</w:t>
      </w:r>
      <w:r w:rsidRPr="00AB4587">
        <w:rPr>
          <w:rFonts w:ascii="Arial" w:hAnsi="Arial" w:cs="Arial"/>
          <w:lang w:val="es-MX"/>
        </w:rPr>
        <w:t>: c</w:t>
      </w:r>
      <w:r w:rsidRPr="00AB4587">
        <w:rPr>
          <w:rFonts w:ascii="Arial" w:eastAsia="Times New Roman" w:hAnsi="Arial" w:cs="Arial"/>
          <w:color w:val="000000"/>
          <w:lang w:val="es-MX"/>
        </w:rPr>
        <w:t xml:space="preserve">osto social, </w:t>
      </w:r>
      <w:r w:rsidRPr="00AB4587">
        <w:rPr>
          <w:rFonts w:ascii="Arial" w:hAnsi="Arial" w:cs="Arial"/>
          <w:color w:val="000000"/>
          <w:lang w:val="es-MX"/>
        </w:rPr>
        <w:t xml:space="preserve">costo </w:t>
      </w:r>
      <w:r w:rsidRPr="00AB4587">
        <w:rPr>
          <w:rFonts w:ascii="Arial" w:eastAsia="Times New Roman" w:hAnsi="Arial" w:cs="Arial"/>
          <w:color w:val="000000"/>
          <w:lang w:val="es-MX"/>
        </w:rPr>
        <w:t xml:space="preserve">en medidas de protección y </w:t>
      </w:r>
      <w:r w:rsidRPr="00AB4587">
        <w:rPr>
          <w:rFonts w:ascii="Arial" w:hAnsi="Arial" w:cs="Arial"/>
          <w:color w:val="000000"/>
          <w:lang w:val="es-MX"/>
        </w:rPr>
        <w:t xml:space="preserve">costo </w:t>
      </w:r>
      <w:r w:rsidRPr="00AB4587">
        <w:rPr>
          <w:rFonts w:ascii="Arial" w:eastAsia="Times New Roman" w:hAnsi="Arial" w:cs="Arial"/>
          <w:color w:val="000000"/>
          <w:lang w:val="es-MX"/>
        </w:rPr>
        <w:t>gubernamental, derivado del delito en los barrios,</w:t>
      </w:r>
      <w:r w:rsidRPr="00AB4587">
        <w:rPr>
          <w:rFonts w:ascii="Arial" w:hAnsi="Arial" w:cs="Arial"/>
          <w:color w:val="000000"/>
          <w:lang w:val="es-MX"/>
        </w:rPr>
        <w:t xml:space="preserve"> asciende a la suma de los costos multiplicados por .01, ya que como se explicó en la sección de los supuestos, se supone que en los barrios ocurre el 1% de los robos y delitos sexuales de país. La suma es igual a </w:t>
      </w:r>
      <w:r w:rsidRPr="00C94B0A">
        <w:rPr>
          <w:rFonts w:ascii="Arial" w:eastAsia="Times New Roman" w:hAnsi="Arial" w:cs="Arial"/>
          <w:color w:val="000000"/>
          <w:lang w:val="es-MX"/>
        </w:rPr>
        <w:t>4,253,588</w:t>
      </w:r>
    </w:p>
    <w:p w14:paraId="160CD985" w14:textId="77777777" w:rsidR="00AB4587" w:rsidRPr="00C94B0A" w:rsidRDefault="00AB4587" w:rsidP="00C94B0A">
      <w:pPr>
        <w:spacing w:after="0" w:line="240" w:lineRule="auto"/>
        <w:ind w:left="990" w:hanging="450"/>
        <w:jc w:val="both"/>
        <w:rPr>
          <w:rFonts w:ascii="Arial" w:eastAsia="Times New Roman" w:hAnsi="Arial" w:cs="Arial"/>
          <w:color w:val="000000"/>
          <w:lang w:val="es-MX"/>
        </w:rPr>
      </w:pPr>
    </w:p>
    <w:p w14:paraId="06017885" w14:textId="77777777" w:rsidR="00AB4587" w:rsidRPr="00C94B0A" w:rsidRDefault="00AB4587" w:rsidP="00C94B0A">
      <w:pPr>
        <w:pStyle w:val="ListParagraph"/>
        <w:numPr>
          <w:ilvl w:val="0"/>
          <w:numId w:val="20"/>
        </w:numPr>
        <w:spacing w:after="0" w:line="240" w:lineRule="auto"/>
        <w:ind w:left="990" w:hanging="450"/>
        <w:jc w:val="both"/>
        <w:rPr>
          <w:rFonts w:ascii="Arial" w:eastAsia="Times New Roman" w:hAnsi="Arial" w:cs="Arial"/>
          <w:color w:val="000000"/>
        </w:rPr>
      </w:pPr>
      <w:r w:rsidRPr="00C94B0A">
        <w:rPr>
          <w:rFonts w:ascii="Arial" w:eastAsia="Times New Roman" w:hAnsi="Arial" w:cs="Arial"/>
          <w:color w:val="000000"/>
          <w:lang w:val="es-MX"/>
        </w:rPr>
        <w:t xml:space="preserve">El valor de las viviendas atendidas aumentará, el valor de línea de base es la multiplicación del valor calculado en 15,000 dólares por el número total de viviendas de los barrios intervenidos. La multiplicación es igual a </w:t>
      </w:r>
      <w:r w:rsidRPr="00C94B0A">
        <w:rPr>
          <w:rFonts w:ascii="Arial" w:eastAsia="Times New Roman" w:hAnsi="Arial" w:cs="Arial"/>
          <w:color w:val="000000"/>
        </w:rPr>
        <w:t>42,000,000</w:t>
      </w:r>
    </w:p>
    <w:p w14:paraId="01793873" w14:textId="77777777" w:rsidR="00AB4587" w:rsidRPr="00C94B0A" w:rsidRDefault="00AB4587" w:rsidP="00C94B0A">
      <w:pPr>
        <w:spacing w:after="0" w:line="240" w:lineRule="auto"/>
        <w:ind w:left="990" w:hanging="450"/>
        <w:jc w:val="both"/>
        <w:rPr>
          <w:rFonts w:ascii="Arial" w:eastAsia="Times New Roman" w:hAnsi="Arial" w:cs="Arial"/>
          <w:color w:val="000000"/>
          <w:lang w:val="es-MX"/>
        </w:rPr>
      </w:pPr>
    </w:p>
    <w:p w14:paraId="227734BF" w14:textId="77777777" w:rsidR="00AB4587" w:rsidRPr="00C94B0A" w:rsidRDefault="00AB4587" w:rsidP="00C94B0A">
      <w:pPr>
        <w:pStyle w:val="ListParagraph"/>
        <w:numPr>
          <w:ilvl w:val="0"/>
          <w:numId w:val="20"/>
        </w:numPr>
        <w:spacing w:after="0" w:line="240" w:lineRule="auto"/>
        <w:ind w:left="990" w:hanging="450"/>
        <w:jc w:val="both"/>
        <w:rPr>
          <w:rFonts w:ascii="Arial" w:eastAsia="Times New Roman" w:hAnsi="Arial" w:cs="Arial"/>
          <w:color w:val="000000"/>
          <w:lang w:val="es-MX"/>
        </w:rPr>
      </w:pPr>
      <w:r w:rsidRPr="00C94B0A">
        <w:rPr>
          <w:rFonts w:ascii="Arial" w:eastAsia="Times New Roman" w:hAnsi="Arial" w:cs="Arial"/>
          <w:color w:val="000000"/>
          <w:lang w:val="es-MX"/>
        </w:rPr>
        <w:t xml:space="preserve">Por lo tanto, los beneficios equivalen al ahorro que se obtendrá de reducir los costos y aumentar el valor de las viviendas, los cuales se estiman de acuerdo a los efectos esperados presentados en la Tabla </w:t>
      </w:r>
      <w:r w:rsidR="00A41F5F">
        <w:rPr>
          <w:rFonts w:ascii="Arial" w:eastAsia="Times New Roman" w:hAnsi="Arial" w:cs="Arial"/>
          <w:color w:val="000000"/>
          <w:lang w:val="es-MX"/>
        </w:rPr>
        <w:t>4</w:t>
      </w:r>
      <w:r w:rsidRPr="00C94B0A">
        <w:rPr>
          <w:rFonts w:ascii="Arial" w:eastAsia="Times New Roman" w:hAnsi="Arial" w:cs="Arial"/>
          <w:color w:val="000000"/>
          <w:lang w:val="es-MX"/>
        </w:rPr>
        <w:t xml:space="preserve">. </w:t>
      </w:r>
      <w:r w:rsidR="00FC154E">
        <w:rPr>
          <w:rFonts w:ascii="Arial" w:eastAsia="Times New Roman" w:hAnsi="Arial" w:cs="Arial"/>
          <w:color w:val="000000"/>
          <w:lang w:val="es-MX"/>
        </w:rPr>
        <w:t>Los beneficios anuales se presentan en la Tabla 5.</w:t>
      </w:r>
    </w:p>
    <w:p w14:paraId="522F5A3B" w14:textId="77777777" w:rsidR="00AB4587" w:rsidRPr="00C94B0A" w:rsidRDefault="00AB4587" w:rsidP="00AB4587">
      <w:pPr>
        <w:spacing w:after="0" w:line="240" w:lineRule="auto"/>
        <w:jc w:val="both"/>
        <w:rPr>
          <w:rFonts w:ascii="Arial" w:eastAsia="Times New Roman" w:hAnsi="Arial" w:cs="Arial"/>
          <w:color w:val="000000"/>
          <w:lang w:val="es-MX"/>
        </w:rPr>
      </w:pPr>
    </w:p>
    <w:p w14:paraId="7DA55C6A" w14:textId="77777777" w:rsidR="00AB4587" w:rsidRPr="00C94B0A" w:rsidRDefault="004F2CD7" w:rsidP="00AB4587">
      <w:pPr>
        <w:spacing w:after="0" w:line="240" w:lineRule="auto"/>
        <w:jc w:val="both"/>
        <w:rPr>
          <w:rFonts w:ascii="Arial" w:eastAsia="Times New Roman" w:hAnsi="Arial" w:cs="Arial"/>
          <w:b/>
          <w:color w:val="000000"/>
          <w:lang w:val="es-MX"/>
        </w:rPr>
      </w:pPr>
      <w:r w:rsidRPr="00C94B0A">
        <w:rPr>
          <w:rFonts w:ascii="Arial" w:eastAsia="Times New Roman" w:hAnsi="Arial" w:cs="Arial"/>
          <w:b/>
          <w:color w:val="000000"/>
          <w:lang w:val="es-MX"/>
        </w:rPr>
        <w:t xml:space="preserve">Tabla </w:t>
      </w:r>
      <w:r w:rsidR="00C5735D">
        <w:rPr>
          <w:rFonts w:ascii="Arial" w:eastAsia="Times New Roman" w:hAnsi="Arial" w:cs="Arial"/>
          <w:b/>
          <w:color w:val="000000"/>
          <w:lang w:val="es-MX"/>
        </w:rPr>
        <w:t>5</w:t>
      </w:r>
      <w:r w:rsidRPr="00C94B0A">
        <w:rPr>
          <w:rFonts w:ascii="Arial" w:eastAsia="Times New Roman" w:hAnsi="Arial" w:cs="Arial"/>
          <w:b/>
          <w:color w:val="000000"/>
          <w:lang w:val="es-MX"/>
        </w:rPr>
        <w:t>. Beneficios</w:t>
      </w:r>
    </w:p>
    <w:tbl>
      <w:tblPr>
        <w:tblStyle w:val="TableGrid"/>
        <w:tblW w:w="8545" w:type="dxa"/>
        <w:tblLook w:val="04A0" w:firstRow="1" w:lastRow="0" w:firstColumn="1" w:lastColumn="0" w:noHBand="0" w:noVBand="1"/>
      </w:tblPr>
      <w:tblGrid>
        <w:gridCol w:w="3325"/>
        <w:gridCol w:w="5220"/>
      </w:tblGrid>
      <w:tr w:rsidR="00AB4587" w:rsidRPr="00AB4587" w14:paraId="75BEFC77" w14:textId="77777777" w:rsidTr="00E271EA">
        <w:trPr>
          <w:trHeight w:val="364"/>
        </w:trPr>
        <w:tc>
          <w:tcPr>
            <w:tcW w:w="3325" w:type="dxa"/>
          </w:tcPr>
          <w:p w14:paraId="4BD741E6" w14:textId="77777777" w:rsidR="00AB4587" w:rsidRPr="00C94B0A" w:rsidRDefault="00AB4587" w:rsidP="00E271EA">
            <w:pPr>
              <w:spacing w:after="0" w:line="240" w:lineRule="auto"/>
              <w:jc w:val="both"/>
              <w:rPr>
                <w:rFonts w:ascii="Arial" w:eastAsia="Times New Roman" w:hAnsi="Arial" w:cs="Arial"/>
                <w:color w:val="000000"/>
                <w:lang w:val="es-MX"/>
              </w:rPr>
            </w:pPr>
            <w:r w:rsidRPr="00C94B0A">
              <w:rPr>
                <w:rFonts w:ascii="Arial" w:eastAsia="Times New Roman" w:hAnsi="Arial" w:cs="Arial"/>
                <w:color w:val="000000"/>
                <w:lang w:val="es-MX"/>
              </w:rPr>
              <w:t>Beneficios año 4</w:t>
            </w:r>
          </w:p>
        </w:tc>
        <w:tc>
          <w:tcPr>
            <w:tcW w:w="5220" w:type="dxa"/>
          </w:tcPr>
          <w:p w14:paraId="1C07E3E8" w14:textId="77777777" w:rsidR="00AB4587" w:rsidRPr="00C94B0A" w:rsidRDefault="00AB4587" w:rsidP="00E271EA">
            <w:pPr>
              <w:spacing w:after="0" w:line="240" w:lineRule="auto"/>
              <w:jc w:val="both"/>
              <w:rPr>
                <w:rFonts w:ascii="Arial" w:eastAsia="Times New Roman" w:hAnsi="Arial" w:cs="Arial"/>
                <w:color w:val="000000"/>
              </w:rPr>
            </w:pPr>
            <w:r w:rsidRPr="00C94B0A">
              <w:rPr>
                <w:rFonts w:ascii="Arial" w:eastAsia="Times New Roman" w:hAnsi="Arial" w:cs="Arial"/>
                <w:color w:val="000000"/>
                <w:lang w:val="es-MX"/>
              </w:rPr>
              <w:t>4,253,588</w:t>
            </w:r>
            <w:r w:rsidRPr="00C94B0A">
              <w:rPr>
                <w:rFonts w:ascii="Arial" w:eastAsia="Times New Roman" w:hAnsi="Arial" w:cs="Arial"/>
                <w:color w:val="000000"/>
              </w:rPr>
              <w:t>*(.11) + 42,000,000*(.03) =</w:t>
            </w:r>
            <w:r w:rsidRPr="00C94B0A">
              <w:rPr>
                <w:rFonts w:ascii="Arial" w:hAnsi="Arial" w:cs="Arial"/>
                <w:color w:val="000000"/>
              </w:rPr>
              <w:t xml:space="preserve"> 1,727,895</w:t>
            </w:r>
          </w:p>
        </w:tc>
      </w:tr>
      <w:tr w:rsidR="00AB4587" w:rsidRPr="00AB4587" w14:paraId="0AE5AA5F" w14:textId="77777777" w:rsidTr="00E271EA">
        <w:tc>
          <w:tcPr>
            <w:tcW w:w="3325" w:type="dxa"/>
          </w:tcPr>
          <w:p w14:paraId="3AE8627B" w14:textId="77777777" w:rsidR="00AB4587" w:rsidRPr="00C94B0A" w:rsidRDefault="00AB4587" w:rsidP="00E271EA">
            <w:pPr>
              <w:spacing w:after="0" w:line="240" w:lineRule="auto"/>
              <w:jc w:val="both"/>
              <w:rPr>
                <w:rFonts w:ascii="Arial" w:eastAsia="Times New Roman" w:hAnsi="Arial" w:cs="Arial"/>
                <w:color w:val="000000"/>
                <w:lang w:val="es-MX"/>
              </w:rPr>
            </w:pPr>
            <w:r w:rsidRPr="00C94B0A">
              <w:rPr>
                <w:rFonts w:ascii="Arial" w:eastAsia="Times New Roman" w:hAnsi="Arial" w:cs="Arial"/>
                <w:color w:val="000000"/>
                <w:lang w:val="es-MX"/>
              </w:rPr>
              <w:t>Beneficios año 5 y posteriores</w:t>
            </w:r>
          </w:p>
        </w:tc>
        <w:tc>
          <w:tcPr>
            <w:tcW w:w="5220" w:type="dxa"/>
          </w:tcPr>
          <w:p w14:paraId="0016EF44" w14:textId="77777777" w:rsidR="00AB4587" w:rsidRPr="00C94B0A" w:rsidRDefault="00AB4587" w:rsidP="00E271EA">
            <w:pPr>
              <w:spacing w:after="0" w:line="240" w:lineRule="auto"/>
              <w:jc w:val="both"/>
              <w:rPr>
                <w:rFonts w:ascii="Arial" w:eastAsia="Times New Roman" w:hAnsi="Arial" w:cs="Arial"/>
                <w:color w:val="000000"/>
                <w:lang w:val="es-MX"/>
              </w:rPr>
            </w:pPr>
            <w:r w:rsidRPr="00C94B0A">
              <w:rPr>
                <w:rFonts w:ascii="Arial" w:eastAsia="Times New Roman" w:hAnsi="Arial" w:cs="Arial"/>
                <w:color w:val="000000"/>
                <w:lang w:val="es-MX"/>
              </w:rPr>
              <w:t>4,253,588</w:t>
            </w:r>
            <w:r w:rsidRPr="00C94B0A">
              <w:rPr>
                <w:rFonts w:ascii="Arial" w:eastAsia="Times New Roman" w:hAnsi="Arial" w:cs="Arial"/>
                <w:color w:val="000000"/>
              </w:rPr>
              <w:t xml:space="preserve">*(.28) + 42,000,000*(.06) = </w:t>
            </w:r>
            <w:r w:rsidRPr="00C94B0A">
              <w:rPr>
                <w:rFonts w:ascii="Arial" w:hAnsi="Arial" w:cs="Arial"/>
                <w:color w:val="000000"/>
              </w:rPr>
              <w:t>3,711,005</w:t>
            </w:r>
          </w:p>
        </w:tc>
      </w:tr>
    </w:tbl>
    <w:p w14:paraId="27C5A780" w14:textId="77777777" w:rsidR="00AB4587" w:rsidRDefault="00AB4587" w:rsidP="00C94B0A">
      <w:pPr>
        <w:pStyle w:val="Paragraph"/>
        <w:numPr>
          <w:ilvl w:val="0"/>
          <w:numId w:val="0"/>
        </w:numPr>
        <w:spacing w:before="0" w:after="0"/>
        <w:ind w:left="567"/>
        <w:rPr>
          <w:rFonts w:ascii="Arial" w:hAnsi="Arial" w:cs="Arial"/>
          <w:kern w:val="28"/>
          <w:sz w:val="22"/>
          <w:szCs w:val="22"/>
        </w:rPr>
      </w:pPr>
    </w:p>
    <w:p w14:paraId="64B7A857" w14:textId="77777777" w:rsidR="00AB4587" w:rsidRDefault="00AB4587" w:rsidP="00C94B0A">
      <w:pPr>
        <w:pStyle w:val="Paragraph"/>
        <w:numPr>
          <w:ilvl w:val="0"/>
          <w:numId w:val="0"/>
        </w:numPr>
        <w:spacing w:before="0" w:after="0"/>
        <w:ind w:left="567"/>
        <w:rPr>
          <w:rFonts w:ascii="Arial" w:hAnsi="Arial" w:cs="Arial"/>
          <w:kern w:val="28"/>
          <w:sz w:val="22"/>
          <w:szCs w:val="22"/>
        </w:rPr>
      </w:pPr>
    </w:p>
    <w:p w14:paraId="74C20D3C" w14:textId="77777777" w:rsidR="004739E2" w:rsidRPr="00DF0502" w:rsidRDefault="004739E2"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 xml:space="preserve">Luego, esta fórmula será replicada para cada año aplicándose sobre ella una tasa de descuento del 12%. Para estimar los beneficios totales se debe tener en cuenta </w:t>
      </w:r>
      <w:r w:rsidRPr="00DF0502">
        <w:rPr>
          <w:rFonts w:ascii="Arial" w:hAnsi="Arial" w:cs="Arial"/>
          <w:kern w:val="28"/>
          <w:sz w:val="22"/>
          <w:szCs w:val="22"/>
        </w:rPr>
        <w:lastRenderedPageBreak/>
        <w:t xml:space="preserve">el supuesto de 20 años durante los cuales se consideran los efectos del subcomponente. </w:t>
      </w:r>
      <w:r w:rsidR="008631A5" w:rsidRPr="00DF0502">
        <w:rPr>
          <w:rFonts w:ascii="Arial" w:hAnsi="Arial" w:cs="Arial"/>
          <w:kern w:val="28"/>
          <w:sz w:val="22"/>
          <w:szCs w:val="22"/>
        </w:rPr>
        <w:t>L</w:t>
      </w:r>
      <w:r w:rsidRPr="00DF0502">
        <w:rPr>
          <w:rFonts w:ascii="Arial" w:hAnsi="Arial" w:cs="Arial"/>
          <w:kern w:val="28"/>
          <w:sz w:val="22"/>
          <w:szCs w:val="22"/>
        </w:rPr>
        <w:t>os beneficios totales se calcula</w:t>
      </w:r>
      <w:r w:rsidR="008631A5" w:rsidRPr="00DF0502">
        <w:rPr>
          <w:rFonts w:ascii="Arial" w:hAnsi="Arial" w:cs="Arial"/>
          <w:kern w:val="28"/>
          <w:sz w:val="22"/>
          <w:szCs w:val="22"/>
        </w:rPr>
        <w:t>n</w:t>
      </w:r>
      <w:r w:rsidRPr="00DF0502">
        <w:rPr>
          <w:rFonts w:ascii="Arial" w:hAnsi="Arial" w:cs="Arial"/>
          <w:kern w:val="28"/>
          <w:sz w:val="22"/>
          <w:szCs w:val="22"/>
        </w:rPr>
        <w:t xml:space="preserve"> mediante la siguiente fórmula:</w:t>
      </w:r>
    </w:p>
    <w:p w14:paraId="5382ABC2" w14:textId="77777777" w:rsidR="004739E2" w:rsidRPr="00DF0502" w:rsidRDefault="005E2C3D" w:rsidP="00DF0502">
      <w:pPr>
        <w:spacing w:after="0" w:line="240" w:lineRule="auto"/>
        <w:ind w:left="567" w:hanging="567"/>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57042025" w14:textId="77777777" w:rsidR="00EC433C" w:rsidRDefault="004739E2" w:rsidP="00DF0502">
      <w:pPr>
        <w:pStyle w:val="Paragraph"/>
        <w:numPr>
          <w:ilvl w:val="0"/>
          <w:numId w:val="0"/>
        </w:numPr>
        <w:spacing w:before="0" w:after="0"/>
        <w:ind w:left="567"/>
        <w:rPr>
          <w:rFonts w:ascii="Arial" w:hAnsi="Arial" w:cs="Arial"/>
          <w:sz w:val="22"/>
          <w:szCs w:val="22"/>
        </w:rPr>
      </w:pPr>
      <w:r w:rsidRPr="00DF0502">
        <w:rPr>
          <w:rFonts w:ascii="Arial" w:hAnsi="Arial" w:cs="Arial"/>
          <w:sz w:val="22"/>
          <w:szCs w:val="22"/>
        </w:rPr>
        <w:t xml:space="preserve">donde </w:t>
      </w:r>
      <m:oMath>
        <m:r>
          <w:rPr>
            <w:rFonts w:ascii="Cambria Math" w:hAnsi="Cambria Math" w:cs="Arial"/>
            <w:sz w:val="22"/>
            <w:szCs w:val="22"/>
          </w:rPr>
          <m:t>I</m:t>
        </m:r>
      </m:oMath>
      <w:r w:rsidRPr="00DF0502">
        <w:rPr>
          <w:rFonts w:ascii="Arial" w:hAnsi="Arial" w:cs="Arial"/>
          <w:i/>
          <w:sz w:val="22"/>
          <w:szCs w:val="22"/>
        </w:rPr>
        <w:t xml:space="preserve"> </w:t>
      </w:r>
      <w:r w:rsidRPr="00DF0502">
        <w:rPr>
          <w:rFonts w:ascii="Arial" w:hAnsi="Arial" w:cs="Arial"/>
          <w:sz w:val="22"/>
          <w:szCs w:val="22"/>
        </w:rPr>
        <w:t>se</w:t>
      </w:r>
      <w:r w:rsidRPr="00DF0502">
        <w:rPr>
          <w:rFonts w:ascii="Arial" w:hAnsi="Arial" w:cs="Arial"/>
          <w:i/>
          <w:sz w:val="22"/>
          <w:szCs w:val="22"/>
        </w:rPr>
        <w:t xml:space="preserve"> </w:t>
      </w:r>
      <w:r w:rsidRPr="00DF0502">
        <w:rPr>
          <w:rFonts w:ascii="Arial" w:hAnsi="Arial" w:cs="Arial"/>
          <w:sz w:val="22"/>
          <w:szCs w:val="22"/>
        </w:rPr>
        <w:t xml:space="preserve">refiere a que los beneficios generados por el </w:t>
      </w:r>
      <w:r w:rsidR="000808D5" w:rsidRPr="00DF0502">
        <w:rPr>
          <w:rFonts w:ascii="Arial" w:hAnsi="Arial" w:cs="Arial"/>
          <w:sz w:val="22"/>
          <w:szCs w:val="22"/>
        </w:rPr>
        <w:t>Componente I</w:t>
      </w:r>
      <w:r w:rsidRPr="00DF0502">
        <w:rPr>
          <w:rFonts w:ascii="Arial" w:hAnsi="Arial" w:cs="Arial"/>
          <w:sz w:val="22"/>
          <w:szCs w:val="22"/>
        </w:rPr>
        <w:t xml:space="preserve">, </w:t>
      </w:r>
      <m:oMath>
        <m:r>
          <w:rPr>
            <w:rFonts w:ascii="Cambria Math" w:hAnsi="Cambria Math" w:cs="Arial"/>
            <w:sz w:val="22"/>
            <w:szCs w:val="22"/>
          </w:rPr>
          <m:t>B</m:t>
        </m:r>
      </m:oMath>
      <w:r w:rsidRPr="00DF0502">
        <w:rPr>
          <w:rFonts w:ascii="Arial" w:hAnsi="Arial" w:cs="Arial"/>
          <w:sz w:val="22"/>
          <w:szCs w:val="22"/>
        </w:rPr>
        <w:t xml:space="preserve"> denota los beneficios y </w:t>
      </w:r>
      <m:oMath>
        <m:r>
          <w:rPr>
            <w:rFonts w:ascii="Cambria Math" w:hAnsi="Cambria Math" w:cs="Arial"/>
            <w:sz w:val="22"/>
            <w:szCs w:val="22"/>
          </w:rPr>
          <m:t>t</m:t>
        </m:r>
      </m:oMath>
      <w:r w:rsidRPr="00DF0502">
        <w:rPr>
          <w:rFonts w:ascii="Arial" w:hAnsi="Arial" w:cs="Arial"/>
          <w:sz w:val="22"/>
          <w:szCs w:val="22"/>
        </w:rPr>
        <w:t xml:space="preserve"> indica el año corriente.</w:t>
      </w:r>
    </w:p>
    <w:p w14:paraId="54521025" w14:textId="77777777" w:rsidR="004A3071" w:rsidRPr="00DF0502" w:rsidRDefault="004A3071" w:rsidP="00DF0502">
      <w:pPr>
        <w:pStyle w:val="Paragraph"/>
        <w:numPr>
          <w:ilvl w:val="0"/>
          <w:numId w:val="0"/>
        </w:numPr>
        <w:spacing w:before="0" w:after="0"/>
        <w:ind w:left="567"/>
        <w:rPr>
          <w:rFonts w:ascii="Arial" w:eastAsia="Calibri" w:hAnsi="Arial" w:cs="Arial"/>
          <w:sz w:val="22"/>
          <w:szCs w:val="22"/>
        </w:rPr>
      </w:pPr>
    </w:p>
    <w:p w14:paraId="6B423A13" w14:textId="77777777" w:rsidR="004A3071" w:rsidRPr="00DF0502" w:rsidRDefault="004A3071" w:rsidP="004A3071">
      <w:pPr>
        <w:pStyle w:val="Paragraph"/>
        <w:numPr>
          <w:ilvl w:val="1"/>
          <w:numId w:val="1"/>
        </w:numPr>
        <w:spacing w:before="0" w:after="0"/>
        <w:rPr>
          <w:rFonts w:ascii="Arial" w:hAnsi="Arial" w:cs="Arial"/>
          <w:sz w:val="22"/>
          <w:szCs w:val="22"/>
        </w:rPr>
      </w:pPr>
      <w:r w:rsidRPr="00DF0502">
        <w:rPr>
          <w:rFonts w:ascii="Arial" w:hAnsi="Arial" w:cs="Arial"/>
          <w:sz w:val="22"/>
          <w:szCs w:val="22"/>
        </w:rPr>
        <w:t>Los costos de operación se calculan como el valor presente del flujo de gastos del proyecto. La fórmula utilizada es:</w:t>
      </w:r>
    </w:p>
    <w:p w14:paraId="66BAD48D" w14:textId="77777777" w:rsidR="004A3071" w:rsidRPr="00DF0502" w:rsidRDefault="005E2C3D" w:rsidP="004A3071">
      <w:pPr>
        <w:spacing w:after="0" w:line="240" w:lineRule="auto"/>
        <w:ind w:left="567" w:hanging="567"/>
        <w:jc w:val="center"/>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2879038F" w14:textId="77777777" w:rsidR="004A3071" w:rsidRDefault="004A3071" w:rsidP="004A3071">
      <w:pPr>
        <w:pStyle w:val="Paragraph"/>
        <w:numPr>
          <w:ilvl w:val="0"/>
          <w:numId w:val="0"/>
        </w:numPr>
        <w:spacing w:before="0" w:after="0"/>
        <w:ind w:left="567"/>
        <w:rPr>
          <w:rFonts w:ascii="Arial" w:hAnsi="Arial" w:cs="Arial"/>
          <w:sz w:val="22"/>
          <w:szCs w:val="22"/>
        </w:rPr>
      </w:pPr>
      <w:r w:rsidRPr="00DF0502">
        <w:rPr>
          <w:rFonts w:ascii="Arial" w:hAnsi="Arial" w:cs="Arial"/>
          <w:sz w:val="22"/>
          <w:szCs w:val="22"/>
        </w:rPr>
        <w:t>donde g es el gasto anual para Componente I, t denota el periodo corriente. El costo total es de US$18,219.000.</w:t>
      </w:r>
    </w:p>
    <w:p w14:paraId="458A52BA" w14:textId="77777777" w:rsidR="004A3071" w:rsidRDefault="004A3071" w:rsidP="00C94B0A">
      <w:pPr>
        <w:pStyle w:val="Paragraph"/>
        <w:numPr>
          <w:ilvl w:val="0"/>
          <w:numId w:val="0"/>
        </w:numPr>
        <w:spacing w:before="0" w:after="0"/>
        <w:ind w:left="567"/>
        <w:rPr>
          <w:rFonts w:ascii="Arial" w:hAnsi="Arial" w:cs="Arial"/>
          <w:sz w:val="22"/>
          <w:szCs w:val="22"/>
        </w:rPr>
      </w:pPr>
    </w:p>
    <w:p w14:paraId="669471E0" w14:textId="77777777" w:rsidR="004A3071" w:rsidRDefault="004A3071">
      <w:pPr>
        <w:pStyle w:val="Paragraph"/>
        <w:numPr>
          <w:ilvl w:val="0"/>
          <w:numId w:val="0"/>
        </w:numPr>
        <w:spacing w:before="0" w:after="0"/>
        <w:ind w:left="567"/>
        <w:rPr>
          <w:rFonts w:ascii="Arial" w:hAnsi="Arial" w:cs="Arial"/>
          <w:sz w:val="22"/>
          <w:szCs w:val="22"/>
        </w:rPr>
      </w:pPr>
    </w:p>
    <w:p w14:paraId="67E18314" w14:textId="77777777" w:rsidR="00DF0502" w:rsidRDefault="00DF0502" w:rsidP="00C94B0A">
      <w:pPr>
        <w:pStyle w:val="Paragraph"/>
        <w:numPr>
          <w:ilvl w:val="0"/>
          <w:numId w:val="0"/>
        </w:numPr>
        <w:spacing w:before="0" w:after="0"/>
        <w:rPr>
          <w:rFonts w:ascii="Arial" w:hAnsi="Arial" w:cs="Arial"/>
          <w:sz w:val="22"/>
          <w:szCs w:val="22"/>
        </w:rPr>
      </w:pPr>
    </w:p>
    <w:p w14:paraId="516E74E6" w14:textId="77777777" w:rsidR="005459C3" w:rsidRDefault="005459C3" w:rsidP="00C94B0A">
      <w:pPr>
        <w:pStyle w:val="Paragraph"/>
        <w:numPr>
          <w:ilvl w:val="0"/>
          <w:numId w:val="0"/>
        </w:numPr>
        <w:spacing w:before="0" w:after="0"/>
        <w:rPr>
          <w:rFonts w:ascii="Arial" w:hAnsi="Arial" w:cs="Arial"/>
          <w:sz w:val="22"/>
          <w:szCs w:val="22"/>
        </w:rPr>
      </w:pPr>
    </w:p>
    <w:p w14:paraId="7D3E9100" w14:textId="77777777" w:rsidR="00DF0502" w:rsidRPr="00AB4587" w:rsidRDefault="00AB4587" w:rsidP="00C94B0A">
      <w:pPr>
        <w:pStyle w:val="Paragraph"/>
        <w:numPr>
          <w:ilvl w:val="0"/>
          <w:numId w:val="0"/>
        </w:numPr>
        <w:spacing w:before="0" w:after="0"/>
        <w:rPr>
          <w:rFonts w:ascii="Arial" w:eastAsia="Calibri" w:hAnsi="Arial" w:cs="Arial"/>
          <w:b/>
          <w:sz w:val="22"/>
          <w:szCs w:val="22"/>
          <w:u w:val="single"/>
        </w:rPr>
      </w:pPr>
      <w:r w:rsidRPr="00C94B0A">
        <w:rPr>
          <w:rFonts w:ascii="Arial" w:hAnsi="Arial" w:cs="Arial"/>
          <w:b/>
          <w:u w:val="single"/>
        </w:rPr>
        <w:t>C</w:t>
      </w:r>
      <w:r w:rsidR="00044248" w:rsidRPr="00AB4587">
        <w:rPr>
          <w:rFonts w:ascii="Arial" w:eastAsia="Calibri" w:hAnsi="Arial" w:cs="Arial"/>
          <w:b/>
          <w:sz w:val="22"/>
          <w:szCs w:val="22"/>
          <w:u w:val="single"/>
        </w:rPr>
        <w:t>OMPONENTE II</w:t>
      </w:r>
    </w:p>
    <w:p w14:paraId="644D9F57" w14:textId="77777777" w:rsidR="00DF0502" w:rsidRPr="00DF0502" w:rsidRDefault="00DF0502" w:rsidP="00DF0502">
      <w:pPr>
        <w:pStyle w:val="Paragraph"/>
        <w:numPr>
          <w:ilvl w:val="0"/>
          <w:numId w:val="0"/>
        </w:numPr>
        <w:spacing w:before="0" w:after="0"/>
        <w:ind w:left="567"/>
        <w:rPr>
          <w:rFonts w:ascii="Arial" w:eastAsia="Calibri" w:hAnsi="Arial" w:cs="Arial"/>
          <w:b/>
          <w:sz w:val="22"/>
          <w:szCs w:val="22"/>
          <w:u w:val="single"/>
        </w:rPr>
      </w:pPr>
    </w:p>
    <w:p w14:paraId="10E6ADA4" w14:textId="77777777" w:rsidR="00EC433C" w:rsidRDefault="00EC433C" w:rsidP="00DF0502">
      <w:pPr>
        <w:pStyle w:val="Paragraph"/>
        <w:numPr>
          <w:ilvl w:val="1"/>
          <w:numId w:val="1"/>
        </w:numPr>
        <w:spacing w:before="0" w:after="0"/>
        <w:rPr>
          <w:rFonts w:ascii="Arial" w:eastAsia="Calibri" w:hAnsi="Arial" w:cs="Arial"/>
          <w:sz w:val="22"/>
          <w:szCs w:val="22"/>
        </w:rPr>
      </w:pPr>
      <w:r w:rsidRPr="00DF0502">
        <w:rPr>
          <w:rFonts w:ascii="Arial" w:eastAsia="Calibri" w:hAnsi="Arial" w:cs="Arial"/>
          <w:b/>
          <w:sz w:val="22"/>
          <w:szCs w:val="22"/>
        </w:rPr>
        <w:t>Componente 2</w:t>
      </w:r>
      <w:r w:rsidR="000348C6" w:rsidRPr="00DF0502">
        <w:rPr>
          <w:rFonts w:ascii="Arial" w:eastAsia="Calibri" w:hAnsi="Arial" w:cs="Arial"/>
          <w:b/>
          <w:sz w:val="22"/>
          <w:szCs w:val="22"/>
        </w:rPr>
        <w:t>.</w:t>
      </w:r>
      <w:r w:rsidRPr="00DF0502">
        <w:rPr>
          <w:rFonts w:ascii="Arial" w:eastAsia="Calibri" w:hAnsi="Arial" w:cs="Arial"/>
          <w:b/>
          <w:sz w:val="22"/>
          <w:szCs w:val="22"/>
        </w:rPr>
        <w:t xml:space="preserve"> Atención y servicio al ciudadano en materia de convivencia ciudadana en municipios</w:t>
      </w:r>
      <w:r w:rsidRPr="00DF0502">
        <w:rPr>
          <w:rFonts w:ascii="Arial" w:eastAsia="Calibri" w:hAnsi="Arial" w:cs="Arial"/>
          <w:b/>
          <w:sz w:val="22"/>
          <w:szCs w:val="22"/>
          <w:vertAlign w:val="superscript"/>
        </w:rPr>
        <w:footnoteReference w:id="9"/>
      </w:r>
      <w:r w:rsidRPr="00DF0502">
        <w:rPr>
          <w:rFonts w:ascii="Arial" w:eastAsia="Calibri" w:hAnsi="Arial" w:cs="Arial"/>
          <w:b/>
          <w:sz w:val="22"/>
          <w:szCs w:val="22"/>
        </w:rPr>
        <w:t xml:space="preserve"> (US$22</w:t>
      </w:r>
      <w:r w:rsidR="00C8789E" w:rsidRPr="00DF0502">
        <w:rPr>
          <w:rFonts w:ascii="Arial" w:eastAsia="Calibri" w:hAnsi="Arial" w:cs="Arial"/>
          <w:b/>
          <w:sz w:val="22"/>
          <w:szCs w:val="22"/>
        </w:rPr>
        <w:t>.</w:t>
      </w:r>
      <w:r w:rsidR="000348C6" w:rsidRPr="00DF0502">
        <w:rPr>
          <w:rFonts w:ascii="Arial" w:eastAsia="Calibri" w:hAnsi="Arial" w:cs="Arial"/>
          <w:b/>
          <w:sz w:val="22"/>
          <w:szCs w:val="22"/>
        </w:rPr>
        <w:t>000</w:t>
      </w:r>
      <w:r w:rsidR="00C8789E" w:rsidRPr="00DF0502">
        <w:rPr>
          <w:rFonts w:ascii="Arial" w:eastAsia="Calibri" w:hAnsi="Arial" w:cs="Arial"/>
          <w:b/>
          <w:sz w:val="22"/>
          <w:szCs w:val="22"/>
        </w:rPr>
        <w:t>.</w:t>
      </w:r>
      <w:r w:rsidR="004F7AFE" w:rsidRPr="00DF0502">
        <w:rPr>
          <w:rFonts w:ascii="Arial" w:eastAsia="Calibri" w:hAnsi="Arial" w:cs="Arial"/>
          <w:b/>
          <w:sz w:val="22"/>
          <w:szCs w:val="22"/>
        </w:rPr>
        <w:t>000</w:t>
      </w:r>
      <w:r w:rsidRPr="00DF0502">
        <w:rPr>
          <w:rFonts w:ascii="Arial" w:eastAsia="Calibri" w:hAnsi="Arial" w:cs="Arial"/>
          <w:b/>
          <w:sz w:val="22"/>
          <w:szCs w:val="22"/>
        </w:rPr>
        <w:t>).</w:t>
      </w:r>
      <w:r w:rsidRPr="00DF0502">
        <w:rPr>
          <w:rFonts w:ascii="Arial" w:eastAsia="Calibri" w:hAnsi="Arial" w:cs="Arial"/>
          <w:sz w:val="22"/>
          <w:szCs w:val="22"/>
        </w:rPr>
        <w:t xml:space="preserve"> Con el objetivo de mejorar la calidad de los servicios</w:t>
      </w:r>
      <w:r w:rsidR="000348C6" w:rsidRPr="00DF0502">
        <w:rPr>
          <w:rFonts w:ascii="Arial" w:eastAsia="Calibri" w:hAnsi="Arial" w:cs="Arial"/>
          <w:sz w:val="22"/>
          <w:szCs w:val="22"/>
        </w:rPr>
        <w:t xml:space="preserve"> al ciudadano</w:t>
      </w:r>
      <w:r w:rsidRPr="00DF0502">
        <w:rPr>
          <w:rFonts w:ascii="Arial" w:eastAsia="Calibri" w:hAnsi="Arial" w:cs="Arial"/>
          <w:sz w:val="22"/>
          <w:szCs w:val="22"/>
        </w:rPr>
        <w:t xml:space="preserve"> de prevención social de violencia</w:t>
      </w:r>
      <w:r w:rsidR="000348C6" w:rsidRPr="00DF0502">
        <w:rPr>
          <w:rFonts w:ascii="Arial" w:eastAsia="Calibri" w:hAnsi="Arial" w:cs="Arial"/>
          <w:sz w:val="22"/>
          <w:szCs w:val="22"/>
        </w:rPr>
        <w:t xml:space="preserve"> y control de delitos</w:t>
      </w:r>
      <w:r w:rsidRPr="00DF0502">
        <w:rPr>
          <w:rFonts w:ascii="Arial" w:eastAsia="Calibri" w:hAnsi="Arial" w:cs="Arial"/>
          <w:sz w:val="22"/>
          <w:szCs w:val="22"/>
        </w:rPr>
        <w:t xml:space="preserve"> y brindar una atención oportuna a las víctimas de violencias y delitos, fortaleciendo la gestión local. Este componente contempla el financiamiento de las actividades en dos áreas:</w:t>
      </w:r>
    </w:p>
    <w:p w14:paraId="7CA028AB" w14:textId="77777777" w:rsidR="00DF0502" w:rsidRPr="00DF0502" w:rsidRDefault="00DF0502" w:rsidP="00DF0502">
      <w:pPr>
        <w:pStyle w:val="Paragraph"/>
        <w:numPr>
          <w:ilvl w:val="0"/>
          <w:numId w:val="0"/>
        </w:numPr>
        <w:spacing w:before="0" w:after="0"/>
        <w:ind w:left="567"/>
        <w:rPr>
          <w:rFonts w:ascii="Arial" w:eastAsia="Calibri" w:hAnsi="Arial" w:cs="Arial"/>
          <w:sz w:val="22"/>
          <w:szCs w:val="22"/>
        </w:rPr>
      </w:pPr>
    </w:p>
    <w:p w14:paraId="27451BE3" w14:textId="77777777" w:rsidR="00FE193B" w:rsidRDefault="00FE193B" w:rsidP="00DF0502">
      <w:pPr>
        <w:pStyle w:val="subpar"/>
        <w:numPr>
          <w:ilvl w:val="2"/>
          <w:numId w:val="1"/>
        </w:numPr>
        <w:spacing w:before="0" w:after="0"/>
        <w:rPr>
          <w:rFonts w:ascii="Arial" w:eastAsia="Calibri" w:hAnsi="Arial" w:cs="Arial"/>
          <w:sz w:val="22"/>
          <w:szCs w:val="22"/>
          <w:lang w:val="es-ES"/>
        </w:rPr>
      </w:pPr>
      <w:r w:rsidRPr="00DF0502">
        <w:rPr>
          <w:rFonts w:ascii="Arial" w:eastAsia="Calibri" w:hAnsi="Arial" w:cs="Arial"/>
          <w:b/>
          <w:sz w:val="22"/>
          <w:szCs w:val="22"/>
          <w:lang w:val="es-ES"/>
        </w:rPr>
        <w:t>Intervenciones de prevención</w:t>
      </w:r>
      <w:r w:rsidR="000348C6" w:rsidRPr="00DF0502">
        <w:rPr>
          <w:rFonts w:ascii="Arial" w:eastAsia="Calibri" w:hAnsi="Arial" w:cs="Arial"/>
          <w:b/>
          <w:sz w:val="22"/>
          <w:szCs w:val="22"/>
          <w:lang w:val="es-ES"/>
        </w:rPr>
        <w:t>/atención</w:t>
      </w:r>
      <w:r w:rsidRPr="00DF0502">
        <w:rPr>
          <w:rFonts w:ascii="Arial" w:eastAsia="Calibri" w:hAnsi="Arial" w:cs="Arial"/>
          <w:b/>
          <w:sz w:val="22"/>
          <w:szCs w:val="22"/>
          <w:lang w:val="es-ES"/>
        </w:rPr>
        <w:t xml:space="preserve"> social de la violencia a nivel municipal.</w:t>
      </w:r>
      <w:r w:rsidRPr="00DF0502">
        <w:rPr>
          <w:rFonts w:ascii="Arial" w:eastAsia="Calibri" w:hAnsi="Arial" w:cs="Arial"/>
          <w:sz w:val="22"/>
          <w:szCs w:val="22"/>
          <w:lang w:val="es-ES"/>
        </w:rPr>
        <w:t xml:space="preserve"> Se financiará: </w:t>
      </w:r>
      <w:r w:rsidR="00B75ED1" w:rsidRPr="00DF0502">
        <w:rPr>
          <w:rFonts w:ascii="Arial" w:hAnsi="Arial" w:cs="Arial"/>
          <w:sz w:val="22"/>
          <w:szCs w:val="22"/>
        </w:rPr>
        <w:t xml:space="preserve">(a) programas para la prevención y atención a víctimas de </w:t>
      </w:r>
      <w:r w:rsidR="00B75ED1" w:rsidRPr="00DF0502">
        <w:rPr>
          <w:rFonts w:ascii="Arial" w:hAnsi="Arial" w:cs="Arial"/>
          <w:color w:val="000000"/>
          <w:sz w:val="22"/>
          <w:szCs w:val="22"/>
        </w:rPr>
        <w:t>VIF</w:t>
      </w:r>
      <w:r w:rsidR="00B75ED1" w:rsidRPr="00DF0502">
        <w:rPr>
          <w:rFonts w:ascii="Arial" w:hAnsi="Arial" w:cs="Arial"/>
          <w:sz w:val="22"/>
          <w:szCs w:val="22"/>
        </w:rPr>
        <w:t xml:space="preserve"> a través de los Módulos de Atención Integral Especializado (MAIE) ubicados en cada UMEP intervenida por el programa</w:t>
      </w:r>
      <w:r w:rsidR="00B75ED1" w:rsidRPr="00DF0502">
        <w:rPr>
          <w:rFonts w:ascii="Arial" w:hAnsi="Arial" w:cs="Arial"/>
          <w:bCs/>
          <w:sz w:val="22"/>
          <w:szCs w:val="22"/>
        </w:rPr>
        <w:t xml:space="preserve">; </w:t>
      </w:r>
      <w:r w:rsidR="00B75ED1" w:rsidRPr="00DF0502">
        <w:rPr>
          <w:rFonts w:ascii="Arial" w:eastAsia="Calibri" w:hAnsi="Arial" w:cs="Arial"/>
          <w:sz w:val="22"/>
          <w:szCs w:val="22"/>
        </w:rPr>
        <w:t>(b) </w:t>
      </w:r>
      <w:r w:rsidR="00B75ED1" w:rsidRPr="00DF0502">
        <w:rPr>
          <w:rFonts w:ascii="Arial" w:hAnsi="Arial" w:cs="Arial"/>
          <w:sz w:val="22"/>
          <w:szCs w:val="22"/>
        </w:rPr>
        <w:t>desarrollo de protocolos para homologar la actuación de forma rápida de los primeros respondientes para atención a víctimas</w:t>
      </w:r>
      <w:r w:rsidR="00B75ED1" w:rsidRPr="00DF0502">
        <w:rPr>
          <w:rStyle w:val="FootnoteReference"/>
          <w:rFonts w:ascii="Arial" w:hAnsi="Arial" w:cs="Arial"/>
          <w:sz w:val="22"/>
          <w:szCs w:val="22"/>
        </w:rPr>
        <w:footnoteReference w:id="10"/>
      </w:r>
      <w:r w:rsidR="00B75ED1" w:rsidRPr="00DF0502">
        <w:rPr>
          <w:rFonts w:ascii="Arial" w:eastAsia="Calibri" w:hAnsi="Arial" w:cs="Arial"/>
          <w:sz w:val="22"/>
          <w:szCs w:val="22"/>
        </w:rPr>
        <w:t>; (c) modelo innovador de policía comunitaria y patrullaje policial sistemático -Hot Spots-</w:t>
      </w:r>
      <w:r w:rsidR="00B75ED1" w:rsidRPr="00DF0502">
        <w:rPr>
          <w:rStyle w:val="FootnoteReference"/>
          <w:rFonts w:ascii="Arial" w:eastAsia="Calibri" w:hAnsi="Arial" w:cs="Arial"/>
          <w:sz w:val="22"/>
          <w:szCs w:val="22"/>
        </w:rPr>
        <w:footnoteReference w:id="11"/>
      </w:r>
      <w:r w:rsidR="00B75ED1" w:rsidRPr="00DF0502">
        <w:rPr>
          <w:rFonts w:ascii="Arial" w:eastAsia="Calibri" w:hAnsi="Arial" w:cs="Arial"/>
          <w:sz w:val="22"/>
          <w:szCs w:val="22"/>
        </w:rPr>
        <w:t>; (d) mejoramiento de la infraestructura de las UMEPs intervenidas en el Distrito Central y San Pedro Sula para ofrecer mejores servicios policiales de prevención y atención de la violencia a la comunidad intervenida por el programa; y (e) programas de prevención social de la violencia para jóvenes en situación de riesgo</w:t>
      </w:r>
      <w:r w:rsidRPr="00DF0502">
        <w:rPr>
          <w:rFonts w:ascii="Arial" w:eastAsia="Calibri" w:hAnsi="Arial" w:cs="Arial"/>
          <w:sz w:val="22"/>
          <w:szCs w:val="22"/>
          <w:lang w:val="es-ES"/>
        </w:rPr>
        <w:t>.</w:t>
      </w:r>
    </w:p>
    <w:p w14:paraId="214B9F5F" w14:textId="77777777" w:rsidR="00DF0502" w:rsidRPr="00DF0502" w:rsidRDefault="00DF0502" w:rsidP="00DF0502">
      <w:pPr>
        <w:pStyle w:val="subpar"/>
        <w:numPr>
          <w:ilvl w:val="0"/>
          <w:numId w:val="0"/>
        </w:numPr>
        <w:spacing w:before="0" w:after="0"/>
        <w:ind w:left="1080"/>
        <w:rPr>
          <w:rFonts w:ascii="Arial" w:eastAsia="Calibri" w:hAnsi="Arial" w:cs="Arial"/>
          <w:sz w:val="22"/>
          <w:szCs w:val="22"/>
          <w:lang w:val="es-ES"/>
        </w:rPr>
      </w:pPr>
    </w:p>
    <w:p w14:paraId="6D2DB30F" w14:textId="3E4ED349" w:rsidR="00EC433C" w:rsidRPr="007C3A06" w:rsidRDefault="00EC433C" w:rsidP="00DF0502">
      <w:pPr>
        <w:pStyle w:val="subpar"/>
        <w:numPr>
          <w:ilvl w:val="2"/>
          <w:numId w:val="1"/>
        </w:numPr>
        <w:spacing w:before="0" w:after="0"/>
        <w:rPr>
          <w:rFonts w:ascii="Arial" w:eastAsia="Calibri" w:hAnsi="Arial" w:cs="Arial"/>
          <w:sz w:val="22"/>
          <w:szCs w:val="22"/>
          <w:lang w:val="es-ES"/>
        </w:rPr>
      </w:pPr>
      <w:r w:rsidRPr="00DF0502">
        <w:rPr>
          <w:rFonts w:ascii="Arial" w:eastAsia="Calibri" w:hAnsi="Arial" w:cs="Arial"/>
          <w:b/>
          <w:sz w:val="22"/>
          <w:szCs w:val="22"/>
          <w:lang w:val="es-ES"/>
        </w:rPr>
        <w:t>Fortalecimiento de capacidades de actores municipales.</w:t>
      </w:r>
      <w:r w:rsidRPr="00DF0502">
        <w:rPr>
          <w:rFonts w:ascii="Arial" w:eastAsia="Calibri" w:hAnsi="Arial" w:cs="Arial"/>
          <w:sz w:val="22"/>
          <w:szCs w:val="22"/>
          <w:lang w:val="es-ES"/>
        </w:rPr>
        <w:t xml:space="preserve"> Se financiará: </w:t>
      </w:r>
      <w:r w:rsidR="00B75ED1" w:rsidRPr="00DF0502">
        <w:rPr>
          <w:rFonts w:ascii="Arial" w:hAnsi="Arial" w:cs="Arial"/>
          <w:sz w:val="22"/>
          <w:szCs w:val="22"/>
        </w:rPr>
        <w:t>(a) capacitación y asistencia técnica a las autoridades locales para promover la participación ciudadana en la preparación de planes locales de prevención social de la violencia; (b) fortalecimiento de las capacidades de los responsables de los observatorios locales, para el análisis estratégico de estadísticas del crimen y delito -incluyendo pero no restringiendo al femicidio, la VIF (se harán las desagregaciones por sexo- que sirva de insumo para el despliegue policial;</w:t>
      </w:r>
      <w:r w:rsidR="00B75ED1" w:rsidRPr="00DF0502">
        <w:rPr>
          <w:rFonts w:ascii="Arial" w:eastAsia="Calibri" w:hAnsi="Arial" w:cs="Arial"/>
          <w:sz w:val="22"/>
          <w:szCs w:val="22"/>
        </w:rPr>
        <w:t xml:space="preserve"> y </w:t>
      </w:r>
      <w:r w:rsidR="00B75ED1" w:rsidRPr="00DF0502">
        <w:rPr>
          <w:rFonts w:ascii="Arial" w:hAnsi="Arial" w:cs="Arial"/>
          <w:sz w:val="22"/>
          <w:szCs w:val="22"/>
        </w:rPr>
        <w:t xml:space="preserve">(c) estrategia de comunicación a través de </w:t>
      </w:r>
      <w:r w:rsidR="00B75ED1" w:rsidRPr="00DF0502">
        <w:rPr>
          <w:rFonts w:ascii="Arial" w:eastAsia="Calibri" w:hAnsi="Arial" w:cs="Arial"/>
          <w:sz w:val="22"/>
          <w:szCs w:val="22"/>
        </w:rPr>
        <w:t xml:space="preserve">campañas </w:t>
      </w:r>
      <w:r w:rsidR="00B75ED1" w:rsidRPr="00DF0502">
        <w:rPr>
          <w:rFonts w:ascii="Arial" w:eastAsia="Calibri" w:hAnsi="Arial" w:cs="Arial"/>
          <w:sz w:val="22"/>
          <w:szCs w:val="22"/>
        </w:rPr>
        <w:lastRenderedPageBreak/>
        <w:t xml:space="preserve">y consultas sociales para promover medidas y valores </w:t>
      </w:r>
      <w:r w:rsidR="007C3A06" w:rsidRPr="009C73B1">
        <w:rPr>
          <w:rFonts w:ascii="Arial" w:hAnsi="Arial" w:cs="Arial"/>
        </w:rPr>
        <w:t xml:space="preserve">para </w:t>
      </w:r>
      <w:r w:rsidR="007C3A06" w:rsidRPr="008233B5">
        <w:rPr>
          <w:rFonts w:ascii="Arial" w:hAnsi="Arial" w:cs="Arial"/>
          <w:sz w:val="22"/>
          <w:szCs w:val="22"/>
        </w:rPr>
        <w:t>prevenir, atender y reducir violencias, respetando  normas legales, morales y culturales</w:t>
      </w:r>
      <w:r w:rsidR="007C3A06" w:rsidRPr="008233B5">
        <w:rPr>
          <w:rStyle w:val="CommentReference"/>
          <w:rFonts w:ascii="Calibri Light" w:hAnsi="Calibri Light"/>
          <w:color w:val="0000FF"/>
          <w:sz w:val="22"/>
          <w:szCs w:val="22"/>
        </w:rPr>
        <w:t/>
      </w:r>
      <w:r w:rsidR="007C3A06">
        <w:rPr>
          <w:rFonts w:ascii="Arial" w:hAnsi="Arial" w:cs="Arial"/>
          <w:sz w:val="22"/>
          <w:szCs w:val="22"/>
        </w:rPr>
        <w:t>.</w:t>
      </w:r>
    </w:p>
    <w:p w14:paraId="0D3B4575" w14:textId="77777777" w:rsidR="00DF0502" w:rsidRPr="00DF0502" w:rsidRDefault="00DF0502" w:rsidP="00DF0502">
      <w:pPr>
        <w:pStyle w:val="subpar"/>
        <w:numPr>
          <w:ilvl w:val="0"/>
          <w:numId w:val="0"/>
        </w:numPr>
        <w:spacing w:before="0" w:after="0"/>
        <w:ind w:left="1080"/>
        <w:rPr>
          <w:rFonts w:ascii="Arial" w:eastAsia="Calibri" w:hAnsi="Arial" w:cs="Arial"/>
          <w:sz w:val="22"/>
          <w:szCs w:val="22"/>
          <w:lang w:val="es-ES"/>
        </w:rPr>
      </w:pPr>
    </w:p>
    <w:p w14:paraId="35E4487C" w14:textId="77777777" w:rsidR="0000187D" w:rsidRDefault="00DF0502" w:rsidP="00DF0502">
      <w:pPr>
        <w:spacing w:after="0" w:line="240" w:lineRule="auto"/>
        <w:ind w:left="567"/>
        <w:jc w:val="both"/>
        <w:rPr>
          <w:rFonts w:ascii="Arial" w:hAnsi="Arial" w:cs="Arial"/>
          <w:b/>
          <w:u w:val="single"/>
          <w:lang w:val="es-ES"/>
        </w:rPr>
      </w:pPr>
      <w:r>
        <w:rPr>
          <w:rFonts w:ascii="Arial" w:hAnsi="Arial" w:cs="Arial"/>
          <w:b/>
          <w:u w:val="single"/>
          <w:lang w:val="es-ES"/>
        </w:rPr>
        <w:t xml:space="preserve">Beneficios Esperados </w:t>
      </w:r>
    </w:p>
    <w:p w14:paraId="11BD929E" w14:textId="77777777" w:rsidR="00DF0502" w:rsidRPr="00DF0502" w:rsidRDefault="00DF0502" w:rsidP="00DF0502">
      <w:pPr>
        <w:spacing w:after="0" w:line="240" w:lineRule="auto"/>
        <w:ind w:left="567"/>
        <w:jc w:val="both"/>
        <w:rPr>
          <w:rFonts w:ascii="Arial" w:hAnsi="Arial" w:cs="Arial"/>
          <w:b/>
          <w:u w:val="single"/>
          <w:lang w:val="es-ES"/>
        </w:rPr>
      </w:pPr>
    </w:p>
    <w:p w14:paraId="30AE7B82" w14:textId="710C7507" w:rsidR="00144868" w:rsidRDefault="00144868" w:rsidP="00DF0502">
      <w:pPr>
        <w:pStyle w:val="Caption"/>
        <w:keepNext/>
        <w:spacing w:after="0"/>
        <w:rPr>
          <w:rFonts w:ascii="Arial" w:hAnsi="Arial" w:cs="Arial"/>
          <w:b/>
          <w:i w:val="0"/>
          <w:color w:val="auto"/>
          <w:sz w:val="22"/>
          <w:szCs w:val="22"/>
          <w:lang w:val="es-ES_tradnl"/>
        </w:rPr>
      </w:pPr>
      <w:r w:rsidRPr="00DF0502">
        <w:rPr>
          <w:rFonts w:ascii="Arial" w:hAnsi="Arial" w:cs="Arial"/>
          <w:b/>
          <w:i w:val="0"/>
          <w:color w:val="auto"/>
          <w:sz w:val="22"/>
          <w:szCs w:val="22"/>
          <w:lang w:val="es-ES_tradnl"/>
        </w:rPr>
        <w:t xml:space="preserve">Tabla </w:t>
      </w:r>
      <w:r w:rsidR="00C5735D">
        <w:rPr>
          <w:rFonts w:ascii="Arial" w:hAnsi="Arial" w:cs="Arial"/>
          <w:b/>
          <w:i w:val="0"/>
          <w:color w:val="auto"/>
          <w:sz w:val="22"/>
          <w:szCs w:val="22"/>
          <w:lang w:val="es-MX"/>
        </w:rPr>
        <w:t>6</w:t>
      </w:r>
      <w:r w:rsidRPr="00DF0502">
        <w:rPr>
          <w:rFonts w:ascii="Arial" w:hAnsi="Arial" w:cs="Arial"/>
          <w:b/>
          <w:i w:val="0"/>
          <w:color w:val="auto"/>
          <w:sz w:val="22"/>
          <w:szCs w:val="22"/>
          <w:lang w:val="es-ES_tradnl"/>
        </w:rPr>
        <w:t>: Matriz de resultados para el Componente 2</w:t>
      </w:r>
    </w:p>
    <w:p w14:paraId="30C50856" w14:textId="77777777" w:rsidR="00DF0502" w:rsidRPr="00DF0502" w:rsidRDefault="00DF0502" w:rsidP="00DF0502">
      <w:pPr>
        <w:rPr>
          <w:lang w:val="es-ES_tradnl"/>
        </w:rPr>
      </w:pPr>
    </w:p>
    <w:p w14:paraId="11DDAA7B" w14:textId="77777777" w:rsidR="000544F4" w:rsidRPr="00DF0502" w:rsidRDefault="000544F4" w:rsidP="00DF0502">
      <w:pPr>
        <w:spacing w:after="0" w:line="240" w:lineRule="auto"/>
        <w:rPr>
          <w:rFonts w:ascii="Arial" w:hAnsi="Arial" w:cs="Arial"/>
          <w:lang w:val="es-MX"/>
        </w:rPr>
      </w:pPr>
      <w:r w:rsidRPr="00DF0502">
        <w:rPr>
          <w:rFonts w:ascii="Arial" w:hAnsi="Arial" w:cs="Arial"/>
          <w:b/>
          <w:caps/>
          <w:u w:val="single"/>
          <w:lang w:val="es-ES_tradnl" w:eastAsia="zh-CN"/>
        </w:rPr>
        <w:t>resultado #2:</w:t>
      </w:r>
      <w:r w:rsidRPr="00DF0502">
        <w:rPr>
          <w:rFonts w:ascii="Arial" w:hAnsi="Arial" w:cs="Arial"/>
          <w:lang w:val="es-MX"/>
        </w:rPr>
        <w:t xml:space="preserve"> Reducción de homicidios y VIF en los municipios beneficiados</w:t>
      </w:r>
    </w:p>
    <w:tbl>
      <w:tblPr>
        <w:tblW w:w="9090" w:type="dxa"/>
        <w:tblInd w:w="-162" w:type="dxa"/>
        <w:tblLayout w:type="fixed"/>
        <w:tblCellMar>
          <w:left w:w="10" w:type="dxa"/>
          <w:right w:w="10" w:type="dxa"/>
        </w:tblCellMar>
        <w:tblLook w:val="04A0" w:firstRow="1" w:lastRow="0" w:firstColumn="1" w:lastColumn="0" w:noHBand="0" w:noVBand="1"/>
      </w:tblPr>
      <w:tblGrid>
        <w:gridCol w:w="2250"/>
        <w:gridCol w:w="1170"/>
        <w:gridCol w:w="720"/>
        <w:gridCol w:w="720"/>
        <w:gridCol w:w="720"/>
        <w:gridCol w:w="720"/>
        <w:gridCol w:w="720"/>
        <w:gridCol w:w="2070"/>
      </w:tblGrid>
      <w:tr w:rsidR="005C503F" w:rsidRPr="00DF0502" w14:paraId="28A2E66D" w14:textId="77777777" w:rsidTr="001C5A73">
        <w:trPr>
          <w:trHeight w:val="424"/>
          <w:tblHeader/>
        </w:trPr>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FE1DEFC" w14:textId="77777777" w:rsidR="005C503F" w:rsidRPr="00DF0502" w:rsidRDefault="005C503F" w:rsidP="00DF0502">
            <w:pPr>
              <w:spacing w:after="0" w:line="240" w:lineRule="auto"/>
              <w:jc w:val="center"/>
              <w:rPr>
                <w:rFonts w:ascii="Arial" w:hAnsi="Arial" w:cs="Arial"/>
                <w:b/>
                <w:sz w:val="18"/>
                <w:szCs w:val="18"/>
                <w:lang w:val="es-NI"/>
              </w:rPr>
            </w:pPr>
            <w:r w:rsidRPr="00DF0502">
              <w:rPr>
                <w:rFonts w:ascii="Arial" w:hAnsi="Arial" w:cs="Arial"/>
                <w:b/>
                <w:sz w:val="18"/>
                <w:szCs w:val="18"/>
                <w:lang w:val="es-NI"/>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734737E" w14:textId="77777777" w:rsidR="005C503F" w:rsidRPr="00DF0502" w:rsidRDefault="005C503F"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23F6BAF" w14:textId="77777777" w:rsidR="005C503F" w:rsidRPr="00DF0502" w:rsidRDefault="005C503F" w:rsidP="00DF0502">
            <w:pPr>
              <w:tabs>
                <w:tab w:val="center" w:pos="702"/>
              </w:tabs>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12FA47" w14:textId="77777777" w:rsidR="005C503F" w:rsidRPr="00DF0502" w:rsidRDefault="005C503F"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Año 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18709B" w14:textId="77777777" w:rsidR="005C503F" w:rsidRPr="00DF0502" w:rsidRDefault="005C503F"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2021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A4929F" w14:textId="77777777" w:rsidR="005C503F" w:rsidRPr="00DF0502" w:rsidRDefault="005C503F" w:rsidP="00DF0502">
            <w:pPr>
              <w:suppressAutoHyphens/>
              <w:spacing w:after="0" w:line="240" w:lineRule="auto"/>
              <w:jc w:val="center"/>
              <w:rPr>
                <w:rFonts w:ascii="Arial" w:hAnsi="Arial" w:cs="Arial"/>
                <w:b/>
                <w:bCs/>
                <w:sz w:val="18"/>
                <w:szCs w:val="18"/>
                <w:lang w:val="es-NI"/>
              </w:rPr>
            </w:pPr>
            <w:r w:rsidRPr="00DF0502">
              <w:rPr>
                <w:rFonts w:ascii="Arial" w:hAnsi="Arial" w:cs="Arial"/>
                <w:b/>
                <w:sz w:val="18"/>
                <w:szCs w:val="18"/>
                <w:lang w:val="es-NI"/>
              </w:rPr>
              <w:t>2022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99ACF6" w14:textId="77777777" w:rsidR="005C503F" w:rsidRPr="00DF0502" w:rsidRDefault="005C503F"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Meta final</w:t>
            </w:r>
            <w:r w:rsidRPr="00DF0502">
              <w:rPr>
                <w:rFonts w:ascii="Arial" w:hAnsi="Arial" w:cs="Arial"/>
                <w:b/>
                <w:sz w:val="18"/>
                <w:szCs w:val="18"/>
                <w:vertAlign w:val="superscript"/>
                <w:lang w:val="es-NI"/>
              </w:rPr>
              <w:t>1</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8D3E7C" w14:textId="77777777" w:rsidR="005C503F" w:rsidRPr="00DF0502" w:rsidRDefault="005C503F" w:rsidP="00DF0502">
            <w:pPr>
              <w:spacing w:after="0" w:line="240" w:lineRule="auto"/>
              <w:jc w:val="center"/>
              <w:rPr>
                <w:rFonts w:ascii="Arial" w:hAnsi="Arial" w:cs="Arial"/>
                <w:b/>
                <w:bCs/>
                <w:sz w:val="18"/>
                <w:szCs w:val="18"/>
                <w:lang w:val="es-NI"/>
              </w:rPr>
            </w:pPr>
            <w:r w:rsidRPr="00DF0502">
              <w:rPr>
                <w:rFonts w:ascii="Arial" w:hAnsi="Arial" w:cs="Arial"/>
                <w:b/>
                <w:sz w:val="18"/>
                <w:szCs w:val="18"/>
                <w:lang w:val="es-NI"/>
              </w:rPr>
              <w:t>Medios de verificación</w:t>
            </w:r>
          </w:p>
        </w:tc>
      </w:tr>
      <w:tr w:rsidR="005C503F" w:rsidRPr="007C3A06" w14:paraId="06A43681"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EB31A"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2.1 Prevalencia de VIF en Distrito Central y San Pedro Sula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99536"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DE4E6"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5.43</w:t>
            </w:r>
            <w:r w:rsidRPr="00DF0502">
              <w:rPr>
                <w:rStyle w:val="FootnoteReference"/>
                <w:rFonts w:ascii="Arial" w:hAnsi="Arial" w:cs="Arial"/>
                <w:sz w:val="18"/>
                <w:szCs w:val="18"/>
                <w:lang w:val="es-NI"/>
              </w:rPr>
              <w:footnoteReference w:id="12"/>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332CF"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840EE5E"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5</w:t>
            </w:r>
          </w:p>
        </w:tc>
        <w:tc>
          <w:tcPr>
            <w:tcW w:w="720" w:type="dxa"/>
            <w:tcBorders>
              <w:top w:val="single" w:sz="4" w:space="0" w:color="000000"/>
              <w:left w:val="single" w:sz="4" w:space="0" w:color="000000"/>
              <w:bottom w:val="single" w:sz="4" w:space="0" w:color="000000"/>
              <w:right w:val="single" w:sz="4" w:space="0" w:color="000000"/>
            </w:tcBorders>
          </w:tcPr>
          <w:p w14:paraId="5E054458"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w:t>
            </w:r>
          </w:p>
        </w:tc>
        <w:tc>
          <w:tcPr>
            <w:tcW w:w="720" w:type="dxa"/>
            <w:tcBorders>
              <w:top w:val="single" w:sz="4" w:space="0" w:color="000000"/>
              <w:left w:val="single" w:sz="4" w:space="0" w:color="000000"/>
              <w:bottom w:val="single" w:sz="4" w:space="0" w:color="000000"/>
              <w:right w:val="single" w:sz="4" w:space="0" w:color="000000"/>
            </w:tcBorders>
          </w:tcPr>
          <w:p w14:paraId="0B1BC6A7"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0B09C"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5C503F" w:rsidRPr="007C3A06" w14:paraId="12F355DC"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BA091" w14:textId="77777777" w:rsidR="005C503F" w:rsidRPr="00DF0502" w:rsidRDefault="005C503F"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2.2 Proporción de víctimas que denuncia un delito en Distrito Central y San Pedro Sula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BD33C"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 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38899"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C53B0"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A835562"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23</w:t>
            </w:r>
          </w:p>
        </w:tc>
        <w:tc>
          <w:tcPr>
            <w:tcW w:w="720" w:type="dxa"/>
            <w:tcBorders>
              <w:top w:val="single" w:sz="4" w:space="0" w:color="000000"/>
              <w:left w:val="single" w:sz="4" w:space="0" w:color="000000"/>
              <w:bottom w:val="single" w:sz="4" w:space="0" w:color="000000"/>
              <w:right w:val="single" w:sz="4" w:space="0" w:color="000000"/>
            </w:tcBorders>
          </w:tcPr>
          <w:p w14:paraId="1B6F97A0"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25</w:t>
            </w:r>
          </w:p>
        </w:tc>
        <w:tc>
          <w:tcPr>
            <w:tcW w:w="720" w:type="dxa"/>
            <w:tcBorders>
              <w:top w:val="single" w:sz="4" w:space="0" w:color="000000"/>
              <w:left w:val="single" w:sz="4" w:space="0" w:color="000000"/>
              <w:bottom w:val="single" w:sz="4" w:space="0" w:color="000000"/>
              <w:right w:val="single" w:sz="4" w:space="0" w:color="000000"/>
            </w:tcBorders>
          </w:tcPr>
          <w:p w14:paraId="231894E4"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4B869"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w:t>
            </w:r>
          </w:p>
        </w:tc>
      </w:tr>
      <w:tr w:rsidR="005C503F" w:rsidRPr="007C3A06" w14:paraId="4E5885E2"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197DE" w14:textId="77777777" w:rsidR="005C503F" w:rsidRPr="00DF0502" w:rsidRDefault="005C503F" w:rsidP="00DF0502">
            <w:pPr>
              <w:spacing w:after="0" w:line="240" w:lineRule="auto"/>
              <w:rPr>
                <w:rFonts w:ascii="Arial" w:hAnsi="Arial" w:cs="Arial"/>
                <w:sz w:val="18"/>
                <w:szCs w:val="18"/>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2.3 Proporción de víctimas de VIF que utilizan los servicios de atención y denuncia especializados de VIF en Distrito Central y San Pedro Sula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BCE71"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 xml:space="preserve">Porcentaje </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B9C61"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3</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B16CC"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466569F"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5</w:t>
            </w:r>
          </w:p>
        </w:tc>
        <w:tc>
          <w:tcPr>
            <w:tcW w:w="720" w:type="dxa"/>
            <w:tcBorders>
              <w:top w:val="single" w:sz="4" w:space="0" w:color="000000"/>
              <w:left w:val="single" w:sz="4" w:space="0" w:color="000000"/>
              <w:bottom w:val="single" w:sz="4" w:space="0" w:color="000000"/>
              <w:right w:val="single" w:sz="4" w:space="0" w:color="000000"/>
            </w:tcBorders>
          </w:tcPr>
          <w:p w14:paraId="3515C251"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10</w:t>
            </w:r>
          </w:p>
        </w:tc>
        <w:tc>
          <w:tcPr>
            <w:tcW w:w="720" w:type="dxa"/>
            <w:tcBorders>
              <w:top w:val="single" w:sz="4" w:space="0" w:color="000000"/>
              <w:left w:val="single" w:sz="4" w:space="0" w:color="000000"/>
              <w:bottom w:val="single" w:sz="4" w:space="0" w:color="000000"/>
              <w:right w:val="single" w:sz="4" w:space="0" w:color="000000"/>
            </w:tcBorders>
          </w:tcPr>
          <w:p w14:paraId="1ECC6BE1"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10</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35109"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Encuesta de Marginación urbana y Violencia e informes del Ministerio Público</w:t>
            </w:r>
          </w:p>
        </w:tc>
      </w:tr>
      <w:tr w:rsidR="005C503F" w:rsidRPr="007C3A06" w14:paraId="286DFDD9"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5111C" w14:textId="77777777" w:rsidR="005C503F" w:rsidRPr="00DF0502" w:rsidRDefault="005C503F" w:rsidP="00DF0502">
            <w:pPr>
              <w:spacing w:after="0" w:line="240" w:lineRule="auto"/>
              <w:rPr>
                <w:rFonts w:ascii="Arial" w:hAnsi="Arial" w:cs="Arial"/>
                <w:sz w:val="18"/>
                <w:szCs w:val="18"/>
                <w:highlight w:val="magenta"/>
                <w:lang w:val="es-NI"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 xml:space="preserve">2.4 Proporción de víctimas de VIF reportando el crimen a la policía en Distrito Central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E2921"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C952D"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2.3</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3D668"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E3545AB"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10</w:t>
            </w:r>
          </w:p>
        </w:tc>
        <w:tc>
          <w:tcPr>
            <w:tcW w:w="720" w:type="dxa"/>
            <w:tcBorders>
              <w:top w:val="single" w:sz="4" w:space="0" w:color="000000"/>
              <w:left w:val="single" w:sz="4" w:space="0" w:color="000000"/>
              <w:bottom w:val="single" w:sz="4" w:space="0" w:color="000000"/>
              <w:right w:val="single" w:sz="4" w:space="0" w:color="000000"/>
            </w:tcBorders>
          </w:tcPr>
          <w:p w14:paraId="0CBEB4EC"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15</w:t>
            </w:r>
          </w:p>
        </w:tc>
        <w:tc>
          <w:tcPr>
            <w:tcW w:w="720" w:type="dxa"/>
            <w:tcBorders>
              <w:top w:val="single" w:sz="4" w:space="0" w:color="000000"/>
              <w:left w:val="single" w:sz="4" w:space="0" w:color="000000"/>
              <w:bottom w:val="single" w:sz="4" w:space="0" w:color="000000"/>
              <w:right w:val="single" w:sz="4" w:space="0" w:color="000000"/>
            </w:tcBorders>
          </w:tcPr>
          <w:p w14:paraId="0B2F88B2"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BC8AA"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Sistema Estadístico Policial en Línea</w:t>
            </w:r>
            <w:r w:rsidRPr="00DF0502">
              <w:rPr>
                <w:rFonts w:ascii="Arial" w:hAnsi="Arial" w:cs="Arial"/>
                <w:b/>
                <w:sz w:val="18"/>
                <w:szCs w:val="18"/>
                <w:lang w:val="es-NI"/>
              </w:rPr>
              <w:t xml:space="preserve"> (</w:t>
            </w:r>
            <w:r w:rsidRPr="00DF0502">
              <w:rPr>
                <w:rFonts w:ascii="Arial" w:hAnsi="Arial" w:cs="Arial"/>
                <w:sz w:val="18"/>
                <w:szCs w:val="18"/>
                <w:lang w:val="es-NI"/>
              </w:rPr>
              <w:t xml:space="preserve">SEPOL) y Observatorios </w:t>
            </w:r>
          </w:p>
        </w:tc>
      </w:tr>
      <w:tr w:rsidR="005C503F" w:rsidRPr="007C3A06" w14:paraId="06EAD405"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02A60" w14:textId="77777777" w:rsidR="005C503F" w:rsidRPr="00DF0502" w:rsidRDefault="005C503F" w:rsidP="00DF0502">
            <w:pPr>
              <w:spacing w:after="0" w:line="240" w:lineRule="auto"/>
              <w:rPr>
                <w:rFonts w:ascii="Arial" w:hAnsi="Arial" w:cs="Arial"/>
                <w:sz w:val="18"/>
                <w:szCs w:val="18"/>
                <w:highlight w:val="magenta"/>
                <w:lang w:val="es-ES_tradnl" w:eastAsia="pt-BR"/>
              </w:rPr>
            </w:pPr>
            <w:r w:rsidRPr="00DF0502">
              <w:rPr>
                <w:rFonts w:ascii="Arial" w:hAnsi="Arial" w:cs="Arial"/>
                <w:sz w:val="18"/>
                <w:szCs w:val="18"/>
                <w:lang w:val="es-ES_tradnl" w:eastAsia="zh-CN"/>
              </w:rPr>
              <w:t>Indicador #</w:t>
            </w:r>
            <w:r w:rsidRPr="00DF0502">
              <w:rPr>
                <w:rFonts w:ascii="Arial" w:hAnsi="Arial" w:cs="Arial"/>
                <w:sz w:val="18"/>
                <w:szCs w:val="18"/>
                <w:lang w:val="es-NI" w:eastAsia="pt-BR"/>
              </w:rPr>
              <w:t>2.5 Proporci</w:t>
            </w:r>
            <w:r w:rsidRPr="00DF0502">
              <w:rPr>
                <w:rFonts w:ascii="Arial" w:hAnsi="Arial" w:cs="Arial"/>
                <w:sz w:val="18"/>
                <w:szCs w:val="18"/>
                <w:lang w:val="es-ES_tradnl" w:eastAsia="pt-BR"/>
              </w:rPr>
              <w:t>ón de víctimas de VIF reportando el crimen a la policía en San Pedro Sula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675B8"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F13AB"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4.8</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282AE"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6EC14EA"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10</w:t>
            </w:r>
          </w:p>
        </w:tc>
        <w:tc>
          <w:tcPr>
            <w:tcW w:w="720" w:type="dxa"/>
            <w:tcBorders>
              <w:top w:val="single" w:sz="4" w:space="0" w:color="000000"/>
              <w:left w:val="single" w:sz="4" w:space="0" w:color="000000"/>
              <w:bottom w:val="single" w:sz="4" w:space="0" w:color="000000"/>
              <w:right w:val="single" w:sz="4" w:space="0" w:color="000000"/>
            </w:tcBorders>
          </w:tcPr>
          <w:p w14:paraId="09EB4EB2"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15</w:t>
            </w:r>
          </w:p>
        </w:tc>
        <w:tc>
          <w:tcPr>
            <w:tcW w:w="720" w:type="dxa"/>
            <w:tcBorders>
              <w:top w:val="single" w:sz="4" w:space="0" w:color="000000"/>
              <w:left w:val="single" w:sz="4" w:space="0" w:color="000000"/>
              <w:bottom w:val="single" w:sz="4" w:space="0" w:color="000000"/>
              <w:right w:val="single" w:sz="4" w:space="0" w:color="000000"/>
            </w:tcBorders>
          </w:tcPr>
          <w:p w14:paraId="2336B58B"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F55CA"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Sistema Estadístico Policial en Línea</w:t>
            </w:r>
            <w:r w:rsidRPr="00DF0502">
              <w:rPr>
                <w:rFonts w:ascii="Arial" w:hAnsi="Arial" w:cs="Arial"/>
                <w:b/>
                <w:sz w:val="18"/>
                <w:szCs w:val="18"/>
                <w:lang w:val="es-NI"/>
              </w:rPr>
              <w:t xml:space="preserve"> (</w:t>
            </w:r>
            <w:r w:rsidRPr="00DF0502">
              <w:rPr>
                <w:rFonts w:ascii="Arial" w:hAnsi="Arial" w:cs="Arial"/>
                <w:sz w:val="18"/>
                <w:szCs w:val="18"/>
                <w:lang w:val="es-NI"/>
              </w:rPr>
              <w:t xml:space="preserve">SEPOL) y Observatorios </w:t>
            </w:r>
          </w:p>
        </w:tc>
      </w:tr>
      <w:tr w:rsidR="005C503F" w:rsidRPr="007C3A06" w14:paraId="4BB5C82B"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468AE"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 xml:space="preserve">2.6 Tasa de homicidios por cada 100,000 habitantes </w:t>
            </w:r>
            <w:r w:rsidRPr="00DF0502">
              <w:rPr>
                <w:rFonts w:ascii="Arial" w:hAnsi="Arial" w:cs="Arial"/>
                <w:sz w:val="18"/>
                <w:szCs w:val="18"/>
                <w:lang w:val="es-NI" w:eastAsia="pt-BR"/>
              </w:rPr>
              <w:t>en Distrito Central</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0C322"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Tasa</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AED28"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82</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8F066"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B6B3CDE"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75</w:t>
            </w:r>
          </w:p>
        </w:tc>
        <w:tc>
          <w:tcPr>
            <w:tcW w:w="720" w:type="dxa"/>
            <w:tcBorders>
              <w:top w:val="single" w:sz="4" w:space="0" w:color="000000"/>
              <w:left w:val="single" w:sz="4" w:space="0" w:color="000000"/>
              <w:bottom w:val="single" w:sz="4" w:space="0" w:color="000000"/>
              <w:right w:val="single" w:sz="4" w:space="0" w:color="000000"/>
            </w:tcBorders>
          </w:tcPr>
          <w:p w14:paraId="2C0AD2E3"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67</w:t>
            </w:r>
          </w:p>
        </w:tc>
        <w:tc>
          <w:tcPr>
            <w:tcW w:w="720" w:type="dxa"/>
            <w:tcBorders>
              <w:top w:val="single" w:sz="4" w:space="0" w:color="000000"/>
              <w:left w:val="single" w:sz="4" w:space="0" w:color="000000"/>
              <w:bottom w:val="single" w:sz="4" w:space="0" w:color="000000"/>
              <w:right w:val="single" w:sz="4" w:space="0" w:color="000000"/>
            </w:tcBorders>
          </w:tcPr>
          <w:p w14:paraId="364917D2"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67</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3A676"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Sistema Estadístico Policial en Línea</w:t>
            </w:r>
            <w:r w:rsidRPr="00DF0502">
              <w:rPr>
                <w:rFonts w:ascii="Arial" w:hAnsi="Arial" w:cs="Arial"/>
                <w:b/>
                <w:sz w:val="18"/>
                <w:szCs w:val="18"/>
                <w:lang w:val="es-NI"/>
              </w:rPr>
              <w:t xml:space="preserve"> (</w:t>
            </w:r>
            <w:r w:rsidRPr="00DF0502">
              <w:rPr>
                <w:rFonts w:ascii="Arial" w:hAnsi="Arial" w:cs="Arial"/>
                <w:sz w:val="18"/>
                <w:szCs w:val="18"/>
                <w:lang w:val="es-NI"/>
              </w:rPr>
              <w:t xml:space="preserve">SEPOL) y Observatorios </w:t>
            </w:r>
          </w:p>
        </w:tc>
      </w:tr>
      <w:tr w:rsidR="005C503F" w:rsidRPr="007C3A06" w14:paraId="7F59AED2"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D0885"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ES_tradnl" w:eastAsia="zh-CN"/>
              </w:rPr>
              <w:t>Indicador #</w:t>
            </w:r>
            <w:r w:rsidRPr="00DF0502">
              <w:rPr>
                <w:rFonts w:ascii="Arial" w:hAnsi="Arial" w:cs="Arial"/>
                <w:sz w:val="18"/>
                <w:szCs w:val="18"/>
                <w:lang w:val="es-NI"/>
              </w:rPr>
              <w:t xml:space="preserve">2.7 Tasa de homicidios por cada 100,000 habitantes </w:t>
            </w:r>
            <w:r w:rsidRPr="00DF0502">
              <w:rPr>
                <w:rFonts w:ascii="Arial" w:hAnsi="Arial" w:cs="Arial"/>
                <w:sz w:val="18"/>
                <w:szCs w:val="18"/>
                <w:lang w:val="es-NI" w:eastAsia="pt-BR"/>
              </w:rPr>
              <w:t xml:space="preserve">en </w:t>
            </w:r>
            <w:r w:rsidRPr="00DF0502">
              <w:rPr>
                <w:rFonts w:ascii="Arial" w:hAnsi="Arial" w:cs="Arial"/>
                <w:sz w:val="18"/>
                <w:szCs w:val="18"/>
                <w:lang w:val="es-NI"/>
              </w:rPr>
              <w:t>San Pedro Sula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C8333"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Tasa</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20DCC"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107</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835E2"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4E7F2BA"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100</w:t>
            </w:r>
          </w:p>
        </w:tc>
        <w:tc>
          <w:tcPr>
            <w:tcW w:w="720" w:type="dxa"/>
            <w:tcBorders>
              <w:top w:val="single" w:sz="4" w:space="0" w:color="000000"/>
              <w:left w:val="single" w:sz="4" w:space="0" w:color="000000"/>
              <w:bottom w:val="single" w:sz="4" w:space="0" w:color="000000"/>
              <w:right w:val="single" w:sz="4" w:space="0" w:color="000000"/>
            </w:tcBorders>
          </w:tcPr>
          <w:p w14:paraId="515771F5" w14:textId="77777777" w:rsidR="005C503F" w:rsidRPr="00DF0502" w:rsidRDefault="005C503F" w:rsidP="00DF0502">
            <w:pPr>
              <w:spacing w:after="0" w:line="240" w:lineRule="auto"/>
              <w:jc w:val="center"/>
              <w:rPr>
                <w:rFonts w:ascii="Arial" w:hAnsi="Arial" w:cs="Arial"/>
                <w:sz w:val="18"/>
                <w:szCs w:val="18"/>
              </w:rPr>
            </w:pPr>
            <w:r w:rsidRPr="00DF0502">
              <w:rPr>
                <w:rFonts w:ascii="Arial" w:hAnsi="Arial" w:cs="Arial"/>
                <w:sz w:val="18"/>
                <w:szCs w:val="18"/>
                <w:lang w:val="es-NI"/>
              </w:rPr>
              <w:t>92</w:t>
            </w:r>
          </w:p>
        </w:tc>
        <w:tc>
          <w:tcPr>
            <w:tcW w:w="720" w:type="dxa"/>
            <w:tcBorders>
              <w:top w:val="single" w:sz="4" w:space="0" w:color="000000"/>
              <w:left w:val="single" w:sz="4" w:space="0" w:color="000000"/>
              <w:bottom w:val="single" w:sz="4" w:space="0" w:color="000000"/>
              <w:right w:val="single" w:sz="4" w:space="0" w:color="000000"/>
            </w:tcBorders>
          </w:tcPr>
          <w:p w14:paraId="22BB9A2C" w14:textId="77777777" w:rsidR="005C503F" w:rsidRPr="00DF0502" w:rsidRDefault="005C503F" w:rsidP="00DF0502">
            <w:pPr>
              <w:spacing w:after="0" w:line="240" w:lineRule="auto"/>
              <w:jc w:val="center"/>
              <w:rPr>
                <w:rFonts w:ascii="Arial" w:hAnsi="Arial" w:cs="Arial"/>
                <w:sz w:val="18"/>
                <w:szCs w:val="18"/>
                <w:lang w:val="es-NI"/>
              </w:rPr>
            </w:pPr>
            <w:r w:rsidRPr="00DF0502">
              <w:rPr>
                <w:rFonts w:ascii="Arial" w:hAnsi="Arial" w:cs="Arial"/>
                <w:sz w:val="18"/>
                <w:szCs w:val="18"/>
                <w:lang w:val="es-NI"/>
              </w:rPr>
              <w:t>92</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65F7B" w14:textId="77777777" w:rsidR="005C503F" w:rsidRPr="00DF0502" w:rsidRDefault="005C503F" w:rsidP="00DF0502">
            <w:pPr>
              <w:spacing w:after="0" w:line="240" w:lineRule="auto"/>
              <w:rPr>
                <w:rFonts w:ascii="Arial" w:hAnsi="Arial" w:cs="Arial"/>
                <w:sz w:val="18"/>
                <w:szCs w:val="18"/>
                <w:lang w:val="es-NI"/>
              </w:rPr>
            </w:pPr>
            <w:r w:rsidRPr="00DF0502">
              <w:rPr>
                <w:rFonts w:ascii="Arial" w:hAnsi="Arial" w:cs="Arial"/>
                <w:sz w:val="18"/>
                <w:szCs w:val="18"/>
                <w:lang w:val="es-NI"/>
              </w:rPr>
              <w:t>Sistema Estadístico Policial en Línea</w:t>
            </w:r>
            <w:r w:rsidRPr="00DF0502">
              <w:rPr>
                <w:rFonts w:ascii="Arial" w:hAnsi="Arial" w:cs="Arial"/>
                <w:b/>
                <w:sz w:val="18"/>
                <w:szCs w:val="18"/>
                <w:lang w:val="es-NI"/>
              </w:rPr>
              <w:t xml:space="preserve"> (</w:t>
            </w:r>
            <w:r w:rsidRPr="00DF0502">
              <w:rPr>
                <w:rFonts w:ascii="Arial" w:hAnsi="Arial" w:cs="Arial"/>
                <w:sz w:val="18"/>
                <w:szCs w:val="18"/>
                <w:lang w:val="es-NI"/>
              </w:rPr>
              <w:t xml:space="preserve">SEPOL) y Observatorios </w:t>
            </w:r>
          </w:p>
        </w:tc>
      </w:tr>
    </w:tbl>
    <w:p w14:paraId="2E94B6E2" w14:textId="77777777" w:rsidR="00144868" w:rsidRPr="00DF0502" w:rsidRDefault="00144868" w:rsidP="00DF0502">
      <w:pPr>
        <w:spacing w:after="0" w:line="240" w:lineRule="auto"/>
        <w:ind w:left="567"/>
        <w:jc w:val="both"/>
        <w:rPr>
          <w:rFonts w:ascii="Arial" w:hAnsi="Arial" w:cs="Arial"/>
          <w:b/>
          <w:u w:val="single"/>
          <w:lang w:val="es-ES_tradnl"/>
        </w:rPr>
      </w:pPr>
    </w:p>
    <w:p w14:paraId="1A38DB0A" w14:textId="77777777" w:rsidR="000D5D98" w:rsidRPr="00946B52" w:rsidRDefault="000D5D98" w:rsidP="000D5D98">
      <w:pPr>
        <w:spacing w:after="0" w:line="240" w:lineRule="auto"/>
        <w:ind w:left="567"/>
        <w:jc w:val="both"/>
        <w:rPr>
          <w:rFonts w:ascii="Arial" w:hAnsi="Arial" w:cs="Arial"/>
          <w:b/>
          <w:kern w:val="28"/>
          <w:u w:val="single"/>
          <w:lang w:val="es-ES_tradnl"/>
        </w:rPr>
      </w:pPr>
      <w:r w:rsidRPr="00946B52">
        <w:rPr>
          <w:rFonts w:ascii="Arial" w:hAnsi="Arial" w:cs="Arial"/>
          <w:b/>
          <w:kern w:val="28"/>
          <w:u w:val="single"/>
          <w:lang w:val="es-ES_tradnl"/>
        </w:rPr>
        <w:t>Supuestos</w:t>
      </w:r>
    </w:p>
    <w:p w14:paraId="1237C76E" w14:textId="77777777" w:rsidR="00DA5172" w:rsidRPr="00DA5172" w:rsidRDefault="00901343" w:rsidP="00C94B0A">
      <w:pPr>
        <w:pStyle w:val="Paragraph"/>
        <w:numPr>
          <w:ilvl w:val="1"/>
          <w:numId w:val="1"/>
        </w:numPr>
        <w:spacing w:before="0" w:after="0"/>
        <w:rPr>
          <w:rFonts w:ascii="Arial" w:hAnsi="Arial" w:cs="Arial"/>
          <w:kern w:val="28"/>
          <w:sz w:val="22"/>
          <w:szCs w:val="22"/>
        </w:rPr>
      </w:pPr>
      <w:r w:rsidRPr="00901343">
        <w:rPr>
          <w:rFonts w:ascii="Arial" w:hAnsi="Arial" w:cs="Arial"/>
          <w:sz w:val="22"/>
          <w:szCs w:val="22"/>
        </w:rPr>
        <w:t>Los beneficios esperados asociados a las actividades del Componente II se derivan principalmente de la reducción del número de homicidios y otros delitos causada por la mejora en los servicios policiales.</w:t>
      </w:r>
      <w:r w:rsidRPr="00901343">
        <w:rPr>
          <w:rFonts w:ascii="Arial" w:hAnsi="Arial" w:cs="Arial"/>
          <w:sz w:val="22"/>
          <w:szCs w:val="22"/>
          <w:lang w:val="es-AR"/>
        </w:rPr>
        <w:t xml:space="preserve"> </w:t>
      </w:r>
      <w:r w:rsidR="000D5D98" w:rsidRPr="00C94B0A">
        <w:rPr>
          <w:rFonts w:ascii="Arial" w:hAnsi="Arial" w:cs="Arial"/>
          <w:sz w:val="22"/>
          <w:szCs w:val="22"/>
        </w:rPr>
        <w:t xml:space="preserve">Para asignar un valor monetario a los beneficios esperados del programa, primero se identifican </w:t>
      </w:r>
      <w:r w:rsidR="000D5D98" w:rsidRPr="00C94B0A">
        <w:rPr>
          <w:rFonts w:ascii="Arial" w:hAnsi="Arial" w:cs="Arial"/>
          <w:color w:val="211E1E"/>
          <w:sz w:val="22"/>
          <w:szCs w:val="22"/>
          <w:lang w:val="es-ES_tradnl"/>
        </w:rPr>
        <w:t xml:space="preserve">los costos en que se incurre por los homicidios y otros delitos como la violencia intrafamiliar, medidos como porcentaje del PIB. Primero, </w:t>
      </w:r>
      <w:r w:rsidR="000D5D98" w:rsidRPr="00C94B0A">
        <w:rPr>
          <w:rFonts w:ascii="Arial" w:hAnsi="Arial" w:cs="Arial"/>
          <w:sz w:val="22"/>
          <w:szCs w:val="22"/>
        </w:rPr>
        <w:t xml:space="preserve">en Honduras los costos sociales de crímenes </w:t>
      </w:r>
      <w:r w:rsidR="000D5D98" w:rsidRPr="00C94B0A">
        <w:rPr>
          <w:rFonts w:ascii="Arial" w:hAnsi="Arial" w:cs="Arial"/>
          <w:sz w:val="22"/>
          <w:szCs w:val="22"/>
        </w:rPr>
        <w:lastRenderedPageBreak/>
        <w:t>no letales como la violencia intrafamiliar, esto es, mientras no alcance su m</w:t>
      </w:r>
      <w:r w:rsidR="000D5D98" w:rsidRPr="00C94B0A">
        <w:rPr>
          <w:rFonts w:ascii="Arial" w:hAnsi="Arial" w:cs="Arial"/>
          <w:sz w:val="22"/>
          <w:szCs w:val="22"/>
          <w:lang w:val="es-MX"/>
        </w:rPr>
        <w:t xml:space="preserve">áximo nivel que generalmente es el femicidio, </w:t>
      </w:r>
      <w:r w:rsidR="000D5D98" w:rsidRPr="00C94B0A">
        <w:rPr>
          <w:rFonts w:ascii="Arial" w:hAnsi="Arial" w:cs="Arial"/>
          <w:sz w:val="22"/>
          <w:szCs w:val="22"/>
        </w:rPr>
        <w:t>alcanzan el 0,3% del PBI (Jaitman, 2017)</w:t>
      </w:r>
      <w:r w:rsidR="000D5D98" w:rsidRPr="00C94B0A">
        <w:rPr>
          <w:rFonts w:ascii="Arial" w:hAnsi="Arial" w:cs="Arial"/>
          <w:color w:val="211E1E"/>
          <w:sz w:val="22"/>
          <w:szCs w:val="22"/>
          <w:lang w:val="es-ES_tradnl"/>
        </w:rPr>
        <w:t xml:space="preserve">. </w:t>
      </w:r>
      <w:r w:rsidR="00E72A5E" w:rsidRPr="00DF0502">
        <w:rPr>
          <w:rFonts w:ascii="Arial" w:hAnsi="Arial" w:cs="Arial"/>
          <w:sz w:val="22"/>
          <w:szCs w:val="22"/>
        </w:rPr>
        <w:t>Se supone que las pérdidas derivadas de los delitos de VIF son equivalentes.</w:t>
      </w:r>
      <w:r w:rsidR="00E72A5E">
        <w:rPr>
          <w:rFonts w:ascii="Arial" w:hAnsi="Arial" w:cs="Arial"/>
          <w:sz w:val="22"/>
          <w:szCs w:val="22"/>
        </w:rPr>
        <w:t xml:space="preserve"> </w:t>
      </w:r>
      <w:r w:rsidR="000D5D98" w:rsidRPr="00C94B0A">
        <w:rPr>
          <w:rFonts w:ascii="Arial" w:hAnsi="Arial" w:cs="Arial"/>
          <w:color w:val="211E1E"/>
          <w:sz w:val="22"/>
          <w:szCs w:val="22"/>
          <w:lang w:val="es-ES_tradnl"/>
        </w:rPr>
        <w:t xml:space="preserve">Segundo, </w:t>
      </w:r>
      <w:r w:rsidR="000D5D98" w:rsidRPr="00C94B0A">
        <w:rPr>
          <w:rFonts w:ascii="Arial" w:hAnsi="Arial" w:cs="Arial"/>
          <w:kern w:val="28"/>
          <w:sz w:val="22"/>
          <w:szCs w:val="22"/>
          <w:lang w:val="es-ES_tradnl"/>
        </w:rPr>
        <w:t>el</w:t>
      </w:r>
      <w:r w:rsidR="000D5D98" w:rsidRPr="00C94B0A">
        <w:rPr>
          <w:rFonts w:ascii="Arial" w:hAnsi="Arial" w:cs="Arial"/>
          <w:sz w:val="22"/>
          <w:szCs w:val="22"/>
        </w:rPr>
        <w:t xml:space="preserve"> ingreso perdido en promedio por los homicidios en Honduras es un 1,6% del PBI (Jaitman, 2017).</w:t>
      </w:r>
      <w:r w:rsidR="00206B75">
        <w:rPr>
          <w:rFonts w:ascii="Arial" w:hAnsi="Arial" w:cs="Arial"/>
          <w:sz w:val="22"/>
          <w:szCs w:val="22"/>
        </w:rPr>
        <w:t xml:space="preserve"> </w:t>
      </w:r>
      <w:r w:rsidR="000D26EE">
        <w:rPr>
          <w:rFonts w:ascii="Arial" w:hAnsi="Arial" w:cs="Arial"/>
          <w:sz w:val="22"/>
          <w:szCs w:val="22"/>
        </w:rPr>
        <w:t>P</w:t>
      </w:r>
      <w:r w:rsidR="00206B75">
        <w:rPr>
          <w:rFonts w:ascii="Arial" w:hAnsi="Arial" w:cs="Arial"/>
          <w:sz w:val="22"/>
          <w:szCs w:val="22"/>
        </w:rPr>
        <w:t xml:space="preserve">ara estimar los costos en los municipios a intervenir se </w:t>
      </w:r>
      <w:r w:rsidR="000D26EE">
        <w:rPr>
          <w:rFonts w:ascii="Arial" w:hAnsi="Arial" w:cs="Arial"/>
          <w:sz w:val="22"/>
          <w:szCs w:val="22"/>
        </w:rPr>
        <w:t>multiplica el costo a nivel pa</w:t>
      </w:r>
      <w:r w:rsidR="000D26EE">
        <w:rPr>
          <w:rFonts w:ascii="Arial" w:hAnsi="Arial" w:cs="Arial"/>
          <w:sz w:val="22"/>
          <w:szCs w:val="22"/>
          <w:lang w:val="es-MX"/>
        </w:rPr>
        <w:t xml:space="preserve">ís por la proporción de delitos que ocurren en DC y SPS. </w:t>
      </w:r>
      <w:r w:rsidR="00206B75" w:rsidRPr="00206B75">
        <w:rPr>
          <w:rFonts w:ascii="Arial" w:hAnsi="Arial" w:cs="Arial"/>
          <w:kern w:val="28"/>
          <w:sz w:val="22"/>
          <w:szCs w:val="22"/>
        </w:rPr>
        <w:t>De acuerdo con datos del 2016 en DC ocurre el 19% de todos los homicidios del país (16% ocurre en SPS)</w:t>
      </w:r>
      <w:r w:rsidR="00206B75">
        <w:rPr>
          <w:rFonts w:ascii="Arial" w:hAnsi="Arial" w:cs="Arial"/>
          <w:kern w:val="28"/>
          <w:sz w:val="22"/>
          <w:szCs w:val="22"/>
        </w:rPr>
        <w:t xml:space="preserve"> y </w:t>
      </w:r>
      <w:r w:rsidR="00DA5172" w:rsidRPr="00DA5172">
        <w:rPr>
          <w:rFonts w:ascii="Arial" w:hAnsi="Arial" w:cs="Arial"/>
          <w:kern w:val="28"/>
          <w:sz w:val="22"/>
          <w:szCs w:val="22"/>
        </w:rPr>
        <w:t xml:space="preserve">se reporta el 23% de los delitos de VIF en el país (29% se reporta en SPS). </w:t>
      </w:r>
      <w:r w:rsidR="00FC154E">
        <w:rPr>
          <w:rFonts w:ascii="Arial" w:hAnsi="Arial" w:cs="Arial"/>
          <w:kern w:val="28"/>
          <w:sz w:val="22"/>
          <w:szCs w:val="22"/>
        </w:rPr>
        <w:t>(ver Tablas 7 y 8)</w:t>
      </w:r>
    </w:p>
    <w:p w14:paraId="00EA94AA" w14:textId="77777777" w:rsidR="00206B75" w:rsidRPr="00C94B0A" w:rsidRDefault="00206B75" w:rsidP="00C94B0A">
      <w:pPr>
        <w:pStyle w:val="Paragraph"/>
        <w:numPr>
          <w:ilvl w:val="0"/>
          <w:numId w:val="0"/>
        </w:numPr>
        <w:spacing w:before="0" w:after="0"/>
        <w:ind w:left="720" w:hanging="720"/>
        <w:rPr>
          <w:rFonts w:ascii="Arial" w:hAnsi="Arial" w:cs="Arial"/>
          <w:kern w:val="28"/>
        </w:rPr>
      </w:pPr>
    </w:p>
    <w:p w14:paraId="4255FF18" w14:textId="77777777" w:rsidR="000D5D98" w:rsidRDefault="000D5D98" w:rsidP="000D5D98">
      <w:pPr>
        <w:spacing w:after="0" w:line="240" w:lineRule="auto"/>
        <w:ind w:left="567"/>
        <w:jc w:val="both"/>
        <w:rPr>
          <w:rFonts w:ascii="Arial" w:hAnsi="Arial" w:cs="Arial"/>
          <w:kern w:val="28"/>
          <w:lang w:val="es-ES_tradnl"/>
        </w:rPr>
      </w:pPr>
    </w:p>
    <w:p w14:paraId="7828248B" w14:textId="77777777" w:rsidR="000D5D98" w:rsidRPr="00C94B0A" w:rsidRDefault="000D5D98" w:rsidP="000D5D98">
      <w:pPr>
        <w:spacing w:after="0" w:line="240" w:lineRule="auto"/>
        <w:ind w:left="567"/>
        <w:jc w:val="both"/>
        <w:rPr>
          <w:rFonts w:ascii="Arial" w:hAnsi="Arial" w:cs="Arial"/>
          <w:b/>
          <w:kern w:val="28"/>
          <w:lang w:val="es-ES_tradnl"/>
        </w:rPr>
      </w:pPr>
      <w:r w:rsidRPr="00C94B0A">
        <w:rPr>
          <w:rFonts w:ascii="Arial" w:hAnsi="Arial" w:cs="Arial"/>
          <w:b/>
          <w:kern w:val="28"/>
          <w:lang w:val="es-ES_tradnl"/>
        </w:rPr>
        <w:t xml:space="preserve">Tabla 7. Parámetros </w:t>
      </w:r>
    </w:p>
    <w:p w14:paraId="370ED239" w14:textId="77777777" w:rsidR="000D5D98" w:rsidRDefault="000D5D98" w:rsidP="000D5D98">
      <w:pPr>
        <w:pStyle w:val="ListParagraph"/>
        <w:spacing w:after="0" w:line="240" w:lineRule="auto"/>
        <w:ind w:left="567"/>
        <w:jc w:val="both"/>
        <w:rPr>
          <w:rFonts w:ascii="Arial" w:hAnsi="Arial" w:cs="Arial"/>
          <w:kern w:val="28"/>
          <w:lang w:val="es-ES_tradnl"/>
        </w:rPr>
      </w:pPr>
    </w:p>
    <w:p w14:paraId="4EA39392" w14:textId="77777777" w:rsidR="00E271EA" w:rsidRPr="00946B52" w:rsidRDefault="00E271EA" w:rsidP="000D5D98">
      <w:pPr>
        <w:pStyle w:val="ListParagraph"/>
        <w:spacing w:after="0" w:line="240" w:lineRule="auto"/>
        <w:ind w:left="567"/>
        <w:jc w:val="both"/>
        <w:rPr>
          <w:rFonts w:ascii="Arial" w:hAnsi="Arial" w:cs="Arial"/>
          <w:kern w:val="28"/>
          <w:lang w:val="es-ES_tradnl"/>
        </w:rPr>
      </w:pPr>
      <w:r w:rsidRPr="00E271EA">
        <w:rPr>
          <w:noProof/>
        </w:rPr>
        <w:drawing>
          <wp:inline distT="0" distB="0" distL="0" distR="0" wp14:anchorId="76FB1FA8" wp14:editId="1AFA69F1">
            <wp:extent cx="5396230" cy="13369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6230" cy="1336940"/>
                    </a:xfrm>
                    <a:prstGeom prst="rect">
                      <a:avLst/>
                    </a:prstGeom>
                    <a:noFill/>
                    <a:ln>
                      <a:noFill/>
                    </a:ln>
                  </pic:spPr>
                </pic:pic>
              </a:graphicData>
            </a:graphic>
          </wp:inline>
        </w:drawing>
      </w:r>
    </w:p>
    <w:p w14:paraId="74613116" w14:textId="77777777" w:rsidR="000D5D98" w:rsidRDefault="000D5D98" w:rsidP="000D5D98">
      <w:pPr>
        <w:pStyle w:val="ListParagraph"/>
        <w:ind w:left="540"/>
        <w:rPr>
          <w:rFonts w:ascii="Arial" w:hAnsi="Arial" w:cs="Arial"/>
          <w:lang w:val="es-ES"/>
        </w:rPr>
      </w:pPr>
    </w:p>
    <w:p w14:paraId="4FA50C28" w14:textId="77777777" w:rsidR="000D5D98" w:rsidRPr="00C94B0A" w:rsidRDefault="000D5D98" w:rsidP="000D5D98">
      <w:pPr>
        <w:pStyle w:val="ListParagraph"/>
        <w:ind w:left="540"/>
        <w:rPr>
          <w:rFonts w:ascii="Arial" w:hAnsi="Arial" w:cs="Arial"/>
          <w:b/>
          <w:lang w:val="es-ES"/>
        </w:rPr>
      </w:pPr>
      <w:r w:rsidRPr="00C94B0A">
        <w:rPr>
          <w:rFonts w:ascii="Arial" w:hAnsi="Arial" w:cs="Arial"/>
          <w:b/>
          <w:lang w:val="es-ES"/>
        </w:rPr>
        <w:t xml:space="preserve">Tabla 8. </w:t>
      </w:r>
      <w:r w:rsidRPr="00C94B0A">
        <w:rPr>
          <w:rFonts w:ascii="Arial" w:hAnsi="Arial" w:cs="Arial"/>
          <w:b/>
          <w:lang w:val="es-ES"/>
        </w:rPr>
        <w:t>Costos</w:t>
      </w:r>
    </w:p>
    <w:p w14:paraId="09D03B6B" w14:textId="77777777" w:rsidR="000D5D98" w:rsidRDefault="00A9743D" w:rsidP="000D5D98">
      <w:pPr>
        <w:pStyle w:val="ListParagraph"/>
        <w:ind w:left="540"/>
        <w:rPr>
          <w:rFonts w:ascii="Arial" w:hAnsi="Arial" w:cs="Arial"/>
          <w:lang w:val="es-ES"/>
        </w:rPr>
      </w:pPr>
      <w:r w:rsidRPr="00A9743D">
        <w:rPr>
          <w:noProof/>
        </w:rPr>
        <w:drawing>
          <wp:inline distT="0" distB="0" distL="0" distR="0" wp14:anchorId="13BF0A69" wp14:editId="22FF190A">
            <wp:extent cx="5396230" cy="30899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6230" cy="308996"/>
                    </a:xfrm>
                    <a:prstGeom prst="rect">
                      <a:avLst/>
                    </a:prstGeom>
                    <a:noFill/>
                    <a:ln>
                      <a:noFill/>
                    </a:ln>
                  </pic:spPr>
                </pic:pic>
              </a:graphicData>
            </a:graphic>
          </wp:inline>
        </w:drawing>
      </w:r>
    </w:p>
    <w:p w14:paraId="14842608" w14:textId="77777777" w:rsidR="000D5D98" w:rsidRDefault="000D5D98" w:rsidP="000D5D98">
      <w:pPr>
        <w:pStyle w:val="ListParagraph"/>
        <w:rPr>
          <w:rFonts w:ascii="Arial" w:hAnsi="Arial" w:cs="Arial"/>
          <w:lang w:val="es-ES"/>
        </w:rPr>
      </w:pPr>
    </w:p>
    <w:p w14:paraId="2CB3B030" w14:textId="77777777" w:rsidR="000D26EE" w:rsidRDefault="000D26EE" w:rsidP="000D26EE">
      <w:pPr>
        <w:pStyle w:val="ListParagraph"/>
        <w:ind w:hanging="180"/>
        <w:rPr>
          <w:rFonts w:ascii="Arial" w:hAnsi="Arial" w:cs="Arial"/>
          <w:lang w:val="es-ES"/>
        </w:rPr>
      </w:pPr>
      <w:r w:rsidRPr="000D26EE">
        <w:rPr>
          <w:noProof/>
        </w:rPr>
        <w:drawing>
          <wp:inline distT="0" distB="0" distL="0" distR="0" wp14:anchorId="2F7065A2" wp14:editId="05F7B8E5">
            <wp:extent cx="5396230" cy="4605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6230" cy="460595"/>
                    </a:xfrm>
                    <a:prstGeom prst="rect">
                      <a:avLst/>
                    </a:prstGeom>
                    <a:noFill/>
                    <a:ln>
                      <a:noFill/>
                    </a:ln>
                  </pic:spPr>
                </pic:pic>
              </a:graphicData>
            </a:graphic>
          </wp:inline>
        </w:drawing>
      </w:r>
    </w:p>
    <w:p w14:paraId="047AEC85" w14:textId="77777777" w:rsidR="00F84308" w:rsidRDefault="00F84308" w:rsidP="000D26EE">
      <w:pPr>
        <w:pStyle w:val="ListParagraph"/>
        <w:ind w:hanging="180"/>
        <w:rPr>
          <w:rFonts w:ascii="Arial" w:hAnsi="Arial" w:cs="Arial"/>
          <w:lang w:val="es-ES"/>
        </w:rPr>
      </w:pPr>
    </w:p>
    <w:p w14:paraId="7AD05DF0" w14:textId="77777777" w:rsidR="00F84308" w:rsidRPr="00C94B0A" w:rsidRDefault="00F84308" w:rsidP="00C94B0A">
      <w:pPr>
        <w:pStyle w:val="ListParagraph"/>
        <w:ind w:hanging="180"/>
        <w:rPr>
          <w:rFonts w:ascii="Arial" w:hAnsi="Arial" w:cs="Arial"/>
          <w:b/>
          <w:lang w:val="es-ES"/>
        </w:rPr>
      </w:pPr>
      <w:r w:rsidRPr="00C94B0A">
        <w:rPr>
          <w:rFonts w:ascii="Arial" w:hAnsi="Arial" w:cs="Arial"/>
          <w:b/>
          <w:lang w:val="es-ES"/>
        </w:rPr>
        <w:t>Efectos</w:t>
      </w:r>
    </w:p>
    <w:p w14:paraId="26B0C629" w14:textId="77777777" w:rsidR="000D5D98" w:rsidRDefault="000D5D98" w:rsidP="00901343">
      <w:pPr>
        <w:numPr>
          <w:ilvl w:val="1"/>
          <w:numId w:val="1"/>
        </w:numPr>
        <w:spacing w:after="0" w:line="240" w:lineRule="auto"/>
        <w:jc w:val="both"/>
        <w:rPr>
          <w:rFonts w:ascii="Arial" w:eastAsiaTheme="minorHAnsi" w:hAnsi="Arial" w:cs="Arial"/>
          <w:color w:val="000000"/>
          <w:lang w:val="es-ES_tradnl"/>
        </w:rPr>
      </w:pPr>
      <w:r>
        <w:rPr>
          <w:rFonts w:ascii="Arial" w:hAnsi="Arial" w:cs="Arial"/>
          <w:lang w:val="es-ES"/>
        </w:rPr>
        <w:t>L</w:t>
      </w:r>
      <w:r w:rsidRPr="00DF0502" w:rsidDel="007A1F3B">
        <w:rPr>
          <w:rFonts w:ascii="Arial" w:hAnsi="Arial" w:cs="Arial"/>
          <w:lang w:val="es-ES"/>
        </w:rPr>
        <w:t>os efectos del programa se estima</w:t>
      </w:r>
      <w:r>
        <w:rPr>
          <w:rFonts w:ascii="Arial" w:hAnsi="Arial" w:cs="Arial"/>
          <w:lang w:val="es-ES"/>
        </w:rPr>
        <w:t>n</w:t>
      </w:r>
      <w:r w:rsidRPr="00DF0502" w:rsidDel="007A1F3B">
        <w:rPr>
          <w:rFonts w:ascii="Arial" w:hAnsi="Arial" w:cs="Arial"/>
          <w:lang w:val="es-ES"/>
        </w:rPr>
        <w:t xml:space="preserve"> con base en </w:t>
      </w:r>
      <w:r>
        <w:rPr>
          <w:rFonts w:ascii="Arial" w:hAnsi="Arial" w:cs="Arial"/>
          <w:lang w:val="es-ES"/>
        </w:rPr>
        <w:t xml:space="preserve">estudios de efectividad de intervenciones similares a las planeadas por el programa y al valor esperado de los indicadores definidos en la MIR. </w:t>
      </w:r>
      <w:r w:rsidRPr="00DF0502" w:rsidDel="007A1F3B">
        <w:rPr>
          <w:rFonts w:ascii="Arial" w:hAnsi="Arial" w:cs="Arial"/>
          <w:lang w:val="es-ES"/>
        </w:rPr>
        <w:t xml:space="preserve"> </w:t>
      </w:r>
    </w:p>
    <w:p w14:paraId="66AEE40A" w14:textId="77777777" w:rsidR="00901343" w:rsidRPr="00C94B0A" w:rsidRDefault="00901343" w:rsidP="00C94B0A">
      <w:pPr>
        <w:spacing w:after="0" w:line="240" w:lineRule="auto"/>
        <w:ind w:left="567"/>
        <w:jc w:val="both"/>
        <w:rPr>
          <w:rFonts w:ascii="Arial" w:eastAsiaTheme="minorHAnsi" w:hAnsi="Arial" w:cs="Arial"/>
          <w:color w:val="000000"/>
          <w:lang w:val="es-ES_tradnl"/>
        </w:rPr>
      </w:pPr>
    </w:p>
    <w:p w14:paraId="5E6F48F8" w14:textId="77777777" w:rsidR="00901343" w:rsidRPr="00C94B0A" w:rsidRDefault="00901343" w:rsidP="00901343">
      <w:pPr>
        <w:pStyle w:val="Paragraph"/>
        <w:numPr>
          <w:ilvl w:val="1"/>
          <w:numId w:val="1"/>
        </w:numPr>
        <w:spacing w:before="0" w:after="0"/>
        <w:rPr>
          <w:rFonts w:ascii="Arial" w:hAnsi="Arial" w:cs="Arial"/>
          <w:kern w:val="28"/>
          <w:sz w:val="22"/>
          <w:szCs w:val="22"/>
        </w:rPr>
      </w:pPr>
      <w:r w:rsidRPr="00DF0502">
        <w:rPr>
          <w:rFonts w:ascii="Arial" w:hAnsi="Arial" w:cs="Arial"/>
          <w:sz w:val="22"/>
          <w:szCs w:val="22"/>
          <w:lang w:val="es-CO"/>
        </w:rPr>
        <w:t>Mejía et al. (2013) encuentran a través del Programa de Vigilancia Comunitaria por Cuadrantes una reducción del 18% de los homicidios en las ocho ciudades intervenidas en Colombia, como resultado de la nueva estrategia del servicio policial de vigilancia.</w:t>
      </w:r>
    </w:p>
    <w:p w14:paraId="6E4F3D2A" w14:textId="77777777" w:rsidR="00901343" w:rsidRPr="00DF0502" w:rsidRDefault="00901343" w:rsidP="00C94B0A">
      <w:pPr>
        <w:pStyle w:val="Paragraph"/>
        <w:numPr>
          <w:ilvl w:val="0"/>
          <w:numId w:val="0"/>
        </w:numPr>
        <w:spacing w:before="0" w:after="0"/>
        <w:rPr>
          <w:rFonts w:ascii="Arial" w:hAnsi="Arial" w:cs="Arial"/>
          <w:kern w:val="28"/>
          <w:sz w:val="22"/>
          <w:szCs w:val="22"/>
        </w:rPr>
      </w:pPr>
    </w:p>
    <w:p w14:paraId="70EA63C0" w14:textId="77777777" w:rsidR="00901343" w:rsidRPr="00DF0502" w:rsidRDefault="00901343" w:rsidP="00901343">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 xml:space="preserve">En cuanto a la literatura de apoyo a víctimas, la gran cantidad de artículos que existen tienen mayor foco en el estudio de los efectos psicológicos que esta asistencia tiene sobre la víctima y no tanto sobre los efectos en niveles de denuncias, resolución de los casos, nivel de delito, entre otros. Uno de los estudios que sí arroja luz sobre los efectos de la asistencia a las víctimas de delitos sexuales es el de Koppa (2015). La autora estudia el impacto del programa “Lethality Assestment” implementado en Maryland (Estados Unidos). Se trata de un protocolo usado para escanear las víctimas de violencia intrafamiliar e identificar a las mujeres que presentan mayor riesgo de ser seriamente heridas o asesinadas por sus parejas. Las víctimas consideradas de mayor riesgo son conectadas a un asistente de violencia doméstica, se les da un plan de seguridad y son alentadas a buscar ayuda de manera activa. La autora encuentra que el programa reduce las víctimas de femicidios entre un 35-45%. </w:t>
      </w:r>
    </w:p>
    <w:p w14:paraId="6B01A160" w14:textId="77777777" w:rsidR="000D5D98" w:rsidRPr="00C94B0A" w:rsidRDefault="000D5D98" w:rsidP="000D5D98">
      <w:pPr>
        <w:spacing w:after="0" w:line="240" w:lineRule="auto"/>
        <w:jc w:val="both"/>
        <w:rPr>
          <w:rStyle w:val="A12"/>
          <w:rFonts w:ascii="Arial" w:hAnsi="Arial" w:cs="Arial"/>
          <w:color w:val="auto"/>
          <w:sz w:val="22"/>
          <w:szCs w:val="22"/>
          <w:lang w:val="es-ES_tradnl"/>
        </w:rPr>
      </w:pPr>
    </w:p>
    <w:p w14:paraId="3898DDFB" w14:textId="09DFA1C0" w:rsidR="000D5D98" w:rsidRPr="00DF0502" w:rsidRDefault="000D5D98" w:rsidP="000D5D98">
      <w:pPr>
        <w:spacing w:after="0" w:line="240" w:lineRule="auto"/>
        <w:jc w:val="both"/>
        <w:rPr>
          <w:rFonts w:ascii="Arial" w:hAnsi="Arial" w:cs="Arial"/>
          <w:color w:val="211E1E"/>
          <w:lang w:val="es-ES_tradnl"/>
        </w:rPr>
      </w:pPr>
    </w:p>
    <w:p w14:paraId="12A2E035" w14:textId="1B22605B" w:rsidR="000D5D98" w:rsidRPr="00DF0502" w:rsidRDefault="000D5D98" w:rsidP="000D5D98">
      <w:pPr>
        <w:numPr>
          <w:ilvl w:val="1"/>
          <w:numId w:val="1"/>
        </w:numPr>
        <w:spacing w:after="0" w:line="240" w:lineRule="auto"/>
        <w:jc w:val="both"/>
        <w:rPr>
          <w:rFonts w:ascii="Arial" w:hAnsi="Arial" w:cs="Arial"/>
          <w:kern w:val="28"/>
          <w:lang w:val="es-ES_tradnl"/>
        </w:rPr>
      </w:pPr>
      <w:r>
        <w:rPr>
          <w:rFonts w:ascii="Arial" w:hAnsi="Arial" w:cs="Arial"/>
          <w:kern w:val="28"/>
          <w:lang w:val="es-ES_tradnl"/>
        </w:rPr>
        <w:t>La magnitud de los efectos del programa se estima a partir del año 4 y de acuerdo con los valores esperados de los indicadores de resultado definidos en la MIR, bajo los siguientes supuestos</w:t>
      </w:r>
      <w:r w:rsidR="00FC154E">
        <w:rPr>
          <w:rFonts w:ascii="Arial" w:hAnsi="Arial" w:cs="Arial"/>
          <w:kern w:val="28"/>
          <w:lang w:val="es-ES_tradnl"/>
        </w:rPr>
        <w:t xml:space="preserve"> (ver Tabla 9)</w:t>
      </w:r>
      <w:r w:rsidRPr="00DF0502">
        <w:rPr>
          <w:rFonts w:ascii="Arial" w:hAnsi="Arial" w:cs="Arial"/>
          <w:kern w:val="28"/>
          <w:lang w:val="es-ES_tradnl"/>
        </w:rPr>
        <w:t>:</w:t>
      </w:r>
    </w:p>
    <w:p w14:paraId="0D800CE6" w14:textId="77777777" w:rsidR="000D5D98" w:rsidRDefault="000D5D98" w:rsidP="000D5D98">
      <w:pPr>
        <w:spacing w:after="0" w:line="240" w:lineRule="auto"/>
        <w:ind w:left="1080"/>
        <w:jc w:val="both"/>
        <w:rPr>
          <w:rFonts w:ascii="Arial" w:hAnsi="Arial" w:cs="Arial"/>
          <w:lang w:val="es-ES"/>
        </w:rPr>
      </w:pPr>
    </w:p>
    <w:p w14:paraId="047B9D83" w14:textId="10D74A65" w:rsidR="001343FB" w:rsidRPr="00C94B0A" w:rsidRDefault="00901343" w:rsidP="00901343">
      <w:pPr>
        <w:pStyle w:val="Paragraph"/>
        <w:numPr>
          <w:ilvl w:val="2"/>
          <w:numId w:val="1"/>
        </w:numPr>
        <w:spacing w:before="0" w:after="0"/>
        <w:rPr>
          <w:rFonts w:ascii="Arial" w:hAnsi="Arial" w:cs="Arial"/>
          <w:kern w:val="28"/>
          <w:sz w:val="22"/>
          <w:szCs w:val="22"/>
        </w:rPr>
      </w:pPr>
      <w:r w:rsidRPr="00DF0502">
        <w:rPr>
          <w:rFonts w:ascii="Arial" w:hAnsi="Arial" w:cs="Arial"/>
          <w:sz w:val="22"/>
          <w:szCs w:val="22"/>
        </w:rPr>
        <w:t xml:space="preserve">El cuarto año se espera una reducción en </w:t>
      </w:r>
      <w:r w:rsidR="001343FB">
        <w:rPr>
          <w:rFonts w:ascii="Arial" w:hAnsi="Arial" w:cs="Arial"/>
          <w:sz w:val="22"/>
          <w:szCs w:val="22"/>
        </w:rPr>
        <w:t xml:space="preserve">la tasa de </w:t>
      </w:r>
      <w:r w:rsidRPr="00DF0502">
        <w:rPr>
          <w:rFonts w:ascii="Arial" w:hAnsi="Arial" w:cs="Arial"/>
          <w:sz w:val="22"/>
          <w:szCs w:val="22"/>
        </w:rPr>
        <w:t xml:space="preserve">homicidios del 8.5% en Distrito Central (6.5% en San Pedro Sula), según </w:t>
      </w:r>
      <w:r w:rsidR="00AE5082">
        <w:rPr>
          <w:rFonts w:ascii="Arial" w:hAnsi="Arial" w:cs="Arial"/>
          <w:sz w:val="22"/>
          <w:szCs w:val="22"/>
        </w:rPr>
        <w:t xml:space="preserve">el indicador #2.6 de la MIR que pasa de 82 a </w:t>
      </w:r>
      <w:r w:rsidR="00DC072F" w:rsidRPr="00C94B0A">
        <w:rPr>
          <w:rFonts w:ascii="Arial" w:hAnsi="Arial" w:cs="Arial"/>
          <w:sz w:val="22"/>
          <w:szCs w:val="22"/>
          <w:lang w:val="es-MX"/>
        </w:rPr>
        <w:t>75</w:t>
      </w:r>
      <w:r w:rsidR="001343FB">
        <w:rPr>
          <w:rFonts w:ascii="Arial" w:hAnsi="Arial" w:cs="Arial"/>
          <w:sz w:val="22"/>
          <w:szCs w:val="22"/>
          <w:lang w:val="es-MX"/>
        </w:rPr>
        <w:t xml:space="preserve"> (según el indicador #2.7 de la MIR que pasa de 107 a 100)</w:t>
      </w:r>
    </w:p>
    <w:p w14:paraId="155668C9" w14:textId="4117E468" w:rsidR="00901343" w:rsidRPr="00C94B0A" w:rsidRDefault="001343FB" w:rsidP="00901343">
      <w:pPr>
        <w:pStyle w:val="Paragraph"/>
        <w:numPr>
          <w:ilvl w:val="2"/>
          <w:numId w:val="1"/>
        </w:numPr>
        <w:spacing w:before="0" w:after="0"/>
        <w:rPr>
          <w:rFonts w:ascii="Arial" w:hAnsi="Arial" w:cs="Arial"/>
          <w:kern w:val="28"/>
          <w:sz w:val="22"/>
          <w:szCs w:val="22"/>
        </w:rPr>
      </w:pPr>
      <w:r>
        <w:rPr>
          <w:rFonts w:ascii="Arial" w:hAnsi="Arial" w:cs="Arial"/>
          <w:sz w:val="22"/>
          <w:szCs w:val="22"/>
          <w:lang w:val="es-MX"/>
        </w:rPr>
        <w:t xml:space="preserve">El </w:t>
      </w:r>
      <w:r w:rsidR="00901343" w:rsidRPr="00DF0502">
        <w:rPr>
          <w:rFonts w:ascii="Arial" w:hAnsi="Arial" w:cs="Arial"/>
          <w:sz w:val="22"/>
          <w:szCs w:val="22"/>
        </w:rPr>
        <w:t>quinto año esa disminuci</w:t>
      </w:r>
      <w:r>
        <w:rPr>
          <w:rFonts w:ascii="Arial" w:hAnsi="Arial" w:cs="Arial"/>
          <w:sz w:val="22"/>
          <w:szCs w:val="22"/>
        </w:rPr>
        <w:t>ón</w:t>
      </w:r>
      <w:r w:rsidR="00901343" w:rsidRPr="00DF0502">
        <w:rPr>
          <w:rFonts w:ascii="Arial" w:hAnsi="Arial" w:cs="Arial"/>
          <w:sz w:val="22"/>
          <w:szCs w:val="22"/>
        </w:rPr>
        <w:t xml:space="preserve"> </w:t>
      </w:r>
      <w:r>
        <w:rPr>
          <w:rFonts w:ascii="Arial" w:hAnsi="Arial" w:cs="Arial"/>
          <w:sz w:val="22"/>
          <w:szCs w:val="22"/>
        </w:rPr>
        <w:t xml:space="preserve">en la tasa de homicidios </w:t>
      </w:r>
      <w:r w:rsidR="00901343" w:rsidRPr="00DF0502">
        <w:rPr>
          <w:rFonts w:ascii="Arial" w:hAnsi="Arial" w:cs="Arial"/>
          <w:sz w:val="22"/>
          <w:szCs w:val="22"/>
        </w:rPr>
        <w:t>ser</w:t>
      </w:r>
      <w:r>
        <w:rPr>
          <w:rFonts w:ascii="Arial" w:hAnsi="Arial" w:cs="Arial"/>
          <w:sz w:val="22"/>
          <w:szCs w:val="22"/>
        </w:rPr>
        <w:t>á</w:t>
      </w:r>
      <w:r w:rsidR="00901343" w:rsidRPr="00DF0502">
        <w:rPr>
          <w:rFonts w:ascii="Arial" w:hAnsi="Arial" w:cs="Arial"/>
          <w:sz w:val="22"/>
          <w:szCs w:val="22"/>
        </w:rPr>
        <w:t xml:space="preserve"> de 18% </w:t>
      </w:r>
      <w:r>
        <w:rPr>
          <w:rFonts w:ascii="Arial" w:hAnsi="Arial" w:cs="Arial"/>
          <w:sz w:val="22"/>
          <w:szCs w:val="22"/>
        </w:rPr>
        <w:t>en DC (</w:t>
      </w:r>
      <w:r w:rsidR="00901343" w:rsidRPr="00DF0502">
        <w:rPr>
          <w:rFonts w:ascii="Arial" w:hAnsi="Arial" w:cs="Arial"/>
          <w:sz w:val="22"/>
          <w:szCs w:val="22"/>
        </w:rPr>
        <w:t>14%</w:t>
      </w:r>
      <w:r>
        <w:rPr>
          <w:rFonts w:ascii="Arial" w:hAnsi="Arial" w:cs="Arial"/>
          <w:sz w:val="22"/>
          <w:szCs w:val="22"/>
        </w:rPr>
        <w:t xml:space="preserve"> en SPS)</w:t>
      </w:r>
      <w:r w:rsidR="00901343" w:rsidRPr="00DF0502">
        <w:rPr>
          <w:rFonts w:ascii="Arial" w:hAnsi="Arial" w:cs="Arial"/>
          <w:sz w:val="22"/>
          <w:szCs w:val="22"/>
        </w:rPr>
        <w:t xml:space="preserve">. Esto es consistente con Mejía et al. (2013) que encuentra un impacto positivo del 18% en homicidios de un programa similar. Para los cálculos se supone </w:t>
      </w:r>
      <w:r>
        <w:rPr>
          <w:rFonts w:ascii="Arial" w:hAnsi="Arial" w:cs="Arial"/>
          <w:sz w:val="22"/>
          <w:szCs w:val="22"/>
        </w:rPr>
        <w:t>que la</w:t>
      </w:r>
      <w:r w:rsidR="00901343" w:rsidRPr="00DF0502">
        <w:rPr>
          <w:rFonts w:ascii="Arial" w:hAnsi="Arial" w:cs="Arial"/>
          <w:sz w:val="22"/>
          <w:szCs w:val="22"/>
        </w:rPr>
        <w:t xml:space="preserve"> disminución del 18% en homicidios </w:t>
      </w:r>
      <w:r>
        <w:rPr>
          <w:rFonts w:ascii="Arial" w:hAnsi="Arial" w:cs="Arial"/>
          <w:sz w:val="22"/>
          <w:szCs w:val="22"/>
        </w:rPr>
        <w:t xml:space="preserve">se mantiene para </w:t>
      </w:r>
      <w:r w:rsidR="00901343" w:rsidRPr="00DF0502">
        <w:rPr>
          <w:rFonts w:ascii="Arial" w:hAnsi="Arial" w:cs="Arial"/>
          <w:sz w:val="22"/>
          <w:szCs w:val="22"/>
        </w:rPr>
        <w:t>ambos municipios en años posteriores.</w:t>
      </w:r>
    </w:p>
    <w:p w14:paraId="771B1B95" w14:textId="56253A76" w:rsidR="001343FB" w:rsidRDefault="001343FB" w:rsidP="001343FB">
      <w:pPr>
        <w:pStyle w:val="Paragraph"/>
        <w:numPr>
          <w:ilvl w:val="2"/>
          <w:numId w:val="1"/>
        </w:numPr>
        <w:spacing w:before="0" w:after="0"/>
        <w:rPr>
          <w:rFonts w:ascii="Arial" w:hAnsi="Arial" w:cs="Arial"/>
          <w:kern w:val="28"/>
          <w:sz w:val="22"/>
          <w:szCs w:val="22"/>
          <w:lang w:val="es-ES_tradnl"/>
        </w:rPr>
      </w:pPr>
      <w:r>
        <w:rPr>
          <w:rFonts w:ascii="Arial" w:hAnsi="Arial" w:cs="Arial"/>
          <w:kern w:val="28"/>
        </w:rPr>
        <w:t xml:space="preserve">En cuanto a los </w:t>
      </w:r>
      <w:r>
        <w:rPr>
          <w:rFonts w:ascii="Arial" w:hAnsi="Arial" w:cs="Arial"/>
          <w:kern w:val="28"/>
          <w:sz w:val="22"/>
          <w:szCs w:val="22"/>
        </w:rPr>
        <w:t>delitos de violencia intrafamiliar, s</w:t>
      </w:r>
      <w:r w:rsidRPr="00DF0502">
        <w:rPr>
          <w:rFonts w:ascii="Arial" w:hAnsi="Arial" w:cs="Arial"/>
          <w:kern w:val="28"/>
          <w:sz w:val="22"/>
          <w:szCs w:val="22"/>
          <w:lang w:val="es-ES_tradnl"/>
        </w:rPr>
        <w:t xml:space="preserve">e espera una caída del 7.9% según </w:t>
      </w:r>
      <w:r>
        <w:rPr>
          <w:rFonts w:ascii="Arial" w:hAnsi="Arial" w:cs="Arial"/>
          <w:kern w:val="28"/>
          <w:sz w:val="22"/>
          <w:szCs w:val="22"/>
          <w:lang w:val="es-ES_tradnl"/>
        </w:rPr>
        <w:t xml:space="preserve">el indicador #2.1 de </w:t>
      </w:r>
      <w:r w:rsidRPr="00DF0502">
        <w:rPr>
          <w:rFonts w:ascii="Arial" w:hAnsi="Arial" w:cs="Arial"/>
          <w:kern w:val="28"/>
          <w:sz w:val="22"/>
          <w:szCs w:val="22"/>
          <w:lang w:val="es-ES_tradnl"/>
        </w:rPr>
        <w:t>la MIR en la prevalencia de VIF en Distrito Central y San Pedro Sula en el cuarto año de ejecución</w:t>
      </w:r>
      <w:r>
        <w:rPr>
          <w:rFonts w:ascii="Arial" w:hAnsi="Arial" w:cs="Arial"/>
          <w:kern w:val="28"/>
          <w:sz w:val="22"/>
          <w:szCs w:val="22"/>
          <w:lang w:val="es-ES_tradnl"/>
        </w:rPr>
        <w:t>, pasando de 5.43 a 5.</w:t>
      </w:r>
    </w:p>
    <w:p w14:paraId="65FE26ED" w14:textId="77777777" w:rsidR="001343FB" w:rsidRDefault="001343FB" w:rsidP="001343FB">
      <w:pPr>
        <w:pStyle w:val="Paragraph"/>
        <w:numPr>
          <w:ilvl w:val="2"/>
          <w:numId w:val="1"/>
        </w:numPr>
        <w:spacing w:before="0" w:after="0"/>
        <w:rPr>
          <w:rFonts w:ascii="Arial" w:hAnsi="Arial" w:cs="Arial"/>
          <w:kern w:val="28"/>
          <w:sz w:val="22"/>
          <w:szCs w:val="22"/>
          <w:lang w:val="es-ES_tradnl"/>
        </w:rPr>
      </w:pPr>
      <w:r>
        <w:rPr>
          <w:rFonts w:ascii="Arial" w:hAnsi="Arial" w:cs="Arial"/>
          <w:kern w:val="28"/>
          <w:sz w:val="22"/>
          <w:szCs w:val="22"/>
          <w:lang w:val="es-ES_tradnl"/>
        </w:rPr>
        <w:t xml:space="preserve">En </w:t>
      </w:r>
      <w:r w:rsidRPr="00DF0502">
        <w:rPr>
          <w:rFonts w:ascii="Arial" w:hAnsi="Arial" w:cs="Arial"/>
          <w:kern w:val="28"/>
          <w:sz w:val="22"/>
          <w:szCs w:val="22"/>
          <w:lang w:val="es-ES_tradnl"/>
        </w:rPr>
        <w:t>el quinto año y años posteriores</w:t>
      </w:r>
      <w:r>
        <w:rPr>
          <w:rFonts w:ascii="Arial" w:hAnsi="Arial" w:cs="Arial"/>
          <w:kern w:val="28"/>
          <w:sz w:val="22"/>
          <w:szCs w:val="22"/>
          <w:lang w:val="es-ES_tradnl"/>
        </w:rPr>
        <w:t xml:space="preserve">, se espera </w:t>
      </w:r>
      <w:r w:rsidRPr="00DF0502">
        <w:rPr>
          <w:rFonts w:ascii="Arial" w:hAnsi="Arial" w:cs="Arial"/>
          <w:kern w:val="28"/>
          <w:sz w:val="22"/>
          <w:szCs w:val="22"/>
          <w:lang w:val="es-ES_tradnl"/>
        </w:rPr>
        <w:t xml:space="preserve">una disminución del 44% </w:t>
      </w:r>
      <w:r>
        <w:rPr>
          <w:rFonts w:ascii="Arial" w:hAnsi="Arial" w:cs="Arial"/>
          <w:kern w:val="28"/>
          <w:sz w:val="22"/>
          <w:szCs w:val="22"/>
          <w:lang w:val="es-ES_tradnl"/>
        </w:rPr>
        <w:t>según el indicador #2.1 pasando de 5 a 3.</w:t>
      </w:r>
      <w:r w:rsidRPr="00DF0502">
        <w:rPr>
          <w:rFonts w:ascii="Arial" w:hAnsi="Arial" w:cs="Arial"/>
          <w:kern w:val="28"/>
          <w:sz w:val="22"/>
          <w:szCs w:val="22"/>
          <w:lang w:val="es-ES_tradnl"/>
        </w:rPr>
        <w:t xml:space="preserve"> Estos supuestos son consistentes con los resultados de (Koppa, 2015), quien encuentra una disminución del 35-45% en el femicidio por la mejora en la atención a víctimas, dado que el femicidio es considerado la forma más extrema de VIF.</w:t>
      </w:r>
    </w:p>
    <w:p w14:paraId="62283F6B" w14:textId="61E66A26" w:rsidR="00641D35" w:rsidRPr="00922526" w:rsidRDefault="00641D35" w:rsidP="00C94B0A">
      <w:pPr>
        <w:pStyle w:val="Paragraph"/>
        <w:numPr>
          <w:ilvl w:val="0"/>
          <w:numId w:val="0"/>
        </w:numPr>
        <w:spacing w:before="0" w:after="0"/>
        <w:ind w:left="1080"/>
        <w:rPr>
          <w:rFonts w:ascii="Arial" w:hAnsi="Arial" w:cs="Arial"/>
          <w:kern w:val="28"/>
          <w:sz w:val="22"/>
          <w:szCs w:val="22"/>
          <w:lang w:val="es-ES_tradnl"/>
        </w:rPr>
      </w:pPr>
    </w:p>
    <w:p w14:paraId="3D15C63C" w14:textId="77777777" w:rsidR="000D5D98" w:rsidRDefault="000D5D98" w:rsidP="000D5D98">
      <w:pPr>
        <w:pStyle w:val="Paragraph"/>
        <w:numPr>
          <w:ilvl w:val="0"/>
          <w:numId w:val="0"/>
        </w:numPr>
        <w:spacing w:before="0" w:after="0"/>
        <w:ind w:left="720"/>
        <w:rPr>
          <w:rFonts w:ascii="Arial" w:eastAsia="Calibri" w:hAnsi="Arial" w:cs="Arial"/>
          <w:kern w:val="28"/>
          <w:sz w:val="22"/>
          <w:szCs w:val="22"/>
          <w:lang w:val="es-ES_tradnl"/>
        </w:rPr>
      </w:pPr>
    </w:p>
    <w:p w14:paraId="0762C7E3" w14:textId="77777777" w:rsidR="000D5D98" w:rsidRDefault="000D5D98" w:rsidP="00D918A4">
      <w:pPr>
        <w:pStyle w:val="Paragraph"/>
        <w:numPr>
          <w:ilvl w:val="0"/>
          <w:numId w:val="0"/>
        </w:numPr>
        <w:spacing w:before="0" w:after="0"/>
        <w:ind w:left="540"/>
        <w:rPr>
          <w:rFonts w:ascii="Arial" w:eastAsia="Calibri" w:hAnsi="Arial" w:cs="Arial"/>
          <w:b/>
          <w:kern w:val="28"/>
          <w:sz w:val="22"/>
          <w:szCs w:val="22"/>
          <w:lang w:val="es-ES_tradnl"/>
        </w:rPr>
      </w:pPr>
      <w:r w:rsidRPr="00946B52">
        <w:rPr>
          <w:rFonts w:ascii="Arial" w:eastAsia="Calibri" w:hAnsi="Arial" w:cs="Arial"/>
          <w:b/>
          <w:kern w:val="28"/>
          <w:sz w:val="22"/>
          <w:szCs w:val="22"/>
          <w:lang w:val="es-ES_tradnl"/>
        </w:rPr>
        <w:t xml:space="preserve">Tabla </w:t>
      </w:r>
      <w:r w:rsidR="00A41F5F">
        <w:rPr>
          <w:rFonts w:ascii="Arial" w:eastAsia="Calibri" w:hAnsi="Arial" w:cs="Arial"/>
          <w:b/>
          <w:kern w:val="28"/>
          <w:sz w:val="22"/>
          <w:szCs w:val="22"/>
          <w:lang w:val="es-ES_tradnl"/>
        </w:rPr>
        <w:t>9</w:t>
      </w:r>
      <w:r w:rsidRPr="00946B52">
        <w:rPr>
          <w:rFonts w:ascii="Arial" w:eastAsia="Calibri" w:hAnsi="Arial" w:cs="Arial"/>
          <w:b/>
          <w:kern w:val="28"/>
          <w:sz w:val="22"/>
          <w:szCs w:val="22"/>
          <w:lang w:val="es-ES_tradnl"/>
        </w:rPr>
        <w:t xml:space="preserve">. Efectos </w:t>
      </w:r>
    </w:p>
    <w:p w14:paraId="739B0C01" w14:textId="77777777" w:rsidR="00461C89" w:rsidRPr="00C94B0A" w:rsidRDefault="00461C89" w:rsidP="00C94B0A">
      <w:pPr>
        <w:pStyle w:val="Paragraph"/>
        <w:numPr>
          <w:ilvl w:val="0"/>
          <w:numId w:val="0"/>
        </w:numPr>
        <w:spacing w:before="0" w:after="0"/>
        <w:ind w:left="540"/>
        <w:rPr>
          <w:rFonts w:ascii="Arial" w:eastAsia="Calibri" w:hAnsi="Arial" w:cs="Arial"/>
          <w:b/>
          <w:kern w:val="28"/>
          <w:sz w:val="22"/>
          <w:szCs w:val="22"/>
          <w:lang w:val="es-ES_tradnl"/>
        </w:rPr>
      </w:pPr>
      <w:r w:rsidRPr="00461C89">
        <w:rPr>
          <w:rFonts w:eastAsia="Calibri"/>
          <w:noProof/>
        </w:rPr>
        <w:drawing>
          <wp:inline distT="0" distB="0" distL="0" distR="0" wp14:anchorId="0B7CCFC8" wp14:editId="4E3BF409">
            <wp:extent cx="5396230" cy="1160480"/>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6230" cy="1160480"/>
                    </a:xfrm>
                    <a:prstGeom prst="rect">
                      <a:avLst/>
                    </a:prstGeom>
                    <a:noFill/>
                    <a:ln>
                      <a:noFill/>
                    </a:ln>
                  </pic:spPr>
                </pic:pic>
              </a:graphicData>
            </a:graphic>
          </wp:inline>
        </w:drawing>
      </w:r>
    </w:p>
    <w:p w14:paraId="1E287994" w14:textId="77777777" w:rsidR="00D918A4" w:rsidRPr="00C94B0A" w:rsidRDefault="00D918A4" w:rsidP="00C94B0A">
      <w:pPr>
        <w:pStyle w:val="Paragraph"/>
        <w:numPr>
          <w:ilvl w:val="0"/>
          <w:numId w:val="0"/>
        </w:numPr>
        <w:spacing w:before="0" w:after="0"/>
        <w:ind w:left="567"/>
        <w:rPr>
          <w:rFonts w:ascii="Arial" w:hAnsi="Arial" w:cs="Arial"/>
          <w:kern w:val="28"/>
          <w:sz w:val="22"/>
          <w:szCs w:val="22"/>
          <w:lang w:val="en-US"/>
        </w:rPr>
      </w:pPr>
    </w:p>
    <w:p w14:paraId="11CCD5F2" w14:textId="77777777" w:rsidR="00EE78D8" w:rsidRPr="00DF0502" w:rsidRDefault="00EE78D8" w:rsidP="00DF0502">
      <w:pPr>
        <w:spacing w:after="0" w:line="240" w:lineRule="auto"/>
        <w:jc w:val="both"/>
        <w:rPr>
          <w:rFonts w:ascii="Arial" w:hAnsi="Arial" w:cs="Arial"/>
          <w:kern w:val="28"/>
          <w:lang w:val="es-ES_tradnl"/>
        </w:rPr>
      </w:pPr>
    </w:p>
    <w:p w14:paraId="7A385AB6" w14:textId="77777777" w:rsidR="00044248" w:rsidRDefault="00044248" w:rsidP="00DF0502">
      <w:pPr>
        <w:pStyle w:val="Paragraph"/>
        <w:numPr>
          <w:ilvl w:val="0"/>
          <w:numId w:val="0"/>
        </w:numPr>
        <w:spacing w:before="0" w:after="0"/>
        <w:ind w:left="567"/>
        <w:rPr>
          <w:rFonts w:ascii="Arial" w:hAnsi="Arial" w:cs="Arial"/>
          <w:b/>
          <w:kern w:val="28"/>
          <w:sz w:val="22"/>
          <w:szCs w:val="22"/>
          <w:u w:val="single"/>
        </w:rPr>
      </w:pPr>
      <w:r w:rsidRPr="00DF0502">
        <w:rPr>
          <w:rFonts w:ascii="Arial" w:hAnsi="Arial" w:cs="Arial"/>
          <w:b/>
          <w:kern w:val="28"/>
          <w:sz w:val="22"/>
          <w:szCs w:val="22"/>
          <w:u w:val="single"/>
        </w:rPr>
        <w:t>Costo</w:t>
      </w:r>
      <w:r w:rsidR="00422234">
        <w:rPr>
          <w:rFonts w:ascii="Arial" w:hAnsi="Arial" w:cs="Arial"/>
          <w:b/>
          <w:kern w:val="28"/>
          <w:sz w:val="22"/>
          <w:szCs w:val="22"/>
          <w:u w:val="single"/>
        </w:rPr>
        <w:t xml:space="preserve"> del </w:t>
      </w:r>
      <w:r w:rsidR="00E85DFB">
        <w:rPr>
          <w:rFonts w:ascii="Arial" w:hAnsi="Arial" w:cs="Arial"/>
          <w:b/>
          <w:kern w:val="28"/>
          <w:sz w:val="22"/>
          <w:szCs w:val="22"/>
          <w:u w:val="single"/>
        </w:rPr>
        <w:t>Programa</w:t>
      </w:r>
    </w:p>
    <w:p w14:paraId="6D3D0651" w14:textId="77777777" w:rsidR="00922526" w:rsidRPr="00DF0502" w:rsidRDefault="00922526" w:rsidP="00DF0502">
      <w:pPr>
        <w:pStyle w:val="Paragraph"/>
        <w:numPr>
          <w:ilvl w:val="0"/>
          <w:numId w:val="0"/>
        </w:numPr>
        <w:spacing w:before="0" w:after="0"/>
        <w:ind w:left="567"/>
        <w:rPr>
          <w:rFonts w:ascii="Arial" w:hAnsi="Arial" w:cs="Arial"/>
          <w:b/>
          <w:kern w:val="28"/>
          <w:sz w:val="22"/>
          <w:szCs w:val="22"/>
          <w:u w:val="single"/>
        </w:rPr>
      </w:pPr>
    </w:p>
    <w:p w14:paraId="59283CDF" w14:textId="77777777" w:rsidR="00044248" w:rsidRPr="00DF0502" w:rsidRDefault="00044248"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Para el cálculo de los costos se utilizan los siguientes supuestos:</w:t>
      </w:r>
    </w:p>
    <w:p w14:paraId="77B42321" w14:textId="77777777" w:rsidR="00044248" w:rsidRPr="00DF0502" w:rsidRDefault="00044248" w:rsidP="00DF0502">
      <w:pPr>
        <w:pStyle w:val="Vieta"/>
        <w:spacing w:line="240" w:lineRule="auto"/>
        <w:rPr>
          <w:rFonts w:ascii="Arial" w:hAnsi="Arial" w:cs="Arial"/>
          <w:sz w:val="22"/>
          <w:szCs w:val="22"/>
        </w:rPr>
      </w:pPr>
      <w:r w:rsidRPr="00DF0502">
        <w:rPr>
          <w:rFonts w:ascii="Arial" w:hAnsi="Arial" w:cs="Arial"/>
          <w:sz w:val="22"/>
          <w:szCs w:val="22"/>
        </w:rPr>
        <w:t xml:space="preserve">Los costos correspondientes al Componente II ascienden a </w:t>
      </w:r>
      <w:r w:rsidR="004F7AFE" w:rsidRPr="00DF0502">
        <w:rPr>
          <w:rFonts w:ascii="Arial" w:hAnsi="Arial" w:cs="Arial"/>
          <w:b/>
          <w:spacing w:val="-2"/>
          <w:sz w:val="22"/>
          <w:szCs w:val="22"/>
        </w:rPr>
        <w:t>US$22.13</w:t>
      </w:r>
      <w:r w:rsidRPr="00DF0502">
        <w:rPr>
          <w:rFonts w:ascii="Arial" w:hAnsi="Arial" w:cs="Arial"/>
          <w:b/>
          <w:spacing w:val="-2"/>
          <w:sz w:val="22"/>
          <w:szCs w:val="22"/>
        </w:rPr>
        <w:t>0.000</w:t>
      </w:r>
      <w:r w:rsidRPr="00DF0502">
        <w:rPr>
          <w:rFonts w:ascii="Arial" w:hAnsi="Arial" w:cs="Arial"/>
          <w:sz w:val="22"/>
          <w:szCs w:val="22"/>
        </w:rPr>
        <w:t>, según datos del programa.</w:t>
      </w:r>
    </w:p>
    <w:p w14:paraId="54B4AD50" w14:textId="77777777" w:rsidR="00044248" w:rsidRPr="00DF0502" w:rsidRDefault="00044248" w:rsidP="00DF0502">
      <w:pPr>
        <w:pStyle w:val="Vieta"/>
        <w:spacing w:line="240" w:lineRule="auto"/>
        <w:rPr>
          <w:rFonts w:ascii="Arial" w:hAnsi="Arial" w:cs="Arial"/>
          <w:sz w:val="22"/>
          <w:szCs w:val="22"/>
        </w:rPr>
      </w:pPr>
      <w:r w:rsidRPr="00DF0502">
        <w:rPr>
          <w:rFonts w:ascii="Arial" w:hAnsi="Arial" w:cs="Arial"/>
          <w:sz w:val="22"/>
          <w:szCs w:val="22"/>
        </w:rPr>
        <w:t>Los costos se ejecutarán en partes iguales a lo largo de los primeros 5 años.</w:t>
      </w:r>
    </w:p>
    <w:p w14:paraId="3269A783" w14:textId="77777777" w:rsidR="00183971" w:rsidRPr="00DF0502" w:rsidRDefault="00044248" w:rsidP="00DF0502">
      <w:pPr>
        <w:pStyle w:val="Vieta"/>
        <w:spacing w:line="240" w:lineRule="auto"/>
        <w:rPr>
          <w:rFonts w:ascii="Arial" w:hAnsi="Arial" w:cs="Arial"/>
          <w:sz w:val="22"/>
          <w:szCs w:val="22"/>
        </w:rPr>
      </w:pPr>
      <w:r w:rsidRPr="00DF0502">
        <w:rPr>
          <w:rFonts w:ascii="Arial" w:hAnsi="Arial" w:cs="Arial"/>
          <w:sz w:val="22"/>
          <w:szCs w:val="22"/>
        </w:rPr>
        <w:t>El horizonte a partir del cual se calculan beneficios es de 20 años. Luego de transcurrido ese período no se computarán beneficios, aunque es posible que existan. Este supuesto es conservador ya que, de no cumplirse, los beneficios finales serían mayores a los estimados en este análisis.</w:t>
      </w:r>
    </w:p>
    <w:p w14:paraId="1A4C1114" w14:textId="77777777" w:rsidR="00E85DFB" w:rsidRDefault="00E85DFB" w:rsidP="00C94B0A">
      <w:pPr>
        <w:pStyle w:val="Vieta"/>
        <w:numPr>
          <w:ilvl w:val="0"/>
          <w:numId w:val="0"/>
        </w:numPr>
        <w:spacing w:line="240" w:lineRule="auto"/>
        <w:rPr>
          <w:rFonts w:ascii="Arial" w:hAnsi="Arial" w:cs="Arial"/>
          <w:b/>
          <w:sz w:val="22"/>
          <w:szCs w:val="22"/>
          <w:u w:val="single"/>
        </w:rPr>
      </w:pPr>
    </w:p>
    <w:p w14:paraId="7337E07D" w14:textId="77777777" w:rsidR="00E85DFB" w:rsidRDefault="00E85DFB" w:rsidP="00DF0502">
      <w:pPr>
        <w:pStyle w:val="Vieta"/>
        <w:numPr>
          <w:ilvl w:val="0"/>
          <w:numId w:val="0"/>
        </w:numPr>
        <w:spacing w:line="240" w:lineRule="auto"/>
        <w:ind w:left="567"/>
        <w:rPr>
          <w:rFonts w:ascii="Arial" w:hAnsi="Arial" w:cs="Arial"/>
          <w:b/>
          <w:sz w:val="22"/>
          <w:szCs w:val="22"/>
          <w:u w:val="single"/>
        </w:rPr>
      </w:pPr>
    </w:p>
    <w:p w14:paraId="41AC0C67" w14:textId="77777777" w:rsidR="00E85DFB" w:rsidRPr="00DF0502" w:rsidRDefault="00E85DFB" w:rsidP="00E85DFB">
      <w:pPr>
        <w:pStyle w:val="Vieta"/>
        <w:numPr>
          <w:ilvl w:val="0"/>
          <w:numId w:val="0"/>
        </w:numPr>
        <w:spacing w:line="240" w:lineRule="auto"/>
        <w:ind w:left="567"/>
        <w:rPr>
          <w:rFonts w:ascii="Arial" w:hAnsi="Arial" w:cs="Arial"/>
          <w:b/>
          <w:sz w:val="22"/>
          <w:szCs w:val="22"/>
          <w:u w:val="single"/>
        </w:rPr>
      </w:pPr>
      <w:r w:rsidRPr="00DF0502">
        <w:rPr>
          <w:rFonts w:ascii="Arial" w:hAnsi="Arial" w:cs="Arial"/>
          <w:b/>
          <w:sz w:val="22"/>
          <w:szCs w:val="22"/>
          <w:u w:val="single"/>
        </w:rPr>
        <w:t>Cálculos</w:t>
      </w:r>
    </w:p>
    <w:p w14:paraId="2FA62C57" w14:textId="5D6C9B3A" w:rsidR="00E85DFB" w:rsidRPr="00E85DFB" w:rsidRDefault="00E85DFB">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El primer cálculo necesario para el análisis consiste en la estimación de los beneficios anuales derivados de los ahorros a causa de la reducción de homicidios</w:t>
      </w:r>
      <w:r>
        <w:rPr>
          <w:rFonts w:ascii="Arial" w:hAnsi="Arial" w:cs="Arial"/>
          <w:kern w:val="28"/>
          <w:sz w:val="22"/>
          <w:szCs w:val="22"/>
        </w:rPr>
        <w:t xml:space="preserve"> </w:t>
      </w:r>
      <w:r w:rsidRPr="00DF0502">
        <w:rPr>
          <w:rFonts w:ascii="Arial" w:hAnsi="Arial" w:cs="Arial"/>
          <w:kern w:val="28"/>
          <w:sz w:val="22"/>
          <w:szCs w:val="22"/>
        </w:rPr>
        <w:t xml:space="preserve"> </w:t>
      </w:r>
      <w:r>
        <w:rPr>
          <w:rFonts w:ascii="Arial" w:hAnsi="Arial" w:cs="Arial"/>
          <w:kern w:val="28"/>
          <w:sz w:val="22"/>
          <w:szCs w:val="22"/>
        </w:rPr>
        <w:t xml:space="preserve"> </w:t>
      </w:r>
      <w:r w:rsidRPr="00DF0502">
        <w:rPr>
          <w:rFonts w:ascii="Arial" w:hAnsi="Arial" w:cs="Arial"/>
          <w:kern w:val="28"/>
          <w:sz w:val="22"/>
          <w:szCs w:val="22"/>
        </w:rPr>
        <w:t xml:space="preserve">y </w:t>
      </w:r>
      <w:r w:rsidRPr="00DF0502">
        <w:rPr>
          <w:rFonts w:ascii="Arial" w:hAnsi="Arial" w:cs="Arial"/>
          <w:sz w:val="22"/>
          <w:szCs w:val="22"/>
        </w:rPr>
        <w:t xml:space="preserve">de la reducción en la violencia causada por la </w:t>
      </w:r>
      <w:r>
        <w:rPr>
          <w:rFonts w:ascii="Arial" w:hAnsi="Arial" w:cs="Arial"/>
          <w:sz w:val="22"/>
          <w:szCs w:val="22"/>
        </w:rPr>
        <w:t>mejora en los servicios y atención de la policía</w:t>
      </w:r>
      <w:r w:rsidRPr="00DF0502">
        <w:rPr>
          <w:rFonts w:ascii="Arial" w:hAnsi="Arial" w:cs="Arial"/>
          <w:kern w:val="28"/>
          <w:sz w:val="22"/>
          <w:szCs w:val="22"/>
        </w:rPr>
        <w:t>.</w:t>
      </w:r>
      <w:r>
        <w:rPr>
          <w:rFonts w:ascii="Arial" w:hAnsi="Arial" w:cs="Arial"/>
          <w:kern w:val="28"/>
          <w:sz w:val="22"/>
          <w:szCs w:val="22"/>
        </w:rPr>
        <w:t xml:space="preserve"> </w:t>
      </w:r>
      <w:r w:rsidRPr="00DF0502">
        <w:rPr>
          <w:rFonts w:ascii="Arial" w:hAnsi="Arial" w:cs="Arial"/>
          <w:kern w:val="28"/>
          <w:sz w:val="22"/>
          <w:szCs w:val="22"/>
        </w:rPr>
        <w:t xml:space="preserve">Los beneficios pueden ser computables a partir del cuarto año de ejecución. Siendo los beneficios del cuarto año menores que los beneficios a partir </w:t>
      </w:r>
      <w:r w:rsidRPr="00DF0502">
        <w:rPr>
          <w:rFonts w:ascii="Arial" w:hAnsi="Arial" w:cs="Arial"/>
          <w:kern w:val="28"/>
          <w:sz w:val="22"/>
          <w:szCs w:val="22"/>
        </w:rPr>
        <w:lastRenderedPageBreak/>
        <w:t>del quinto año. Esto se debe a que en el año 4 aún no se alcanzan los objetivos finales.</w:t>
      </w:r>
    </w:p>
    <w:p w14:paraId="14FFD482" w14:textId="77777777" w:rsidR="00E85DFB" w:rsidRDefault="00E85DFB" w:rsidP="00E85DFB">
      <w:pPr>
        <w:pStyle w:val="Paragraph"/>
        <w:numPr>
          <w:ilvl w:val="0"/>
          <w:numId w:val="0"/>
        </w:numPr>
        <w:spacing w:before="0" w:after="0"/>
        <w:ind w:left="567"/>
        <w:rPr>
          <w:rFonts w:ascii="Arial" w:hAnsi="Arial" w:cs="Arial"/>
          <w:kern w:val="28"/>
          <w:sz w:val="22"/>
          <w:szCs w:val="22"/>
        </w:rPr>
      </w:pPr>
    </w:p>
    <w:p w14:paraId="35884B5B" w14:textId="77777777" w:rsidR="00835714" w:rsidRPr="00C94B0A" w:rsidRDefault="00E85DFB" w:rsidP="00C94B0A">
      <w:pPr>
        <w:pStyle w:val="ListParagraph"/>
        <w:numPr>
          <w:ilvl w:val="0"/>
          <w:numId w:val="20"/>
        </w:numPr>
        <w:spacing w:after="0" w:line="240" w:lineRule="auto"/>
        <w:ind w:left="990" w:hanging="450"/>
        <w:jc w:val="both"/>
        <w:rPr>
          <w:rFonts w:ascii="Arial" w:eastAsia="Times New Roman" w:hAnsi="Arial" w:cs="Arial"/>
          <w:color w:val="000000"/>
          <w:lang w:val="es-MX"/>
        </w:rPr>
      </w:pPr>
      <w:r w:rsidRPr="00946B52">
        <w:rPr>
          <w:rFonts w:ascii="Arial" w:hAnsi="Arial" w:cs="Arial"/>
          <w:lang w:val="es-MX"/>
        </w:rPr>
        <w:t xml:space="preserve">Se dejará de tener pérdidas debido a la reducción de </w:t>
      </w:r>
      <w:r w:rsidR="00CE5F1E">
        <w:rPr>
          <w:rFonts w:ascii="Arial" w:hAnsi="Arial" w:cs="Arial"/>
          <w:lang w:val="es-MX"/>
        </w:rPr>
        <w:t>los homicidios y delitos de VIF</w:t>
      </w:r>
      <w:r w:rsidRPr="00946B52">
        <w:rPr>
          <w:rFonts w:ascii="Arial" w:hAnsi="Arial" w:cs="Arial"/>
          <w:lang w:val="es-MX"/>
        </w:rPr>
        <w:t xml:space="preserve">. Los costos presentados en la Tabla </w:t>
      </w:r>
      <w:r w:rsidR="00A41F5F">
        <w:rPr>
          <w:rFonts w:ascii="Arial" w:hAnsi="Arial" w:cs="Arial"/>
          <w:lang w:val="es-MX"/>
        </w:rPr>
        <w:t>8</w:t>
      </w:r>
      <w:r w:rsidRPr="00946B52">
        <w:rPr>
          <w:rFonts w:ascii="Arial" w:hAnsi="Arial" w:cs="Arial"/>
          <w:lang w:val="es-MX"/>
        </w:rPr>
        <w:t>: c</w:t>
      </w:r>
      <w:r w:rsidRPr="00946B52">
        <w:rPr>
          <w:rFonts w:ascii="Arial" w:eastAsia="Times New Roman" w:hAnsi="Arial" w:cs="Arial"/>
          <w:color w:val="000000"/>
          <w:lang w:val="es-MX"/>
        </w:rPr>
        <w:t>osto social</w:t>
      </w:r>
      <w:r w:rsidR="00A41F5F">
        <w:rPr>
          <w:rFonts w:ascii="Arial" w:eastAsia="Times New Roman" w:hAnsi="Arial" w:cs="Arial"/>
          <w:color w:val="000000"/>
          <w:lang w:val="es-MX"/>
        </w:rPr>
        <w:t xml:space="preserve"> e ingreso perdido por homicidios, equivalen a la suma de</w:t>
      </w:r>
      <w:r w:rsidR="00835714">
        <w:rPr>
          <w:rFonts w:ascii="Arial" w:eastAsia="Times New Roman" w:hAnsi="Arial" w:cs="Arial"/>
          <w:color w:val="000000"/>
          <w:lang w:val="es-MX"/>
        </w:rPr>
        <w:t xml:space="preserve"> los costos </w:t>
      </w:r>
      <w:r w:rsidR="00A41F5F">
        <w:rPr>
          <w:rFonts w:ascii="Arial" w:eastAsia="Times New Roman" w:hAnsi="Arial" w:cs="Arial"/>
          <w:color w:val="000000"/>
          <w:lang w:val="es-MX"/>
        </w:rPr>
        <w:t>estimado</w:t>
      </w:r>
      <w:r w:rsidR="00835714">
        <w:rPr>
          <w:rFonts w:ascii="Arial" w:eastAsia="Times New Roman" w:hAnsi="Arial" w:cs="Arial"/>
          <w:color w:val="000000"/>
          <w:lang w:val="es-MX"/>
        </w:rPr>
        <w:t>s</w:t>
      </w:r>
      <w:r w:rsidR="00A41F5F">
        <w:rPr>
          <w:rFonts w:ascii="Arial" w:eastAsia="Times New Roman" w:hAnsi="Arial" w:cs="Arial"/>
          <w:color w:val="000000"/>
          <w:lang w:val="es-MX"/>
        </w:rPr>
        <w:t xml:space="preserve"> para DC y SP</w:t>
      </w:r>
      <w:r w:rsidR="00835714">
        <w:rPr>
          <w:rFonts w:ascii="Arial" w:eastAsia="Times New Roman" w:hAnsi="Arial" w:cs="Arial"/>
          <w:color w:val="000000"/>
          <w:lang w:val="es-MX"/>
        </w:rPr>
        <w:t>S</w:t>
      </w:r>
      <w:r w:rsidR="00A41F5F">
        <w:rPr>
          <w:rFonts w:ascii="Arial" w:eastAsia="Times New Roman" w:hAnsi="Arial" w:cs="Arial"/>
          <w:color w:val="000000"/>
          <w:lang w:val="es-MX"/>
        </w:rPr>
        <w:t xml:space="preserve"> de acuerdo a la proporción</w:t>
      </w:r>
      <w:r w:rsidR="00797A29" w:rsidRPr="00C94B0A">
        <w:rPr>
          <w:rFonts w:ascii="Arial" w:eastAsia="Times New Roman" w:hAnsi="Arial" w:cs="Arial"/>
          <w:color w:val="000000"/>
          <w:lang w:val="es-MX"/>
        </w:rPr>
        <w:t xml:space="preserve"> </w:t>
      </w:r>
      <w:r w:rsidR="00797A29">
        <w:rPr>
          <w:rFonts w:ascii="Arial" w:eastAsia="Times New Roman" w:hAnsi="Arial" w:cs="Arial"/>
          <w:color w:val="000000"/>
          <w:lang w:val="es-MX"/>
        </w:rPr>
        <w:t xml:space="preserve">de </w:t>
      </w:r>
      <w:r w:rsidR="00835714">
        <w:rPr>
          <w:rFonts w:ascii="Arial" w:eastAsia="Times New Roman" w:hAnsi="Arial" w:cs="Arial"/>
          <w:color w:val="000000"/>
          <w:lang w:val="es-MX"/>
        </w:rPr>
        <w:t xml:space="preserve">delitos </w:t>
      </w:r>
      <w:r w:rsidR="00797A29">
        <w:rPr>
          <w:rFonts w:ascii="Arial" w:eastAsia="Times New Roman" w:hAnsi="Arial" w:cs="Arial"/>
          <w:color w:val="000000"/>
          <w:lang w:val="es-MX"/>
        </w:rPr>
        <w:t>que ocurren en esos municipios</w:t>
      </w:r>
      <w:r w:rsidRPr="00946B52">
        <w:rPr>
          <w:rFonts w:ascii="Arial" w:hAnsi="Arial" w:cs="Arial"/>
          <w:color w:val="000000"/>
          <w:lang w:val="es-MX"/>
        </w:rPr>
        <w:t xml:space="preserve">. </w:t>
      </w:r>
      <w:r w:rsidR="00835714">
        <w:rPr>
          <w:rFonts w:ascii="Arial" w:hAnsi="Arial" w:cs="Arial"/>
          <w:color w:val="000000"/>
          <w:lang w:val="es-MX"/>
        </w:rPr>
        <w:t>Los costos por homicidios ascienden a 67,701,089 en DC y 57,011,443 en SPS. Los costos por VIF ascienden a 1</w:t>
      </w:r>
      <w:r w:rsidR="00203482">
        <w:rPr>
          <w:rFonts w:ascii="Arial" w:hAnsi="Arial" w:cs="Arial"/>
          <w:color w:val="000000"/>
          <w:lang w:val="es-MX"/>
        </w:rPr>
        <w:t>5</w:t>
      </w:r>
      <w:r w:rsidR="00835714">
        <w:rPr>
          <w:rFonts w:ascii="Arial" w:hAnsi="Arial" w:cs="Arial"/>
          <w:color w:val="000000"/>
          <w:lang w:val="es-MX"/>
        </w:rPr>
        <w:t>,366,366 en DC y 19,374,983 en SPS.</w:t>
      </w:r>
    </w:p>
    <w:p w14:paraId="48BFAA84" w14:textId="77777777" w:rsidR="00E85DFB" w:rsidRPr="00946B52" w:rsidRDefault="00E85DFB" w:rsidP="00C94B0A">
      <w:pPr>
        <w:spacing w:after="0" w:line="240" w:lineRule="auto"/>
        <w:jc w:val="both"/>
        <w:rPr>
          <w:rFonts w:ascii="Arial" w:eastAsia="Times New Roman" w:hAnsi="Arial" w:cs="Arial"/>
          <w:color w:val="000000"/>
          <w:lang w:val="es-MX"/>
        </w:rPr>
      </w:pPr>
    </w:p>
    <w:p w14:paraId="7BFD563A" w14:textId="77777777" w:rsidR="00E85DFB" w:rsidRPr="00946B52" w:rsidRDefault="00E85DFB" w:rsidP="00E85DFB">
      <w:pPr>
        <w:pStyle w:val="ListParagraph"/>
        <w:numPr>
          <w:ilvl w:val="0"/>
          <w:numId w:val="20"/>
        </w:numPr>
        <w:spacing w:after="0" w:line="240" w:lineRule="auto"/>
        <w:ind w:left="990" w:hanging="450"/>
        <w:jc w:val="both"/>
        <w:rPr>
          <w:rFonts w:ascii="Arial" w:eastAsia="Times New Roman" w:hAnsi="Arial" w:cs="Arial"/>
          <w:color w:val="000000"/>
          <w:lang w:val="es-MX"/>
        </w:rPr>
      </w:pPr>
      <w:r w:rsidRPr="00946B52">
        <w:rPr>
          <w:rFonts w:ascii="Arial" w:eastAsia="Times New Roman" w:hAnsi="Arial" w:cs="Arial"/>
          <w:color w:val="000000"/>
          <w:lang w:val="es-MX"/>
        </w:rPr>
        <w:t xml:space="preserve">Por lo tanto, los beneficios equivalen al ahorro que se obtendrá </w:t>
      </w:r>
      <w:r w:rsidR="000D2EE8">
        <w:rPr>
          <w:rFonts w:ascii="Arial" w:eastAsia="Times New Roman" w:hAnsi="Arial" w:cs="Arial"/>
          <w:color w:val="000000"/>
          <w:lang w:val="es-MX"/>
        </w:rPr>
        <w:t>de acuerdo</w:t>
      </w:r>
      <w:r w:rsidRPr="00946B52">
        <w:rPr>
          <w:rFonts w:ascii="Arial" w:eastAsia="Times New Roman" w:hAnsi="Arial" w:cs="Arial"/>
          <w:color w:val="000000"/>
          <w:lang w:val="es-MX"/>
        </w:rPr>
        <w:t xml:space="preserve"> a los efectos esperados presentados en la Tabla </w:t>
      </w:r>
      <w:r w:rsidR="000D2EE8">
        <w:rPr>
          <w:rFonts w:ascii="Arial" w:eastAsia="Times New Roman" w:hAnsi="Arial" w:cs="Arial"/>
          <w:color w:val="000000"/>
          <w:lang w:val="es-MX"/>
        </w:rPr>
        <w:t>9</w:t>
      </w:r>
      <w:r w:rsidRPr="00946B52">
        <w:rPr>
          <w:rFonts w:ascii="Arial" w:eastAsia="Times New Roman" w:hAnsi="Arial" w:cs="Arial"/>
          <w:color w:val="000000"/>
          <w:lang w:val="es-MX"/>
        </w:rPr>
        <w:t xml:space="preserve">. </w:t>
      </w:r>
      <w:r w:rsidR="00FC154E">
        <w:rPr>
          <w:rFonts w:ascii="Arial" w:eastAsia="Times New Roman" w:hAnsi="Arial" w:cs="Arial"/>
          <w:color w:val="000000"/>
          <w:lang w:val="es-MX"/>
        </w:rPr>
        <w:t>Los beneficios anuales se presentan en la Tabla 10.</w:t>
      </w:r>
    </w:p>
    <w:p w14:paraId="40E1EBD4" w14:textId="77777777" w:rsidR="00E85DFB" w:rsidRPr="00946B52" w:rsidRDefault="00E85DFB" w:rsidP="00E85DFB">
      <w:pPr>
        <w:spacing w:after="0" w:line="240" w:lineRule="auto"/>
        <w:jc w:val="both"/>
        <w:rPr>
          <w:rFonts w:ascii="Arial" w:eastAsia="Times New Roman" w:hAnsi="Arial" w:cs="Arial"/>
          <w:color w:val="000000"/>
          <w:lang w:val="es-MX"/>
        </w:rPr>
      </w:pPr>
    </w:p>
    <w:p w14:paraId="3620E820" w14:textId="77777777" w:rsidR="00E85DFB" w:rsidRPr="00946B52" w:rsidRDefault="00E85DFB" w:rsidP="00E85DFB">
      <w:pPr>
        <w:spacing w:after="0" w:line="240" w:lineRule="auto"/>
        <w:jc w:val="both"/>
        <w:rPr>
          <w:rFonts w:ascii="Arial" w:eastAsia="Times New Roman" w:hAnsi="Arial" w:cs="Arial"/>
          <w:b/>
          <w:color w:val="000000"/>
          <w:lang w:val="es-MX"/>
        </w:rPr>
      </w:pPr>
      <w:r w:rsidRPr="00946B52">
        <w:rPr>
          <w:rFonts w:ascii="Arial" w:eastAsia="Times New Roman" w:hAnsi="Arial" w:cs="Arial"/>
          <w:b/>
          <w:color w:val="000000"/>
          <w:lang w:val="es-MX"/>
        </w:rPr>
        <w:t xml:space="preserve">Tabla </w:t>
      </w:r>
      <w:r w:rsidR="002F59BF">
        <w:rPr>
          <w:rFonts w:ascii="Arial" w:eastAsia="Times New Roman" w:hAnsi="Arial" w:cs="Arial"/>
          <w:b/>
          <w:color w:val="000000"/>
          <w:lang w:val="es-MX"/>
        </w:rPr>
        <w:t>10</w:t>
      </w:r>
      <w:r w:rsidRPr="00946B52">
        <w:rPr>
          <w:rFonts w:ascii="Arial" w:eastAsia="Times New Roman" w:hAnsi="Arial" w:cs="Arial"/>
          <w:b/>
          <w:color w:val="000000"/>
          <w:lang w:val="es-MX"/>
        </w:rPr>
        <w:t>. Beneficios</w:t>
      </w:r>
    </w:p>
    <w:tbl>
      <w:tblPr>
        <w:tblStyle w:val="TableGrid"/>
        <w:tblW w:w="8545" w:type="dxa"/>
        <w:tblLook w:val="04A0" w:firstRow="1" w:lastRow="0" w:firstColumn="1" w:lastColumn="0" w:noHBand="0" w:noVBand="1"/>
      </w:tblPr>
      <w:tblGrid>
        <w:gridCol w:w="3325"/>
        <w:gridCol w:w="5220"/>
      </w:tblGrid>
      <w:tr w:rsidR="00E85DFB" w:rsidRPr="00946B52" w14:paraId="4612B2A2" w14:textId="77777777" w:rsidTr="00E271EA">
        <w:trPr>
          <w:trHeight w:val="364"/>
        </w:trPr>
        <w:tc>
          <w:tcPr>
            <w:tcW w:w="3325" w:type="dxa"/>
          </w:tcPr>
          <w:p w14:paraId="2775F1BD" w14:textId="77777777" w:rsidR="00E85DFB" w:rsidRPr="00946B52" w:rsidRDefault="00E85DFB" w:rsidP="00E271EA">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Beneficios año 4</w:t>
            </w:r>
            <w:r w:rsidR="00203482">
              <w:rPr>
                <w:rFonts w:ascii="Arial" w:eastAsia="Times New Roman" w:hAnsi="Arial" w:cs="Arial"/>
                <w:color w:val="000000"/>
                <w:lang w:val="es-MX"/>
              </w:rPr>
              <w:t xml:space="preserve"> en DC</w:t>
            </w:r>
          </w:p>
        </w:tc>
        <w:tc>
          <w:tcPr>
            <w:tcW w:w="5220" w:type="dxa"/>
          </w:tcPr>
          <w:p w14:paraId="72C79887" w14:textId="77777777" w:rsidR="00EA354B" w:rsidRPr="00EA354B" w:rsidRDefault="00203482" w:rsidP="00EA354B">
            <w:pPr>
              <w:spacing w:after="0" w:line="240" w:lineRule="auto"/>
              <w:jc w:val="both"/>
              <w:rPr>
                <w:rFonts w:eastAsia="Times New Roman" w:cs="Calibri"/>
                <w:color w:val="000000"/>
                <w:sz w:val="24"/>
                <w:szCs w:val="24"/>
              </w:rPr>
            </w:pPr>
            <w:r>
              <w:rPr>
                <w:rFonts w:ascii="Arial" w:hAnsi="Arial" w:cs="Arial"/>
                <w:color w:val="000000"/>
                <w:lang w:val="es-MX"/>
              </w:rPr>
              <w:t>67,701,089</w:t>
            </w:r>
            <w:r w:rsidR="00E85DFB" w:rsidRPr="00946B52">
              <w:rPr>
                <w:rFonts w:ascii="Arial" w:eastAsia="Times New Roman" w:hAnsi="Arial" w:cs="Arial"/>
                <w:color w:val="000000"/>
              </w:rPr>
              <w:t>*(.</w:t>
            </w:r>
            <w:r w:rsidR="00EA354B">
              <w:rPr>
                <w:rFonts w:ascii="Arial" w:eastAsia="Times New Roman" w:hAnsi="Arial" w:cs="Arial"/>
                <w:color w:val="000000"/>
              </w:rPr>
              <w:t>085</w:t>
            </w:r>
            <w:r w:rsidR="00E85DFB" w:rsidRPr="00946B52">
              <w:rPr>
                <w:rFonts w:ascii="Arial" w:eastAsia="Times New Roman" w:hAnsi="Arial" w:cs="Arial"/>
                <w:color w:val="000000"/>
              </w:rPr>
              <w:t xml:space="preserve">) + </w:t>
            </w:r>
            <w:r>
              <w:rPr>
                <w:rFonts w:ascii="Arial" w:hAnsi="Arial" w:cs="Arial"/>
                <w:color w:val="000000"/>
                <w:lang w:val="es-MX"/>
              </w:rPr>
              <w:t>15,366,366</w:t>
            </w:r>
            <w:r w:rsidR="00E85DFB" w:rsidRPr="00946B52">
              <w:rPr>
                <w:rFonts w:ascii="Arial" w:eastAsia="Times New Roman" w:hAnsi="Arial" w:cs="Arial"/>
                <w:color w:val="000000"/>
              </w:rPr>
              <w:t>*(.0</w:t>
            </w:r>
            <w:r w:rsidR="00101D04">
              <w:rPr>
                <w:rFonts w:ascii="Arial" w:eastAsia="Times New Roman" w:hAnsi="Arial" w:cs="Arial"/>
                <w:color w:val="000000"/>
              </w:rPr>
              <w:t>79</w:t>
            </w:r>
            <w:r w:rsidR="00E85DFB" w:rsidRPr="00946B52">
              <w:rPr>
                <w:rFonts w:ascii="Arial" w:eastAsia="Times New Roman" w:hAnsi="Arial" w:cs="Arial"/>
                <w:color w:val="000000"/>
              </w:rPr>
              <w:t>) =</w:t>
            </w:r>
            <w:r w:rsidR="00E85DFB" w:rsidRPr="00946B52">
              <w:rPr>
                <w:rFonts w:ascii="Arial" w:hAnsi="Arial" w:cs="Arial"/>
                <w:color w:val="000000"/>
              </w:rPr>
              <w:t xml:space="preserve"> </w:t>
            </w:r>
            <w:r w:rsidR="00EA354B" w:rsidRPr="00EA354B">
              <w:rPr>
                <w:rFonts w:eastAsia="Times New Roman" w:cs="Calibri"/>
                <w:color w:val="000000"/>
                <w:sz w:val="24"/>
                <w:szCs w:val="24"/>
              </w:rPr>
              <w:t>6,968,535</w:t>
            </w:r>
          </w:p>
          <w:p w14:paraId="6E336E13" w14:textId="77777777" w:rsidR="00E85DFB" w:rsidRPr="00946B52" w:rsidRDefault="00E85DFB" w:rsidP="00E271EA">
            <w:pPr>
              <w:spacing w:after="0" w:line="240" w:lineRule="auto"/>
              <w:jc w:val="both"/>
              <w:rPr>
                <w:rFonts w:ascii="Arial" w:eastAsia="Times New Roman" w:hAnsi="Arial" w:cs="Arial"/>
                <w:color w:val="000000"/>
              </w:rPr>
            </w:pPr>
          </w:p>
        </w:tc>
      </w:tr>
      <w:tr w:rsidR="00E85DFB" w:rsidRPr="00946B52" w14:paraId="0C6FE0BB" w14:textId="77777777" w:rsidTr="00E271EA">
        <w:tc>
          <w:tcPr>
            <w:tcW w:w="3325" w:type="dxa"/>
          </w:tcPr>
          <w:p w14:paraId="565BC1B3" w14:textId="77777777" w:rsidR="00E85DFB" w:rsidRPr="00946B52" w:rsidRDefault="00E85DFB" w:rsidP="00E271EA">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 xml:space="preserve">Beneficios año 5 </w:t>
            </w:r>
            <w:r w:rsidR="00203482">
              <w:rPr>
                <w:rFonts w:ascii="Arial" w:eastAsia="Times New Roman" w:hAnsi="Arial" w:cs="Arial"/>
                <w:color w:val="000000"/>
                <w:lang w:val="es-MX"/>
              </w:rPr>
              <w:t>en DC</w:t>
            </w:r>
            <w:r w:rsidR="00EA354B">
              <w:rPr>
                <w:rFonts w:ascii="Arial" w:eastAsia="Times New Roman" w:hAnsi="Arial" w:cs="Arial"/>
                <w:color w:val="000000"/>
                <w:lang w:val="es-MX"/>
              </w:rPr>
              <w:t xml:space="preserve"> y a</w:t>
            </w:r>
            <w:r w:rsidR="00EA354B" w:rsidRPr="00946B52">
              <w:rPr>
                <w:rFonts w:ascii="Arial" w:eastAsia="Times New Roman" w:hAnsi="Arial" w:cs="Arial"/>
                <w:color w:val="000000"/>
                <w:lang w:val="es-MX"/>
              </w:rPr>
              <w:t>ño</w:t>
            </w:r>
            <w:r w:rsidR="00EA354B">
              <w:rPr>
                <w:rFonts w:ascii="Arial" w:eastAsia="Times New Roman" w:hAnsi="Arial" w:cs="Arial"/>
                <w:color w:val="000000"/>
                <w:lang w:val="es-MX"/>
              </w:rPr>
              <w:t xml:space="preserve">s </w:t>
            </w:r>
            <w:r w:rsidR="00EA354B" w:rsidRPr="00946B52">
              <w:rPr>
                <w:rFonts w:ascii="Arial" w:eastAsia="Times New Roman" w:hAnsi="Arial" w:cs="Arial"/>
                <w:color w:val="000000"/>
                <w:lang w:val="es-MX"/>
              </w:rPr>
              <w:t>posteriores</w:t>
            </w:r>
          </w:p>
        </w:tc>
        <w:tc>
          <w:tcPr>
            <w:tcW w:w="5220" w:type="dxa"/>
          </w:tcPr>
          <w:p w14:paraId="1922C97F" w14:textId="77777777" w:rsidR="00EA354B" w:rsidRPr="00EA354B" w:rsidRDefault="00203482" w:rsidP="00EA354B">
            <w:pPr>
              <w:spacing w:after="0" w:line="240" w:lineRule="auto"/>
              <w:jc w:val="both"/>
              <w:rPr>
                <w:rFonts w:eastAsia="Times New Roman" w:cs="Calibri"/>
                <w:color w:val="000000"/>
                <w:sz w:val="24"/>
                <w:szCs w:val="24"/>
              </w:rPr>
            </w:pPr>
            <w:r>
              <w:rPr>
                <w:rFonts w:ascii="Arial" w:hAnsi="Arial" w:cs="Arial"/>
                <w:color w:val="000000"/>
                <w:lang w:val="es-MX"/>
              </w:rPr>
              <w:t>67,701,089</w:t>
            </w:r>
            <w:r w:rsidR="00E85DFB" w:rsidRPr="00946B52">
              <w:rPr>
                <w:rFonts w:ascii="Arial" w:eastAsia="Times New Roman" w:hAnsi="Arial" w:cs="Arial"/>
                <w:color w:val="000000"/>
              </w:rPr>
              <w:t>*(.</w:t>
            </w:r>
            <w:r w:rsidR="00101D04">
              <w:rPr>
                <w:rFonts w:ascii="Arial" w:eastAsia="Times New Roman" w:hAnsi="Arial" w:cs="Arial"/>
                <w:color w:val="000000"/>
              </w:rPr>
              <w:t>18</w:t>
            </w:r>
            <w:r w:rsidR="00E85DFB" w:rsidRPr="00946B52">
              <w:rPr>
                <w:rFonts w:ascii="Arial" w:eastAsia="Times New Roman" w:hAnsi="Arial" w:cs="Arial"/>
                <w:color w:val="000000"/>
              </w:rPr>
              <w:t xml:space="preserve">) + </w:t>
            </w:r>
            <w:r>
              <w:rPr>
                <w:rFonts w:ascii="Arial" w:hAnsi="Arial" w:cs="Arial"/>
                <w:color w:val="000000"/>
                <w:lang w:val="es-MX"/>
              </w:rPr>
              <w:t>15,366,366</w:t>
            </w:r>
            <w:r w:rsidR="00E85DFB" w:rsidRPr="00946B52">
              <w:rPr>
                <w:rFonts w:ascii="Arial" w:eastAsia="Times New Roman" w:hAnsi="Arial" w:cs="Arial"/>
                <w:color w:val="000000"/>
              </w:rPr>
              <w:t>*(.</w:t>
            </w:r>
            <w:r w:rsidR="00101D04">
              <w:rPr>
                <w:rFonts w:ascii="Arial" w:eastAsia="Times New Roman" w:hAnsi="Arial" w:cs="Arial"/>
                <w:color w:val="000000"/>
              </w:rPr>
              <w:t>44</w:t>
            </w:r>
            <w:r w:rsidR="00E85DFB" w:rsidRPr="00946B52">
              <w:rPr>
                <w:rFonts w:ascii="Arial" w:eastAsia="Times New Roman" w:hAnsi="Arial" w:cs="Arial"/>
                <w:color w:val="000000"/>
              </w:rPr>
              <w:t xml:space="preserve">) = </w:t>
            </w:r>
            <w:r w:rsidR="00EA354B" w:rsidRPr="00EA354B">
              <w:rPr>
                <w:rFonts w:eastAsia="Times New Roman" w:cs="Calibri"/>
                <w:color w:val="000000"/>
                <w:sz w:val="24"/>
                <w:szCs w:val="24"/>
              </w:rPr>
              <w:t>18,947,397</w:t>
            </w:r>
          </w:p>
          <w:p w14:paraId="6698BBF7" w14:textId="77777777" w:rsidR="00E85DFB" w:rsidRPr="00946B52" w:rsidRDefault="00E85DFB" w:rsidP="00E271EA">
            <w:pPr>
              <w:spacing w:after="0" w:line="240" w:lineRule="auto"/>
              <w:jc w:val="both"/>
              <w:rPr>
                <w:rFonts w:ascii="Arial" w:eastAsia="Times New Roman" w:hAnsi="Arial" w:cs="Arial"/>
                <w:color w:val="000000"/>
                <w:lang w:val="es-MX"/>
              </w:rPr>
            </w:pPr>
          </w:p>
        </w:tc>
      </w:tr>
      <w:tr w:rsidR="005C3B17" w:rsidRPr="00946B52" w14:paraId="452B5E3A" w14:textId="77777777" w:rsidTr="00E271EA">
        <w:tc>
          <w:tcPr>
            <w:tcW w:w="3325" w:type="dxa"/>
          </w:tcPr>
          <w:p w14:paraId="3B0D0BEC" w14:textId="77777777" w:rsidR="005C3B17" w:rsidRPr="00946B52" w:rsidRDefault="005C3B17" w:rsidP="005C3B17">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Beneficios año 4</w:t>
            </w:r>
            <w:r>
              <w:rPr>
                <w:rFonts w:ascii="Arial" w:eastAsia="Times New Roman" w:hAnsi="Arial" w:cs="Arial"/>
                <w:color w:val="000000"/>
                <w:lang w:val="es-MX"/>
              </w:rPr>
              <w:t xml:space="preserve"> en SPS</w:t>
            </w:r>
          </w:p>
        </w:tc>
        <w:tc>
          <w:tcPr>
            <w:tcW w:w="5220" w:type="dxa"/>
          </w:tcPr>
          <w:p w14:paraId="7E8F3A17" w14:textId="77777777" w:rsidR="005C3B17" w:rsidRPr="00EA354B" w:rsidRDefault="00DB2F7E" w:rsidP="005C3B17">
            <w:pPr>
              <w:spacing w:after="0" w:line="240" w:lineRule="auto"/>
              <w:jc w:val="both"/>
              <w:rPr>
                <w:rFonts w:eastAsia="Times New Roman" w:cs="Calibri"/>
                <w:color w:val="000000"/>
                <w:sz w:val="24"/>
                <w:szCs w:val="24"/>
              </w:rPr>
            </w:pPr>
            <w:r>
              <w:rPr>
                <w:rFonts w:ascii="Arial" w:hAnsi="Arial" w:cs="Arial"/>
                <w:color w:val="000000"/>
                <w:lang w:val="es-MX"/>
              </w:rPr>
              <w:t>57,011,443</w:t>
            </w:r>
            <w:r w:rsidR="005C3B17" w:rsidRPr="00946B52">
              <w:rPr>
                <w:rFonts w:ascii="Arial" w:eastAsia="Times New Roman" w:hAnsi="Arial" w:cs="Arial"/>
                <w:color w:val="000000"/>
              </w:rPr>
              <w:t>*(.</w:t>
            </w:r>
            <w:r w:rsidR="005C3B17">
              <w:rPr>
                <w:rFonts w:ascii="Arial" w:eastAsia="Times New Roman" w:hAnsi="Arial" w:cs="Arial"/>
                <w:color w:val="000000"/>
              </w:rPr>
              <w:t>0</w:t>
            </w:r>
            <w:r w:rsidR="00FC5589">
              <w:rPr>
                <w:rFonts w:ascii="Arial" w:eastAsia="Times New Roman" w:hAnsi="Arial" w:cs="Arial"/>
                <w:color w:val="000000"/>
              </w:rPr>
              <w:t>6</w:t>
            </w:r>
            <w:r w:rsidR="005C3B17">
              <w:rPr>
                <w:rFonts w:ascii="Arial" w:eastAsia="Times New Roman" w:hAnsi="Arial" w:cs="Arial"/>
                <w:color w:val="000000"/>
              </w:rPr>
              <w:t>5</w:t>
            </w:r>
            <w:r w:rsidR="005C3B17" w:rsidRPr="00946B52">
              <w:rPr>
                <w:rFonts w:ascii="Arial" w:eastAsia="Times New Roman" w:hAnsi="Arial" w:cs="Arial"/>
                <w:color w:val="000000"/>
              </w:rPr>
              <w:t xml:space="preserve">) + </w:t>
            </w:r>
            <w:r>
              <w:rPr>
                <w:rFonts w:ascii="Arial" w:hAnsi="Arial" w:cs="Arial"/>
                <w:color w:val="000000"/>
                <w:lang w:val="es-MX"/>
              </w:rPr>
              <w:t>19,374,983</w:t>
            </w:r>
            <w:r w:rsidR="005C3B17" w:rsidRPr="00946B52">
              <w:rPr>
                <w:rFonts w:ascii="Arial" w:eastAsia="Times New Roman" w:hAnsi="Arial" w:cs="Arial"/>
                <w:color w:val="000000"/>
              </w:rPr>
              <w:t>*(.0</w:t>
            </w:r>
            <w:r w:rsidR="005C3B17">
              <w:rPr>
                <w:rFonts w:ascii="Arial" w:eastAsia="Times New Roman" w:hAnsi="Arial" w:cs="Arial"/>
                <w:color w:val="000000"/>
              </w:rPr>
              <w:t>79</w:t>
            </w:r>
            <w:r w:rsidR="005C3B17" w:rsidRPr="00946B52">
              <w:rPr>
                <w:rFonts w:ascii="Arial" w:eastAsia="Times New Roman" w:hAnsi="Arial" w:cs="Arial"/>
                <w:color w:val="000000"/>
              </w:rPr>
              <w:t>) =</w:t>
            </w:r>
            <w:r w:rsidR="005C3B17" w:rsidRPr="00946B52">
              <w:rPr>
                <w:rFonts w:ascii="Arial" w:hAnsi="Arial" w:cs="Arial"/>
                <w:color w:val="000000"/>
              </w:rPr>
              <w:t xml:space="preserve"> </w:t>
            </w:r>
            <w:r w:rsidR="005C3B17" w:rsidRPr="00EA354B">
              <w:rPr>
                <w:rFonts w:eastAsia="Times New Roman" w:cs="Calibri"/>
                <w:color w:val="000000"/>
                <w:sz w:val="24"/>
                <w:szCs w:val="24"/>
              </w:rPr>
              <w:t>6,968,535</w:t>
            </w:r>
          </w:p>
          <w:p w14:paraId="57B490FF" w14:textId="77777777" w:rsidR="005C3B17" w:rsidRDefault="005C3B17" w:rsidP="005C3B17">
            <w:pPr>
              <w:spacing w:after="0" w:line="240" w:lineRule="auto"/>
              <w:jc w:val="both"/>
              <w:rPr>
                <w:rFonts w:ascii="Arial" w:hAnsi="Arial" w:cs="Arial"/>
                <w:color w:val="000000"/>
                <w:lang w:val="es-MX"/>
              </w:rPr>
            </w:pPr>
          </w:p>
        </w:tc>
      </w:tr>
      <w:tr w:rsidR="005C3B17" w:rsidRPr="00946B52" w14:paraId="01F5EB3C" w14:textId="77777777" w:rsidTr="00E271EA">
        <w:tc>
          <w:tcPr>
            <w:tcW w:w="3325" w:type="dxa"/>
          </w:tcPr>
          <w:p w14:paraId="2BCABDE0" w14:textId="77777777" w:rsidR="005C3B17" w:rsidRPr="00946B52" w:rsidRDefault="005C3B17" w:rsidP="005C3B17">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 xml:space="preserve">Beneficios año 5 </w:t>
            </w:r>
            <w:r>
              <w:rPr>
                <w:rFonts w:ascii="Arial" w:eastAsia="Times New Roman" w:hAnsi="Arial" w:cs="Arial"/>
                <w:color w:val="000000"/>
                <w:lang w:val="es-MX"/>
              </w:rPr>
              <w:t>en SPS</w:t>
            </w:r>
          </w:p>
        </w:tc>
        <w:tc>
          <w:tcPr>
            <w:tcW w:w="5220" w:type="dxa"/>
          </w:tcPr>
          <w:p w14:paraId="1BE2F5F2" w14:textId="77777777" w:rsidR="005C3B17" w:rsidRPr="00EA354B" w:rsidRDefault="00DB2F7E" w:rsidP="005C3B17">
            <w:pPr>
              <w:spacing w:after="0" w:line="240" w:lineRule="auto"/>
              <w:jc w:val="both"/>
              <w:rPr>
                <w:rFonts w:eastAsia="Times New Roman" w:cs="Calibri"/>
                <w:color w:val="000000"/>
                <w:sz w:val="24"/>
                <w:szCs w:val="24"/>
              </w:rPr>
            </w:pPr>
            <w:r>
              <w:rPr>
                <w:rFonts w:ascii="Arial" w:hAnsi="Arial" w:cs="Arial"/>
                <w:color w:val="000000"/>
                <w:lang w:val="es-MX"/>
              </w:rPr>
              <w:t>57,011,443</w:t>
            </w:r>
            <w:r w:rsidR="005C3B17" w:rsidRPr="00946B52">
              <w:rPr>
                <w:rFonts w:ascii="Arial" w:eastAsia="Times New Roman" w:hAnsi="Arial" w:cs="Arial"/>
                <w:color w:val="000000"/>
              </w:rPr>
              <w:t>*(.</w:t>
            </w:r>
            <w:r w:rsidR="005C3B17">
              <w:rPr>
                <w:rFonts w:ascii="Arial" w:eastAsia="Times New Roman" w:hAnsi="Arial" w:cs="Arial"/>
                <w:color w:val="000000"/>
              </w:rPr>
              <w:t>1</w:t>
            </w:r>
            <w:r w:rsidR="00FC5589">
              <w:rPr>
                <w:rFonts w:ascii="Arial" w:eastAsia="Times New Roman" w:hAnsi="Arial" w:cs="Arial"/>
                <w:color w:val="000000"/>
              </w:rPr>
              <w:t>4</w:t>
            </w:r>
            <w:r w:rsidR="005C3B17" w:rsidRPr="00946B52">
              <w:rPr>
                <w:rFonts w:ascii="Arial" w:eastAsia="Times New Roman" w:hAnsi="Arial" w:cs="Arial"/>
                <w:color w:val="000000"/>
              </w:rPr>
              <w:t xml:space="preserve">) + </w:t>
            </w:r>
            <w:r>
              <w:rPr>
                <w:rFonts w:ascii="Arial" w:hAnsi="Arial" w:cs="Arial"/>
                <w:color w:val="000000"/>
                <w:lang w:val="es-MX"/>
              </w:rPr>
              <w:t>19,374,983</w:t>
            </w:r>
            <w:r w:rsidR="005C3B17" w:rsidRPr="00946B52">
              <w:rPr>
                <w:rFonts w:ascii="Arial" w:eastAsia="Times New Roman" w:hAnsi="Arial" w:cs="Arial"/>
                <w:color w:val="000000"/>
              </w:rPr>
              <w:t>*(.</w:t>
            </w:r>
            <w:r w:rsidR="005C3B17">
              <w:rPr>
                <w:rFonts w:ascii="Arial" w:eastAsia="Times New Roman" w:hAnsi="Arial" w:cs="Arial"/>
                <w:color w:val="000000"/>
              </w:rPr>
              <w:t>44</w:t>
            </w:r>
            <w:r w:rsidR="005C3B17" w:rsidRPr="00946B52">
              <w:rPr>
                <w:rFonts w:ascii="Arial" w:eastAsia="Times New Roman" w:hAnsi="Arial" w:cs="Arial"/>
                <w:color w:val="000000"/>
              </w:rPr>
              <w:t xml:space="preserve">) = </w:t>
            </w:r>
            <w:r w:rsidR="005C3B17" w:rsidRPr="00EA354B">
              <w:rPr>
                <w:rFonts w:eastAsia="Times New Roman" w:cs="Calibri"/>
                <w:color w:val="000000"/>
                <w:sz w:val="24"/>
                <w:szCs w:val="24"/>
              </w:rPr>
              <w:t>18,947,397</w:t>
            </w:r>
          </w:p>
          <w:p w14:paraId="6D0207E6" w14:textId="77777777" w:rsidR="005C3B17" w:rsidRDefault="005C3B17" w:rsidP="005C3B17">
            <w:pPr>
              <w:spacing w:after="0" w:line="240" w:lineRule="auto"/>
              <w:jc w:val="both"/>
              <w:rPr>
                <w:rFonts w:ascii="Arial" w:hAnsi="Arial" w:cs="Arial"/>
                <w:color w:val="000000"/>
                <w:lang w:val="es-MX"/>
              </w:rPr>
            </w:pPr>
          </w:p>
        </w:tc>
      </w:tr>
      <w:tr w:rsidR="005C3B17" w:rsidRPr="00946B52" w14:paraId="03FF3BB8" w14:textId="77777777" w:rsidTr="00E271EA">
        <w:tc>
          <w:tcPr>
            <w:tcW w:w="3325" w:type="dxa"/>
          </w:tcPr>
          <w:p w14:paraId="524E06D5" w14:textId="77777777" w:rsidR="005C3B17" w:rsidRPr="00946B52" w:rsidRDefault="005C3B17" w:rsidP="005C3B17">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 xml:space="preserve">Beneficios </w:t>
            </w:r>
            <w:r>
              <w:rPr>
                <w:rFonts w:ascii="Arial" w:eastAsia="Times New Roman" w:hAnsi="Arial" w:cs="Arial"/>
                <w:color w:val="000000"/>
                <w:lang w:val="es-MX"/>
              </w:rPr>
              <w:t>en a</w:t>
            </w:r>
            <w:r w:rsidRPr="00946B52">
              <w:rPr>
                <w:rFonts w:ascii="Arial" w:eastAsia="Times New Roman" w:hAnsi="Arial" w:cs="Arial"/>
                <w:color w:val="000000"/>
                <w:lang w:val="es-MX"/>
              </w:rPr>
              <w:t>ño</w:t>
            </w:r>
            <w:r>
              <w:rPr>
                <w:rFonts w:ascii="Arial" w:eastAsia="Times New Roman" w:hAnsi="Arial" w:cs="Arial"/>
                <w:color w:val="000000"/>
                <w:lang w:val="es-MX"/>
              </w:rPr>
              <w:t xml:space="preserve">s </w:t>
            </w:r>
            <w:r w:rsidRPr="00946B52">
              <w:rPr>
                <w:rFonts w:ascii="Arial" w:eastAsia="Times New Roman" w:hAnsi="Arial" w:cs="Arial"/>
                <w:color w:val="000000"/>
                <w:lang w:val="es-MX"/>
              </w:rPr>
              <w:t>posteriores</w:t>
            </w:r>
            <w:r>
              <w:rPr>
                <w:rFonts w:ascii="Arial" w:eastAsia="Times New Roman" w:hAnsi="Arial" w:cs="Arial"/>
                <w:color w:val="000000"/>
                <w:lang w:val="es-MX"/>
              </w:rPr>
              <w:t xml:space="preserve"> en SPS</w:t>
            </w:r>
          </w:p>
        </w:tc>
        <w:tc>
          <w:tcPr>
            <w:tcW w:w="5220" w:type="dxa"/>
          </w:tcPr>
          <w:p w14:paraId="1668EF67" w14:textId="77777777" w:rsidR="005C3B17" w:rsidRPr="00EA354B" w:rsidRDefault="00DB2F7E" w:rsidP="005C3B17">
            <w:pPr>
              <w:spacing w:after="0" w:line="240" w:lineRule="auto"/>
              <w:jc w:val="both"/>
              <w:rPr>
                <w:rFonts w:eastAsia="Times New Roman" w:cs="Calibri"/>
                <w:color w:val="000000"/>
                <w:sz w:val="24"/>
                <w:szCs w:val="24"/>
              </w:rPr>
            </w:pPr>
            <w:r>
              <w:rPr>
                <w:rFonts w:ascii="Arial" w:hAnsi="Arial" w:cs="Arial"/>
                <w:color w:val="000000"/>
                <w:lang w:val="es-MX"/>
              </w:rPr>
              <w:t>57,011,443</w:t>
            </w:r>
            <w:r w:rsidR="005C3B17" w:rsidRPr="00946B52">
              <w:rPr>
                <w:rFonts w:ascii="Arial" w:eastAsia="Times New Roman" w:hAnsi="Arial" w:cs="Arial"/>
                <w:color w:val="000000"/>
              </w:rPr>
              <w:t>*(.</w:t>
            </w:r>
            <w:r w:rsidR="005C3B17">
              <w:rPr>
                <w:rFonts w:ascii="Arial" w:eastAsia="Times New Roman" w:hAnsi="Arial" w:cs="Arial"/>
                <w:color w:val="000000"/>
              </w:rPr>
              <w:t>18</w:t>
            </w:r>
            <w:r w:rsidR="005C3B17" w:rsidRPr="00946B52">
              <w:rPr>
                <w:rFonts w:ascii="Arial" w:eastAsia="Times New Roman" w:hAnsi="Arial" w:cs="Arial"/>
                <w:color w:val="000000"/>
              </w:rPr>
              <w:t xml:space="preserve">) + </w:t>
            </w:r>
            <w:r>
              <w:rPr>
                <w:rFonts w:ascii="Arial" w:hAnsi="Arial" w:cs="Arial"/>
                <w:color w:val="000000"/>
                <w:lang w:val="es-MX"/>
              </w:rPr>
              <w:t>19,374,983</w:t>
            </w:r>
            <w:r w:rsidR="005C3B17" w:rsidRPr="00946B52">
              <w:rPr>
                <w:rFonts w:ascii="Arial" w:eastAsia="Times New Roman" w:hAnsi="Arial" w:cs="Arial"/>
                <w:color w:val="000000"/>
              </w:rPr>
              <w:t>*(.</w:t>
            </w:r>
            <w:r w:rsidR="005C3B17">
              <w:rPr>
                <w:rFonts w:ascii="Arial" w:eastAsia="Times New Roman" w:hAnsi="Arial" w:cs="Arial"/>
                <w:color w:val="000000"/>
              </w:rPr>
              <w:t>44</w:t>
            </w:r>
            <w:r w:rsidR="005C3B17" w:rsidRPr="00946B52">
              <w:rPr>
                <w:rFonts w:ascii="Arial" w:eastAsia="Times New Roman" w:hAnsi="Arial" w:cs="Arial"/>
                <w:color w:val="000000"/>
              </w:rPr>
              <w:t xml:space="preserve">) = </w:t>
            </w:r>
            <w:r w:rsidR="005C3B17" w:rsidRPr="00EA354B">
              <w:rPr>
                <w:rFonts w:eastAsia="Times New Roman" w:cs="Calibri"/>
                <w:color w:val="000000"/>
                <w:sz w:val="24"/>
                <w:szCs w:val="24"/>
              </w:rPr>
              <w:t>18,947,397</w:t>
            </w:r>
          </w:p>
          <w:p w14:paraId="52B4FA9D" w14:textId="77777777" w:rsidR="005C3B17" w:rsidRDefault="005C3B17" w:rsidP="005C3B17">
            <w:pPr>
              <w:spacing w:after="0" w:line="240" w:lineRule="auto"/>
              <w:jc w:val="both"/>
              <w:rPr>
                <w:rFonts w:ascii="Arial" w:hAnsi="Arial" w:cs="Arial"/>
                <w:color w:val="000000"/>
                <w:lang w:val="es-MX"/>
              </w:rPr>
            </w:pPr>
          </w:p>
        </w:tc>
      </w:tr>
    </w:tbl>
    <w:p w14:paraId="71A2BDC9" w14:textId="77777777" w:rsidR="00EA354B" w:rsidRDefault="00EA354B" w:rsidP="00DF0502">
      <w:pPr>
        <w:pStyle w:val="Vieta"/>
        <w:numPr>
          <w:ilvl w:val="0"/>
          <w:numId w:val="0"/>
        </w:numPr>
        <w:spacing w:line="240" w:lineRule="auto"/>
        <w:ind w:left="567"/>
        <w:rPr>
          <w:rFonts w:ascii="Arial" w:hAnsi="Arial" w:cs="Arial"/>
          <w:b/>
          <w:sz w:val="22"/>
          <w:szCs w:val="22"/>
          <w:u w:val="single"/>
        </w:rPr>
      </w:pPr>
    </w:p>
    <w:p w14:paraId="0B57ADDA" w14:textId="77777777" w:rsidR="00EA354B" w:rsidRDefault="00EA354B" w:rsidP="00DF0502">
      <w:pPr>
        <w:pStyle w:val="Vieta"/>
        <w:numPr>
          <w:ilvl w:val="0"/>
          <w:numId w:val="0"/>
        </w:numPr>
        <w:spacing w:line="240" w:lineRule="auto"/>
        <w:ind w:left="567"/>
        <w:rPr>
          <w:rFonts w:ascii="Arial" w:hAnsi="Arial" w:cs="Arial"/>
          <w:b/>
          <w:sz w:val="22"/>
          <w:szCs w:val="22"/>
          <w:u w:val="single"/>
        </w:rPr>
      </w:pPr>
    </w:p>
    <w:p w14:paraId="3DB531FA" w14:textId="77777777" w:rsidR="00EA354B" w:rsidRDefault="00EA354B" w:rsidP="00DF0502">
      <w:pPr>
        <w:pStyle w:val="Vieta"/>
        <w:numPr>
          <w:ilvl w:val="0"/>
          <w:numId w:val="0"/>
        </w:numPr>
        <w:spacing w:line="240" w:lineRule="auto"/>
        <w:ind w:left="567"/>
        <w:rPr>
          <w:rFonts w:ascii="Arial" w:hAnsi="Arial" w:cs="Arial"/>
          <w:b/>
          <w:sz w:val="22"/>
          <w:szCs w:val="22"/>
          <w:u w:val="single"/>
        </w:rPr>
      </w:pPr>
    </w:p>
    <w:p w14:paraId="6B4B1CFC" w14:textId="77777777" w:rsidR="00922526" w:rsidRPr="00DF0502" w:rsidRDefault="00922526" w:rsidP="00C94B0A">
      <w:pPr>
        <w:pStyle w:val="Vieta"/>
        <w:numPr>
          <w:ilvl w:val="0"/>
          <w:numId w:val="0"/>
        </w:numPr>
        <w:spacing w:line="240" w:lineRule="auto"/>
        <w:ind w:left="993" w:hanging="426"/>
        <w:rPr>
          <w:rFonts w:ascii="Arial" w:hAnsi="Arial" w:cs="Arial"/>
          <w:b/>
          <w:sz w:val="22"/>
          <w:szCs w:val="22"/>
          <w:u w:val="single"/>
        </w:rPr>
      </w:pPr>
    </w:p>
    <w:p w14:paraId="3BA3CF3B" w14:textId="77777777" w:rsidR="00183971" w:rsidRPr="00DF0502" w:rsidRDefault="00183971"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Luego, esta fórmula será replicada para cada año aplicándose sobre ella una tasa de descuento del 12%. Para estimar los beneficios totales se debe tener en cuenta el supuesto de 20 años durante los cuales se consideran los efectos del subcomponente. Sin embargo, a efectos de obtener el valor actual, debe tenerse en cuenta la tasa utilizada por el BID del 12%, lo que nos lleva a que los beneficios totales se deberían calcular mediante la siguiente fórmula:</w:t>
      </w:r>
    </w:p>
    <w:p w14:paraId="1651E2A1" w14:textId="77777777" w:rsidR="00183971" w:rsidRPr="00DF0502" w:rsidRDefault="005E2C3D" w:rsidP="00DF0502">
      <w:pPr>
        <w:spacing w:after="0" w:line="240" w:lineRule="auto"/>
        <w:ind w:left="567" w:hanging="567"/>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5E6FE5F2" w14:textId="77777777" w:rsidR="00183971" w:rsidRPr="00DF0502" w:rsidRDefault="00183971" w:rsidP="00DF0502">
      <w:pPr>
        <w:pStyle w:val="Paragraph"/>
        <w:numPr>
          <w:ilvl w:val="0"/>
          <w:numId w:val="0"/>
        </w:numPr>
        <w:spacing w:before="0" w:after="0"/>
        <w:ind w:left="567"/>
        <w:rPr>
          <w:rFonts w:ascii="Arial" w:eastAsia="Calibri" w:hAnsi="Arial" w:cs="Arial"/>
          <w:sz w:val="22"/>
          <w:szCs w:val="22"/>
        </w:rPr>
      </w:pPr>
      <w:r w:rsidRPr="00DF0502">
        <w:rPr>
          <w:rFonts w:ascii="Arial" w:hAnsi="Arial" w:cs="Arial"/>
          <w:sz w:val="22"/>
          <w:szCs w:val="22"/>
        </w:rPr>
        <w:t xml:space="preserve">donde </w:t>
      </w:r>
      <m:oMath>
        <m:r>
          <w:rPr>
            <w:rFonts w:ascii="Cambria Math" w:hAnsi="Cambria Math" w:cs="Arial"/>
            <w:sz w:val="22"/>
            <w:szCs w:val="22"/>
          </w:rPr>
          <m:t>I</m:t>
        </m:r>
      </m:oMath>
      <w:r w:rsidRPr="00DF0502">
        <w:rPr>
          <w:rFonts w:ascii="Arial" w:hAnsi="Arial" w:cs="Arial"/>
          <w:i/>
          <w:sz w:val="22"/>
          <w:szCs w:val="22"/>
        </w:rPr>
        <w:t xml:space="preserve"> </w:t>
      </w:r>
      <w:r w:rsidRPr="00DF0502">
        <w:rPr>
          <w:rFonts w:ascii="Arial" w:hAnsi="Arial" w:cs="Arial"/>
          <w:sz w:val="22"/>
          <w:szCs w:val="22"/>
        </w:rPr>
        <w:t>se</w:t>
      </w:r>
      <w:r w:rsidRPr="00DF0502">
        <w:rPr>
          <w:rFonts w:ascii="Arial" w:hAnsi="Arial" w:cs="Arial"/>
          <w:i/>
          <w:sz w:val="22"/>
          <w:szCs w:val="22"/>
        </w:rPr>
        <w:t xml:space="preserve"> </w:t>
      </w:r>
      <w:r w:rsidRPr="00DF0502">
        <w:rPr>
          <w:rFonts w:ascii="Arial" w:hAnsi="Arial" w:cs="Arial"/>
          <w:sz w:val="22"/>
          <w:szCs w:val="22"/>
        </w:rPr>
        <w:t xml:space="preserve">refiere a que los beneficios son generados por el Componente II, </w:t>
      </w:r>
      <m:oMath>
        <m:r>
          <w:rPr>
            <w:rFonts w:ascii="Cambria Math" w:hAnsi="Cambria Math" w:cs="Arial"/>
            <w:sz w:val="22"/>
            <w:szCs w:val="22"/>
          </w:rPr>
          <m:t>B</m:t>
        </m:r>
      </m:oMath>
      <w:r w:rsidRPr="00DF0502">
        <w:rPr>
          <w:rFonts w:ascii="Arial" w:hAnsi="Arial" w:cs="Arial"/>
          <w:sz w:val="22"/>
          <w:szCs w:val="22"/>
        </w:rPr>
        <w:t xml:space="preserve"> denota los beneficios y </w:t>
      </w:r>
      <m:oMath>
        <m:r>
          <w:rPr>
            <w:rFonts w:ascii="Cambria Math" w:hAnsi="Cambria Math" w:cs="Arial"/>
            <w:sz w:val="22"/>
            <w:szCs w:val="22"/>
          </w:rPr>
          <m:t>t</m:t>
        </m:r>
      </m:oMath>
      <w:r w:rsidRPr="00DF0502">
        <w:rPr>
          <w:rFonts w:ascii="Arial" w:hAnsi="Arial" w:cs="Arial"/>
          <w:sz w:val="22"/>
          <w:szCs w:val="22"/>
        </w:rPr>
        <w:t xml:space="preserve"> indica el año corriente.</w:t>
      </w:r>
    </w:p>
    <w:p w14:paraId="05D55C3E" w14:textId="77777777" w:rsidR="00183971" w:rsidRPr="00DF0502" w:rsidRDefault="00183971" w:rsidP="00DF0502">
      <w:pPr>
        <w:pStyle w:val="Paragraph"/>
        <w:numPr>
          <w:ilvl w:val="1"/>
          <w:numId w:val="1"/>
        </w:numPr>
        <w:spacing w:before="0" w:after="0"/>
        <w:rPr>
          <w:rFonts w:ascii="Arial" w:hAnsi="Arial" w:cs="Arial"/>
          <w:sz w:val="22"/>
          <w:szCs w:val="22"/>
        </w:rPr>
      </w:pPr>
      <w:r w:rsidRPr="00DF0502">
        <w:rPr>
          <w:rFonts w:ascii="Arial" w:hAnsi="Arial" w:cs="Arial"/>
          <w:sz w:val="22"/>
          <w:szCs w:val="22"/>
        </w:rPr>
        <w:t>Los costos de operación se calculan como el valor presente del flujo de gastos del proyecto. La fórmula utilizada es:</w:t>
      </w:r>
    </w:p>
    <w:p w14:paraId="65407C81" w14:textId="77777777" w:rsidR="00183971" w:rsidRPr="00DF0502" w:rsidRDefault="005E2C3D" w:rsidP="00DF0502">
      <w:pPr>
        <w:spacing w:after="0" w:line="240" w:lineRule="auto"/>
        <w:ind w:left="567" w:hanging="567"/>
        <w:jc w:val="center"/>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75F553BA" w14:textId="77777777" w:rsidR="00183971" w:rsidRPr="00DF0502" w:rsidRDefault="00183971" w:rsidP="00DF0502">
      <w:pPr>
        <w:pStyle w:val="Paragraph"/>
        <w:numPr>
          <w:ilvl w:val="0"/>
          <w:numId w:val="0"/>
        </w:numPr>
        <w:spacing w:before="0" w:after="0"/>
        <w:ind w:left="567"/>
        <w:rPr>
          <w:rFonts w:ascii="Arial" w:hAnsi="Arial" w:cs="Arial"/>
          <w:sz w:val="22"/>
          <w:szCs w:val="22"/>
        </w:rPr>
      </w:pPr>
      <w:r w:rsidRPr="00DF0502">
        <w:rPr>
          <w:rFonts w:ascii="Arial" w:hAnsi="Arial" w:cs="Arial"/>
          <w:sz w:val="22"/>
          <w:szCs w:val="22"/>
        </w:rPr>
        <w:t xml:space="preserve">donde g es el gasto anual para Componente II, t denota el periodo corriente. El costo total es de </w:t>
      </w:r>
      <w:r w:rsidR="003F5B6B" w:rsidRPr="00DF0502">
        <w:rPr>
          <w:rFonts w:ascii="Arial" w:hAnsi="Arial" w:cs="Arial"/>
          <w:sz w:val="22"/>
          <w:szCs w:val="22"/>
        </w:rPr>
        <w:t>US$22.130</w:t>
      </w:r>
      <w:r w:rsidR="00044248" w:rsidRPr="00DF0502">
        <w:rPr>
          <w:rFonts w:ascii="Arial" w:hAnsi="Arial" w:cs="Arial"/>
          <w:sz w:val="22"/>
          <w:szCs w:val="22"/>
        </w:rPr>
        <w:t>.000</w:t>
      </w:r>
      <w:r w:rsidRPr="00DF0502">
        <w:rPr>
          <w:rFonts w:ascii="Arial" w:hAnsi="Arial" w:cs="Arial"/>
          <w:sz w:val="22"/>
          <w:szCs w:val="22"/>
        </w:rPr>
        <w:t>.</w:t>
      </w:r>
    </w:p>
    <w:p w14:paraId="2FE0AFAF" w14:textId="544D1922" w:rsidR="007307E8" w:rsidRPr="00DF0502" w:rsidRDefault="007307E8" w:rsidP="00DF0502">
      <w:pPr>
        <w:pStyle w:val="Paragraph"/>
        <w:numPr>
          <w:ilvl w:val="0"/>
          <w:numId w:val="0"/>
        </w:numPr>
        <w:spacing w:before="0" w:after="0"/>
        <w:ind w:left="567"/>
        <w:rPr>
          <w:rFonts w:ascii="Arial" w:eastAsia="Calibri" w:hAnsi="Arial" w:cs="Arial"/>
          <w:sz w:val="22"/>
          <w:szCs w:val="22"/>
        </w:rPr>
      </w:pPr>
    </w:p>
    <w:p w14:paraId="59C0A4D7" w14:textId="77777777" w:rsidR="00183971" w:rsidRPr="00DF0502" w:rsidRDefault="00183971" w:rsidP="00DF0502">
      <w:pPr>
        <w:pStyle w:val="Paragraph"/>
        <w:numPr>
          <w:ilvl w:val="0"/>
          <w:numId w:val="0"/>
        </w:numPr>
        <w:spacing w:before="0" w:after="0"/>
        <w:ind w:left="567"/>
        <w:rPr>
          <w:rFonts w:ascii="Arial" w:hAnsi="Arial" w:cs="Arial"/>
          <w:kern w:val="28"/>
          <w:sz w:val="22"/>
          <w:szCs w:val="22"/>
          <w:lang w:val="es-ES_tradnl"/>
        </w:rPr>
      </w:pPr>
    </w:p>
    <w:p w14:paraId="4E80A4E5" w14:textId="77777777" w:rsidR="0000187D" w:rsidRDefault="00044248" w:rsidP="00DF0502">
      <w:pPr>
        <w:pStyle w:val="subpar"/>
        <w:numPr>
          <w:ilvl w:val="0"/>
          <w:numId w:val="0"/>
        </w:numPr>
        <w:spacing w:before="0" w:after="0"/>
        <w:ind w:left="567"/>
        <w:rPr>
          <w:rFonts w:ascii="Arial" w:eastAsia="Calibri" w:hAnsi="Arial" w:cs="Arial"/>
          <w:b/>
          <w:sz w:val="22"/>
          <w:szCs w:val="22"/>
          <w:u w:val="single"/>
          <w:lang w:val="es-ES"/>
        </w:rPr>
      </w:pPr>
      <w:r w:rsidRPr="00DF0502">
        <w:rPr>
          <w:rFonts w:ascii="Arial" w:eastAsia="Calibri" w:hAnsi="Arial" w:cs="Arial"/>
          <w:b/>
          <w:sz w:val="22"/>
          <w:szCs w:val="22"/>
          <w:u w:val="single"/>
          <w:lang w:val="es-ES"/>
        </w:rPr>
        <w:t>COMPONENTE III</w:t>
      </w:r>
    </w:p>
    <w:p w14:paraId="3842C866" w14:textId="77777777" w:rsidR="00922526" w:rsidRPr="00DF0502" w:rsidRDefault="00922526" w:rsidP="00DF0502">
      <w:pPr>
        <w:pStyle w:val="subpar"/>
        <w:numPr>
          <w:ilvl w:val="0"/>
          <w:numId w:val="0"/>
        </w:numPr>
        <w:spacing w:before="0" w:after="0"/>
        <w:ind w:left="567"/>
        <w:rPr>
          <w:rFonts w:ascii="Arial" w:eastAsia="Calibri" w:hAnsi="Arial" w:cs="Arial"/>
          <w:b/>
          <w:sz w:val="22"/>
          <w:szCs w:val="22"/>
          <w:u w:val="single"/>
          <w:lang w:val="es-ES"/>
        </w:rPr>
      </w:pPr>
    </w:p>
    <w:p w14:paraId="750EB769" w14:textId="77777777" w:rsidR="00EC433C" w:rsidRDefault="00EC433C" w:rsidP="00DF0502">
      <w:pPr>
        <w:pStyle w:val="Paragraph"/>
        <w:numPr>
          <w:ilvl w:val="1"/>
          <w:numId w:val="1"/>
        </w:numPr>
        <w:spacing w:before="0" w:after="0"/>
        <w:rPr>
          <w:rFonts w:ascii="Arial" w:eastAsia="Calibri" w:hAnsi="Arial" w:cs="Arial"/>
          <w:sz w:val="22"/>
          <w:szCs w:val="22"/>
        </w:rPr>
      </w:pPr>
      <w:r w:rsidRPr="00DF0502">
        <w:rPr>
          <w:rFonts w:ascii="Arial" w:eastAsia="Calibri" w:hAnsi="Arial" w:cs="Arial"/>
          <w:b/>
          <w:sz w:val="22"/>
          <w:szCs w:val="22"/>
        </w:rPr>
        <w:t>Componente</w:t>
      </w:r>
      <w:r w:rsidR="004F7AFE" w:rsidRPr="00DF0502">
        <w:rPr>
          <w:rFonts w:ascii="Arial" w:eastAsia="Calibri" w:hAnsi="Arial" w:cs="Arial"/>
          <w:b/>
          <w:sz w:val="22"/>
          <w:szCs w:val="22"/>
        </w:rPr>
        <w:t xml:space="preserve"> 3. Efectividad policial (US$16,000,000</w:t>
      </w:r>
      <w:r w:rsidRPr="00DF0502">
        <w:rPr>
          <w:rFonts w:ascii="Arial" w:eastAsia="Calibri" w:hAnsi="Arial" w:cs="Arial"/>
          <w:b/>
          <w:sz w:val="22"/>
          <w:szCs w:val="22"/>
        </w:rPr>
        <w:t>).</w:t>
      </w:r>
      <w:r w:rsidRPr="00DF0502">
        <w:rPr>
          <w:rFonts w:ascii="Arial" w:eastAsia="Calibri" w:hAnsi="Arial" w:cs="Arial"/>
          <w:sz w:val="22"/>
          <w:szCs w:val="22"/>
        </w:rPr>
        <w:t xml:space="preserve"> Con el propósito de mejorar el desempeño y la calidad en la prestación de los servicios policiales, se apoyará la consolidación del sistema nacional de formación y profesionalización, </w:t>
      </w:r>
      <w:r w:rsidRPr="00DF0502">
        <w:rPr>
          <w:rFonts w:ascii="Arial" w:eastAsia="Calibri" w:hAnsi="Arial" w:cs="Arial"/>
          <w:sz w:val="22"/>
          <w:szCs w:val="22"/>
        </w:rPr>
        <w:lastRenderedPageBreak/>
        <w:t>así como su sistema de integridad. Este componente contempla el financiamiento de las actividades en dos áreas:</w:t>
      </w:r>
    </w:p>
    <w:p w14:paraId="509F267D" w14:textId="77777777" w:rsidR="00922526" w:rsidRPr="00DF0502" w:rsidRDefault="00922526" w:rsidP="00922526">
      <w:pPr>
        <w:pStyle w:val="Paragraph"/>
        <w:numPr>
          <w:ilvl w:val="0"/>
          <w:numId w:val="0"/>
        </w:numPr>
        <w:spacing w:before="0" w:after="0"/>
        <w:ind w:left="567"/>
        <w:rPr>
          <w:rFonts w:ascii="Arial" w:eastAsia="Calibri" w:hAnsi="Arial" w:cs="Arial"/>
          <w:sz w:val="22"/>
          <w:szCs w:val="22"/>
        </w:rPr>
      </w:pPr>
    </w:p>
    <w:p w14:paraId="04946042" w14:textId="77777777" w:rsidR="007C3A06" w:rsidRPr="007C3A06" w:rsidRDefault="007C3A06" w:rsidP="008233B5">
      <w:pPr>
        <w:numPr>
          <w:ilvl w:val="2"/>
          <w:numId w:val="22"/>
        </w:numPr>
        <w:tabs>
          <w:tab w:val="clear" w:pos="2304"/>
        </w:tabs>
        <w:spacing w:before="120" w:after="120" w:line="240" w:lineRule="auto"/>
        <w:ind w:left="1080"/>
        <w:jc w:val="both"/>
        <w:outlineLvl w:val="2"/>
        <w:rPr>
          <w:rFonts w:ascii="Arial" w:eastAsia="Times New Roman" w:hAnsi="Arial" w:cs="Arial"/>
          <w:lang w:val="es-ES_tradnl"/>
        </w:rPr>
      </w:pPr>
      <w:r w:rsidRPr="007C3A06">
        <w:rPr>
          <w:rFonts w:ascii="Arial" w:eastAsia="Times New Roman" w:hAnsi="Arial" w:cs="Arial"/>
          <w:b/>
          <w:lang w:val="es-ES"/>
        </w:rPr>
        <w:t>Consolidación del sistema educativo policial para mejorar servicios de atención comunitario y mejorar IC</w:t>
      </w:r>
      <w:r w:rsidRPr="007C3A06">
        <w:rPr>
          <w:rFonts w:ascii="Arial" w:eastAsia="Times New Roman" w:hAnsi="Arial" w:cs="Arial"/>
          <w:lang w:val="es-ES_tradnl"/>
        </w:rPr>
        <w:t xml:space="preserve">: (i) diseño del modelo del Sistema de Formación y Profesionalización Policial, articulando diferentes instancias de formación (ITP, </w:t>
      </w:r>
      <w:r w:rsidRPr="007C3A06">
        <w:rPr>
          <w:rFonts w:ascii="Arial" w:eastAsia="Times New Roman" w:hAnsi="Arial" w:cs="Arial"/>
          <w:lang w:val="es-CO"/>
        </w:rPr>
        <w:t>ANAPO</w:t>
      </w:r>
      <w:r w:rsidRPr="007C3A06">
        <w:rPr>
          <w:rFonts w:ascii="Arial" w:eastAsia="Times New Roman" w:hAnsi="Arial" w:cs="Arial"/>
          <w:lang w:val="es-ES_tradnl"/>
        </w:rPr>
        <w:t>, Universidad y educación continua y entrenamiento), incluyendo curriculum académico para mandos policiales medios y altos y capacidades pedagógicas a docentes</w:t>
      </w:r>
      <w:r w:rsidRPr="007C3A06">
        <w:rPr>
          <w:rFonts w:ascii="Arial" w:eastAsia="Times New Roman" w:hAnsi="Arial" w:cs="Arial"/>
          <w:vertAlign w:val="superscript"/>
          <w:lang w:val="es-ES_tradnl"/>
        </w:rPr>
        <w:footnoteReference w:id="13"/>
      </w:r>
      <w:r w:rsidRPr="007C3A06">
        <w:rPr>
          <w:rFonts w:ascii="Arial" w:eastAsia="Times New Roman" w:hAnsi="Arial" w:cs="Arial"/>
          <w:lang w:val="es-ES_tradnl"/>
        </w:rPr>
        <w:t>; (ii) modernización de infraestructura física y tecnológica de la ANAPO;</w:t>
      </w:r>
      <w:r w:rsidRPr="007C3A06">
        <w:rPr>
          <w:rFonts w:ascii="Arial" w:eastAsia="Times New Roman" w:hAnsi="Arial" w:cs="Arial"/>
          <w:vertAlign w:val="superscript"/>
          <w:lang w:val="es-ES_tradnl"/>
        </w:rPr>
        <w:footnoteReference w:id="14"/>
      </w:r>
      <w:r w:rsidRPr="007C3A06">
        <w:rPr>
          <w:rFonts w:ascii="Arial" w:eastAsia="Times New Roman" w:hAnsi="Arial" w:cs="Arial"/>
          <w:lang w:val="es-ES_tradnl"/>
        </w:rPr>
        <w:t xml:space="preserve"> y (iii) sistema de evaluación del desempeño policial y rendición de cuentas.</w:t>
      </w:r>
    </w:p>
    <w:p w14:paraId="0D5C2E80" w14:textId="77777777" w:rsidR="00B9178D" w:rsidRPr="00DF0502" w:rsidRDefault="00B9178D" w:rsidP="00C94B0A">
      <w:pPr>
        <w:pStyle w:val="subpar"/>
        <w:numPr>
          <w:ilvl w:val="0"/>
          <w:numId w:val="0"/>
        </w:numPr>
        <w:spacing w:before="0" w:after="0"/>
        <w:ind w:left="1080"/>
        <w:rPr>
          <w:rFonts w:ascii="Arial" w:eastAsia="Calibri" w:hAnsi="Arial" w:cs="Arial"/>
          <w:sz w:val="22"/>
          <w:szCs w:val="22"/>
          <w:lang w:val="es-ES"/>
        </w:rPr>
      </w:pPr>
    </w:p>
    <w:p w14:paraId="2470A3BE" w14:textId="7BF5E4A3" w:rsidR="00EC433C" w:rsidRPr="00922526" w:rsidRDefault="00EC433C" w:rsidP="00DF0502">
      <w:pPr>
        <w:pStyle w:val="subpar"/>
        <w:numPr>
          <w:ilvl w:val="2"/>
          <w:numId w:val="1"/>
        </w:numPr>
        <w:spacing w:before="0" w:after="0"/>
        <w:rPr>
          <w:rFonts w:ascii="Arial" w:eastAsia="Calibri" w:hAnsi="Arial" w:cs="Arial"/>
          <w:sz w:val="22"/>
          <w:szCs w:val="22"/>
          <w:lang w:val="es-ES"/>
        </w:rPr>
      </w:pPr>
      <w:r w:rsidRPr="00DF0502">
        <w:rPr>
          <w:rFonts w:ascii="Arial" w:eastAsia="Calibri" w:hAnsi="Arial" w:cs="Arial"/>
          <w:b/>
          <w:sz w:val="22"/>
          <w:szCs w:val="22"/>
        </w:rPr>
        <w:t xml:space="preserve">Fortalecimiento de las capacidades en investigación criminal. </w:t>
      </w:r>
      <w:r w:rsidRPr="00DF0502">
        <w:rPr>
          <w:rFonts w:ascii="Arial" w:eastAsia="Calibri" w:hAnsi="Arial" w:cs="Arial"/>
          <w:sz w:val="22"/>
          <w:szCs w:val="22"/>
        </w:rPr>
        <w:t xml:space="preserve">Se financiará: </w:t>
      </w:r>
      <w:r w:rsidR="00F4760B" w:rsidRPr="00DF0502">
        <w:rPr>
          <w:rFonts w:ascii="Arial" w:hAnsi="Arial" w:cs="Arial"/>
          <w:sz w:val="22"/>
          <w:szCs w:val="22"/>
        </w:rPr>
        <w:t>(a) un programa de capacitación y especialización continua en investigación criminal en coordinación con el MP</w:t>
      </w:r>
      <w:r w:rsidR="00F4760B" w:rsidRPr="00DF0502">
        <w:rPr>
          <w:rStyle w:val="FootnoteReference"/>
          <w:rFonts w:ascii="Arial" w:hAnsi="Arial" w:cs="Arial"/>
          <w:sz w:val="22"/>
          <w:szCs w:val="22"/>
        </w:rPr>
        <w:footnoteReference w:id="15"/>
      </w:r>
      <w:r w:rsidR="00F4760B" w:rsidRPr="00DF0502">
        <w:rPr>
          <w:rFonts w:ascii="Arial" w:hAnsi="Arial" w:cs="Arial"/>
          <w:sz w:val="22"/>
          <w:szCs w:val="22"/>
        </w:rPr>
        <w:t xml:space="preserve">; (b) </w:t>
      </w:r>
      <w:r w:rsidR="007C3A06" w:rsidRPr="003D3238">
        <w:rPr>
          <w:rFonts w:ascii="Arial" w:hAnsi="Arial" w:cs="Arial"/>
          <w:sz w:val="22"/>
          <w:szCs w:val="22"/>
        </w:rPr>
        <w:t xml:space="preserve">capacitación </w:t>
      </w:r>
      <w:r w:rsidR="007C3A06">
        <w:rPr>
          <w:rFonts w:ascii="Arial" w:hAnsi="Arial" w:cs="Arial"/>
          <w:sz w:val="22"/>
          <w:szCs w:val="22"/>
        </w:rPr>
        <w:t>técnica en el uso de tecnologías de IC y equipamiento de laboratorio en ANAPO</w:t>
      </w:r>
      <w:r w:rsidR="007C3A06" w:rsidRPr="003D3238">
        <w:rPr>
          <w:rFonts w:ascii="Arial" w:hAnsi="Arial" w:cs="Arial"/>
          <w:sz w:val="22"/>
          <w:szCs w:val="22"/>
        </w:rPr>
        <w:t xml:space="preserve">; </w:t>
      </w:r>
      <w:r w:rsidR="00F4760B" w:rsidRPr="00DF0502">
        <w:rPr>
          <w:rFonts w:ascii="Arial" w:hAnsi="Arial" w:cs="Arial"/>
          <w:sz w:val="22"/>
          <w:szCs w:val="22"/>
        </w:rPr>
        <w:t>y (c) la implementación de un sistema integrado de información delictiva y criminal, tipo Compstat, para mejorar la resolución del delito -integrando estadísticas por categoría de género.</w:t>
      </w:r>
    </w:p>
    <w:p w14:paraId="10466F31" w14:textId="77777777" w:rsidR="00922526" w:rsidRPr="00DF0502" w:rsidRDefault="00922526" w:rsidP="00922526">
      <w:pPr>
        <w:pStyle w:val="subpar"/>
        <w:numPr>
          <w:ilvl w:val="0"/>
          <w:numId w:val="0"/>
        </w:numPr>
        <w:spacing w:before="0" w:after="0"/>
        <w:ind w:left="1080"/>
        <w:rPr>
          <w:rFonts w:ascii="Arial" w:eastAsia="Calibri" w:hAnsi="Arial" w:cs="Arial"/>
          <w:sz w:val="22"/>
          <w:szCs w:val="22"/>
          <w:lang w:val="es-ES"/>
        </w:rPr>
      </w:pPr>
    </w:p>
    <w:p w14:paraId="792462FE" w14:textId="77777777" w:rsidR="00A65733" w:rsidRDefault="00044248" w:rsidP="00DF0502">
      <w:pPr>
        <w:spacing w:after="0" w:line="240" w:lineRule="auto"/>
        <w:ind w:left="567"/>
        <w:jc w:val="both"/>
        <w:rPr>
          <w:rFonts w:ascii="Arial" w:hAnsi="Arial" w:cs="Arial"/>
          <w:b/>
          <w:u w:val="single"/>
          <w:lang w:val="es-ES"/>
        </w:rPr>
      </w:pPr>
      <w:r w:rsidRPr="00DF0502">
        <w:rPr>
          <w:rFonts w:ascii="Arial" w:hAnsi="Arial" w:cs="Arial"/>
          <w:b/>
          <w:u w:val="single"/>
          <w:lang w:val="es-ES"/>
        </w:rPr>
        <w:t>Beneficios Esperados</w:t>
      </w:r>
      <w:r w:rsidR="00F4760B" w:rsidRPr="00DF0502">
        <w:rPr>
          <w:rFonts w:ascii="Arial" w:hAnsi="Arial" w:cs="Arial"/>
          <w:b/>
          <w:u w:val="single"/>
          <w:lang w:val="es-ES"/>
        </w:rPr>
        <w:t>.</w:t>
      </w:r>
    </w:p>
    <w:p w14:paraId="03F6B352" w14:textId="77777777" w:rsidR="00922526" w:rsidRPr="00DF0502" w:rsidRDefault="00922526" w:rsidP="00DF0502">
      <w:pPr>
        <w:spacing w:after="0" w:line="240" w:lineRule="auto"/>
        <w:ind w:left="567"/>
        <w:jc w:val="both"/>
        <w:rPr>
          <w:rFonts w:ascii="Arial" w:hAnsi="Arial" w:cs="Arial"/>
          <w:b/>
          <w:u w:val="single"/>
          <w:lang w:val="es-ES"/>
        </w:rPr>
      </w:pPr>
    </w:p>
    <w:p w14:paraId="2A4A0CCF" w14:textId="77777777" w:rsidR="00144868" w:rsidRPr="00DF0502" w:rsidRDefault="00144868" w:rsidP="00DF0502">
      <w:pPr>
        <w:pStyle w:val="Caption"/>
        <w:keepNext/>
        <w:spacing w:after="0"/>
        <w:rPr>
          <w:rFonts w:ascii="Arial" w:hAnsi="Arial" w:cs="Arial"/>
          <w:b/>
          <w:color w:val="auto"/>
          <w:sz w:val="22"/>
          <w:szCs w:val="22"/>
          <w:lang w:val="es-ES_tradnl"/>
        </w:rPr>
      </w:pPr>
      <w:r w:rsidRPr="00DF0502">
        <w:rPr>
          <w:rFonts w:ascii="Arial" w:hAnsi="Arial" w:cs="Arial"/>
          <w:b/>
          <w:color w:val="auto"/>
          <w:sz w:val="22"/>
          <w:szCs w:val="22"/>
          <w:lang w:val="es-ES_tradnl"/>
        </w:rPr>
        <w:t xml:space="preserve">Tabla </w:t>
      </w:r>
      <w:r w:rsidRPr="00DF0502">
        <w:rPr>
          <w:rFonts w:ascii="Arial" w:hAnsi="Arial" w:cs="Arial"/>
          <w:b/>
          <w:color w:val="auto"/>
          <w:sz w:val="22"/>
          <w:szCs w:val="22"/>
          <w:lang w:val="es-MX"/>
        </w:rPr>
        <w:t>3</w:t>
      </w:r>
      <w:r w:rsidRPr="00DF0502">
        <w:rPr>
          <w:rFonts w:ascii="Arial" w:hAnsi="Arial" w:cs="Arial"/>
          <w:b/>
          <w:color w:val="auto"/>
          <w:sz w:val="22"/>
          <w:szCs w:val="22"/>
          <w:lang w:val="es-ES_tradnl"/>
        </w:rPr>
        <w:t>: Matriz de resultados para el Componente 3</w:t>
      </w:r>
    </w:p>
    <w:p w14:paraId="75DA27A1" w14:textId="77777777" w:rsidR="00922526" w:rsidRDefault="00922526" w:rsidP="00DF0502">
      <w:pPr>
        <w:spacing w:after="0" w:line="240" w:lineRule="auto"/>
        <w:rPr>
          <w:rFonts w:ascii="Arial" w:hAnsi="Arial" w:cs="Arial"/>
          <w:b/>
          <w:caps/>
          <w:u w:val="single"/>
          <w:lang w:val="es-ES_tradnl" w:eastAsia="zh-CN"/>
        </w:rPr>
      </w:pPr>
    </w:p>
    <w:p w14:paraId="4D2F41CD" w14:textId="77777777" w:rsidR="000544F4" w:rsidRPr="00DF0502" w:rsidRDefault="000544F4" w:rsidP="00922526">
      <w:pPr>
        <w:spacing w:after="0" w:line="240" w:lineRule="auto"/>
        <w:jc w:val="both"/>
        <w:rPr>
          <w:rFonts w:ascii="Arial" w:hAnsi="Arial" w:cs="Arial"/>
          <w:lang w:val="es-ES_tradnl"/>
        </w:rPr>
      </w:pPr>
      <w:r w:rsidRPr="00DF0502">
        <w:rPr>
          <w:rFonts w:ascii="Arial" w:hAnsi="Arial" w:cs="Arial"/>
          <w:b/>
          <w:caps/>
          <w:u w:val="single"/>
          <w:lang w:val="es-ES_tradnl" w:eastAsia="zh-CN"/>
        </w:rPr>
        <w:t>resultado #3:</w:t>
      </w:r>
      <w:r w:rsidRPr="00DF0502">
        <w:rPr>
          <w:rFonts w:ascii="Arial" w:hAnsi="Arial" w:cs="Arial"/>
          <w:lang w:val="es-MX"/>
        </w:rPr>
        <w:t xml:space="preserve"> </w:t>
      </w:r>
      <w:r w:rsidRPr="00DF0502">
        <w:rPr>
          <w:rFonts w:ascii="Arial" w:hAnsi="Arial" w:cs="Arial"/>
          <w:lang w:val="es-NI"/>
        </w:rPr>
        <w:t>M</w:t>
      </w:r>
      <w:r w:rsidRPr="00DF0502">
        <w:rPr>
          <w:rFonts w:ascii="Arial" w:hAnsi="Arial" w:cs="Arial"/>
          <w:lang w:val="es-MX"/>
        </w:rPr>
        <w:t>ejora de los niveles de efectividad policial a través del incremento de casos de homicidio con autor identificado e informe criminalístico aceptado por el Ministerio Público</w:t>
      </w:r>
    </w:p>
    <w:tbl>
      <w:tblPr>
        <w:tblW w:w="9090" w:type="dxa"/>
        <w:tblInd w:w="-162" w:type="dxa"/>
        <w:tblLayout w:type="fixed"/>
        <w:tblCellMar>
          <w:left w:w="10" w:type="dxa"/>
          <w:right w:w="10" w:type="dxa"/>
        </w:tblCellMar>
        <w:tblLook w:val="04A0" w:firstRow="1" w:lastRow="0" w:firstColumn="1" w:lastColumn="0" w:noHBand="0" w:noVBand="1"/>
      </w:tblPr>
      <w:tblGrid>
        <w:gridCol w:w="2250"/>
        <w:gridCol w:w="1170"/>
        <w:gridCol w:w="720"/>
        <w:gridCol w:w="720"/>
        <w:gridCol w:w="720"/>
        <w:gridCol w:w="720"/>
        <w:gridCol w:w="720"/>
        <w:gridCol w:w="2070"/>
      </w:tblGrid>
      <w:tr w:rsidR="001D6AAA" w:rsidRPr="00922526" w14:paraId="44F01C0D" w14:textId="77777777" w:rsidTr="001C5A73">
        <w:trPr>
          <w:trHeight w:val="424"/>
          <w:tblHeader/>
        </w:trPr>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8FC281F" w14:textId="77777777" w:rsidR="001D6AAA" w:rsidRPr="00922526" w:rsidRDefault="001D6AAA" w:rsidP="00DF0502">
            <w:pPr>
              <w:spacing w:after="0" w:line="240" w:lineRule="auto"/>
              <w:jc w:val="center"/>
              <w:rPr>
                <w:rFonts w:ascii="Arial" w:hAnsi="Arial" w:cs="Arial"/>
                <w:b/>
                <w:sz w:val="18"/>
                <w:szCs w:val="18"/>
                <w:lang w:val="es-NI"/>
              </w:rPr>
            </w:pPr>
            <w:r w:rsidRPr="00922526">
              <w:rPr>
                <w:rFonts w:ascii="Arial" w:hAnsi="Arial" w:cs="Arial"/>
                <w:b/>
                <w:sz w:val="18"/>
                <w:szCs w:val="18"/>
                <w:lang w:val="es-NI"/>
              </w:rPr>
              <w:t>Indicadores</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C9BEE26" w14:textId="77777777" w:rsidR="001D6AAA" w:rsidRPr="00922526" w:rsidRDefault="001D6AAA" w:rsidP="00DF0502">
            <w:pPr>
              <w:spacing w:after="0" w:line="240" w:lineRule="auto"/>
              <w:jc w:val="center"/>
              <w:rPr>
                <w:rFonts w:ascii="Arial" w:hAnsi="Arial" w:cs="Arial"/>
                <w:b/>
                <w:bCs/>
                <w:sz w:val="18"/>
                <w:szCs w:val="18"/>
                <w:lang w:val="es-NI"/>
              </w:rPr>
            </w:pPr>
            <w:r w:rsidRPr="00922526">
              <w:rPr>
                <w:rFonts w:ascii="Arial" w:hAnsi="Arial" w:cs="Arial"/>
                <w:b/>
                <w:sz w:val="18"/>
                <w:szCs w:val="18"/>
                <w:lang w:val="es-NI"/>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50C0D2F" w14:textId="77777777" w:rsidR="001D6AAA" w:rsidRPr="00922526" w:rsidRDefault="001D6AAA" w:rsidP="00DF0502">
            <w:pPr>
              <w:tabs>
                <w:tab w:val="center" w:pos="702"/>
              </w:tabs>
              <w:suppressAutoHyphens/>
              <w:spacing w:after="0" w:line="240" w:lineRule="auto"/>
              <w:jc w:val="center"/>
              <w:rPr>
                <w:rFonts w:ascii="Arial" w:hAnsi="Arial" w:cs="Arial"/>
                <w:b/>
                <w:bCs/>
                <w:sz w:val="18"/>
                <w:szCs w:val="18"/>
                <w:lang w:val="es-NI"/>
              </w:rPr>
            </w:pPr>
            <w:r w:rsidRPr="00922526">
              <w:rPr>
                <w:rFonts w:ascii="Arial" w:hAnsi="Arial" w:cs="Arial"/>
                <w:b/>
                <w:sz w:val="18"/>
                <w:szCs w:val="18"/>
                <w:lang w:val="es-NI"/>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6294C6" w14:textId="77777777" w:rsidR="001D6AAA" w:rsidRPr="00922526" w:rsidRDefault="001D6AAA" w:rsidP="00DF0502">
            <w:pPr>
              <w:suppressAutoHyphens/>
              <w:spacing w:after="0" w:line="240" w:lineRule="auto"/>
              <w:jc w:val="center"/>
              <w:rPr>
                <w:rFonts w:ascii="Arial" w:hAnsi="Arial" w:cs="Arial"/>
                <w:b/>
                <w:bCs/>
                <w:sz w:val="18"/>
                <w:szCs w:val="18"/>
                <w:lang w:val="es-NI"/>
              </w:rPr>
            </w:pPr>
            <w:r w:rsidRPr="00922526">
              <w:rPr>
                <w:rFonts w:ascii="Arial" w:hAnsi="Arial" w:cs="Arial"/>
                <w:b/>
                <w:sz w:val="18"/>
                <w:szCs w:val="18"/>
                <w:lang w:val="es-NI"/>
              </w:rPr>
              <w:t>Año 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F23B76" w14:textId="77777777" w:rsidR="001D6AAA" w:rsidRPr="00922526" w:rsidRDefault="001D6AAA" w:rsidP="00DF0502">
            <w:pPr>
              <w:suppressAutoHyphens/>
              <w:spacing w:after="0" w:line="240" w:lineRule="auto"/>
              <w:jc w:val="center"/>
              <w:rPr>
                <w:rFonts w:ascii="Arial" w:hAnsi="Arial" w:cs="Arial"/>
                <w:b/>
                <w:bCs/>
                <w:sz w:val="18"/>
                <w:szCs w:val="18"/>
                <w:lang w:val="es-NI"/>
              </w:rPr>
            </w:pPr>
            <w:r w:rsidRPr="00922526">
              <w:rPr>
                <w:rFonts w:ascii="Arial" w:hAnsi="Arial" w:cs="Arial"/>
                <w:b/>
                <w:sz w:val="18"/>
                <w:szCs w:val="18"/>
                <w:lang w:val="es-NI"/>
              </w:rPr>
              <w:t>2021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DFD4F1" w14:textId="77777777" w:rsidR="001D6AAA" w:rsidRPr="00922526" w:rsidRDefault="001D6AAA" w:rsidP="00DF0502">
            <w:pPr>
              <w:suppressAutoHyphens/>
              <w:spacing w:after="0" w:line="240" w:lineRule="auto"/>
              <w:jc w:val="center"/>
              <w:rPr>
                <w:rFonts w:ascii="Arial" w:hAnsi="Arial" w:cs="Arial"/>
                <w:b/>
                <w:bCs/>
                <w:sz w:val="18"/>
                <w:szCs w:val="18"/>
                <w:lang w:val="es-NI"/>
              </w:rPr>
            </w:pPr>
            <w:r w:rsidRPr="00922526">
              <w:rPr>
                <w:rFonts w:ascii="Arial" w:hAnsi="Arial" w:cs="Arial"/>
                <w:b/>
                <w:sz w:val="18"/>
                <w:szCs w:val="18"/>
                <w:lang w:val="es-NI"/>
              </w:rPr>
              <w:t>2022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F8E86F" w14:textId="77777777" w:rsidR="001D6AAA" w:rsidRPr="00922526" w:rsidRDefault="001D6AAA" w:rsidP="00DF0502">
            <w:pPr>
              <w:spacing w:after="0" w:line="240" w:lineRule="auto"/>
              <w:jc w:val="center"/>
              <w:rPr>
                <w:rFonts w:ascii="Arial" w:hAnsi="Arial" w:cs="Arial"/>
                <w:b/>
                <w:bCs/>
                <w:sz w:val="18"/>
                <w:szCs w:val="18"/>
                <w:lang w:val="es-NI"/>
              </w:rPr>
            </w:pPr>
            <w:r w:rsidRPr="00922526">
              <w:rPr>
                <w:rFonts w:ascii="Arial" w:hAnsi="Arial" w:cs="Arial"/>
                <w:b/>
                <w:sz w:val="18"/>
                <w:szCs w:val="18"/>
                <w:lang w:val="es-NI"/>
              </w:rPr>
              <w:t>Meta final</w:t>
            </w:r>
            <w:r w:rsidRPr="00922526">
              <w:rPr>
                <w:rFonts w:ascii="Arial" w:hAnsi="Arial" w:cs="Arial"/>
                <w:b/>
                <w:sz w:val="18"/>
                <w:szCs w:val="18"/>
                <w:vertAlign w:val="superscript"/>
                <w:lang w:val="es-NI"/>
              </w:rPr>
              <w:t>1</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F9BDB8" w14:textId="77777777" w:rsidR="001D6AAA" w:rsidRPr="00922526" w:rsidRDefault="001D6AAA" w:rsidP="00DF0502">
            <w:pPr>
              <w:spacing w:after="0" w:line="240" w:lineRule="auto"/>
              <w:jc w:val="center"/>
              <w:rPr>
                <w:rFonts w:ascii="Arial" w:hAnsi="Arial" w:cs="Arial"/>
                <w:b/>
                <w:bCs/>
                <w:sz w:val="18"/>
                <w:szCs w:val="18"/>
                <w:lang w:val="es-NI"/>
              </w:rPr>
            </w:pPr>
            <w:r w:rsidRPr="00922526">
              <w:rPr>
                <w:rFonts w:ascii="Arial" w:hAnsi="Arial" w:cs="Arial"/>
                <w:b/>
                <w:sz w:val="18"/>
                <w:szCs w:val="18"/>
                <w:lang w:val="es-NI"/>
              </w:rPr>
              <w:t>Medios de verificación</w:t>
            </w:r>
          </w:p>
        </w:tc>
      </w:tr>
      <w:tr w:rsidR="001D6AAA" w:rsidRPr="00922526" w14:paraId="4402B1AE"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10141"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ES_tradnl" w:eastAsia="zh-CN"/>
              </w:rPr>
              <w:t>Indicador #</w:t>
            </w:r>
            <w:r w:rsidRPr="00922526">
              <w:rPr>
                <w:rFonts w:ascii="Arial" w:hAnsi="Arial" w:cs="Arial"/>
                <w:sz w:val="18"/>
                <w:szCs w:val="18"/>
                <w:lang w:val="es-NI"/>
              </w:rPr>
              <w:t>3.1 Casos de homicidios que cumplen con los protocolos de procesamiento de la escena del crimen, sobre el total de homicidios investigados por la PN en un periodo dado de 12 meses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9EEFB"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20140"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20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6EE03"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2016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575A303" w14:textId="77777777" w:rsidR="001D6AAA" w:rsidRPr="00922526" w:rsidRDefault="001D6AAA" w:rsidP="00DF0502">
            <w:pPr>
              <w:spacing w:after="0" w:line="240" w:lineRule="auto"/>
              <w:jc w:val="center"/>
              <w:rPr>
                <w:rFonts w:ascii="Arial" w:hAnsi="Arial" w:cs="Arial"/>
                <w:sz w:val="18"/>
                <w:szCs w:val="18"/>
              </w:rPr>
            </w:pPr>
            <w:r w:rsidRPr="00922526">
              <w:rPr>
                <w:rFonts w:ascii="Arial" w:hAnsi="Arial" w:cs="Arial"/>
                <w:sz w:val="18"/>
                <w:szCs w:val="18"/>
                <w:lang w:val="es-NI"/>
              </w:rPr>
              <w:t>30</w:t>
            </w:r>
          </w:p>
        </w:tc>
        <w:tc>
          <w:tcPr>
            <w:tcW w:w="720" w:type="dxa"/>
            <w:tcBorders>
              <w:top w:val="single" w:sz="4" w:space="0" w:color="000000"/>
              <w:left w:val="single" w:sz="4" w:space="0" w:color="000000"/>
              <w:bottom w:val="single" w:sz="4" w:space="0" w:color="000000"/>
              <w:right w:val="single" w:sz="4" w:space="0" w:color="000000"/>
            </w:tcBorders>
          </w:tcPr>
          <w:p w14:paraId="7CFB6D39" w14:textId="77777777" w:rsidR="001D6AAA" w:rsidRPr="00922526" w:rsidRDefault="001D6AAA" w:rsidP="00DF0502">
            <w:pPr>
              <w:spacing w:after="0" w:line="240" w:lineRule="auto"/>
              <w:jc w:val="center"/>
              <w:rPr>
                <w:rFonts w:ascii="Arial" w:hAnsi="Arial" w:cs="Arial"/>
                <w:sz w:val="18"/>
                <w:szCs w:val="18"/>
              </w:rPr>
            </w:pPr>
            <w:r w:rsidRPr="00922526">
              <w:rPr>
                <w:rFonts w:ascii="Arial" w:hAnsi="Arial" w:cs="Arial"/>
                <w:sz w:val="18"/>
                <w:szCs w:val="18"/>
                <w:lang w:val="es-NI"/>
              </w:rPr>
              <w:t>45</w:t>
            </w:r>
          </w:p>
        </w:tc>
        <w:tc>
          <w:tcPr>
            <w:tcW w:w="720" w:type="dxa"/>
            <w:tcBorders>
              <w:top w:val="single" w:sz="4" w:space="0" w:color="000000"/>
              <w:left w:val="single" w:sz="4" w:space="0" w:color="000000"/>
              <w:bottom w:val="single" w:sz="4" w:space="0" w:color="000000"/>
              <w:right w:val="single" w:sz="4" w:space="0" w:color="000000"/>
            </w:tcBorders>
          </w:tcPr>
          <w:p w14:paraId="549A1A51"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45</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083F2"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NI"/>
              </w:rPr>
              <w:t>Fuente: Policía Nacional</w:t>
            </w:r>
          </w:p>
        </w:tc>
      </w:tr>
      <w:tr w:rsidR="001D6AAA" w:rsidRPr="00922526" w14:paraId="576A9BEE"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74717" w14:textId="77777777" w:rsidR="001D6AAA" w:rsidRPr="00922526" w:rsidRDefault="001D6AAA" w:rsidP="00DF0502">
            <w:pPr>
              <w:spacing w:after="0" w:line="240" w:lineRule="auto"/>
              <w:rPr>
                <w:rFonts w:ascii="Arial" w:hAnsi="Arial" w:cs="Arial"/>
                <w:sz w:val="18"/>
                <w:szCs w:val="18"/>
                <w:highlight w:val="yellow"/>
                <w:lang w:val="es-NI"/>
              </w:rPr>
            </w:pPr>
            <w:r w:rsidRPr="00922526">
              <w:rPr>
                <w:rFonts w:ascii="Arial" w:hAnsi="Arial" w:cs="Arial"/>
                <w:sz w:val="18"/>
                <w:szCs w:val="18"/>
                <w:lang w:val="es-ES_tradnl" w:eastAsia="zh-CN"/>
              </w:rPr>
              <w:t>Indicador #</w:t>
            </w:r>
            <w:r w:rsidRPr="00922526">
              <w:rPr>
                <w:rFonts w:ascii="Arial" w:hAnsi="Arial" w:cs="Arial"/>
                <w:sz w:val="18"/>
                <w:szCs w:val="18"/>
                <w:lang w:val="es-NI"/>
              </w:rPr>
              <w:t>3.2 Casos de homicidio con autor identificado por la policía, sobre el total de homicidios investigados por la PN en un periodo dado de 12 meses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EFFE5"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BB30E"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34</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10923"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4685085" w14:textId="77777777" w:rsidR="001D6AAA" w:rsidRPr="00922526" w:rsidRDefault="001D6AAA" w:rsidP="00DF0502">
            <w:pPr>
              <w:spacing w:after="0" w:line="240" w:lineRule="auto"/>
              <w:jc w:val="center"/>
              <w:rPr>
                <w:rFonts w:ascii="Arial" w:hAnsi="Arial" w:cs="Arial"/>
                <w:sz w:val="18"/>
                <w:szCs w:val="18"/>
              </w:rPr>
            </w:pPr>
            <w:r w:rsidRPr="00922526">
              <w:rPr>
                <w:rFonts w:ascii="Arial" w:hAnsi="Arial" w:cs="Arial"/>
                <w:sz w:val="18"/>
                <w:szCs w:val="18"/>
                <w:lang w:val="es-NI"/>
              </w:rPr>
              <w:t>40</w:t>
            </w:r>
          </w:p>
        </w:tc>
        <w:tc>
          <w:tcPr>
            <w:tcW w:w="720" w:type="dxa"/>
            <w:tcBorders>
              <w:top w:val="single" w:sz="4" w:space="0" w:color="000000"/>
              <w:left w:val="single" w:sz="4" w:space="0" w:color="000000"/>
              <w:bottom w:val="single" w:sz="4" w:space="0" w:color="000000"/>
              <w:right w:val="single" w:sz="4" w:space="0" w:color="000000"/>
            </w:tcBorders>
          </w:tcPr>
          <w:p w14:paraId="00E5B8C4"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50</w:t>
            </w:r>
          </w:p>
        </w:tc>
        <w:tc>
          <w:tcPr>
            <w:tcW w:w="720" w:type="dxa"/>
            <w:tcBorders>
              <w:top w:val="single" w:sz="4" w:space="0" w:color="000000"/>
              <w:left w:val="single" w:sz="4" w:space="0" w:color="000000"/>
              <w:bottom w:val="single" w:sz="4" w:space="0" w:color="000000"/>
              <w:right w:val="single" w:sz="4" w:space="0" w:color="000000"/>
            </w:tcBorders>
          </w:tcPr>
          <w:p w14:paraId="07EDDE65"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50</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97C18"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NI"/>
              </w:rPr>
              <w:t>Fuente: Policía Nacional</w:t>
            </w:r>
          </w:p>
          <w:p w14:paraId="0E9A7AED" w14:textId="77777777" w:rsidR="001D6AAA" w:rsidRPr="00922526" w:rsidRDefault="001D6AAA" w:rsidP="00DF0502">
            <w:pPr>
              <w:spacing w:after="0" w:line="240" w:lineRule="auto"/>
              <w:rPr>
                <w:rFonts w:ascii="Arial" w:hAnsi="Arial" w:cs="Arial"/>
                <w:sz w:val="18"/>
                <w:szCs w:val="18"/>
                <w:lang w:val="es-NI"/>
              </w:rPr>
            </w:pPr>
          </w:p>
        </w:tc>
      </w:tr>
      <w:tr w:rsidR="001D6AAA" w:rsidRPr="00922526" w14:paraId="26F94701"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CDE64"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ES_tradnl" w:eastAsia="zh-CN"/>
              </w:rPr>
              <w:t>Indicador #</w:t>
            </w:r>
            <w:r w:rsidRPr="00922526">
              <w:rPr>
                <w:rFonts w:ascii="Arial" w:hAnsi="Arial" w:cs="Arial"/>
                <w:sz w:val="18"/>
                <w:szCs w:val="18"/>
                <w:lang w:val="es-NI"/>
              </w:rPr>
              <w:t xml:space="preserve">3.3 Casos de homicidio aceptados por el MP, sobre el total de casos remitidos por la </w:t>
            </w:r>
            <w:r w:rsidRPr="00922526">
              <w:rPr>
                <w:rFonts w:ascii="Arial" w:hAnsi="Arial" w:cs="Arial"/>
                <w:sz w:val="18"/>
                <w:szCs w:val="18"/>
                <w:lang w:val="es-NI"/>
              </w:rPr>
              <w:lastRenderedPageBreak/>
              <w:t xml:space="preserve">PN al MP en un periodo dado de 12 meses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C6F81"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lastRenderedPageBreak/>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E8526"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16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6E21C"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6CD4E2D" w14:textId="77777777" w:rsidR="001D6AAA" w:rsidRPr="00922526" w:rsidRDefault="001D6AAA" w:rsidP="00DF0502">
            <w:pPr>
              <w:spacing w:after="0" w:line="240" w:lineRule="auto"/>
              <w:jc w:val="center"/>
              <w:rPr>
                <w:rFonts w:ascii="Arial" w:hAnsi="Arial" w:cs="Arial"/>
                <w:sz w:val="18"/>
                <w:szCs w:val="18"/>
              </w:rPr>
            </w:pPr>
            <w:r w:rsidRPr="00922526">
              <w:rPr>
                <w:rFonts w:ascii="Arial" w:hAnsi="Arial" w:cs="Arial"/>
                <w:sz w:val="18"/>
                <w:szCs w:val="18"/>
                <w:lang w:val="es-NI"/>
              </w:rPr>
              <w:t>25</w:t>
            </w:r>
          </w:p>
        </w:tc>
        <w:tc>
          <w:tcPr>
            <w:tcW w:w="720" w:type="dxa"/>
            <w:tcBorders>
              <w:top w:val="single" w:sz="4" w:space="0" w:color="000000"/>
              <w:left w:val="single" w:sz="4" w:space="0" w:color="000000"/>
              <w:bottom w:val="single" w:sz="4" w:space="0" w:color="000000"/>
              <w:right w:val="single" w:sz="4" w:space="0" w:color="000000"/>
            </w:tcBorders>
          </w:tcPr>
          <w:p w14:paraId="2D3CCD85"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40</w:t>
            </w:r>
          </w:p>
        </w:tc>
        <w:tc>
          <w:tcPr>
            <w:tcW w:w="720" w:type="dxa"/>
            <w:tcBorders>
              <w:top w:val="single" w:sz="4" w:space="0" w:color="000000"/>
              <w:left w:val="single" w:sz="4" w:space="0" w:color="000000"/>
              <w:bottom w:val="single" w:sz="4" w:space="0" w:color="000000"/>
              <w:right w:val="single" w:sz="4" w:space="0" w:color="000000"/>
            </w:tcBorders>
          </w:tcPr>
          <w:p w14:paraId="10A53180"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40</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8A83C"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NI"/>
              </w:rPr>
              <w:t>Fuente: Policía Nacional</w:t>
            </w:r>
          </w:p>
          <w:p w14:paraId="460ACA22" w14:textId="77777777" w:rsidR="001D6AAA" w:rsidRPr="00922526" w:rsidRDefault="001D6AAA" w:rsidP="00DF0502">
            <w:pPr>
              <w:spacing w:after="0" w:line="240" w:lineRule="auto"/>
              <w:rPr>
                <w:rFonts w:ascii="Arial" w:hAnsi="Arial" w:cs="Arial"/>
                <w:sz w:val="18"/>
                <w:szCs w:val="18"/>
                <w:lang w:val="es-NI"/>
              </w:rPr>
            </w:pPr>
          </w:p>
        </w:tc>
      </w:tr>
      <w:tr w:rsidR="001D6AAA" w:rsidRPr="007C3A06" w14:paraId="252A23CC" w14:textId="77777777" w:rsidTr="001C5A73">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5C43C"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ES_tradnl" w:eastAsia="zh-CN"/>
              </w:rPr>
              <w:t>Indicador #</w:t>
            </w:r>
            <w:r w:rsidRPr="00922526">
              <w:rPr>
                <w:rFonts w:ascii="Arial" w:hAnsi="Arial" w:cs="Arial"/>
                <w:sz w:val="18"/>
                <w:szCs w:val="18"/>
                <w:lang w:val="es-NI"/>
              </w:rPr>
              <w:t xml:space="preserve">3.4 Casos de homicidio rechazados por el MP debido a la inadecuada aplicación de los métodos de </w:t>
            </w:r>
            <w:r w:rsidRPr="00922526">
              <w:rPr>
                <w:rFonts w:ascii="Arial" w:hAnsi="Arial" w:cs="Arial"/>
                <w:sz w:val="18"/>
                <w:szCs w:val="18"/>
                <w:lang w:val="es-MX"/>
              </w:rPr>
              <w:t xml:space="preserve">fijación de las evidencias, recolección, marcaje y/o embalaje de evidencias, sobre el total de </w:t>
            </w:r>
            <w:r w:rsidRPr="00922526">
              <w:rPr>
                <w:rFonts w:ascii="Arial" w:hAnsi="Arial" w:cs="Arial"/>
                <w:sz w:val="18"/>
                <w:szCs w:val="18"/>
                <w:lang w:val="es-NI"/>
              </w:rPr>
              <w:t>homicidios investigados con autor identificado por la PN en un periodo dado de 12 meses</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60796"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Porcentaje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E04DF"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95</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DB0C2"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2017</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002E2D5" w14:textId="77777777" w:rsidR="001D6AAA" w:rsidRPr="00922526" w:rsidRDefault="001D6AAA" w:rsidP="00DF0502">
            <w:pPr>
              <w:spacing w:after="0" w:line="240" w:lineRule="auto"/>
              <w:jc w:val="center"/>
              <w:rPr>
                <w:rFonts w:ascii="Arial" w:hAnsi="Arial" w:cs="Arial"/>
                <w:sz w:val="18"/>
                <w:szCs w:val="18"/>
              </w:rPr>
            </w:pPr>
            <w:r w:rsidRPr="00922526">
              <w:rPr>
                <w:rFonts w:ascii="Arial" w:hAnsi="Arial" w:cs="Arial"/>
                <w:sz w:val="18"/>
                <w:szCs w:val="18"/>
                <w:lang w:val="es-NI"/>
              </w:rPr>
              <w:t>85</w:t>
            </w:r>
          </w:p>
        </w:tc>
        <w:tc>
          <w:tcPr>
            <w:tcW w:w="720" w:type="dxa"/>
            <w:tcBorders>
              <w:top w:val="single" w:sz="4" w:space="0" w:color="000000"/>
              <w:left w:val="single" w:sz="4" w:space="0" w:color="000000"/>
              <w:bottom w:val="single" w:sz="4" w:space="0" w:color="000000"/>
              <w:right w:val="single" w:sz="4" w:space="0" w:color="000000"/>
            </w:tcBorders>
          </w:tcPr>
          <w:p w14:paraId="39C4F5FF"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60</w:t>
            </w:r>
          </w:p>
        </w:tc>
        <w:tc>
          <w:tcPr>
            <w:tcW w:w="720" w:type="dxa"/>
            <w:tcBorders>
              <w:top w:val="single" w:sz="4" w:space="0" w:color="000000"/>
              <w:left w:val="single" w:sz="4" w:space="0" w:color="000000"/>
              <w:bottom w:val="single" w:sz="4" w:space="0" w:color="000000"/>
              <w:right w:val="single" w:sz="4" w:space="0" w:color="000000"/>
            </w:tcBorders>
          </w:tcPr>
          <w:p w14:paraId="541E11C6" w14:textId="77777777" w:rsidR="001D6AAA" w:rsidRPr="00922526" w:rsidRDefault="001D6AAA" w:rsidP="00DF0502">
            <w:pPr>
              <w:spacing w:after="0" w:line="240" w:lineRule="auto"/>
              <w:jc w:val="center"/>
              <w:rPr>
                <w:rFonts w:ascii="Arial" w:hAnsi="Arial" w:cs="Arial"/>
                <w:sz w:val="18"/>
                <w:szCs w:val="18"/>
                <w:lang w:val="es-NI"/>
              </w:rPr>
            </w:pPr>
            <w:r w:rsidRPr="00922526">
              <w:rPr>
                <w:rFonts w:ascii="Arial" w:hAnsi="Arial" w:cs="Arial"/>
                <w:sz w:val="18"/>
                <w:szCs w:val="18"/>
                <w:lang w:val="es-NI"/>
              </w:rPr>
              <w:t>60</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CC67A" w14:textId="77777777" w:rsidR="001D6AAA" w:rsidRPr="00922526" w:rsidRDefault="001D6AAA" w:rsidP="00DF0502">
            <w:pPr>
              <w:spacing w:after="0" w:line="240" w:lineRule="auto"/>
              <w:rPr>
                <w:rFonts w:ascii="Arial" w:hAnsi="Arial" w:cs="Arial"/>
                <w:sz w:val="18"/>
                <w:szCs w:val="18"/>
                <w:lang w:val="es-NI"/>
              </w:rPr>
            </w:pPr>
            <w:r w:rsidRPr="00922526">
              <w:rPr>
                <w:rFonts w:ascii="Arial" w:hAnsi="Arial" w:cs="Arial"/>
                <w:sz w:val="18"/>
                <w:szCs w:val="18"/>
                <w:lang w:val="es-NI"/>
              </w:rPr>
              <w:t>Fuente: Policía Nacional y Ministerio Público</w:t>
            </w:r>
          </w:p>
          <w:p w14:paraId="3976FF3A" w14:textId="77777777" w:rsidR="001D6AAA" w:rsidRPr="00922526" w:rsidRDefault="001D6AAA" w:rsidP="00DF0502">
            <w:pPr>
              <w:spacing w:after="0" w:line="240" w:lineRule="auto"/>
              <w:rPr>
                <w:rFonts w:ascii="Arial" w:hAnsi="Arial" w:cs="Arial"/>
                <w:sz w:val="18"/>
                <w:szCs w:val="18"/>
                <w:lang w:val="es-MX"/>
              </w:rPr>
            </w:pPr>
          </w:p>
        </w:tc>
      </w:tr>
    </w:tbl>
    <w:p w14:paraId="5CAC06C6" w14:textId="77777777" w:rsidR="00144868" w:rsidRPr="00DF0502" w:rsidRDefault="00144868" w:rsidP="00DF0502">
      <w:pPr>
        <w:spacing w:after="0" w:line="240" w:lineRule="auto"/>
        <w:ind w:left="567"/>
        <w:jc w:val="both"/>
        <w:rPr>
          <w:rFonts w:ascii="Arial" w:hAnsi="Arial" w:cs="Arial"/>
          <w:b/>
          <w:u w:val="single"/>
          <w:lang w:val="es-NI"/>
        </w:rPr>
      </w:pPr>
    </w:p>
    <w:p w14:paraId="4E8CC693" w14:textId="77777777" w:rsidR="00067445" w:rsidRDefault="00067445" w:rsidP="00067445">
      <w:pPr>
        <w:spacing w:after="0" w:line="240" w:lineRule="auto"/>
        <w:jc w:val="both"/>
        <w:rPr>
          <w:rFonts w:ascii="Arial" w:hAnsi="Arial" w:cs="Arial"/>
          <w:kern w:val="28"/>
          <w:lang w:val="es-ES_tradnl"/>
        </w:rPr>
      </w:pPr>
    </w:p>
    <w:p w14:paraId="09AADDC8" w14:textId="77777777" w:rsidR="00067445" w:rsidRPr="00946B52" w:rsidRDefault="00067445" w:rsidP="00067445">
      <w:pPr>
        <w:spacing w:after="0" w:line="240" w:lineRule="auto"/>
        <w:ind w:left="567"/>
        <w:jc w:val="both"/>
        <w:rPr>
          <w:rFonts w:ascii="Arial" w:hAnsi="Arial" w:cs="Arial"/>
          <w:b/>
          <w:kern w:val="28"/>
          <w:u w:val="single"/>
          <w:lang w:val="es-ES_tradnl"/>
        </w:rPr>
      </w:pPr>
      <w:r w:rsidRPr="00946B52">
        <w:rPr>
          <w:rFonts w:ascii="Arial" w:hAnsi="Arial" w:cs="Arial"/>
          <w:b/>
          <w:kern w:val="28"/>
          <w:u w:val="single"/>
          <w:lang w:val="es-ES_tradnl"/>
        </w:rPr>
        <w:t>Supuestos</w:t>
      </w:r>
    </w:p>
    <w:p w14:paraId="7B0AF61A" w14:textId="77777777" w:rsidR="00CD4CDD" w:rsidRPr="00C94B0A" w:rsidRDefault="00067445" w:rsidP="0080058A">
      <w:pPr>
        <w:pStyle w:val="Paragraph"/>
        <w:numPr>
          <w:ilvl w:val="1"/>
          <w:numId w:val="1"/>
        </w:numPr>
        <w:spacing w:before="0" w:after="0"/>
        <w:rPr>
          <w:rFonts w:ascii="Arial" w:hAnsi="Arial" w:cs="Arial"/>
          <w:kern w:val="28"/>
          <w:sz w:val="22"/>
          <w:szCs w:val="22"/>
        </w:rPr>
      </w:pPr>
      <w:r w:rsidRPr="0044754C">
        <w:rPr>
          <w:rFonts w:ascii="Arial" w:hAnsi="Arial" w:cs="Arial"/>
          <w:sz w:val="22"/>
          <w:szCs w:val="22"/>
        </w:rPr>
        <w:t>Los beneficios esperados asociados a las actividades del Componente III se derivan principalmente de la resoluci</w:t>
      </w:r>
      <w:r w:rsidRPr="0044754C">
        <w:rPr>
          <w:rFonts w:ascii="Arial" w:hAnsi="Arial" w:cs="Arial"/>
          <w:sz w:val="22"/>
          <w:szCs w:val="22"/>
          <w:lang w:val="es-MX"/>
        </w:rPr>
        <w:t>ón de los casos de homicidio, lo cual se espera reduzca los homicidios</w:t>
      </w:r>
      <w:r w:rsidR="005E3D57" w:rsidRPr="0044754C">
        <w:rPr>
          <w:rFonts w:ascii="Arial" w:hAnsi="Arial" w:cs="Arial"/>
          <w:sz w:val="22"/>
          <w:szCs w:val="22"/>
          <w:lang w:val="es-MX"/>
        </w:rPr>
        <w:t xml:space="preserve"> en el futuro</w:t>
      </w:r>
      <w:r w:rsidR="00954B14">
        <w:rPr>
          <w:rFonts w:ascii="Arial" w:hAnsi="Arial" w:cs="Arial"/>
          <w:sz w:val="22"/>
          <w:szCs w:val="22"/>
          <w:lang w:val="es-MX"/>
        </w:rPr>
        <w:t xml:space="preserve"> y, </w:t>
      </w:r>
      <w:r w:rsidR="00F45456">
        <w:rPr>
          <w:rFonts w:ascii="Arial" w:hAnsi="Arial" w:cs="Arial"/>
          <w:sz w:val="22"/>
          <w:szCs w:val="22"/>
          <w:lang w:val="es-MX"/>
        </w:rPr>
        <w:t xml:space="preserve">especialmente </w:t>
      </w:r>
      <w:r w:rsidR="00954B14">
        <w:rPr>
          <w:rFonts w:ascii="Arial" w:hAnsi="Arial" w:cs="Arial"/>
          <w:sz w:val="22"/>
          <w:szCs w:val="22"/>
          <w:lang w:val="es-MX"/>
        </w:rPr>
        <w:t>para los propósitos del cálculo de los beneficios de este componente, reduzca los costos administrativos policiales</w:t>
      </w:r>
      <w:r w:rsidRPr="0044754C">
        <w:rPr>
          <w:rFonts w:ascii="Arial" w:hAnsi="Arial" w:cs="Arial"/>
          <w:sz w:val="22"/>
          <w:szCs w:val="22"/>
        </w:rPr>
        <w:t>.</w:t>
      </w:r>
      <w:r w:rsidRPr="0044754C">
        <w:rPr>
          <w:rFonts w:ascii="Arial" w:hAnsi="Arial" w:cs="Arial"/>
          <w:sz w:val="22"/>
          <w:szCs w:val="22"/>
          <w:lang w:val="es-AR"/>
        </w:rPr>
        <w:t xml:space="preserve"> </w:t>
      </w:r>
      <w:r w:rsidRPr="0044754C">
        <w:rPr>
          <w:rFonts w:ascii="Arial" w:hAnsi="Arial" w:cs="Arial"/>
          <w:sz w:val="22"/>
          <w:szCs w:val="22"/>
        </w:rPr>
        <w:t xml:space="preserve">Para asignar un valor monetario a los beneficios esperados del programa, primero se identifican </w:t>
      </w:r>
      <w:r w:rsidRPr="0044754C">
        <w:rPr>
          <w:rFonts w:ascii="Arial" w:hAnsi="Arial" w:cs="Arial"/>
          <w:color w:val="211E1E"/>
          <w:sz w:val="22"/>
          <w:szCs w:val="22"/>
          <w:lang w:val="es-ES_tradnl"/>
        </w:rPr>
        <w:t xml:space="preserve">los costos en que </w:t>
      </w:r>
      <w:r w:rsidR="00954B14">
        <w:rPr>
          <w:rFonts w:ascii="Arial" w:hAnsi="Arial" w:cs="Arial"/>
          <w:color w:val="211E1E"/>
          <w:sz w:val="22"/>
          <w:szCs w:val="22"/>
          <w:lang w:val="es-ES_tradnl"/>
        </w:rPr>
        <w:t xml:space="preserve">incurre el gobierno </w:t>
      </w:r>
      <w:r w:rsidR="000D1FB6" w:rsidRPr="00C94B0A">
        <w:rPr>
          <w:rFonts w:ascii="Arial" w:hAnsi="Arial" w:cs="Arial"/>
          <w:sz w:val="22"/>
          <w:szCs w:val="22"/>
        </w:rPr>
        <w:t>en materia judicia</w:t>
      </w:r>
      <w:r w:rsidR="005D79B9">
        <w:rPr>
          <w:rFonts w:ascii="Arial" w:hAnsi="Arial" w:cs="Arial"/>
          <w:sz w:val="22"/>
          <w:szCs w:val="22"/>
        </w:rPr>
        <w:t>l</w:t>
      </w:r>
      <w:r w:rsidR="00F45456">
        <w:rPr>
          <w:rFonts w:ascii="Arial" w:hAnsi="Arial" w:cs="Arial"/>
          <w:sz w:val="22"/>
          <w:szCs w:val="22"/>
        </w:rPr>
        <w:t xml:space="preserve">. De acuerdo con </w:t>
      </w:r>
      <w:r w:rsidR="005D79B9" w:rsidRPr="0073112B">
        <w:rPr>
          <w:rFonts w:ascii="Arial" w:hAnsi="Arial" w:cs="Arial"/>
          <w:sz w:val="22"/>
          <w:szCs w:val="22"/>
        </w:rPr>
        <w:t>(Jaitman, 2017)</w:t>
      </w:r>
      <w:r w:rsidR="00F45456">
        <w:rPr>
          <w:rFonts w:ascii="Arial" w:hAnsi="Arial" w:cs="Arial"/>
          <w:sz w:val="22"/>
          <w:szCs w:val="22"/>
        </w:rPr>
        <w:t xml:space="preserve"> los gastos asociados a delitos violentos</w:t>
      </w:r>
      <w:r w:rsidR="005D79B9">
        <w:rPr>
          <w:rFonts w:ascii="Arial" w:hAnsi="Arial" w:cs="Arial"/>
          <w:sz w:val="22"/>
          <w:szCs w:val="22"/>
        </w:rPr>
        <w:t xml:space="preserve"> son equivalentes al </w:t>
      </w:r>
      <w:r w:rsidR="000D1FB6" w:rsidRPr="00C94B0A">
        <w:rPr>
          <w:rFonts w:ascii="Arial" w:hAnsi="Arial" w:cs="Arial"/>
          <w:sz w:val="22"/>
          <w:szCs w:val="22"/>
        </w:rPr>
        <w:t>0,</w:t>
      </w:r>
      <w:r w:rsidR="00D0129F">
        <w:rPr>
          <w:rFonts w:ascii="Arial" w:hAnsi="Arial" w:cs="Arial"/>
          <w:sz w:val="22"/>
          <w:szCs w:val="22"/>
        </w:rPr>
        <w:t>15</w:t>
      </w:r>
      <w:r w:rsidR="000D1FB6" w:rsidRPr="00C94B0A">
        <w:rPr>
          <w:rFonts w:ascii="Arial" w:hAnsi="Arial" w:cs="Arial"/>
          <w:sz w:val="22"/>
          <w:szCs w:val="22"/>
        </w:rPr>
        <w:t>% del PBI</w:t>
      </w:r>
      <w:r w:rsidR="0080058A">
        <w:rPr>
          <w:rFonts w:ascii="Arial" w:hAnsi="Arial" w:cs="Arial"/>
          <w:sz w:val="22"/>
          <w:szCs w:val="22"/>
        </w:rPr>
        <w:t xml:space="preserve"> (</w:t>
      </w:r>
      <w:r w:rsidR="0080058A" w:rsidRPr="0080058A">
        <w:rPr>
          <w:rFonts w:ascii="Arial" w:hAnsi="Arial" w:cs="Arial"/>
          <w:sz w:val="22"/>
          <w:szCs w:val="22"/>
        </w:rPr>
        <w:t>33</w:t>
      </w:r>
      <w:r w:rsidR="0080058A">
        <w:rPr>
          <w:rFonts w:ascii="Arial" w:hAnsi="Arial" w:cs="Arial"/>
          <w:sz w:val="22"/>
          <w:szCs w:val="22"/>
        </w:rPr>
        <w:t>,</w:t>
      </w:r>
      <w:r w:rsidR="0080058A" w:rsidRPr="0080058A">
        <w:rPr>
          <w:rFonts w:ascii="Arial" w:hAnsi="Arial" w:cs="Arial"/>
          <w:sz w:val="22"/>
          <w:szCs w:val="22"/>
        </w:rPr>
        <w:t>405</w:t>
      </w:r>
      <w:r w:rsidR="0080058A">
        <w:rPr>
          <w:rFonts w:ascii="Arial" w:hAnsi="Arial" w:cs="Arial"/>
          <w:sz w:val="22"/>
          <w:szCs w:val="22"/>
        </w:rPr>
        <w:t>,</w:t>
      </w:r>
      <w:r w:rsidR="0080058A" w:rsidRPr="0080058A">
        <w:rPr>
          <w:rFonts w:ascii="Arial" w:hAnsi="Arial" w:cs="Arial"/>
          <w:sz w:val="22"/>
          <w:szCs w:val="22"/>
        </w:rPr>
        <w:t>142</w:t>
      </w:r>
      <w:r w:rsidR="0080058A">
        <w:rPr>
          <w:rFonts w:ascii="Arial" w:hAnsi="Arial" w:cs="Arial"/>
          <w:sz w:val="22"/>
          <w:szCs w:val="22"/>
        </w:rPr>
        <w:t>)</w:t>
      </w:r>
      <w:r w:rsidR="00D0129F">
        <w:rPr>
          <w:rFonts w:ascii="Arial" w:hAnsi="Arial" w:cs="Arial"/>
          <w:sz w:val="22"/>
          <w:szCs w:val="22"/>
        </w:rPr>
        <w:t>.</w:t>
      </w:r>
      <w:r w:rsidR="00F45456">
        <w:rPr>
          <w:rFonts w:ascii="Arial" w:hAnsi="Arial" w:cs="Arial"/>
          <w:sz w:val="22"/>
          <w:szCs w:val="22"/>
        </w:rPr>
        <w:t xml:space="preserve"> Y seg</w:t>
      </w:r>
      <w:r w:rsidR="00F45456">
        <w:rPr>
          <w:rFonts w:ascii="Arial" w:hAnsi="Arial" w:cs="Arial"/>
          <w:sz w:val="22"/>
          <w:szCs w:val="22"/>
          <w:lang w:val="es-MX"/>
        </w:rPr>
        <w:t xml:space="preserve">ún el </w:t>
      </w:r>
      <w:r w:rsidR="00140FE8">
        <w:rPr>
          <w:rFonts w:ascii="Arial" w:hAnsi="Arial" w:cs="Arial"/>
          <w:sz w:val="22"/>
          <w:szCs w:val="22"/>
        </w:rPr>
        <w:t>Observatorio de la Violencia, 64% de las muertes por causas externas, se deben específicamente a homicidi</w:t>
      </w:r>
      <w:r w:rsidR="00C63EF4">
        <w:rPr>
          <w:rFonts w:ascii="Arial" w:hAnsi="Arial" w:cs="Arial"/>
          <w:sz w:val="22"/>
          <w:szCs w:val="22"/>
        </w:rPr>
        <w:t>os</w:t>
      </w:r>
      <w:r w:rsidR="0080058A">
        <w:rPr>
          <w:rFonts w:ascii="Arial" w:hAnsi="Arial" w:cs="Arial"/>
          <w:sz w:val="22"/>
          <w:szCs w:val="22"/>
        </w:rPr>
        <w:t xml:space="preserve"> (</w:t>
      </w:r>
      <w:r w:rsidR="0080058A" w:rsidRPr="0080058A">
        <w:rPr>
          <w:rFonts w:ascii="Arial" w:hAnsi="Arial" w:cs="Arial"/>
          <w:sz w:val="22"/>
          <w:szCs w:val="22"/>
        </w:rPr>
        <w:t>21</w:t>
      </w:r>
      <w:r w:rsidR="0080058A">
        <w:rPr>
          <w:rFonts w:ascii="Arial" w:hAnsi="Arial" w:cs="Arial"/>
          <w:sz w:val="22"/>
          <w:szCs w:val="22"/>
        </w:rPr>
        <w:t>,</w:t>
      </w:r>
      <w:r w:rsidR="0080058A" w:rsidRPr="0080058A">
        <w:rPr>
          <w:rFonts w:ascii="Arial" w:hAnsi="Arial" w:cs="Arial"/>
          <w:sz w:val="22"/>
          <w:szCs w:val="22"/>
        </w:rPr>
        <w:t>412</w:t>
      </w:r>
      <w:r w:rsidR="0080058A">
        <w:rPr>
          <w:rFonts w:ascii="Arial" w:hAnsi="Arial" w:cs="Arial"/>
          <w:sz w:val="22"/>
          <w:szCs w:val="22"/>
        </w:rPr>
        <w:t>,</w:t>
      </w:r>
      <w:r w:rsidR="0080058A" w:rsidRPr="0080058A">
        <w:rPr>
          <w:rFonts w:ascii="Arial" w:hAnsi="Arial" w:cs="Arial"/>
          <w:sz w:val="22"/>
          <w:szCs w:val="22"/>
        </w:rPr>
        <w:t>696</w:t>
      </w:r>
      <w:r w:rsidR="0080058A">
        <w:rPr>
          <w:rFonts w:ascii="Arial" w:hAnsi="Arial" w:cs="Arial"/>
          <w:sz w:val="22"/>
          <w:szCs w:val="22"/>
        </w:rPr>
        <w:t>)</w:t>
      </w:r>
      <w:r w:rsidR="00C63EF4">
        <w:rPr>
          <w:rFonts w:ascii="Arial" w:hAnsi="Arial" w:cs="Arial"/>
          <w:sz w:val="22"/>
          <w:szCs w:val="22"/>
        </w:rPr>
        <w:t xml:space="preserve">. </w:t>
      </w:r>
      <w:r w:rsidR="00D0129F">
        <w:rPr>
          <w:rFonts w:ascii="Arial" w:hAnsi="Arial" w:cs="Arial"/>
          <w:sz w:val="22"/>
          <w:szCs w:val="22"/>
        </w:rPr>
        <w:t>Dado que a</w:t>
      </w:r>
      <w:r w:rsidR="00CD4CDD" w:rsidRPr="00C94B0A">
        <w:rPr>
          <w:rFonts w:ascii="Arial" w:hAnsi="Arial" w:cs="Arial"/>
          <w:sz w:val="22"/>
          <w:szCs w:val="22"/>
        </w:rPr>
        <w:t xml:space="preserve">ctualmente </w:t>
      </w:r>
      <w:r w:rsidR="007E68F2">
        <w:rPr>
          <w:rFonts w:ascii="Arial" w:hAnsi="Arial" w:cs="Arial"/>
          <w:sz w:val="22"/>
          <w:szCs w:val="22"/>
        </w:rPr>
        <w:t>la mayoría de los homicidios no se resuelven</w:t>
      </w:r>
      <w:r w:rsidR="00D0129F">
        <w:rPr>
          <w:rFonts w:ascii="Arial" w:hAnsi="Arial" w:cs="Arial"/>
          <w:sz w:val="22"/>
          <w:szCs w:val="22"/>
        </w:rPr>
        <w:t xml:space="preserve"> (94.5</w:t>
      </w:r>
      <w:r w:rsidR="000753BD">
        <w:rPr>
          <w:rFonts w:ascii="Arial" w:hAnsi="Arial" w:cs="Arial"/>
          <w:sz w:val="22"/>
          <w:szCs w:val="22"/>
        </w:rPr>
        <w:t>6</w:t>
      </w:r>
      <w:r w:rsidR="00D0129F">
        <w:rPr>
          <w:rFonts w:ascii="Arial" w:hAnsi="Arial" w:cs="Arial"/>
          <w:sz w:val="22"/>
          <w:szCs w:val="22"/>
        </w:rPr>
        <w:t>%)</w:t>
      </w:r>
      <w:r w:rsidR="00140FE8">
        <w:rPr>
          <w:rFonts w:ascii="Arial" w:hAnsi="Arial" w:cs="Arial"/>
          <w:sz w:val="22"/>
          <w:szCs w:val="22"/>
        </w:rPr>
        <w:t>,</w:t>
      </w:r>
      <w:r w:rsidR="005D79B9">
        <w:rPr>
          <w:rFonts w:ascii="Arial" w:hAnsi="Arial" w:cs="Arial"/>
          <w:sz w:val="22"/>
          <w:szCs w:val="22"/>
        </w:rPr>
        <w:t xml:space="preserve"> </w:t>
      </w:r>
      <w:r w:rsidR="00C63EF4">
        <w:rPr>
          <w:rFonts w:ascii="Arial" w:hAnsi="Arial" w:cs="Arial"/>
          <w:sz w:val="22"/>
          <w:szCs w:val="22"/>
        </w:rPr>
        <w:t xml:space="preserve">y por lo tanto no llegan a la etapa del enjuiciamiento, los costos corresponden a los </w:t>
      </w:r>
      <w:r w:rsidR="005D79B9">
        <w:rPr>
          <w:rFonts w:ascii="Arial" w:hAnsi="Arial" w:cs="Arial"/>
          <w:sz w:val="22"/>
          <w:szCs w:val="22"/>
        </w:rPr>
        <w:t xml:space="preserve">gastos administrativos </w:t>
      </w:r>
      <w:r w:rsidR="00D0129F">
        <w:rPr>
          <w:rFonts w:ascii="Arial" w:hAnsi="Arial" w:cs="Arial"/>
          <w:sz w:val="22"/>
          <w:szCs w:val="22"/>
        </w:rPr>
        <w:t xml:space="preserve">generados por la mora investigativa </w:t>
      </w:r>
      <w:r w:rsidR="0080058A">
        <w:rPr>
          <w:rFonts w:ascii="Arial" w:hAnsi="Arial" w:cs="Arial"/>
          <w:sz w:val="22"/>
          <w:szCs w:val="22"/>
        </w:rPr>
        <w:t xml:space="preserve">por parte de la policía </w:t>
      </w:r>
      <w:r w:rsidR="00D0129F">
        <w:rPr>
          <w:rFonts w:ascii="Arial" w:hAnsi="Arial" w:cs="Arial"/>
          <w:sz w:val="22"/>
          <w:szCs w:val="22"/>
        </w:rPr>
        <w:t xml:space="preserve">y el </w:t>
      </w:r>
      <w:r w:rsidR="005D79B9">
        <w:rPr>
          <w:rFonts w:ascii="Arial" w:hAnsi="Arial" w:cs="Arial"/>
          <w:sz w:val="22"/>
          <w:szCs w:val="22"/>
        </w:rPr>
        <w:t>almacenamiento de</w:t>
      </w:r>
      <w:r w:rsidR="00C63EF4">
        <w:rPr>
          <w:rFonts w:ascii="Arial" w:hAnsi="Arial" w:cs="Arial"/>
          <w:sz w:val="22"/>
          <w:szCs w:val="22"/>
        </w:rPr>
        <w:t xml:space="preserve"> los </w:t>
      </w:r>
      <w:r w:rsidR="005D79B9">
        <w:rPr>
          <w:rFonts w:ascii="Arial" w:hAnsi="Arial" w:cs="Arial"/>
          <w:sz w:val="22"/>
          <w:szCs w:val="22"/>
        </w:rPr>
        <w:t>expediente</w:t>
      </w:r>
      <w:r w:rsidR="00C63EF4">
        <w:rPr>
          <w:rFonts w:ascii="Arial" w:hAnsi="Arial" w:cs="Arial"/>
          <w:sz w:val="22"/>
          <w:szCs w:val="22"/>
        </w:rPr>
        <w:t xml:space="preserve">s </w:t>
      </w:r>
      <w:r w:rsidR="0080058A">
        <w:rPr>
          <w:rFonts w:ascii="Arial" w:hAnsi="Arial" w:cs="Arial"/>
          <w:sz w:val="22"/>
          <w:szCs w:val="22"/>
        </w:rPr>
        <w:t>de los casos no resueltos</w:t>
      </w:r>
      <w:r w:rsidR="005D79B9">
        <w:rPr>
          <w:rFonts w:ascii="Arial" w:hAnsi="Arial" w:cs="Arial"/>
          <w:sz w:val="22"/>
          <w:szCs w:val="22"/>
        </w:rPr>
        <w:t>. Esto es, se supone</w:t>
      </w:r>
      <w:r w:rsidR="00F84308">
        <w:rPr>
          <w:rFonts w:ascii="Arial" w:hAnsi="Arial" w:cs="Arial"/>
          <w:sz w:val="22"/>
          <w:szCs w:val="22"/>
        </w:rPr>
        <w:t xml:space="preserve"> que</w:t>
      </w:r>
      <w:r w:rsidR="0054635B">
        <w:rPr>
          <w:rFonts w:ascii="Arial" w:hAnsi="Arial" w:cs="Arial"/>
          <w:sz w:val="22"/>
          <w:szCs w:val="22"/>
        </w:rPr>
        <w:t xml:space="preserve"> </w:t>
      </w:r>
      <w:r w:rsidR="00C63EF4">
        <w:rPr>
          <w:rFonts w:ascii="Arial" w:hAnsi="Arial" w:cs="Arial"/>
          <w:sz w:val="22"/>
          <w:szCs w:val="22"/>
        </w:rPr>
        <w:t xml:space="preserve">el </w:t>
      </w:r>
      <w:r w:rsidR="0054635B">
        <w:rPr>
          <w:rFonts w:ascii="Arial" w:hAnsi="Arial" w:cs="Arial"/>
          <w:sz w:val="22"/>
          <w:szCs w:val="22"/>
        </w:rPr>
        <w:t xml:space="preserve">costo actual se desprende del </w:t>
      </w:r>
      <w:r w:rsidR="00D0129F">
        <w:rPr>
          <w:rFonts w:ascii="Arial" w:hAnsi="Arial" w:cs="Arial"/>
          <w:sz w:val="22"/>
          <w:szCs w:val="22"/>
        </w:rPr>
        <w:t xml:space="preserve">manejo administrativo </w:t>
      </w:r>
      <w:r w:rsidR="0054635B">
        <w:rPr>
          <w:rFonts w:ascii="Arial" w:hAnsi="Arial" w:cs="Arial"/>
          <w:sz w:val="22"/>
          <w:szCs w:val="22"/>
        </w:rPr>
        <w:t>por parte de la policía, ya que la mayoría de los casos no llegan a la etapa de enjuiciamiento.</w:t>
      </w:r>
      <w:r w:rsidR="00EA3593">
        <w:rPr>
          <w:rFonts w:ascii="Arial" w:hAnsi="Arial" w:cs="Arial"/>
          <w:sz w:val="22"/>
          <w:szCs w:val="22"/>
        </w:rPr>
        <w:t xml:space="preserve"> (ver Tablas 11 y 12)</w:t>
      </w:r>
      <w:r w:rsidR="0054635B">
        <w:rPr>
          <w:rFonts w:ascii="Arial" w:hAnsi="Arial" w:cs="Arial"/>
          <w:sz w:val="22"/>
          <w:szCs w:val="22"/>
        </w:rPr>
        <w:t xml:space="preserve"> </w:t>
      </w:r>
      <w:r w:rsidR="00D0129F">
        <w:rPr>
          <w:rFonts w:ascii="Arial" w:hAnsi="Arial" w:cs="Arial"/>
          <w:sz w:val="22"/>
          <w:szCs w:val="22"/>
        </w:rPr>
        <w:t>S</w:t>
      </w:r>
      <w:r w:rsidR="00CD4CDD" w:rsidRPr="00C94B0A">
        <w:rPr>
          <w:rFonts w:ascii="Arial" w:hAnsi="Arial" w:cs="Arial"/>
          <w:sz w:val="22"/>
          <w:szCs w:val="22"/>
        </w:rPr>
        <w:t xml:space="preserve">e espera que el programa mejore </w:t>
      </w:r>
      <w:r w:rsidR="00A173D4">
        <w:rPr>
          <w:rFonts w:ascii="Arial" w:hAnsi="Arial" w:cs="Arial"/>
          <w:sz w:val="22"/>
          <w:szCs w:val="22"/>
        </w:rPr>
        <w:t xml:space="preserve">la eficiencia en </w:t>
      </w:r>
      <w:r w:rsidR="00CD4CDD" w:rsidRPr="00C94B0A">
        <w:rPr>
          <w:rFonts w:ascii="Arial" w:hAnsi="Arial" w:cs="Arial"/>
          <w:sz w:val="22"/>
          <w:szCs w:val="22"/>
        </w:rPr>
        <w:t xml:space="preserve">la investigación criminal lo cual </w:t>
      </w:r>
      <w:r w:rsidR="00467A92">
        <w:rPr>
          <w:rFonts w:ascii="Arial" w:hAnsi="Arial" w:cs="Arial"/>
          <w:sz w:val="22"/>
          <w:szCs w:val="22"/>
        </w:rPr>
        <w:t xml:space="preserve">disminuirá los </w:t>
      </w:r>
      <w:r w:rsidR="00CD05FC">
        <w:rPr>
          <w:rFonts w:ascii="Arial" w:hAnsi="Arial" w:cs="Arial"/>
          <w:sz w:val="22"/>
          <w:szCs w:val="22"/>
        </w:rPr>
        <w:t xml:space="preserve">gastos </w:t>
      </w:r>
      <w:r w:rsidR="00140FE8">
        <w:rPr>
          <w:rFonts w:ascii="Arial" w:hAnsi="Arial" w:cs="Arial"/>
          <w:sz w:val="22"/>
          <w:szCs w:val="22"/>
        </w:rPr>
        <w:t>administrativos</w:t>
      </w:r>
      <w:r w:rsidR="00467A92">
        <w:rPr>
          <w:rFonts w:ascii="Arial" w:hAnsi="Arial" w:cs="Arial"/>
          <w:sz w:val="22"/>
          <w:szCs w:val="22"/>
        </w:rPr>
        <w:t xml:space="preserve"> policiales debidos</w:t>
      </w:r>
      <w:r w:rsidR="001A483A">
        <w:rPr>
          <w:rFonts w:ascii="Arial" w:hAnsi="Arial" w:cs="Arial"/>
          <w:sz w:val="22"/>
          <w:szCs w:val="22"/>
        </w:rPr>
        <w:t>.</w:t>
      </w:r>
      <w:r w:rsidR="003067EF">
        <w:rPr>
          <w:rFonts w:ascii="Arial" w:hAnsi="Arial" w:cs="Arial"/>
          <w:sz w:val="22"/>
          <w:szCs w:val="22"/>
        </w:rPr>
        <w:t xml:space="preserve"> Además, se espera que la mejora en la impunidad </w:t>
      </w:r>
      <w:r w:rsidR="006907A0">
        <w:rPr>
          <w:rFonts w:ascii="Arial" w:hAnsi="Arial" w:cs="Arial"/>
          <w:sz w:val="22"/>
          <w:szCs w:val="22"/>
        </w:rPr>
        <w:t>disminuya el n</w:t>
      </w:r>
      <w:r w:rsidR="006907A0">
        <w:rPr>
          <w:rFonts w:ascii="Arial" w:hAnsi="Arial" w:cs="Arial"/>
          <w:sz w:val="22"/>
          <w:szCs w:val="22"/>
          <w:lang w:val="es-MX"/>
        </w:rPr>
        <w:t>úmero de homicidios</w:t>
      </w:r>
      <w:r w:rsidR="00B63ED8">
        <w:rPr>
          <w:rFonts w:ascii="Arial" w:hAnsi="Arial" w:cs="Arial"/>
          <w:sz w:val="22"/>
          <w:szCs w:val="22"/>
          <w:lang w:val="es-MX"/>
        </w:rPr>
        <w:t xml:space="preserve">. Este </w:t>
      </w:r>
      <w:r w:rsidR="00140FE8">
        <w:rPr>
          <w:rFonts w:ascii="Arial" w:hAnsi="Arial" w:cs="Arial"/>
          <w:sz w:val="22"/>
          <w:szCs w:val="22"/>
          <w:lang w:val="es-MX"/>
        </w:rPr>
        <w:t xml:space="preserve">último </w:t>
      </w:r>
      <w:r w:rsidR="00467A92">
        <w:rPr>
          <w:rFonts w:ascii="Arial" w:hAnsi="Arial" w:cs="Arial"/>
          <w:sz w:val="22"/>
          <w:szCs w:val="22"/>
          <w:lang w:val="es-MX"/>
        </w:rPr>
        <w:t xml:space="preserve">beneficio </w:t>
      </w:r>
      <w:r w:rsidR="00B63ED8">
        <w:rPr>
          <w:rFonts w:ascii="Arial" w:hAnsi="Arial" w:cs="Arial"/>
          <w:sz w:val="22"/>
          <w:szCs w:val="22"/>
          <w:lang w:val="es-MX"/>
        </w:rPr>
        <w:t>está incluido en los cálculos del componente 2.</w:t>
      </w:r>
    </w:p>
    <w:p w14:paraId="6E904957" w14:textId="77777777" w:rsidR="00CD05FC" w:rsidRPr="00C94B0A" w:rsidRDefault="00CD05FC" w:rsidP="00C94B0A">
      <w:pPr>
        <w:pStyle w:val="Paragraph"/>
        <w:numPr>
          <w:ilvl w:val="0"/>
          <w:numId w:val="0"/>
        </w:numPr>
        <w:spacing w:before="0" w:after="0"/>
        <w:ind w:left="567"/>
        <w:rPr>
          <w:rFonts w:ascii="Arial" w:hAnsi="Arial" w:cs="Arial"/>
          <w:kern w:val="28"/>
          <w:sz w:val="22"/>
          <w:szCs w:val="22"/>
        </w:rPr>
      </w:pPr>
    </w:p>
    <w:p w14:paraId="305A7F39" w14:textId="77777777" w:rsidR="00067445" w:rsidRPr="00CD05FC" w:rsidRDefault="003F76EB" w:rsidP="00C94B0A">
      <w:pPr>
        <w:pStyle w:val="Paragraph"/>
        <w:numPr>
          <w:ilvl w:val="1"/>
          <w:numId w:val="1"/>
        </w:numPr>
        <w:spacing w:before="0" w:after="0"/>
        <w:rPr>
          <w:rFonts w:ascii="Arial" w:hAnsi="Arial" w:cs="Arial"/>
          <w:kern w:val="28"/>
          <w:sz w:val="22"/>
          <w:szCs w:val="22"/>
        </w:rPr>
      </w:pPr>
      <w:r w:rsidRPr="00C94B0A">
        <w:rPr>
          <w:rFonts w:ascii="Arial" w:hAnsi="Arial" w:cs="Arial"/>
          <w:sz w:val="22"/>
          <w:szCs w:val="22"/>
        </w:rPr>
        <w:t>La tasa actual de resolución de casos en Honduras</w:t>
      </w:r>
      <w:r w:rsidR="00CD4CDD" w:rsidRPr="00C94B0A">
        <w:rPr>
          <w:rFonts w:ascii="Arial" w:hAnsi="Arial" w:cs="Arial"/>
          <w:sz w:val="22"/>
          <w:szCs w:val="22"/>
        </w:rPr>
        <w:t xml:space="preserve"> </w:t>
      </w:r>
      <w:r w:rsidRPr="00C94B0A">
        <w:rPr>
          <w:rFonts w:ascii="Arial" w:hAnsi="Arial" w:cs="Arial"/>
          <w:sz w:val="22"/>
          <w:szCs w:val="22"/>
        </w:rPr>
        <w:t xml:space="preserve">es igual a </w:t>
      </w:r>
      <w:r w:rsidR="00CD4CDD" w:rsidRPr="00C94B0A">
        <w:rPr>
          <w:rFonts w:ascii="Arial" w:hAnsi="Arial" w:cs="Arial"/>
          <w:sz w:val="22"/>
          <w:szCs w:val="22"/>
        </w:rPr>
        <w:t xml:space="preserve">5.44%, esto es, </w:t>
      </w:r>
      <w:r w:rsidRPr="00C94B0A">
        <w:rPr>
          <w:rFonts w:ascii="Arial" w:hAnsi="Arial" w:cs="Arial"/>
          <w:sz w:val="22"/>
          <w:szCs w:val="22"/>
        </w:rPr>
        <w:t xml:space="preserve">la proporción de casos con autor identificado (indicador #3.2) multiplicado por la proporción de investigaciones aceptadas por el MP (indicador #3.3). </w:t>
      </w:r>
      <w:r w:rsidR="00CD05FC">
        <w:rPr>
          <w:rFonts w:ascii="Arial" w:hAnsi="Arial" w:cs="Arial"/>
          <w:sz w:val="22"/>
          <w:szCs w:val="22"/>
        </w:rPr>
        <w:t>Esta tasa está muy por debajo de la tasa de resolución de casos de homicidio en Estados Unidos que es 64%.</w:t>
      </w:r>
    </w:p>
    <w:p w14:paraId="1ACF87D9" w14:textId="77777777" w:rsidR="00067445" w:rsidRDefault="00067445" w:rsidP="00067445">
      <w:pPr>
        <w:spacing w:after="0" w:line="240" w:lineRule="auto"/>
        <w:ind w:left="567"/>
        <w:jc w:val="both"/>
        <w:rPr>
          <w:rFonts w:ascii="Arial" w:hAnsi="Arial" w:cs="Arial"/>
          <w:kern w:val="28"/>
          <w:lang w:val="es-ES_tradnl"/>
        </w:rPr>
      </w:pPr>
    </w:p>
    <w:p w14:paraId="269B5704" w14:textId="77777777" w:rsidR="00067445" w:rsidRPr="00946B52" w:rsidRDefault="00067445" w:rsidP="00067445">
      <w:pPr>
        <w:spacing w:after="0" w:line="240" w:lineRule="auto"/>
        <w:ind w:left="567"/>
        <w:jc w:val="both"/>
        <w:rPr>
          <w:rFonts w:ascii="Arial" w:hAnsi="Arial" w:cs="Arial"/>
          <w:b/>
          <w:kern w:val="28"/>
          <w:lang w:val="es-ES_tradnl"/>
        </w:rPr>
      </w:pPr>
      <w:r w:rsidRPr="00946B52">
        <w:rPr>
          <w:rFonts w:ascii="Arial" w:hAnsi="Arial" w:cs="Arial"/>
          <w:b/>
          <w:kern w:val="28"/>
          <w:lang w:val="es-ES_tradnl"/>
        </w:rPr>
        <w:t xml:space="preserve">Tabla </w:t>
      </w:r>
      <w:r>
        <w:rPr>
          <w:rFonts w:ascii="Arial" w:hAnsi="Arial" w:cs="Arial"/>
          <w:b/>
          <w:kern w:val="28"/>
          <w:lang w:val="es-ES_tradnl"/>
        </w:rPr>
        <w:t>11</w:t>
      </w:r>
      <w:r w:rsidRPr="00946B52">
        <w:rPr>
          <w:rFonts w:ascii="Arial" w:hAnsi="Arial" w:cs="Arial"/>
          <w:b/>
          <w:kern w:val="28"/>
          <w:lang w:val="es-ES_tradnl"/>
        </w:rPr>
        <w:t xml:space="preserve">. Parámetros </w:t>
      </w:r>
    </w:p>
    <w:p w14:paraId="3065FD5C" w14:textId="77777777" w:rsidR="00067445" w:rsidRDefault="00EA3593" w:rsidP="00067445">
      <w:pPr>
        <w:pStyle w:val="ListParagraph"/>
        <w:spacing w:after="0" w:line="240" w:lineRule="auto"/>
        <w:ind w:left="567"/>
        <w:jc w:val="both"/>
        <w:rPr>
          <w:rFonts w:ascii="Arial" w:hAnsi="Arial" w:cs="Arial"/>
          <w:kern w:val="28"/>
          <w:lang w:val="es-ES_tradnl"/>
        </w:rPr>
      </w:pPr>
      <w:r w:rsidRPr="00EA3593">
        <w:rPr>
          <w:noProof/>
        </w:rPr>
        <w:lastRenderedPageBreak/>
        <w:drawing>
          <wp:inline distT="0" distB="0" distL="0" distR="0" wp14:anchorId="3CDC8FD6" wp14:editId="7486DF67">
            <wp:extent cx="5396230" cy="21217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6230" cy="2121777"/>
                    </a:xfrm>
                    <a:prstGeom prst="rect">
                      <a:avLst/>
                    </a:prstGeom>
                    <a:noFill/>
                    <a:ln>
                      <a:noFill/>
                    </a:ln>
                  </pic:spPr>
                </pic:pic>
              </a:graphicData>
            </a:graphic>
          </wp:inline>
        </w:drawing>
      </w:r>
    </w:p>
    <w:p w14:paraId="53B58225" w14:textId="77777777" w:rsidR="00D42226" w:rsidRDefault="00D42226" w:rsidP="00067445">
      <w:pPr>
        <w:pStyle w:val="ListParagraph"/>
        <w:spacing w:after="0" w:line="240" w:lineRule="auto"/>
        <w:ind w:left="567"/>
        <w:jc w:val="both"/>
        <w:rPr>
          <w:rFonts w:ascii="Arial" w:hAnsi="Arial" w:cs="Arial"/>
          <w:kern w:val="28"/>
          <w:lang w:val="es-ES_tradnl"/>
        </w:rPr>
      </w:pPr>
    </w:p>
    <w:p w14:paraId="754EA978" w14:textId="77777777" w:rsidR="00D42226" w:rsidRPr="00946B52" w:rsidRDefault="00D42226" w:rsidP="00067445">
      <w:pPr>
        <w:pStyle w:val="ListParagraph"/>
        <w:spacing w:after="0" w:line="240" w:lineRule="auto"/>
        <w:ind w:left="567"/>
        <w:jc w:val="both"/>
        <w:rPr>
          <w:rFonts w:ascii="Arial" w:hAnsi="Arial" w:cs="Arial"/>
          <w:kern w:val="28"/>
          <w:lang w:val="es-ES_tradnl"/>
        </w:rPr>
      </w:pPr>
    </w:p>
    <w:p w14:paraId="65C84D3D" w14:textId="77777777" w:rsidR="00067445" w:rsidRDefault="00067445" w:rsidP="00067445">
      <w:pPr>
        <w:pStyle w:val="ListParagraph"/>
        <w:ind w:left="540"/>
        <w:rPr>
          <w:rFonts w:ascii="Arial" w:hAnsi="Arial" w:cs="Arial"/>
          <w:lang w:val="es-ES"/>
        </w:rPr>
      </w:pPr>
    </w:p>
    <w:p w14:paraId="504805AF" w14:textId="77777777" w:rsidR="00067445" w:rsidRPr="00C94B0A" w:rsidRDefault="00067445">
      <w:pPr>
        <w:pStyle w:val="ListParagraph"/>
        <w:ind w:left="540"/>
        <w:rPr>
          <w:rFonts w:ascii="Arial" w:hAnsi="Arial" w:cs="Arial"/>
          <w:b/>
          <w:lang w:val="es-ES"/>
        </w:rPr>
      </w:pPr>
      <w:r w:rsidRPr="00946B52">
        <w:rPr>
          <w:rFonts w:ascii="Arial" w:hAnsi="Arial" w:cs="Arial"/>
          <w:b/>
          <w:lang w:val="es-ES"/>
        </w:rPr>
        <w:t xml:space="preserve">Tabla </w:t>
      </w:r>
      <w:r>
        <w:rPr>
          <w:rFonts w:ascii="Arial" w:hAnsi="Arial" w:cs="Arial"/>
          <w:b/>
          <w:lang w:val="es-ES"/>
        </w:rPr>
        <w:t>12</w:t>
      </w:r>
      <w:r w:rsidRPr="00946B52">
        <w:rPr>
          <w:rFonts w:ascii="Arial" w:hAnsi="Arial" w:cs="Arial"/>
          <w:b/>
          <w:lang w:val="es-ES"/>
        </w:rPr>
        <w:t xml:space="preserve">. </w:t>
      </w:r>
      <w:r w:rsidRPr="00946B52">
        <w:rPr>
          <w:rFonts w:ascii="Arial" w:hAnsi="Arial" w:cs="Arial"/>
          <w:b/>
          <w:lang w:val="es-ES"/>
        </w:rPr>
        <w:t>Costos</w:t>
      </w:r>
    </w:p>
    <w:p w14:paraId="760EF352" w14:textId="77777777" w:rsidR="000D1FB6" w:rsidRPr="00C94B0A" w:rsidRDefault="000753BD" w:rsidP="00067445">
      <w:pPr>
        <w:pStyle w:val="ListParagraph"/>
        <w:ind w:left="540"/>
        <w:rPr>
          <w:rFonts w:ascii="Arial" w:hAnsi="Arial" w:cs="Arial"/>
        </w:rPr>
      </w:pPr>
      <w:r w:rsidRPr="000753BD">
        <w:rPr>
          <w:noProof/>
        </w:rPr>
        <w:drawing>
          <wp:inline distT="0" distB="0" distL="0" distR="0" wp14:anchorId="75356A60" wp14:editId="1D3EDDBD">
            <wp:extent cx="5396230" cy="79833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6230" cy="798335"/>
                    </a:xfrm>
                    <a:prstGeom prst="rect">
                      <a:avLst/>
                    </a:prstGeom>
                    <a:noFill/>
                    <a:ln>
                      <a:noFill/>
                    </a:ln>
                  </pic:spPr>
                </pic:pic>
              </a:graphicData>
            </a:graphic>
          </wp:inline>
        </w:drawing>
      </w:r>
    </w:p>
    <w:p w14:paraId="36998E72" w14:textId="77777777" w:rsidR="00067445" w:rsidRDefault="00067445" w:rsidP="00067445">
      <w:pPr>
        <w:spacing w:after="0" w:line="240" w:lineRule="auto"/>
        <w:jc w:val="both"/>
        <w:rPr>
          <w:rFonts w:ascii="Arial" w:hAnsi="Arial" w:cs="Arial"/>
          <w:kern w:val="28"/>
          <w:lang w:val="es-ES_tradnl"/>
        </w:rPr>
      </w:pPr>
    </w:p>
    <w:p w14:paraId="3BFA766B" w14:textId="77777777" w:rsidR="00F84308" w:rsidRPr="00C73E57" w:rsidRDefault="00F84308" w:rsidP="00F84308">
      <w:pPr>
        <w:pStyle w:val="ListParagraph"/>
        <w:ind w:hanging="180"/>
        <w:rPr>
          <w:rFonts w:ascii="Arial" w:hAnsi="Arial" w:cs="Arial"/>
          <w:b/>
          <w:lang w:val="es-ES"/>
        </w:rPr>
      </w:pPr>
      <w:r w:rsidRPr="00C73E57">
        <w:rPr>
          <w:rFonts w:ascii="Arial" w:hAnsi="Arial" w:cs="Arial"/>
          <w:b/>
          <w:lang w:val="es-ES"/>
        </w:rPr>
        <w:t>Efectos</w:t>
      </w:r>
    </w:p>
    <w:p w14:paraId="129DB9E5" w14:textId="77777777" w:rsidR="00F84308" w:rsidRDefault="00F84308" w:rsidP="00F84308">
      <w:pPr>
        <w:numPr>
          <w:ilvl w:val="1"/>
          <w:numId w:val="1"/>
        </w:numPr>
        <w:spacing w:after="0" w:line="240" w:lineRule="auto"/>
        <w:jc w:val="both"/>
        <w:rPr>
          <w:rFonts w:ascii="Arial" w:eastAsiaTheme="minorHAnsi" w:hAnsi="Arial" w:cs="Arial"/>
          <w:color w:val="000000"/>
          <w:lang w:val="es-ES_tradnl"/>
        </w:rPr>
      </w:pPr>
      <w:r>
        <w:rPr>
          <w:rFonts w:ascii="Arial" w:hAnsi="Arial" w:cs="Arial"/>
          <w:lang w:val="es-ES"/>
        </w:rPr>
        <w:t>L</w:t>
      </w:r>
      <w:r w:rsidRPr="00DF0502" w:rsidDel="007A1F3B">
        <w:rPr>
          <w:rFonts w:ascii="Arial" w:hAnsi="Arial" w:cs="Arial"/>
          <w:lang w:val="es-ES"/>
        </w:rPr>
        <w:t>os efectos del programa se estima</w:t>
      </w:r>
      <w:r>
        <w:rPr>
          <w:rFonts w:ascii="Arial" w:hAnsi="Arial" w:cs="Arial"/>
          <w:lang w:val="es-ES"/>
        </w:rPr>
        <w:t>n</w:t>
      </w:r>
      <w:r w:rsidRPr="00DF0502" w:rsidDel="007A1F3B">
        <w:rPr>
          <w:rFonts w:ascii="Arial" w:hAnsi="Arial" w:cs="Arial"/>
          <w:lang w:val="es-ES"/>
        </w:rPr>
        <w:t xml:space="preserve"> con base en </w:t>
      </w:r>
      <w:r>
        <w:rPr>
          <w:rFonts w:ascii="Arial" w:hAnsi="Arial" w:cs="Arial"/>
          <w:lang w:val="es-ES"/>
        </w:rPr>
        <w:t xml:space="preserve">estudios de efectividad de intervenciones similares a las planeadas por el programa y al valor esperado de los indicadores definidos en la MIR. </w:t>
      </w:r>
      <w:r w:rsidRPr="00DF0502" w:rsidDel="007A1F3B">
        <w:rPr>
          <w:rFonts w:ascii="Arial" w:hAnsi="Arial" w:cs="Arial"/>
          <w:lang w:val="es-ES"/>
        </w:rPr>
        <w:t xml:space="preserve"> </w:t>
      </w:r>
    </w:p>
    <w:p w14:paraId="47F1438F" w14:textId="77777777" w:rsidR="00067445" w:rsidRDefault="00067445" w:rsidP="00067445">
      <w:pPr>
        <w:spacing w:after="0" w:line="240" w:lineRule="auto"/>
        <w:jc w:val="both"/>
        <w:rPr>
          <w:rFonts w:ascii="Arial" w:hAnsi="Arial" w:cs="Arial"/>
          <w:kern w:val="28"/>
          <w:lang w:val="es-ES_tradnl"/>
        </w:rPr>
      </w:pPr>
    </w:p>
    <w:p w14:paraId="0DB995BA" w14:textId="77777777" w:rsidR="00067445" w:rsidRPr="00C94B0A" w:rsidRDefault="00067445" w:rsidP="00C94B0A">
      <w:pPr>
        <w:spacing w:after="0" w:line="240" w:lineRule="auto"/>
        <w:jc w:val="both"/>
        <w:rPr>
          <w:rFonts w:ascii="Arial" w:hAnsi="Arial" w:cs="Arial"/>
          <w:kern w:val="28"/>
          <w:lang w:val="es-ES_tradnl"/>
        </w:rPr>
      </w:pPr>
    </w:p>
    <w:p w14:paraId="23B1ACB5" w14:textId="77777777" w:rsidR="00D40AC7" w:rsidRPr="00C94B0A" w:rsidRDefault="00D40AC7" w:rsidP="00DF0502">
      <w:pPr>
        <w:numPr>
          <w:ilvl w:val="1"/>
          <w:numId w:val="1"/>
        </w:numPr>
        <w:spacing w:after="0" w:line="240" w:lineRule="auto"/>
        <w:jc w:val="both"/>
        <w:rPr>
          <w:rFonts w:ascii="Arial" w:hAnsi="Arial" w:cs="Arial"/>
          <w:kern w:val="28"/>
          <w:lang w:val="es-ES_tradnl"/>
        </w:rPr>
      </w:pPr>
      <w:r w:rsidRPr="00DF0502">
        <w:rPr>
          <w:rFonts w:ascii="Arial" w:hAnsi="Arial" w:cs="Arial"/>
          <w:bCs/>
          <w:lang w:val="es-ES_tradnl"/>
        </w:rPr>
        <w:t xml:space="preserve">Garicano y Heaton (2010) analizan los efectos de un proyecto que consiste en la aplicación de tecnologías de información (incluye ítems como computadoras, terminales de datos, y servidores) junto con los cambios organizacionales que ello trajo aparejado (entrenamiento de policías, contratación de individuos con mayor estudio, e implementación de tácticas problema orientadas). En primera instancia, a través de la regresión con controles, Garicano y Heaton (2010) encuentran que mejoras tecnológicas y en la organización no repercuten de manera estadísticamente significativa sobre la tasa de denuncias y el número de delitos cometidos. Sin embargo, este resultado debe ser interpretado cuidadosamente ya que encierra un problema de identificación. Específicamente, el resultado es explicado por los autores a través de que existen dos componentes actuando simultáneamente que explicarían el efecto nulo. Por un lado, aquellas instituciones que poseen mayor tecnología verán incrementado el número de delitos procesados ya que la recolección de información es menos costosa y más efectiva. Por otra parte, existiría una disminución en la tasa de delitos reportadas a través de un efecto de disuasión del delito. En efecto, esto es comprobado por el artículo a través de una estimación por variables instrumentales. En caso de desglosar estos dos efectos a través de variables que separen la utilización de tecnología para proceso de la información y tecnología para la utilización en la investigación, se encuentra que mientras el primero redunda en un incremento significativo de las denuncias del total de delitos, la otra tecnología actúa en una baja del delito. Cuantitativamente encuentran que estas medidas conducen a un incremento en la resolución de delitos totales del 2,5% y para el caso de delitos </w:t>
      </w:r>
      <w:r w:rsidRPr="00DF0502">
        <w:rPr>
          <w:rFonts w:ascii="Arial" w:hAnsi="Arial" w:cs="Arial"/>
          <w:bCs/>
          <w:lang w:val="es-ES_tradnl"/>
        </w:rPr>
        <w:lastRenderedPageBreak/>
        <w:t>contra la propiedad y violentos el incremento es 2,31% y 9,36% respectivamente, pero solo en caso de contemplar la mejora en el conocimiento criminológico como así también una mayor inversión en infraestructura y los cambi</w:t>
      </w:r>
      <w:r w:rsidR="00D4782A">
        <w:rPr>
          <w:rFonts w:ascii="Arial" w:hAnsi="Arial" w:cs="Arial"/>
          <w:bCs/>
          <w:lang w:val="es-ES_tradnl"/>
        </w:rPr>
        <w:t>os organizacionales aparejados.</w:t>
      </w:r>
    </w:p>
    <w:p w14:paraId="723B4EB4" w14:textId="77777777" w:rsidR="00F84308" w:rsidRPr="00C94B0A" w:rsidRDefault="00F84308" w:rsidP="00C94B0A">
      <w:pPr>
        <w:spacing w:after="0" w:line="240" w:lineRule="auto"/>
        <w:ind w:left="567"/>
        <w:jc w:val="both"/>
        <w:rPr>
          <w:rFonts w:ascii="Arial" w:hAnsi="Arial" w:cs="Arial"/>
          <w:kern w:val="28"/>
          <w:lang w:val="es-ES_tradnl"/>
        </w:rPr>
      </w:pPr>
    </w:p>
    <w:p w14:paraId="68473D02" w14:textId="77777777" w:rsidR="00F84308" w:rsidRPr="00DF0502" w:rsidRDefault="00F84308" w:rsidP="00F84308">
      <w:pPr>
        <w:numPr>
          <w:ilvl w:val="1"/>
          <w:numId w:val="1"/>
        </w:numPr>
        <w:spacing w:after="0" w:line="240" w:lineRule="auto"/>
        <w:jc w:val="both"/>
        <w:rPr>
          <w:rFonts w:ascii="Arial" w:hAnsi="Arial" w:cs="Arial"/>
          <w:kern w:val="28"/>
          <w:lang w:val="es-ES_tradnl"/>
        </w:rPr>
      </w:pPr>
      <w:r>
        <w:rPr>
          <w:rFonts w:ascii="Arial" w:hAnsi="Arial" w:cs="Arial"/>
          <w:kern w:val="28"/>
          <w:lang w:val="es-ES_tradnl"/>
        </w:rPr>
        <w:t>La magnitud de los efectos del programa se estima a partir del año 4 y de acuerdo con los valores esperados de los indicadores de resultado definidos en la MIR, bajo los siguientes supuestos (ver Tabla 13)</w:t>
      </w:r>
      <w:r w:rsidRPr="00DF0502">
        <w:rPr>
          <w:rFonts w:ascii="Arial" w:hAnsi="Arial" w:cs="Arial"/>
          <w:kern w:val="28"/>
          <w:lang w:val="es-ES_tradnl"/>
        </w:rPr>
        <w:t>:</w:t>
      </w:r>
    </w:p>
    <w:p w14:paraId="0FFC6C0B" w14:textId="77777777" w:rsidR="00F84308" w:rsidRPr="00C94B0A" w:rsidRDefault="00F84308" w:rsidP="00C94B0A">
      <w:pPr>
        <w:spacing w:after="0" w:line="240" w:lineRule="auto"/>
        <w:ind w:left="567"/>
        <w:jc w:val="both"/>
        <w:rPr>
          <w:rFonts w:ascii="Arial" w:hAnsi="Arial" w:cs="Arial"/>
          <w:kern w:val="28"/>
          <w:lang w:val="es-ES_tradnl"/>
        </w:rPr>
      </w:pPr>
    </w:p>
    <w:p w14:paraId="61C98E34" w14:textId="77777777" w:rsidR="00F84308" w:rsidRPr="00DF0502" w:rsidRDefault="00F84308" w:rsidP="00C94B0A">
      <w:pPr>
        <w:spacing w:after="0" w:line="240" w:lineRule="auto"/>
        <w:ind w:left="567"/>
        <w:jc w:val="both"/>
        <w:rPr>
          <w:rFonts w:ascii="Arial" w:hAnsi="Arial" w:cs="Arial"/>
          <w:kern w:val="28"/>
          <w:lang w:val="es-ES_tradnl"/>
        </w:rPr>
      </w:pPr>
    </w:p>
    <w:p w14:paraId="0C61412D" w14:textId="77777777" w:rsidR="001F681F" w:rsidRPr="00DF0502" w:rsidRDefault="001F681F" w:rsidP="00DF0502">
      <w:pPr>
        <w:pStyle w:val="Paragraph"/>
        <w:numPr>
          <w:ilvl w:val="1"/>
          <w:numId w:val="1"/>
        </w:numPr>
        <w:spacing w:before="0" w:after="0"/>
        <w:rPr>
          <w:rFonts w:ascii="Arial" w:eastAsia="Calibri" w:hAnsi="Arial" w:cs="Arial"/>
          <w:sz w:val="22"/>
          <w:szCs w:val="22"/>
        </w:rPr>
      </w:pPr>
      <w:r w:rsidRPr="00DF0502">
        <w:rPr>
          <w:rFonts w:ascii="Arial" w:eastAsia="Calibri" w:hAnsi="Arial" w:cs="Arial"/>
          <w:sz w:val="22"/>
          <w:szCs w:val="22"/>
        </w:rPr>
        <w:t>El cálculo de los beneficios se efectúa utilizando los siguientes supuestos:</w:t>
      </w:r>
    </w:p>
    <w:p w14:paraId="5AB44B4B" w14:textId="77777777" w:rsidR="00020ACB" w:rsidRPr="00C94B0A" w:rsidRDefault="00020ACB" w:rsidP="00DF0502">
      <w:pPr>
        <w:numPr>
          <w:ilvl w:val="2"/>
          <w:numId w:val="1"/>
        </w:numPr>
        <w:spacing w:after="0" w:line="240" w:lineRule="auto"/>
        <w:jc w:val="both"/>
        <w:rPr>
          <w:rFonts w:ascii="Arial" w:hAnsi="Arial" w:cs="Arial"/>
          <w:lang w:val="es-ES"/>
        </w:rPr>
      </w:pPr>
      <w:r w:rsidRPr="00DF0502">
        <w:rPr>
          <w:rFonts w:ascii="Arial" w:hAnsi="Arial" w:cs="Arial"/>
          <w:lang w:val="es-ES_tradnl"/>
        </w:rPr>
        <w:t>Este componente aplica a todo el país.</w:t>
      </w:r>
    </w:p>
    <w:p w14:paraId="51B96AB1" w14:textId="512E7BB7" w:rsidR="00F93D7F" w:rsidRDefault="00CD05FC" w:rsidP="00DF0502">
      <w:pPr>
        <w:numPr>
          <w:ilvl w:val="2"/>
          <w:numId w:val="1"/>
        </w:numPr>
        <w:spacing w:after="0" w:line="240" w:lineRule="auto"/>
        <w:jc w:val="both"/>
        <w:rPr>
          <w:rFonts w:ascii="Arial" w:hAnsi="Arial" w:cs="Arial"/>
          <w:lang w:val="es-ES"/>
        </w:rPr>
      </w:pPr>
      <w:r>
        <w:rPr>
          <w:rFonts w:ascii="Arial" w:hAnsi="Arial" w:cs="Arial"/>
          <w:lang w:val="es-ES"/>
        </w:rPr>
        <w:t>Se espera que la tasa de resolución de casos de homicidios suba de 5.44% a 10% en el cuarto año, lo cual es igual a la multiplicación de los valores asignados a los indicadores #3.2 (.</w:t>
      </w:r>
      <w:r w:rsidR="00044F84">
        <w:rPr>
          <w:rFonts w:ascii="Arial" w:hAnsi="Arial" w:cs="Arial"/>
          <w:lang w:val="es-ES"/>
        </w:rPr>
        <w:t>4</w:t>
      </w:r>
      <w:r>
        <w:rPr>
          <w:rFonts w:ascii="Arial" w:hAnsi="Arial" w:cs="Arial"/>
          <w:lang w:val="es-ES"/>
        </w:rPr>
        <w:t>) y #3.3 (.</w:t>
      </w:r>
      <w:r w:rsidR="00044F84">
        <w:rPr>
          <w:rFonts w:ascii="Arial" w:hAnsi="Arial" w:cs="Arial"/>
          <w:lang w:val="es-ES"/>
        </w:rPr>
        <w:t>25</w:t>
      </w:r>
      <w:r>
        <w:rPr>
          <w:rFonts w:ascii="Arial" w:hAnsi="Arial" w:cs="Arial"/>
          <w:lang w:val="es-ES"/>
        </w:rPr>
        <w:t xml:space="preserve">). </w:t>
      </w:r>
      <w:r w:rsidR="000753BD">
        <w:rPr>
          <w:rFonts w:ascii="Arial" w:hAnsi="Arial" w:cs="Arial"/>
          <w:lang w:val="es-ES"/>
        </w:rPr>
        <w:t>Esto equivale a una disminución de 4.82% de la proporción de casos de homicidios no resueltos.</w:t>
      </w:r>
    </w:p>
    <w:p w14:paraId="513ED819" w14:textId="77777777" w:rsidR="00044F84" w:rsidRDefault="00044F84" w:rsidP="00044F84">
      <w:pPr>
        <w:numPr>
          <w:ilvl w:val="2"/>
          <w:numId w:val="1"/>
        </w:numPr>
        <w:spacing w:after="0" w:line="240" w:lineRule="auto"/>
        <w:jc w:val="both"/>
        <w:rPr>
          <w:rFonts w:ascii="Arial" w:hAnsi="Arial" w:cs="Arial"/>
          <w:lang w:val="es-ES"/>
        </w:rPr>
      </w:pPr>
      <w:r>
        <w:rPr>
          <w:rFonts w:ascii="Arial" w:hAnsi="Arial" w:cs="Arial"/>
          <w:lang w:val="es-ES"/>
        </w:rPr>
        <w:t xml:space="preserve">Se espera que la tasa de resolución de casos de homicidios suba de 5.44% a 20% en el quinto año, lo cual es igual a la multiplicación de los valores asignados a los indicadores #3.2 (.5) y #3.3 (.4). </w:t>
      </w:r>
      <w:r w:rsidR="000753BD">
        <w:rPr>
          <w:rFonts w:ascii="Arial" w:hAnsi="Arial" w:cs="Arial"/>
          <w:lang w:val="es-ES"/>
        </w:rPr>
        <w:t>Esto equivale a una disminución de 14.56% de la proporción de casos de homicidios no resueltos.</w:t>
      </w:r>
      <w:r>
        <w:rPr>
          <w:rFonts w:ascii="Arial" w:hAnsi="Arial" w:cs="Arial"/>
          <w:lang w:val="es-ES"/>
        </w:rPr>
        <w:t xml:space="preserve"> </w:t>
      </w:r>
    </w:p>
    <w:p w14:paraId="72F52214" w14:textId="77777777" w:rsidR="00DF7027" w:rsidRPr="002C3910" w:rsidRDefault="00DF7027" w:rsidP="002C3910">
      <w:pPr>
        <w:numPr>
          <w:ilvl w:val="2"/>
          <w:numId w:val="1"/>
        </w:numPr>
        <w:spacing w:after="0" w:line="240" w:lineRule="auto"/>
        <w:jc w:val="both"/>
        <w:rPr>
          <w:rFonts w:ascii="Arial" w:hAnsi="Arial" w:cs="Arial"/>
          <w:lang w:val="es-ES"/>
        </w:rPr>
      </w:pPr>
      <w:r>
        <w:rPr>
          <w:rFonts w:ascii="Arial" w:hAnsi="Arial" w:cs="Arial"/>
          <w:lang w:val="es-ES"/>
        </w:rPr>
        <w:t xml:space="preserve">El siguiente año después de finalizar el programa se </w:t>
      </w:r>
      <w:r w:rsidR="002C3910">
        <w:rPr>
          <w:rFonts w:ascii="Arial" w:hAnsi="Arial" w:cs="Arial"/>
          <w:lang w:val="es-ES"/>
        </w:rPr>
        <w:t xml:space="preserve">acota la disminución de la proporción de casos no resueltos a 9.36%, siguiendo </w:t>
      </w:r>
      <w:r>
        <w:rPr>
          <w:rFonts w:ascii="Arial" w:hAnsi="Arial" w:cs="Arial"/>
          <w:lang w:val="es-ES"/>
        </w:rPr>
        <w:t xml:space="preserve">el resultado de Garicano y Heaton (2010) quienes </w:t>
      </w:r>
      <w:r w:rsidR="002C3910">
        <w:rPr>
          <w:rFonts w:ascii="Arial" w:hAnsi="Arial" w:cs="Arial"/>
          <w:lang w:val="es-ES"/>
        </w:rPr>
        <w:t xml:space="preserve">encuentran que </w:t>
      </w:r>
      <w:r w:rsidRPr="00DF0502">
        <w:rPr>
          <w:rFonts w:ascii="Arial" w:hAnsi="Arial" w:cs="Arial"/>
          <w:bCs/>
          <w:lang w:val="es-ES_tradnl"/>
        </w:rPr>
        <w:t>la utilización de tecnología para proceso de la información y tecnología para la utilización en la investigación</w:t>
      </w:r>
      <w:r>
        <w:rPr>
          <w:rFonts w:ascii="Arial" w:hAnsi="Arial" w:cs="Arial"/>
          <w:bCs/>
          <w:lang w:val="es-ES_tradnl"/>
        </w:rPr>
        <w:t xml:space="preserve"> </w:t>
      </w:r>
      <w:r w:rsidRPr="002C3910">
        <w:rPr>
          <w:rFonts w:ascii="Arial" w:hAnsi="Arial" w:cs="Arial"/>
          <w:lang w:val="es-ES"/>
        </w:rPr>
        <w:t>reducen el delito violento en 9.36%. Esta reducción se mantiene en años posteriores.</w:t>
      </w:r>
      <w:r w:rsidR="002C3910">
        <w:rPr>
          <w:rFonts w:ascii="Arial" w:hAnsi="Arial" w:cs="Arial"/>
          <w:lang w:val="es-ES"/>
        </w:rPr>
        <w:t xml:space="preserve"> Aunque el estudio se refiere a la situación en Estados Unidas donde la tasa de resolución de casos de homicidio es mucho más alta que en Honduras como se explicó anteriormente. Este supuesto</w:t>
      </w:r>
      <w:r w:rsidR="00634DE2">
        <w:rPr>
          <w:rFonts w:ascii="Arial" w:hAnsi="Arial" w:cs="Arial"/>
          <w:lang w:val="es-ES"/>
        </w:rPr>
        <w:t xml:space="preserve"> sobre el efecto en el año 6 se hace para ser consistentes con la manera en que se calcularon los beneficios de los componentes 1 y 2.</w:t>
      </w:r>
    </w:p>
    <w:p w14:paraId="7E5109E6" w14:textId="64EBF71E" w:rsidR="00F84308" w:rsidRPr="00DF0502" w:rsidRDefault="00F84308" w:rsidP="00DF7027">
      <w:pPr>
        <w:numPr>
          <w:ilvl w:val="2"/>
          <w:numId w:val="1"/>
        </w:numPr>
        <w:spacing w:after="0" w:line="240" w:lineRule="auto"/>
        <w:jc w:val="both"/>
        <w:rPr>
          <w:rFonts w:ascii="Arial" w:hAnsi="Arial" w:cs="Arial"/>
          <w:lang w:val="es-ES"/>
        </w:rPr>
      </w:pPr>
      <w:r w:rsidRPr="00DF0502">
        <w:rPr>
          <w:rFonts w:ascii="Arial" w:hAnsi="Arial" w:cs="Arial"/>
          <w:lang w:val="es-ES"/>
        </w:rPr>
        <w:t>La tasa de descuento utilizada es del 12%, según el estándar del Banco.</w:t>
      </w:r>
      <w:r w:rsidRPr="00DF0502">
        <w:rPr>
          <w:rFonts w:ascii="Arial" w:hAnsi="Arial" w:cs="Arial"/>
          <w:lang w:val="es-ES"/>
        </w:rPr>
        <w:t xml:space="preserve"> </w:t>
      </w:r>
    </w:p>
    <w:p w14:paraId="05F5C0F5" w14:textId="77777777" w:rsidR="00F84308" w:rsidRDefault="00F84308" w:rsidP="00DF7027">
      <w:pPr>
        <w:spacing w:after="0" w:line="240" w:lineRule="auto"/>
        <w:jc w:val="both"/>
        <w:rPr>
          <w:rFonts w:ascii="Arial" w:hAnsi="Arial" w:cs="Arial"/>
          <w:lang w:val="es-ES"/>
        </w:rPr>
      </w:pPr>
    </w:p>
    <w:p w14:paraId="3FF828FB" w14:textId="77777777" w:rsidR="009C721F" w:rsidRDefault="009C721F" w:rsidP="00DF7027">
      <w:pPr>
        <w:spacing w:after="0" w:line="240" w:lineRule="auto"/>
        <w:jc w:val="both"/>
        <w:rPr>
          <w:rFonts w:ascii="Arial" w:hAnsi="Arial" w:cs="Arial"/>
          <w:b/>
          <w:lang w:val="es-ES"/>
        </w:rPr>
      </w:pPr>
      <w:r w:rsidRPr="00C94B0A">
        <w:rPr>
          <w:rFonts w:ascii="Arial" w:hAnsi="Arial" w:cs="Arial"/>
          <w:b/>
          <w:lang w:val="es-ES"/>
        </w:rPr>
        <w:t>Tabla 13. Efectos</w:t>
      </w:r>
    </w:p>
    <w:p w14:paraId="2E4904F1" w14:textId="77777777" w:rsidR="009C721F" w:rsidRPr="00C94B0A" w:rsidRDefault="006272FA" w:rsidP="00C94B0A">
      <w:pPr>
        <w:spacing w:after="0" w:line="240" w:lineRule="auto"/>
        <w:jc w:val="both"/>
        <w:rPr>
          <w:rFonts w:ascii="Arial" w:hAnsi="Arial" w:cs="Arial"/>
          <w:b/>
          <w:lang w:val="es-ES"/>
        </w:rPr>
      </w:pPr>
      <w:r w:rsidRPr="006272FA">
        <w:rPr>
          <w:noProof/>
        </w:rPr>
        <w:drawing>
          <wp:inline distT="0" distB="0" distL="0" distR="0" wp14:anchorId="0FCD4EB1" wp14:editId="52508429">
            <wp:extent cx="5396230" cy="1916857"/>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6230" cy="1916857"/>
                    </a:xfrm>
                    <a:prstGeom prst="rect">
                      <a:avLst/>
                    </a:prstGeom>
                    <a:noFill/>
                    <a:ln>
                      <a:noFill/>
                    </a:ln>
                  </pic:spPr>
                </pic:pic>
              </a:graphicData>
            </a:graphic>
          </wp:inline>
        </w:drawing>
      </w:r>
    </w:p>
    <w:p w14:paraId="424F70A3" w14:textId="77777777" w:rsidR="00D4782A" w:rsidRPr="00DF0502" w:rsidRDefault="00D4782A" w:rsidP="00D4782A">
      <w:pPr>
        <w:pStyle w:val="Paragraph"/>
        <w:numPr>
          <w:ilvl w:val="0"/>
          <w:numId w:val="0"/>
        </w:numPr>
        <w:spacing w:before="0" w:after="0"/>
        <w:ind w:left="567"/>
        <w:rPr>
          <w:rFonts w:ascii="Arial" w:hAnsi="Arial" w:cs="Arial"/>
          <w:kern w:val="28"/>
          <w:sz w:val="22"/>
          <w:szCs w:val="22"/>
        </w:rPr>
      </w:pPr>
    </w:p>
    <w:p w14:paraId="7CA0E3F2" w14:textId="77777777" w:rsidR="00044248" w:rsidRPr="00DF0502" w:rsidRDefault="00044248" w:rsidP="00DF0502">
      <w:pPr>
        <w:pStyle w:val="Vieta"/>
        <w:numPr>
          <w:ilvl w:val="0"/>
          <w:numId w:val="0"/>
        </w:numPr>
        <w:spacing w:line="240" w:lineRule="auto"/>
        <w:rPr>
          <w:rFonts w:ascii="Arial" w:hAnsi="Arial" w:cs="Arial"/>
          <w:b/>
          <w:sz w:val="22"/>
          <w:szCs w:val="22"/>
          <w:u w:val="single"/>
        </w:rPr>
      </w:pPr>
      <w:r w:rsidRPr="00DF0502">
        <w:rPr>
          <w:rFonts w:ascii="Arial" w:hAnsi="Arial" w:cs="Arial"/>
          <w:b/>
          <w:sz w:val="22"/>
          <w:szCs w:val="22"/>
          <w:u w:val="single"/>
        </w:rPr>
        <w:t>Costo</w:t>
      </w:r>
      <w:r w:rsidR="00B9178D">
        <w:rPr>
          <w:rFonts w:ascii="Arial" w:hAnsi="Arial" w:cs="Arial"/>
          <w:b/>
          <w:sz w:val="22"/>
          <w:szCs w:val="22"/>
          <w:u w:val="single"/>
        </w:rPr>
        <w:t xml:space="preserve"> del Programa</w:t>
      </w:r>
    </w:p>
    <w:p w14:paraId="47EA62D2" w14:textId="77777777" w:rsidR="001F681F" w:rsidRPr="00DF0502" w:rsidRDefault="001F681F" w:rsidP="00DF0502">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 xml:space="preserve">Para el cálculo de los costos </w:t>
      </w:r>
      <w:r w:rsidR="00B9178D">
        <w:rPr>
          <w:rFonts w:ascii="Arial" w:hAnsi="Arial" w:cs="Arial"/>
          <w:kern w:val="28"/>
          <w:sz w:val="22"/>
          <w:szCs w:val="22"/>
        </w:rPr>
        <w:t xml:space="preserve">del programa </w:t>
      </w:r>
      <w:r w:rsidRPr="00DF0502">
        <w:rPr>
          <w:rFonts w:ascii="Arial" w:hAnsi="Arial" w:cs="Arial"/>
          <w:kern w:val="28"/>
          <w:sz w:val="22"/>
          <w:szCs w:val="22"/>
        </w:rPr>
        <w:t>se utilizan los siguientes supuestos:</w:t>
      </w:r>
    </w:p>
    <w:p w14:paraId="05DDFB0B" w14:textId="77777777" w:rsidR="001F681F" w:rsidRPr="00DF0502" w:rsidRDefault="001F681F" w:rsidP="00DF0502">
      <w:pPr>
        <w:pStyle w:val="Vieta"/>
        <w:spacing w:line="240" w:lineRule="auto"/>
        <w:rPr>
          <w:rFonts w:ascii="Arial" w:hAnsi="Arial" w:cs="Arial"/>
          <w:sz w:val="22"/>
          <w:szCs w:val="22"/>
        </w:rPr>
      </w:pPr>
      <w:r w:rsidRPr="00DF0502">
        <w:rPr>
          <w:rFonts w:ascii="Arial" w:hAnsi="Arial" w:cs="Arial"/>
          <w:sz w:val="22"/>
          <w:szCs w:val="22"/>
        </w:rPr>
        <w:t xml:space="preserve">Los costos correspondientes al Componente III ascienden a </w:t>
      </w:r>
      <w:r w:rsidR="00044248" w:rsidRPr="00DF0502">
        <w:rPr>
          <w:rFonts w:ascii="Arial" w:hAnsi="Arial" w:cs="Arial"/>
          <w:b/>
          <w:spacing w:val="-2"/>
          <w:sz w:val="22"/>
          <w:szCs w:val="22"/>
        </w:rPr>
        <w:t>US$16.000.000</w:t>
      </w:r>
      <w:r w:rsidRPr="00DF0502">
        <w:rPr>
          <w:rFonts w:ascii="Arial" w:hAnsi="Arial" w:cs="Arial"/>
          <w:sz w:val="22"/>
          <w:szCs w:val="22"/>
        </w:rPr>
        <w:t>, según datos del programa.</w:t>
      </w:r>
    </w:p>
    <w:p w14:paraId="2FF485ED" w14:textId="77777777" w:rsidR="001F681F" w:rsidRPr="00DF0502" w:rsidRDefault="001F681F" w:rsidP="00DF0502">
      <w:pPr>
        <w:pStyle w:val="Vieta"/>
        <w:spacing w:line="240" w:lineRule="auto"/>
        <w:rPr>
          <w:rFonts w:ascii="Arial" w:hAnsi="Arial" w:cs="Arial"/>
          <w:sz w:val="22"/>
          <w:szCs w:val="22"/>
        </w:rPr>
      </w:pPr>
      <w:r w:rsidRPr="00DF0502">
        <w:rPr>
          <w:rFonts w:ascii="Arial" w:hAnsi="Arial" w:cs="Arial"/>
          <w:sz w:val="22"/>
          <w:szCs w:val="22"/>
        </w:rPr>
        <w:t xml:space="preserve">Los costos se ejecutarán </w:t>
      </w:r>
      <w:r w:rsidR="00044248" w:rsidRPr="00DF0502">
        <w:rPr>
          <w:rFonts w:ascii="Arial" w:hAnsi="Arial" w:cs="Arial"/>
          <w:sz w:val="22"/>
          <w:szCs w:val="22"/>
        </w:rPr>
        <w:t>en partes iguales a lo largo de los primeros 5 años</w:t>
      </w:r>
      <w:r w:rsidRPr="00DF0502">
        <w:rPr>
          <w:rFonts w:ascii="Arial" w:hAnsi="Arial" w:cs="Arial"/>
          <w:sz w:val="22"/>
          <w:szCs w:val="22"/>
        </w:rPr>
        <w:t>.</w:t>
      </w:r>
    </w:p>
    <w:p w14:paraId="52C2A006" w14:textId="77777777" w:rsidR="001F681F" w:rsidRPr="00DF0502" w:rsidRDefault="001F681F" w:rsidP="00DF0502">
      <w:pPr>
        <w:pStyle w:val="Vieta"/>
        <w:spacing w:line="240" w:lineRule="auto"/>
        <w:rPr>
          <w:rFonts w:ascii="Arial" w:hAnsi="Arial" w:cs="Arial"/>
          <w:sz w:val="22"/>
          <w:szCs w:val="22"/>
        </w:rPr>
      </w:pPr>
      <w:r w:rsidRPr="00DF0502">
        <w:rPr>
          <w:rFonts w:ascii="Arial" w:hAnsi="Arial" w:cs="Arial"/>
          <w:sz w:val="22"/>
          <w:szCs w:val="22"/>
        </w:rPr>
        <w:t xml:space="preserve">El horizonte a partir del cual se calculan beneficios es de 20 años. Luego de transcurrido ese período no se computarán beneficios, aunque es posible que </w:t>
      </w:r>
      <w:r w:rsidRPr="00DF0502">
        <w:rPr>
          <w:rFonts w:ascii="Arial" w:hAnsi="Arial" w:cs="Arial"/>
          <w:sz w:val="22"/>
          <w:szCs w:val="22"/>
        </w:rPr>
        <w:lastRenderedPageBreak/>
        <w:t xml:space="preserve">existan. Este supuesto es conservador </w:t>
      </w:r>
      <w:r w:rsidR="00044248" w:rsidRPr="00DF0502">
        <w:rPr>
          <w:rFonts w:ascii="Arial" w:hAnsi="Arial" w:cs="Arial"/>
          <w:sz w:val="22"/>
          <w:szCs w:val="22"/>
        </w:rPr>
        <w:t>ya que,</w:t>
      </w:r>
      <w:r w:rsidRPr="00DF0502">
        <w:rPr>
          <w:rFonts w:ascii="Arial" w:hAnsi="Arial" w:cs="Arial"/>
          <w:sz w:val="22"/>
          <w:szCs w:val="22"/>
        </w:rPr>
        <w:t xml:space="preserve"> de no cumplirse, los beneficios finales serían mayores a los estimados en este análisis.</w:t>
      </w:r>
    </w:p>
    <w:p w14:paraId="0F81F899" w14:textId="77777777" w:rsidR="00F24B8D" w:rsidRPr="00DF0502" w:rsidRDefault="00F24B8D" w:rsidP="00DF0502">
      <w:pPr>
        <w:pStyle w:val="Vieta"/>
        <w:numPr>
          <w:ilvl w:val="0"/>
          <w:numId w:val="0"/>
        </w:numPr>
        <w:spacing w:line="240" w:lineRule="auto"/>
        <w:ind w:left="993"/>
        <w:rPr>
          <w:rFonts w:ascii="Arial" w:hAnsi="Arial" w:cs="Arial"/>
          <w:sz w:val="22"/>
          <w:szCs w:val="22"/>
        </w:rPr>
      </w:pPr>
    </w:p>
    <w:p w14:paraId="082AC713" w14:textId="2DF34684" w:rsidR="009C721F" w:rsidRPr="00DF0502" w:rsidRDefault="009C721F" w:rsidP="009C721F">
      <w:pPr>
        <w:pStyle w:val="Vieta"/>
        <w:numPr>
          <w:ilvl w:val="0"/>
          <w:numId w:val="0"/>
        </w:numPr>
        <w:spacing w:line="240" w:lineRule="auto"/>
        <w:ind w:left="567"/>
        <w:rPr>
          <w:rFonts w:ascii="Arial" w:hAnsi="Arial" w:cs="Arial"/>
          <w:b/>
          <w:sz w:val="22"/>
          <w:szCs w:val="22"/>
          <w:u w:val="single"/>
        </w:rPr>
      </w:pPr>
      <w:r w:rsidRPr="00DF0502">
        <w:rPr>
          <w:rFonts w:ascii="Arial" w:hAnsi="Arial" w:cs="Arial"/>
          <w:b/>
          <w:sz w:val="22"/>
          <w:szCs w:val="22"/>
          <w:u w:val="single"/>
        </w:rPr>
        <w:t>Cálculos</w:t>
      </w:r>
    </w:p>
    <w:p w14:paraId="6C23CDEF" w14:textId="68E4F63D" w:rsidR="009C721F" w:rsidRPr="00E85DFB" w:rsidRDefault="009C721F" w:rsidP="009C721F">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 xml:space="preserve">El primer cálculo necesario para el análisis consiste en la estimación de los beneficios anuales derivados de los ahorros </w:t>
      </w:r>
      <w:r w:rsidR="005438E0">
        <w:rPr>
          <w:rFonts w:ascii="Arial" w:hAnsi="Arial" w:cs="Arial"/>
          <w:kern w:val="28"/>
          <w:sz w:val="22"/>
          <w:szCs w:val="22"/>
        </w:rPr>
        <w:t xml:space="preserve">en gastos policiales </w:t>
      </w:r>
      <w:r w:rsidR="00B46740">
        <w:rPr>
          <w:rFonts w:ascii="Arial" w:hAnsi="Arial" w:cs="Arial"/>
          <w:kern w:val="28"/>
          <w:sz w:val="22"/>
          <w:szCs w:val="22"/>
        </w:rPr>
        <w:t xml:space="preserve">administrativos </w:t>
      </w:r>
      <w:r w:rsidRPr="00DF0502">
        <w:rPr>
          <w:rFonts w:ascii="Arial" w:hAnsi="Arial" w:cs="Arial"/>
          <w:kern w:val="28"/>
          <w:sz w:val="22"/>
          <w:szCs w:val="22"/>
        </w:rPr>
        <w:t xml:space="preserve">a causa de la </w:t>
      </w:r>
      <w:r w:rsidR="00B46740">
        <w:rPr>
          <w:rFonts w:ascii="Arial" w:hAnsi="Arial" w:cs="Arial"/>
          <w:kern w:val="28"/>
          <w:sz w:val="22"/>
          <w:szCs w:val="22"/>
        </w:rPr>
        <w:t xml:space="preserve">mejora en la investigación criminal y la </w:t>
      </w:r>
      <w:r w:rsidR="005438E0">
        <w:rPr>
          <w:rFonts w:ascii="Arial" w:hAnsi="Arial" w:cs="Arial"/>
          <w:kern w:val="28"/>
          <w:sz w:val="22"/>
          <w:szCs w:val="22"/>
        </w:rPr>
        <w:t xml:space="preserve">resolución de casos </w:t>
      </w:r>
      <w:r w:rsidRPr="00DF0502">
        <w:rPr>
          <w:rFonts w:ascii="Arial" w:hAnsi="Arial" w:cs="Arial"/>
          <w:kern w:val="28"/>
          <w:sz w:val="22"/>
          <w:szCs w:val="22"/>
        </w:rPr>
        <w:t>de homicidios</w:t>
      </w:r>
      <w:r w:rsidR="005438E0">
        <w:rPr>
          <w:rFonts w:ascii="Arial" w:hAnsi="Arial" w:cs="Arial"/>
          <w:kern w:val="28"/>
          <w:sz w:val="22"/>
          <w:szCs w:val="22"/>
        </w:rPr>
        <w:t>.</w:t>
      </w:r>
    </w:p>
    <w:p w14:paraId="34A04635" w14:textId="77777777" w:rsidR="009C721F" w:rsidRDefault="009C721F" w:rsidP="009C721F">
      <w:pPr>
        <w:pStyle w:val="Paragraph"/>
        <w:numPr>
          <w:ilvl w:val="0"/>
          <w:numId w:val="0"/>
        </w:numPr>
        <w:spacing w:before="0" w:after="0"/>
        <w:ind w:left="567"/>
        <w:rPr>
          <w:rFonts w:ascii="Arial" w:hAnsi="Arial" w:cs="Arial"/>
          <w:kern w:val="28"/>
          <w:sz w:val="22"/>
          <w:szCs w:val="22"/>
        </w:rPr>
      </w:pPr>
    </w:p>
    <w:p w14:paraId="03B226D0" w14:textId="77777777" w:rsidR="009C721F" w:rsidRPr="00C94B0A" w:rsidRDefault="009C721F">
      <w:pPr>
        <w:pStyle w:val="ListParagraph"/>
        <w:numPr>
          <w:ilvl w:val="0"/>
          <w:numId w:val="20"/>
        </w:numPr>
        <w:spacing w:after="0" w:line="240" w:lineRule="auto"/>
        <w:ind w:left="990" w:hanging="450"/>
        <w:jc w:val="both"/>
        <w:rPr>
          <w:rFonts w:ascii="Arial" w:eastAsia="Times New Roman" w:hAnsi="Arial" w:cs="Arial"/>
          <w:color w:val="000000"/>
          <w:lang w:val="es-MX"/>
        </w:rPr>
      </w:pPr>
      <w:r w:rsidRPr="00946B52">
        <w:rPr>
          <w:rFonts w:ascii="Arial" w:hAnsi="Arial" w:cs="Arial"/>
          <w:lang w:val="es-MX"/>
        </w:rPr>
        <w:t xml:space="preserve">Se </w:t>
      </w:r>
      <w:r w:rsidR="005438E0">
        <w:rPr>
          <w:rFonts w:ascii="Arial" w:hAnsi="Arial" w:cs="Arial"/>
          <w:lang w:val="es-MX"/>
        </w:rPr>
        <w:t xml:space="preserve">reducirán los gastos policiales </w:t>
      </w:r>
      <w:r w:rsidR="00B46740">
        <w:rPr>
          <w:rFonts w:ascii="Arial" w:hAnsi="Arial" w:cs="Arial"/>
          <w:lang w:val="es-MX"/>
        </w:rPr>
        <w:t xml:space="preserve">derivados de la mora investigativa </w:t>
      </w:r>
      <w:r w:rsidR="005438E0">
        <w:rPr>
          <w:rFonts w:ascii="Arial" w:hAnsi="Arial" w:cs="Arial"/>
          <w:lang w:val="es-MX"/>
        </w:rPr>
        <w:t>y almacenamiento de expedientes</w:t>
      </w:r>
      <w:r w:rsidR="00B46740">
        <w:rPr>
          <w:rFonts w:ascii="Arial" w:hAnsi="Arial" w:cs="Arial"/>
          <w:lang w:val="es-MX"/>
        </w:rPr>
        <w:t>,</w:t>
      </w:r>
      <w:r w:rsidR="005438E0">
        <w:rPr>
          <w:rFonts w:ascii="Arial" w:hAnsi="Arial" w:cs="Arial"/>
          <w:lang w:val="es-MX"/>
        </w:rPr>
        <w:t xml:space="preserve"> de acuerdo a los efectos descritos en la Tabla 13. </w:t>
      </w:r>
      <w:r w:rsidR="00B46740" w:rsidRPr="00BD0615">
        <w:rPr>
          <w:rFonts w:ascii="Arial" w:eastAsia="Times New Roman" w:hAnsi="Arial" w:cs="Arial"/>
          <w:color w:val="000000"/>
          <w:lang w:val="es-MX"/>
        </w:rPr>
        <w:t>Los beneficios anuales se presentan en la Tabla 1</w:t>
      </w:r>
      <w:r w:rsidR="00B46740">
        <w:rPr>
          <w:rFonts w:ascii="Arial" w:eastAsia="Times New Roman" w:hAnsi="Arial" w:cs="Arial"/>
          <w:color w:val="000000"/>
          <w:lang w:val="es-MX"/>
        </w:rPr>
        <w:t>4</w:t>
      </w:r>
      <w:r w:rsidR="00B46740" w:rsidRPr="00BD0615">
        <w:rPr>
          <w:rFonts w:ascii="Arial" w:eastAsia="Times New Roman" w:hAnsi="Arial" w:cs="Arial"/>
          <w:color w:val="000000"/>
          <w:lang w:val="es-MX"/>
        </w:rPr>
        <w:t>.</w:t>
      </w:r>
      <w:r w:rsidR="00B46740">
        <w:rPr>
          <w:rFonts w:ascii="Arial" w:eastAsia="Times New Roman" w:hAnsi="Arial" w:cs="Arial"/>
          <w:color w:val="000000"/>
          <w:lang w:val="es-MX"/>
        </w:rPr>
        <w:t xml:space="preserve"> </w:t>
      </w:r>
      <w:r w:rsidR="005438E0">
        <w:rPr>
          <w:rFonts w:ascii="Arial" w:hAnsi="Arial" w:cs="Arial"/>
          <w:lang w:val="es-MX"/>
        </w:rPr>
        <w:t>Los beneficios</w:t>
      </w:r>
      <w:r w:rsidR="00B46740">
        <w:rPr>
          <w:rFonts w:ascii="Arial" w:hAnsi="Arial" w:cs="Arial"/>
          <w:lang w:val="es-MX"/>
        </w:rPr>
        <w:t xml:space="preserve"> directos a obtenerse</w:t>
      </w:r>
      <w:r w:rsidR="005438E0">
        <w:rPr>
          <w:rFonts w:ascii="Arial" w:hAnsi="Arial" w:cs="Arial"/>
          <w:lang w:val="es-MX"/>
        </w:rPr>
        <w:t xml:space="preserve"> </w:t>
      </w:r>
      <w:r w:rsidR="00B46740">
        <w:rPr>
          <w:rFonts w:ascii="Arial" w:hAnsi="Arial" w:cs="Arial"/>
          <w:lang w:val="es-MX"/>
        </w:rPr>
        <w:t xml:space="preserve">por la </w:t>
      </w:r>
      <w:r w:rsidR="005438E0">
        <w:rPr>
          <w:rFonts w:ascii="Arial" w:hAnsi="Arial" w:cs="Arial"/>
          <w:lang w:val="es-MX"/>
        </w:rPr>
        <w:t>reducción de homicidios están incluidos en el componente 2.</w:t>
      </w:r>
      <w:r w:rsidR="00CC0DF4">
        <w:rPr>
          <w:rFonts w:ascii="Arial" w:hAnsi="Arial" w:cs="Arial"/>
          <w:lang w:val="es-MX"/>
        </w:rPr>
        <w:t xml:space="preserve"> </w:t>
      </w:r>
    </w:p>
    <w:p w14:paraId="6487BEF2" w14:textId="77777777" w:rsidR="009C721F" w:rsidRPr="00946B52" w:rsidRDefault="009C721F" w:rsidP="009C721F">
      <w:pPr>
        <w:spacing w:after="0" w:line="240" w:lineRule="auto"/>
        <w:jc w:val="both"/>
        <w:rPr>
          <w:rFonts w:ascii="Arial" w:eastAsia="Times New Roman" w:hAnsi="Arial" w:cs="Arial"/>
          <w:color w:val="000000"/>
          <w:lang w:val="es-MX"/>
        </w:rPr>
      </w:pPr>
    </w:p>
    <w:p w14:paraId="46B52B65" w14:textId="77777777" w:rsidR="009C721F" w:rsidRPr="00946B52" w:rsidRDefault="009C721F" w:rsidP="009C721F">
      <w:pPr>
        <w:spacing w:after="0" w:line="240" w:lineRule="auto"/>
        <w:jc w:val="both"/>
        <w:rPr>
          <w:rFonts w:ascii="Arial" w:eastAsia="Times New Roman" w:hAnsi="Arial" w:cs="Arial"/>
          <w:b/>
          <w:color w:val="000000"/>
          <w:lang w:val="es-MX"/>
        </w:rPr>
      </w:pPr>
      <w:r w:rsidRPr="00946B52">
        <w:rPr>
          <w:rFonts w:ascii="Arial" w:eastAsia="Times New Roman" w:hAnsi="Arial" w:cs="Arial"/>
          <w:b/>
          <w:color w:val="000000"/>
          <w:lang w:val="es-MX"/>
        </w:rPr>
        <w:t xml:space="preserve">Tabla </w:t>
      </w:r>
      <w:r>
        <w:rPr>
          <w:rFonts w:ascii="Arial" w:eastAsia="Times New Roman" w:hAnsi="Arial" w:cs="Arial"/>
          <w:b/>
          <w:color w:val="000000"/>
          <w:lang w:val="es-MX"/>
        </w:rPr>
        <w:t>1</w:t>
      </w:r>
      <w:r w:rsidR="0085613A">
        <w:rPr>
          <w:rFonts w:ascii="Arial" w:eastAsia="Times New Roman" w:hAnsi="Arial" w:cs="Arial"/>
          <w:b/>
          <w:color w:val="000000"/>
          <w:lang w:val="es-MX"/>
        </w:rPr>
        <w:t>4</w:t>
      </w:r>
      <w:r w:rsidRPr="00946B52">
        <w:rPr>
          <w:rFonts w:ascii="Arial" w:eastAsia="Times New Roman" w:hAnsi="Arial" w:cs="Arial"/>
          <w:b/>
          <w:color w:val="000000"/>
          <w:lang w:val="es-MX"/>
        </w:rPr>
        <w:t>. Beneficios</w:t>
      </w:r>
    </w:p>
    <w:tbl>
      <w:tblPr>
        <w:tblStyle w:val="TableGrid"/>
        <w:tblW w:w="8545" w:type="dxa"/>
        <w:tblLook w:val="04A0" w:firstRow="1" w:lastRow="0" w:firstColumn="1" w:lastColumn="0" w:noHBand="0" w:noVBand="1"/>
      </w:tblPr>
      <w:tblGrid>
        <w:gridCol w:w="3325"/>
        <w:gridCol w:w="5220"/>
      </w:tblGrid>
      <w:tr w:rsidR="009C721F" w:rsidRPr="00946B52" w14:paraId="504EF60D" w14:textId="77777777" w:rsidTr="00050402">
        <w:trPr>
          <w:trHeight w:val="364"/>
        </w:trPr>
        <w:tc>
          <w:tcPr>
            <w:tcW w:w="3325" w:type="dxa"/>
          </w:tcPr>
          <w:p w14:paraId="2F4EA798" w14:textId="77777777" w:rsidR="009C721F" w:rsidRPr="00946B52" w:rsidRDefault="009C721F" w:rsidP="00050402">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Beneficios año 4</w:t>
            </w:r>
            <w:r>
              <w:rPr>
                <w:rFonts w:ascii="Arial" w:eastAsia="Times New Roman" w:hAnsi="Arial" w:cs="Arial"/>
                <w:color w:val="000000"/>
                <w:lang w:val="es-MX"/>
              </w:rPr>
              <w:t xml:space="preserve"> </w:t>
            </w:r>
          </w:p>
        </w:tc>
        <w:tc>
          <w:tcPr>
            <w:tcW w:w="5220" w:type="dxa"/>
          </w:tcPr>
          <w:p w14:paraId="77804D41" w14:textId="77777777" w:rsidR="009C721F" w:rsidRPr="00EA354B" w:rsidRDefault="004C0907" w:rsidP="00050402">
            <w:pPr>
              <w:spacing w:after="0" w:line="240" w:lineRule="auto"/>
              <w:jc w:val="both"/>
              <w:rPr>
                <w:rFonts w:eastAsia="Times New Roman" w:cs="Calibri"/>
                <w:color w:val="000000"/>
                <w:sz w:val="24"/>
                <w:szCs w:val="24"/>
              </w:rPr>
            </w:pPr>
            <w:r w:rsidRPr="004C0907">
              <w:rPr>
                <w:rFonts w:ascii="Arial" w:hAnsi="Arial" w:cs="Arial"/>
                <w:color w:val="000000"/>
                <w:lang w:val="es-MX"/>
              </w:rPr>
              <w:t>21</w:t>
            </w:r>
            <w:r w:rsidR="00EB3E9D">
              <w:rPr>
                <w:rFonts w:ascii="Arial" w:hAnsi="Arial" w:cs="Arial"/>
                <w:color w:val="000000"/>
                <w:lang w:val="es-MX"/>
              </w:rPr>
              <w:t>,</w:t>
            </w:r>
            <w:r w:rsidRPr="004C0907">
              <w:rPr>
                <w:rFonts w:ascii="Arial" w:hAnsi="Arial" w:cs="Arial"/>
                <w:color w:val="000000"/>
                <w:lang w:val="es-MX"/>
              </w:rPr>
              <w:t>412</w:t>
            </w:r>
            <w:r w:rsidR="00EB3E9D">
              <w:rPr>
                <w:rFonts w:ascii="Arial" w:hAnsi="Arial" w:cs="Arial"/>
                <w:color w:val="000000"/>
                <w:lang w:val="es-MX"/>
              </w:rPr>
              <w:t>,</w:t>
            </w:r>
            <w:r w:rsidRPr="004C0907">
              <w:rPr>
                <w:rFonts w:ascii="Arial" w:hAnsi="Arial" w:cs="Arial"/>
                <w:color w:val="000000"/>
                <w:lang w:val="es-MX"/>
              </w:rPr>
              <w:t>696.3425</w:t>
            </w:r>
            <w:r w:rsidR="009C721F" w:rsidRPr="00946B52">
              <w:rPr>
                <w:rFonts w:ascii="Arial" w:eastAsia="Times New Roman" w:hAnsi="Arial" w:cs="Arial"/>
                <w:color w:val="000000"/>
              </w:rPr>
              <w:t>*(.</w:t>
            </w:r>
            <w:r w:rsidR="00B46740">
              <w:rPr>
                <w:rFonts w:ascii="Arial" w:eastAsia="Times New Roman" w:hAnsi="Arial" w:cs="Arial"/>
                <w:color w:val="000000"/>
              </w:rPr>
              <w:t>0</w:t>
            </w:r>
            <w:r>
              <w:rPr>
                <w:rFonts w:ascii="Arial" w:eastAsia="Times New Roman" w:hAnsi="Arial" w:cs="Arial"/>
                <w:color w:val="000000"/>
              </w:rPr>
              <w:t>4</w:t>
            </w:r>
            <w:r w:rsidR="00B46740">
              <w:rPr>
                <w:rFonts w:ascii="Arial" w:eastAsia="Times New Roman" w:hAnsi="Arial" w:cs="Arial"/>
                <w:color w:val="000000"/>
              </w:rPr>
              <w:t>82</w:t>
            </w:r>
            <w:r w:rsidR="009C721F" w:rsidRPr="00946B52">
              <w:rPr>
                <w:rFonts w:ascii="Arial" w:eastAsia="Times New Roman" w:hAnsi="Arial" w:cs="Arial"/>
                <w:color w:val="000000"/>
              </w:rPr>
              <w:t>) =</w:t>
            </w:r>
            <w:r w:rsidR="009C721F" w:rsidRPr="00946B52">
              <w:rPr>
                <w:rFonts w:ascii="Arial" w:hAnsi="Arial" w:cs="Arial"/>
                <w:color w:val="000000"/>
              </w:rPr>
              <w:t xml:space="preserve"> </w:t>
            </w:r>
            <w:r w:rsidR="00B46740" w:rsidRPr="00B46740">
              <w:rPr>
                <w:rFonts w:eastAsia="Times New Roman" w:cs="Calibri"/>
                <w:color w:val="000000"/>
                <w:sz w:val="24"/>
                <w:szCs w:val="24"/>
              </w:rPr>
              <w:t>1</w:t>
            </w:r>
            <w:r w:rsidR="00B46740">
              <w:rPr>
                <w:rFonts w:eastAsia="Times New Roman" w:cs="Calibri"/>
                <w:color w:val="000000"/>
                <w:sz w:val="24"/>
                <w:szCs w:val="24"/>
              </w:rPr>
              <w:t>,</w:t>
            </w:r>
            <w:r w:rsidR="00B46740" w:rsidRPr="00B46740">
              <w:rPr>
                <w:rFonts w:eastAsia="Times New Roman" w:cs="Calibri"/>
                <w:color w:val="000000"/>
                <w:sz w:val="24"/>
                <w:szCs w:val="24"/>
              </w:rPr>
              <w:t>032</w:t>
            </w:r>
            <w:r w:rsidR="00B46740">
              <w:rPr>
                <w:rFonts w:eastAsia="Times New Roman" w:cs="Calibri"/>
                <w:color w:val="000000"/>
                <w:sz w:val="24"/>
                <w:szCs w:val="24"/>
              </w:rPr>
              <w:t>,</w:t>
            </w:r>
            <w:r w:rsidR="00B46740" w:rsidRPr="00B46740">
              <w:rPr>
                <w:rFonts w:eastAsia="Times New Roman" w:cs="Calibri"/>
                <w:color w:val="000000"/>
                <w:sz w:val="24"/>
                <w:szCs w:val="24"/>
              </w:rPr>
              <w:t>091.96</w:t>
            </w:r>
          </w:p>
          <w:p w14:paraId="1020AB0E" w14:textId="77777777" w:rsidR="009C721F" w:rsidRPr="00946B52" w:rsidRDefault="009C721F" w:rsidP="00050402">
            <w:pPr>
              <w:spacing w:after="0" w:line="240" w:lineRule="auto"/>
              <w:jc w:val="both"/>
              <w:rPr>
                <w:rFonts w:ascii="Arial" w:eastAsia="Times New Roman" w:hAnsi="Arial" w:cs="Arial"/>
                <w:color w:val="000000"/>
              </w:rPr>
            </w:pPr>
          </w:p>
        </w:tc>
      </w:tr>
      <w:tr w:rsidR="009C721F" w:rsidRPr="00946B52" w14:paraId="4B7F654B" w14:textId="77777777" w:rsidTr="00050402">
        <w:tc>
          <w:tcPr>
            <w:tcW w:w="3325" w:type="dxa"/>
          </w:tcPr>
          <w:p w14:paraId="004232E2" w14:textId="77777777" w:rsidR="009C721F" w:rsidRPr="00946B52" w:rsidRDefault="009C721F" w:rsidP="00050402">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 xml:space="preserve">Beneficios año 5 </w:t>
            </w:r>
          </w:p>
        </w:tc>
        <w:tc>
          <w:tcPr>
            <w:tcW w:w="5220" w:type="dxa"/>
          </w:tcPr>
          <w:p w14:paraId="06A6B9A2" w14:textId="77777777" w:rsidR="004C0907" w:rsidRPr="00EA354B" w:rsidRDefault="004C0907" w:rsidP="004C0907">
            <w:pPr>
              <w:spacing w:after="0" w:line="240" w:lineRule="auto"/>
              <w:jc w:val="both"/>
              <w:rPr>
                <w:rFonts w:eastAsia="Times New Roman" w:cs="Calibri"/>
                <w:color w:val="000000"/>
                <w:sz w:val="24"/>
                <w:szCs w:val="24"/>
              </w:rPr>
            </w:pPr>
            <w:r w:rsidRPr="004C0907">
              <w:rPr>
                <w:rFonts w:ascii="Arial" w:hAnsi="Arial" w:cs="Arial"/>
                <w:color w:val="000000"/>
                <w:lang w:val="es-MX"/>
              </w:rPr>
              <w:t>21</w:t>
            </w:r>
            <w:r w:rsidR="00EB3E9D">
              <w:rPr>
                <w:rFonts w:ascii="Arial" w:hAnsi="Arial" w:cs="Arial"/>
                <w:color w:val="000000"/>
                <w:lang w:val="es-MX"/>
              </w:rPr>
              <w:t>,</w:t>
            </w:r>
            <w:r w:rsidRPr="004C0907">
              <w:rPr>
                <w:rFonts w:ascii="Arial" w:hAnsi="Arial" w:cs="Arial"/>
                <w:color w:val="000000"/>
                <w:lang w:val="es-MX"/>
              </w:rPr>
              <w:t>412</w:t>
            </w:r>
            <w:r w:rsidR="00EB3E9D">
              <w:rPr>
                <w:rFonts w:ascii="Arial" w:hAnsi="Arial" w:cs="Arial"/>
                <w:color w:val="000000"/>
                <w:lang w:val="es-MX"/>
              </w:rPr>
              <w:t>,</w:t>
            </w:r>
            <w:r w:rsidRPr="004C0907">
              <w:rPr>
                <w:rFonts w:ascii="Arial" w:hAnsi="Arial" w:cs="Arial"/>
                <w:color w:val="000000"/>
                <w:lang w:val="es-MX"/>
              </w:rPr>
              <w:t>696.3425</w:t>
            </w:r>
            <w:r w:rsidRPr="00946B52">
              <w:rPr>
                <w:rFonts w:ascii="Arial" w:eastAsia="Times New Roman" w:hAnsi="Arial" w:cs="Arial"/>
                <w:color w:val="000000"/>
              </w:rPr>
              <w:t>*(</w:t>
            </w:r>
            <w:r>
              <w:rPr>
                <w:rFonts w:ascii="Arial" w:eastAsia="Times New Roman" w:hAnsi="Arial" w:cs="Arial"/>
                <w:color w:val="000000"/>
              </w:rPr>
              <w:t>.</w:t>
            </w:r>
            <w:r w:rsidR="00B46740">
              <w:rPr>
                <w:rFonts w:ascii="Arial" w:eastAsia="Times New Roman" w:hAnsi="Arial" w:cs="Arial"/>
                <w:color w:val="000000"/>
              </w:rPr>
              <w:t>1452</w:t>
            </w:r>
            <w:r w:rsidRPr="00946B52">
              <w:rPr>
                <w:rFonts w:ascii="Arial" w:eastAsia="Times New Roman" w:hAnsi="Arial" w:cs="Arial"/>
                <w:color w:val="000000"/>
              </w:rPr>
              <w:t>) =</w:t>
            </w:r>
            <w:r w:rsidRPr="00946B52">
              <w:rPr>
                <w:rFonts w:ascii="Arial" w:hAnsi="Arial" w:cs="Arial"/>
                <w:color w:val="000000"/>
              </w:rPr>
              <w:t xml:space="preserve"> </w:t>
            </w:r>
            <w:r w:rsidR="00B46740" w:rsidRPr="00B46740">
              <w:rPr>
                <w:rFonts w:eastAsia="Times New Roman" w:cs="Calibri"/>
                <w:color w:val="000000"/>
                <w:sz w:val="24"/>
                <w:szCs w:val="24"/>
              </w:rPr>
              <w:t>3</w:t>
            </w:r>
            <w:r w:rsidR="00B46740">
              <w:rPr>
                <w:rFonts w:eastAsia="Times New Roman" w:cs="Calibri"/>
                <w:color w:val="000000"/>
                <w:sz w:val="24"/>
                <w:szCs w:val="24"/>
              </w:rPr>
              <w:t>,</w:t>
            </w:r>
            <w:r w:rsidR="00B46740" w:rsidRPr="00B46740">
              <w:rPr>
                <w:rFonts w:eastAsia="Times New Roman" w:cs="Calibri"/>
                <w:color w:val="000000"/>
                <w:sz w:val="24"/>
                <w:szCs w:val="24"/>
              </w:rPr>
              <w:t>117</w:t>
            </w:r>
            <w:r w:rsidR="00B46740">
              <w:rPr>
                <w:rFonts w:eastAsia="Times New Roman" w:cs="Calibri"/>
                <w:color w:val="000000"/>
                <w:sz w:val="24"/>
                <w:szCs w:val="24"/>
              </w:rPr>
              <w:t>,</w:t>
            </w:r>
            <w:r w:rsidR="00B46740" w:rsidRPr="00B46740">
              <w:rPr>
                <w:rFonts w:eastAsia="Times New Roman" w:cs="Calibri"/>
                <w:color w:val="000000"/>
                <w:sz w:val="24"/>
                <w:szCs w:val="24"/>
              </w:rPr>
              <w:t>688.58</w:t>
            </w:r>
          </w:p>
          <w:p w14:paraId="452C31CD" w14:textId="77777777" w:rsidR="009C721F" w:rsidRPr="00946B52" w:rsidRDefault="009C721F" w:rsidP="00050402">
            <w:pPr>
              <w:spacing w:after="0" w:line="240" w:lineRule="auto"/>
              <w:jc w:val="both"/>
              <w:rPr>
                <w:rFonts w:ascii="Arial" w:eastAsia="Times New Roman" w:hAnsi="Arial" w:cs="Arial"/>
                <w:color w:val="000000"/>
                <w:lang w:val="es-MX"/>
              </w:rPr>
            </w:pPr>
          </w:p>
        </w:tc>
      </w:tr>
      <w:tr w:rsidR="009C721F" w:rsidRPr="00946B52" w14:paraId="6F20D73C" w14:textId="77777777" w:rsidTr="00050402">
        <w:tc>
          <w:tcPr>
            <w:tcW w:w="3325" w:type="dxa"/>
          </w:tcPr>
          <w:p w14:paraId="715DBD71" w14:textId="77777777" w:rsidR="009C721F" w:rsidRPr="00946B52" w:rsidRDefault="009C721F" w:rsidP="00050402">
            <w:pPr>
              <w:spacing w:after="0" w:line="240" w:lineRule="auto"/>
              <w:jc w:val="both"/>
              <w:rPr>
                <w:rFonts w:ascii="Arial" w:eastAsia="Times New Roman" w:hAnsi="Arial" w:cs="Arial"/>
                <w:color w:val="000000"/>
                <w:lang w:val="es-MX"/>
              </w:rPr>
            </w:pPr>
            <w:r w:rsidRPr="00946B52">
              <w:rPr>
                <w:rFonts w:ascii="Arial" w:eastAsia="Times New Roman" w:hAnsi="Arial" w:cs="Arial"/>
                <w:color w:val="000000"/>
                <w:lang w:val="es-MX"/>
              </w:rPr>
              <w:t xml:space="preserve">Beneficios </w:t>
            </w:r>
            <w:r w:rsidR="004C0907">
              <w:rPr>
                <w:rFonts w:ascii="Arial" w:eastAsia="Times New Roman" w:hAnsi="Arial" w:cs="Arial"/>
                <w:color w:val="000000"/>
                <w:lang w:val="es-MX"/>
              </w:rPr>
              <w:t>años posteriores</w:t>
            </w:r>
          </w:p>
        </w:tc>
        <w:tc>
          <w:tcPr>
            <w:tcW w:w="5220" w:type="dxa"/>
          </w:tcPr>
          <w:p w14:paraId="34399808" w14:textId="77777777" w:rsidR="004C0907" w:rsidRPr="00EA354B" w:rsidRDefault="004C0907" w:rsidP="004C0907">
            <w:pPr>
              <w:spacing w:after="0" w:line="240" w:lineRule="auto"/>
              <w:jc w:val="both"/>
              <w:rPr>
                <w:rFonts w:eastAsia="Times New Roman" w:cs="Calibri"/>
                <w:color w:val="000000"/>
                <w:sz w:val="24"/>
                <w:szCs w:val="24"/>
              </w:rPr>
            </w:pPr>
            <w:r w:rsidRPr="004C0907">
              <w:rPr>
                <w:rFonts w:ascii="Arial" w:hAnsi="Arial" w:cs="Arial"/>
                <w:color w:val="000000"/>
                <w:lang w:val="es-MX"/>
              </w:rPr>
              <w:t>21</w:t>
            </w:r>
            <w:r w:rsidR="00EB3E9D">
              <w:rPr>
                <w:rFonts w:ascii="Arial" w:hAnsi="Arial" w:cs="Arial"/>
                <w:color w:val="000000"/>
                <w:lang w:val="es-MX"/>
              </w:rPr>
              <w:t>,</w:t>
            </w:r>
            <w:r w:rsidRPr="004C0907">
              <w:rPr>
                <w:rFonts w:ascii="Arial" w:hAnsi="Arial" w:cs="Arial"/>
                <w:color w:val="000000"/>
                <w:lang w:val="es-MX"/>
              </w:rPr>
              <w:t>412</w:t>
            </w:r>
            <w:r w:rsidR="00EB3E9D">
              <w:rPr>
                <w:rFonts w:ascii="Arial" w:hAnsi="Arial" w:cs="Arial"/>
                <w:color w:val="000000"/>
                <w:lang w:val="es-MX"/>
              </w:rPr>
              <w:t>,</w:t>
            </w:r>
            <w:r w:rsidRPr="004C0907">
              <w:rPr>
                <w:rFonts w:ascii="Arial" w:hAnsi="Arial" w:cs="Arial"/>
                <w:color w:val="000000"/>
                <w:lang w:val="es-MX"/>
              </w:rPr>
              <w:t>696.3425</w:t>
            </w:r>
            <w:r w:rsidRPr="00946B52">
              <w:rPr>
                <w:rFonts w:ascii="Arial" w:eastAsia="Times New Roman" w:hAnsi="Arial" w:cs="Arial"/>
                <w:color w:val="000000"/>
              </w:rPr>
              <w:t>*(.</w:t>
            </w:r>
            <w:r w:rsidR="00B46740">
              <w:rPr>
                <w:rFonts w:ascii="Arial" w:eastAsia="Times New Roman" w:hAnsi="Arial" w:cs="Arial"/>
                <w:color w:val="000000"/>
              </w:rPr>
              <w:t>0</w:t>
            </w:r>
            <w:r>
              <w:rPr>
                <w:rFonts w:ascii="Arial" w:eastAsia="Times New Roman" w:hAnsi="Arial" w:cs="Arial"/>
                <w:color w:val="000000"/>
              </w:rPr>
              <w:t>936</w:t>
            </w:r>
            <w:r w:rsidRPr="00946B52">
              <w:rPr>
                <w:rFonts w:ascii="Arial" w:eastAsia="Times New Roman" w:hAnsi="Arial" w:cs="Arial"/>
                <w:color w:val="000000"/>
              </w:rPr>
              <w:t>) =</w:t>
            </w:r>
            <w:r w:rsidRPr="00946B52">
              <w:rPr>
                <w:rFonts w:ascii="Arial" w:hAnsi="Arial" w:cs="Arial"/>
                <w:color w:val="000000"/>
              </w:rPr>
              <w:t xml:space="preserve"> </w:t>
            </w:r>
            <w:r w:rsidR="00B46740" w:rsidRPr="00B46740">
              <w:rPr>
                <w:rFonts w:eastAsia="Times New Roman" w:cs="Calibri"/>
                <w:color w:val="000000"/>
                <w:sz w:val="24"/>
                <w:szCs w:val="24"/>
              </w:rPr>
              <w:t>2</w:t>
            </w:r>
            <w:r w:rsidR="00B46740">
              <w:rPr>
                <w:rFonts w:eastAsia="Times New Roman" w:cs="Calibri"/>
                <w:color w:val="000000"/>
                <w:sz w:val="24"/>
                <w:szCs w:val="24"/>
              </w:rPr>
              <w:t>,</w:t>
            </w:r>
            <w:r w:rsidR="00B46740" w:rsidRPr="00B46740">
              <w:rPr>
                <w:rFonts w:eastAsia="Times New Roman" w:cs="Calibri"/>
                <w:color w:val="000000"/>
                <w:sz w:val="24"/>
                <w:szCs w:val="24"/>
              </w:rPr>
              <w:t>004</w:t>
            </w:r>
            <w:r w:rsidR="00B46740">
              <w:rPr>
                <w:rFonts w:eastAsia="Times New Roman" w:cs="Calibri"/>
                <w:color w:val="000000"/>
                <w:sz w:val="24"/>
                <w:szCs w:val="24"/>
              </w:rPr>
              <w:t>,</w:t>
            </w:r>
            <w:r w:rsidR="00B46740" w:rsidRPr="00B46740">
              <w:rPr>
                <w:rFonts w:eastAsia="Times New Roman" w:cs="Calibri"/>
                <w:color w:val="000000"/>
                <w:sz w:val="24"/>
                <w:szCs w:val="24"/>
              </w:rPr>
              <w:t>228.37</w:t>
            </w:r>
          </w:p>
          <w:p w14:paraId="208A27AD" w14:textId="77777777" w:rsidR="009C721F" w:rsidRDefault="009C721F" w:rsidP="00050402">
            <w:pPr>
              <w:spacing w:after="0" w:line="240" w:lineRule="auto"/>
              <w:jc w:val="both"/>
              <w:rPr>
                <w:rFonts w:ascii="Arial" w:hAnsi="Arial" w:cs="Arial"/>
                <w:color w:val="000000"/>
                <w:lang w:val="es-MX"/>
              </w:rPr>
            </w:pPr>
          </w:p>
        </w:tc>
      </w:tr>
    </w:tbl>
    <w:p w14:paraId="59EE0C43" w14:textId="77777777" w:rsidR="008C2137" w:rsidRPr="00DF0502" w:rsidRDefault="008C2137" w:rsidP="00DF0502">
      <w:pPr>
        <w:spacing w:after="0" w:line="240" w:lineRule="auto"/>
        <w:jc w:val="both"/>
        <w:rPr>
          <w:rFonts w:ascii="Arial" w:hAnsi="Arial" w:cs="Arial"/>
          <w:lang w:val="es-ES"/>
        </w:rPr>
      </w:pPr>
    </w:p>
    <w:p w14:paraId="1C593CBC" w14:textId="77777777" w:rsidR="00A677FA" w:rsidRPr="00DF0502" w:rsidRDefault="00A677FA" w:rsidP="00A677FA">
      <w:pPr>
        <w:pStyle w:val="Paragraph"/>
        <w:numPr>
          <w:ilvl w:val="1"/>
          <w:numId w:val="1"/>
        </w:numPr>
        <w:spacing w:before="0" w:after="0"/>
        <w:rPr>
          <w:rFonts w:ascii="Arial" w:hAnsi="Arial" w:cs="Arial"/>
          <w:kern w:val="28"/>
          <w:sz w:val="22"/>
          <w:szCs w:val="22"/>
        </w:rPr>
      </w:pPr>
      <w:r w:rsidRPr="00DF0502">
        <w:rPr>
          <w:rFonts w:ascii="Arial" w:hAnsi="Arial" w:cs="Arial"/>
          <w:kern w:val="28"/>
          <w:sz w:val="22"/>
          <w:szCs w:val="22"/>
        </w:rPr>
        <w:t>Luego, esta fórmula será replicada para cada año aplicándose sobre ella una tasa de descuento del 12%. Para estimar los beneficios totales se debe tener en cuenta el supuesto de 20 años durante los cuales se consideran los efectos del subcomponente. Sin embargo, a efectos de obtener el valor actual, debe tenerse en cuenta la tasa utilizada por el BID del 12%, lo que nos lleva a que los beneficios totales se deberían calcular mediante la siguiente fórmula:</w:t>
      </w:r>
    </w:p>
    <w:p w14:paraId="267BBC55" w14:textId="77777777" w:rsidR="00A677FA" w:rsidRPr="00DF0502" w:rsidRDefault="005E2C3D" w:rsidP="00A677FA">
      <w:pPr>
        <w:spacing w:after="0" w:line="240" w:lineRule="auto"/>
        <w:ind w:left="567" w:hanging="567"/>
        <w:jc w:val="both"/>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B</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73F4E005" w14:textId="32C77C85" w:rsidR="00A677FA" w:rsidRPr="00DF0502" w:rsidRDefault="00A677FA" w:rsidP="00A677FA">
      <w:pPr>
        <w:pStyle w:val="Paragraph"/>
        <w:numPr>
          <w:ilvl w:val="0"/>
          <w:numId w:val="0"/>
        </w:numPr>
        <w:spacing w:before="0" w:after="0"/>
        <w:ind w:left="567"/>
        <w:rPr>
          <w:rFonts w:ascii="Arial" w:eastAsia="Calibri" w:hAnsi="Arial" w:cs="Arial"/>
          <w:sz w:val="22"/>
          <w:szCs w:val="22"/>
        </w:rPr>
      </w:pPr>
      <w:r w:rsidRPr="00DF0502">
        <w:rPr>
          <w:rFonts w:ascii="Arial" w:hAnsi="Arial" w:cs="Arial"/>
          <w:sz w:val="22"/>
          <w:szCs w:val="22"/>
        </w:rPr>
        <w:t xml:space="preserve">donde </w:t>
      </w:r>
      <m:oMath>
        <m:r>
          <w:rPr>
            <w:rFonts w:ascii="Cambria Math" w:hAnsi="Cambria Math" w:cs="Arial"/>
            <w:sz w:val="22"/>
            <w:szCs w:val="22"/>
          </w:rPr>
          <m:t>I</m:t>
        </m:r>
      </m:oMath>
      <w:r w:rsidRPr="00DF0502">
        <w:rPr>
          <w:rFonts w:ascii="Arial" w:hAnsi="Arial" w:cs="Arial"/>
          <w:i/>
          <w:sz w:val="22"/>
          <w:szCs w:val="22"/>
        </w:rPr>
        <w:t xml:space="preserve"> </w:t>
      </w:r>
      <w:r w:rsidRPr="00DF0502">
        <w:rPr>
          <w:rFonts w:ascii="Arial" w:hAnsi="Arial" w:cs="Arial"/>
          <w:sz w:val="22"/>
          <w:szCs w:val="22"/>
        </w:rPr>
        <w:t>se</w:t>
      </w:r>
      <w:r w:rsidRPr="00DF0502">
        <w:rPr>
          <w:rFonts w:ascii="Arial" w:hAnsi="Arial" w:cs="Arial"/>
          <w:i/>
          <w:sz w:val="22"/>
          <w:szCs w:val="22"/>
        </w:rPr>
        <w:t xml:space="preserve"> </w:t>
      </w:r>
      <w:r w:rsidRPr="00DF0502">
        <w:rPr>
          <w:rFonts w:ascii="Arial" w:hAnsi="Arial" w:cs="Arial"/>
          <w:sz w:val="22"/>
          <w:szCs w:val="22"/>
        </w:rPr>
        <w:t>refiere a que los beneficios son generados por el Componente I</w:t>
      </w:r>
      <w:r w:rsidR="003613FB">
        <w:rPr>
          <w:rFonts w:ascii="Arial" w:hAnsi="Arial" w:cs="Arial"/>
          <w:sz w:val="22"/>
          <w:szCs w:val="22"/>
        </w:rPr>
        <w:t>I</w:t>
      </w:r>
      <w:r w:rsidRPr="00DF0502">
        <w:rPr>
          <w:rFonts w:ascii="Arial" w:hAnsi="Arial" w:cs="Arial"/>
          <w:sz w:val="22"/>
          <w:szCs w:val="22"/>
        </w:rPr>
        <w:t xml:space="preserve">I, </w:t>
      </w:r>
      <m:oMath>
        <m:r>
          <w:rPr>
            <w:rFonts w:ascii="Cambria Math" w:hAnsi="Cambria Math" w:cs="Arial"/>
            <w:sz w:val="22"/>
            <w:szCs w:val="22"/>
          </w:rPr>
          <m:t>B</m:t>
        </m:r>
      </m:oMath>
      <w:r w:rsidRPr="00DF0502">
        <w:rPr>
          <w:rFonts w:ascii="Arial" w:hAnsi="Arial" w:cs="Arial"/>
          <w:sz w:val="22"/>
          <w:szCs w:val="22"/>
        </w:rPr>
        <w:t xml:space="preserve"> denota los beneficios y </w:t>
      </w:r>
      <m:oMath>
        <m:r>
          <w:rPr>
            <w:rFonts w:ascii="Cambria Math" w:hAnsi="Cambria Math" w:cs="Arial"/>
            <w:sz w:val="22"/>
            <w:szCs w:val="22"/>
          </w:rPr>
          <m:t>t</m:t>
        </m:r>
      </m:oMath>
      <w:r w:rsidRPr="00DF0502">
        <w:rPr>
          <w:rFonts w:ascii="Arial" w:hAnsi="Arial" w:cs="Arial"/>
          <w:sz w:val="22"/>
          <w:szCs w:val="22"/>
        </w:rPr>
        <w:t xml:space="preserve"> indica el año corriente.</w:t>
      </w:r>
    </w:p>
    <w:p w14:paraId="69DD836D" w14:textId="77777777" w:rsidR="00A677FA" w:rsidRPr="00DF0502" w:rsidRDefault="00A677FA" w:rsidP="00A677FA">
      <w:pPr>
        <w:pStyle w:val="Paragraph"/>
        <w:numPr>
          <w:ilvl w:val="1"/>
          <w:numId w:val="1"/>
        </w:numPr>
        <w:spacing w:before="0" w:after="0"/>
        <w:rPr>
          <w:rFonts w:ascii="Arial" w:hAnsi="Arial" w:cs="Arial"/>
          <w:sz w:val="22"/>
          <w:szCs w:val="22"/>
        </w:rPr>
      </w:pPr>
      <w:r w:rsidRPr="00DF0502">
        <w:rPr>
          <w:rFonts w:ascii="Arial" w:hAnsi="Arial" w:cs="Arial"/>
          <w:sz w:val="22"/>
          <w:szCs w:val="22"/>
        </w:rPr>
        <w:t>Los costos de operación se calculan como el valor presente del flujo de gastos del proyecto. La fórmula utilizada es:</w:t>
      </w:r>
    </w:p>
    <w:p w14:paraId="7207E1A2" w14:textId="77777777" w:rsidR="00A677FA" w:rsidRPr="00DF0502" w:rsidRDefault="005E2C3D" w:rsidP="00A677FA">
      <w:pPr>
        <w:spacing w:after="0" w:line="240" w:lineRule="auto"/>
        <w:ind w:left="567" w:hanging="567"/>
        <w:jc w:val="center"/>
        <w:rPr>
          <w:rFonts w:ascii="Arial" w:hAnsi="Arial" w:cs="Arial"/>
          <w:lang w:val="es-ES"/>
        </w:rPr>
      </w:pPr>
      <m:oMathPara>
        <m:oMath>
          <m:sSub>
            <m:sSubPr>
              <m:ctrlPr>
                <w:rPr>
                  <w:rFonts w:ascii="Cambria Math" w:hAnsi="Cambria Math" w:cs="Arial"/>
                  <w:i/>
                  <w:lang w:val="es-ES"/>
                </w:rPr>
              </m:ctrlPr>
            </m:sSubPr>
            <m:e>
              <m:r>
                <w:rPr>
                  <w:rFonts w:ascii="Cambria Math" w:hAnsi="Cambria Math" w:cs="Arial"/>
                  <w:lang w:val="es-ES"/>
                </w:rPr>
                <m:t>Co</m:t>
              </m:r>
            </m:e>
            <m:sub>
              <m:r>
                <w:rPr>
                  <w:rFonts w:ascii="Cambria Math" w:hAnsi="Cambria Math" w:cs="Arial"/>
                  <w:lang w:val="es-ES"/>
                </w:rPr>
                <m:t>i</m:t>
              </m:r>
            </m:sub>
          </m:sSub>
          <m:r>
            <w:rPr>
              <w:rFonts w:ascii="Cambria Math" w:hAnsi="Cambria Math" w:cs="Arial"/>
              <w:lang w:val="es-ES"/>
            </w:rPr>
            <m:t>=</m:t>
          </m:r>
          <m:nary>
            <m:naryPr>
              <m:chr m:val="∑"/>
              <m:limLoc m:val="undOvr"/>
              <m:ctrlPr>
                <w:rPr>
                  <w:rFonts w:ascii="Cambria Math" w:hAnsi="Cambria Math" w:cs="Arial"/>
                  <w:i/>
                  <w:lang w:val="es-ES"/>
                </w:rPr>
              </m:ctrlPr>
            </m:naryPr>
            <m:sub>
              <m:r>
                <w:rPr>
                  <w:rFonts w:ascii="Cambria Math" w:hAnsi="Cambria Math" w:cs="Arial"/>
                  <w:lang w:val="es-ES"/>
                </w:rPr>
                <m:t>t=0</m:t>
              </m:r>
            </m:sub>
            <m:sup>
              <m:r>
                <w:rPr>
                  <w:rFonts w:ascii="Cambria Math" w:hAnsi="Cambria Math" w:cs="Arial"/>
                  <w:lang w:val="es-ES"/>
                </w:rPr>
                <m:t>19</m:t>
              </m:r>
            </m:sup>
            <m:e>
              <m:f>
                <m:fPr>
                  <m:ctrlPr>
                    <w:rPr>
                      <w:rFonts w:ascii="Cambria Math" w:hAnsi="Cambria Math" w:cs="Arial"/>
                      <w:i/>
                      <w:lang w:val="es-ES"/>
                    </w:rPr>
                  </m:ctrlPr>
                </m:fPr>
                <m:num>
                  <m:sSub>
                    <m:sSubPr>
                      <m:ctrlPr>
                        <w:rPr>
                          <w:rFonts w:ascii="Cambria Math" w:hAnsi="Cambria Math" w:cs="Arial"/>
                          <w:i/>
                          <w:lang w:val="es-ES"/>
                        </w:rPr>
                      </m:ctrlPr>
                    </m:sSubPr>
                    <m:e>
                      <m:r>
                        <w:rPr>
                          <w:rFonts w:ascii="Cambria Math" w:hAnsi="Cambria Math" w:cs="Arial"/>
                          <w:lang w:val="es-ES"/>
                        </w:rPr>
                        <m:t>g</m:t>
                      </m:r>
                    </m:e>
                    <m:sub>
                      <m:r>
                        <w:rPr>
                          <w:rFonts w:ascii="Cambria Math" w:hAnsi="Cambria Math" w:cs="Arial"/>
                          <w:lang w:val="es-ES"/>
                        </w:rPr>
                        <m:t>t</m:t>
                      </m:r>
                    </m:sub>
                  </m:sSub>
                </m:num>
                <m:den>
                  <m:sSup>
                    <m:sSupPr>
                      <m:ctrlPr>
                        <w:rPr>
                          <w:rFonts w:ascii="Cambria Math" w:hAnsi="Cambria Math" w:cs="Arial"/>
                          <w:i/>
                          <w:lang w:val="es-ES"/>
                        </w:rPr>
                      </m:ctrlPr>
                    </m:sSupPr>
                    <m:e>
                      <m:r>
                        <w:rPr>
                          <w:rFonts w:ascii="Cambria Math" w:hAnsi="Cambria Math" w:cs="Arial"/>
                          <w:lang w:val="es-ES"/>
                        </w:rPr>
                        <m:t>1,12</m:t>
                      </m:r>
                    </m:e>
                    <m:sup>
                      <m:r>
                        <w:rPr>
                          <w:rFonts w:ascii="Cambria Math" w:hAnsi="Cambria Math" w:cs="Arial"/>
                          <w:lang w:val="es-ES"/>
                        </w:rPr>
                        <m:t>t</m:t>
                      </m:r>
                    </m:sup>
                  </m:sSup>
                </m:den>
              </m:f>
            </m:e>
          </m:nary>
          <m:r>
            <w:rPr>
              <w:rFonts w:ascii="Cambria Math" w:hAnsi="Cambria Math" w:cs="Arial"/>
              <w:lang w:val="es-ES"/>
            </w:rPr>
            <m:t>,</m:t>
          </m:r>
        </m:oMath>
      </m:oMathPara>
    </w:p>
    <w:p w14:paraId="3367F96A" w14:textId="77777777" w:rsidR="00A677FA" w:rsidRPr="00DF0502" w:rsidRDefault="00A677FA" w:rsidP="00A677FA">
      <w:pPr>
        <w:pStyle w:val="Paragraph"/>
        <w:numPr>
          <w:ilvl w:val="0"/>
          <w:numId w:val="0"/>
        </w:numPr>
        <w:spacing w:before="0" w:after="0"/>
        <w:ind w:left="567"/>
        <w:rPr>
          <w:rFonts w:ascii="Arial" w:hAnsi="Arial" w:cs="Arial"/>
          <w:sz w:val="22"/>
          <w:szCs w:val="22"/>
        </w:rPr>
      </w:pPr>
      <w:r w:rsidRPr="00DF0502">
        <w:rPr>
          <w:rFonts w:ascii="Arial" w:hAnsi="Arial" w:cs="Arial"/>
          <w:sz w:val="22"/>
          <w:szCs w:val="22"/>
        </w:rPr>
        <w:t>donde g es el gasto anual para Componente I</w:t>
      </w:r>
      <w:r w:rsidR="003613FB">
        <w:rPr>
          <w:rFonts w:ascii="Arial" w:hAnsi="Arial" w:cs="Arial"/>
          <w:sz w:val="22"/>
          <w:szCs w:val="22"/>
        </w:rPr>
        <w:t>I</w:t>
      </w:r>
      <w:r w:rsidRPr="00DF0502">
        <w:rPr>
          <w:rFonts w:ascii="Arial" w:hAnsi="Arial" w:cs="Arial"/>
          <w:sz w:val="22"/>
          <w:szCs w:val="22"/>
        </w:rPr>
        <w:t>I, t denota el periodo corriente. El costo total es de US$</w:t>
      </w:r>
      <w:r w:rsidR="003613FB" w:rsidRPr="003613FB">
        <w:rPr>
          <w:rFonts w:ascii="Arial" w:hAnsi="Arial" w:cs="Arial"/>
          <w:sz w:val="22"/>
          <w:szCs w:val="22"/>
        </w:rPr>
        <w:t>12</w:t>
      </w:r>
      <w:r w:rsidR="003613FB">
        <w:rPr>
          <w:rFonts w:ascii="Arial" w:hAnsi="Arial" w:cs="Arial"/>
          <w:sz w:val="22"/>
          <w:szCs w:val="22"/>
        </w:rPr>
        <w:t>,</w:t>
      </w:r>
      <w:r w:rsidR="003613FB" w:rsidRPr="003613FB">
        <w:rPr>
          <w:rFonts w:ascii="Arial" w:hAnsi="Arial" w:cs="Arial"/>
          <w:sz w:val="22"/>
          <w:szCs w:val="22"/>
        </w:rPr>
        <w:t>919</w:t>
      </w:r>
      <w:r w:rsidR="003613FB">
        <w:rPr>
          <w:rFonts w:ascii="Arial" w:hAnsi="Arial" w:cs="Arial"/>
          <w:sz w:val="22"/>
          <w:szCs w:val="22"/>
        </w:rPr>
        <w:t>,</w:t>
      </w:r>
      <w:r w:rsidR="003613FB" w:rsidRPr="003613FB">
        <w:rPr>
          <w:rFonts w:ascii="Arial" w:hAnsi="Arial" w:cs="Arial"/>
          <w:sz w:val="22"/>
          <w:szCs w:val="22"/>
        </w:rPr>
        <w:t>517</w:t>
      </w:r>
      <w:r w:rsidR="003613FB">
        <w:rPr>
          <w:rFonts w:ascii="Arial" w:hAnsi="Arial" w:cs="Arial"/>
          <w:sz w:val="22"/>
          <w:szCs w:val="22"/>
        </w:rPr>
        <w:t>.</w:t>
      </w:r>
    </w:p>
    <w:p w14:paraId="36D83133" w14:textId="77777777" w:rsidR="008C2137" w:rsidRPr="00DF0502" w:rsidRDefault="008C2137" w:rsidP="00DF0502">
      <w:pPr>
        <w:spacing w:after="0" w:line="240" w:lineRule="auto"/>
        <w:rPr>
          <w:rFonts w:ascii="Arial" w:hAnsi="Arial" w:cs="Arial"/>
          <w:lang w:val="es-ES"/>
        </w:rPr>
      </w:pPr>
      <w:r w:rsidRPr="00DF0502">
        <w:rPr>
          <w:rFonts w:ascii="Arial" w:hAnsi="Arial" w:cs="Arial"/>
          <w:lang w:val="es-ES"/>
        </w:rPr>
        <w:br w:type="page"/>
      </w:r>
    </w:p>
    <w:p w14:paraId="1EE43544" w14:textId="77777777" w:rsidR="001F681F" w:rsidRPr="00DF0502" w:rsidRDefault="001F681F" w:rsidP="00DF0502">
      <w:pPr>
        <w:spacing w:after="0" w:line="240" w:lineRule="auto"/>
        <w:jc w:val="both"/>
        <w:rPr>
          <w:rFonts w:ascii="Arial" w:hAnsi="Arial" w:cs="Arial"/>
          <w:lang w:val="es-ES"/>
        </w:rPr>
      </w:pPr>
    </w:p>
    <w:p w14:paraId="33DC2CF9" w14:textId="77777777" w:rsidR="00D714CC" w:rsidRPr="00DF0502" w:rsidRDefault="00D714CC" w:rsidP="00DF0502">
      <w:pPr>
        <w:numPr>
          <w:ilvl w:val="0"/>
          <w:numId w:val="1"/>
        </w:numPr>
        <w:spacing w:after="0" w:line="240" w:lineRule="auto"/>
        <w:jc w:val="both"/>
        <w:rPr>
          <w:rFonts w:ascii="Arial" w:hAnsi="Arial" w:cs="Arial"/>
          <w:b/>
          <w:lang w:val="es-ES"/>
        </w:rPr>
      </w:pPr>
      <w:r w:rsidRPr="00DF0502">
        <w:rPr>
          <w:rFonts w:ascii="Arial" w:hAnsi="Arial" w:cs="Arial"/>
          <w:b/>
          <w:lang w:val="es-ES"/>
        </w:rPr>
        <w:t xml:space="preserve"> Resultados, análisis de sensibilidad y discusión</w:t>
      </w:r>
    </w:p>
    <w:p w14:paraId="20B619EF" w14:textId="5099F56F" w:rsidR="00BA00AA" w:rsidRDefault="00685D8F" w:rsidP="00DF0502">
      <w:pPr>
        <w:pStyle w:val="Paragraph"/>
        <w:numPr>
          <w:ilvl w:val="1"/>
          <w:numId w:val="1"/>
        </w:numPr>
        <w:spacing w:before="0" w:after="0"/>
        <w:rPr>
          <w:rFonts w:ascii="Arial" w:hAnsi="Arial" w:cs="Arial"/>
          <w:sz w:val="22"/>
          <w:szCs w:val="22"/>
        </w:rPr>
      </w:pPr>
      <w:r w:rsidRPr="00DF0502">
        <w:rPr>
          <w:rFonts w:ascii="Arial" w:hAnsi="Arial" w:cs="Arial"/>
          <w:sz w:val="22"/>
          <w:szCs w:val="22"/>
        </w:rPr>
        <w:t xml:space="preserve">Debido a la gran cantidad de supuestos sobre los que se basa el análisis, presentamos los resultados en paralelo al análisis de sensibilidad en la Tabla </w:t>
      </w:r>
      <w:r w:rsidR="00AF7A71">
        <w:rPr>
          <w:rFonts w:ascii="Arial" w:hAnsi="Arial" w:cs="Arial"/>
          <w:sz w:val="22"/>
          <w:szCs w:val="22"/>
        </w:rPr>
        <w:t>1</w:t>
      </w:r>
      <w:r w:rsidR="00E10DB9" w:rsidRPr="00DF0502">
        <w:rPr>
          <w:rFonts w:ascii="Arial" w:hAnsi="Arial" w:cs="Arial"/>
          <w:sz w:val="22"/>
          <w:szCs w:val="22"/>
        </w:rPr>
        <w:t>6</w:t>
      </w:r>
      <w:r w:rsidRPr="00DF0502">
        <w:rPr>
          <w:rFonts w:ascii="Arial" w:hAnsi="Arial" w:cs="Arial"/>
          <w:sz w:val="22"/>
          <w:szCs w:val="22"/>
        </w:rPr>
        <w:t>.</w:t>
      </w:r>
    </w:p>
    <w:p w14:paraId="050DB8A0" w14:textId="77777777" w:rsidR="00D4782A" w:rsidRPr="00DF0502" w:rsidRDefault="00D4782A" w:rsidP="00D4782A">
      <w:pPr>
        <w:pStyle w:val="Paragraph"/>
        <w:numPr>
          <w:ilvl w:val="0"/>
          <w:numId w:val="0"/>
        </w:numPr>
        <w:spacing w:before="0" w:after="0"/>
        <w:ind w:left="567"/>
        <w:rPr>
          <w:rFonts w:ascii="Arial" w:hAnsi="Arial" w:cs="Arial"/>
          <w:sz w:val="22"/>
          <w:szCs w:val="22"/>
        </w:rPr>
      </w:pPr>
    </w:p>
    <w:tbl>
      <w:tblPr>
        <w:tblW w:w="8647" w:type="dxa"/>
        <w:jc w:val="center"/>
        <w:tblLayout w:type="fixed"/>
        <w:tblLook w:val="04A0" w:firstRow="1" w:lastRow="0" w:firstColumn="1" w:lastColumn="0" w:noHBand="0" w:noVBand="1"/>
      </w:tblPr>
      <w:tblGrid>
        <w:gridCol w:w="1843"/>
        <w:gridCol w:w="1701"/>
        <w:gridCol w:w="1559"/>
        <w:gridCol w:w="1558"/>
        <w:gridCol w:w="1134"/>
        <w:gridCol w:w="852"/>
      </w:tblGrid>
      <w:tr w:rsidR="00685D8F" w:rsidRPr="007C3A06" w14:paraId="684756EF" w14:textId="77777777" w:rsidTr="003921D9">
        <w:trPr>
          <w:trHeight w:val="300"/>
          <w:jc w:val="center"/>
        </w:trPr>
        <w:tc>
          <w:tcPr>
            <w:tcW w:w="7795" w:type="dxa"/>
            <w:gridSpan w:val="5"/>
            <w:tcBorders>
              <w:top w:val="nil"/>
              <w:left w:val="nil"/>
              <w:bottom w:val="single" w:sz="4" w:space="0" w:color="auto"/>
              <w:right w:val="nil"/>
            </w:tcBorders>
            <w:shd w:val="clear" w:color="auto" w:fill="auto"/>
            <w:vAlign w:val="center"/>
            <w:hideMark/>
          </w:tcPr>
          <w:p w14:paraId="7A707A95" w14:textId="3D6995F7" w:rsidR="00685D8F" w:rsidRPr="00D4782A" w:rsidRDefault="00685D8F" w:rsidP="00D4782A">
            <w:pPr>
              <w:pStyle w:val="TituloTabla"/>
              <w:jc w:val="center"/>
              <w:rPr>
                <w:rFonts w:ascii="Arial" w:hAnsi="Arial" w:cs="Arial"/>
                <w:b w:val="0"/>
                <w:sz w:val="18"/>
                <w:szCs w:val="18"/>
              </w:rPr>
            </w:pPr>
            <w:r w:rsidRPr="00D4782A">
              <w:rPr>
                <w:rFonts w:ascii="Arial" w:hAnsi="Arial" w:cs="Arial"/>
                <w:sz w:val="18"/>
                <w:szCs w:val="18"/>
              </w:rPr>
              <w:t xml:space="preserve">Tabla </w:t>
            </w:r>
            <w:r w:rsidR="00AF7A71">
              <w:rPr>
                <w:rFonts w:ascii="Arial" w:hAnsi="Arial" w:cs="Arial"/>
                <w:sz w:val="18"/>
                <w:szCs w:val="18"/>
              </w:rPr>
              <w:t>1</w:t>
            </w:r>
            <w:r w:rsidR="0085613A">
              <w:rPr>
                <w:rFonts w:ascii="Arial" w:hAnsi="Arial" w:cs="Arial"/>
                <w:sz w:val="18"/>
                <w:szCs w:val="18"/>
              </w:rPr>
              <w:t>5</w:t>
            </w:r>
            <w:r w:rsidRPr="00D4782A">
              <w:rPr>
                <w:rFonts w:ascii="Arial" w:hAnsi="Arial" w:cs="Arial"/>
                <w:sz w:val="18"/>
                <w:szCs w:val="18"/>
              </w:rPr>
              <w:t>. Costo-beneficio y escenarios</w:t>
            </w:r>
          </w:p>
        </w:tc>
        <w:tc>
          <w:tcPr>
            <w:tcW w:w="852" w:type="dxa"/>
            <w:tcBorders>
              <w:top w:val="nil"/>
              <w:left w:val="nil"/>
              <w:bottom w:val="single" w:sz="4" w:space="0" w:color="auto"/>
              <w:right w:val="nil"/>
            </w:tcBorders>
            <w:shd w:val="clear" w:color="auto" w:fill="auto"/>
          </w:tcPr>
          <w:p w14:paraId="481BA9A1" w14:textId="77777777" w:rsidR="00685D8F" w:rsidRPr="00D4782A" w:rsidRDefault="00685D8F" w:rsidP="00DF0502">
            <w:pPr>
              <w:pStyle w:val="Entabla"/>
              <w:rPr>
                <w:rFonts w:ascii="Arial" w:hAnsi="Arial" w:cs="Arial"/>
                <w:b/>
                <w:sz w:val="18"/>
                <w:szCs w:val="18"/>
                <w:lang w:val="es-ES_tradnl"/>
              </w:rPr>
            </w:pPr>
          </w:p>
        </w:tc>
      </w:tr>
      <w:tr w:rsidR="00685D8F" w:rsidRPr="00D4782A" w14:paraId="15044B73" w14:textId="77777777" w:rsidTr="003921D9">
        <w:trPr>
          <w:trHeight w:val="720"/>
          <w:jc w:val="center"/>
        </w:trPr>
        <w:tc>
          <w:tcPr>
            <w:tcW w:w="1843" w:type="dxa"/>
            <w:tcBorders>
              <w:top w:val="nil"/>
              <w:left w:val="nil"/>
              <w:bottom w:val="single" w:sz="4" w:space="0" w:color="auto"/>
              <w:right w:val="nil"/>
            </w:tcBorders>
            <w:shd w:val="clear" w:color="auto" w:fill="auto"/>
            <w:noWrap/>
            <w:vAlign w:val="center"/>
            <w:hideMark/>
          </w:tcPr>
          <w:p w14:paraId="13DEF9AD" w14:textId="77777777" w:rsidR="00685D8F" w:rsidRPr="00D4782A" w:rsidRDefault="00685D8F" w:rsidP="00DF0502">
            <w:pPr>
              <w:pStyle w:val="Entabla"/>
              <w:rPr>
                <w:rFonts w:ascii="Arial" w:hAnsi="Arial" w:cs="Arial"/>
                <w:b/>
                <w:sz w:val="18"/>
                <w:szCs w:val="18"/>
                <w:lang w:val="es-ES_tradnl"/>
              </w:rPr>
            </w:pPr>
          </w:p>
        </w:tc>
        <w:tc>
          <w:tcPr>
            <w:tcW w:w="1701" w:type="dxa"/>
            <w:tcBorders>
              <w:top w:val="nil"/>
              <w:left w:val="nil"/>
              <w:bottom w:val="single" w:sz="4" w:space="0" w:color="auto"/>
              <w:right w:val="nil"/>
            </w:tcBorders>
            <w:shd w:val="clear" w:color="auto" w:fill="auto"/>
            <w:vAlign w:val="center"/>
            <w:hideMark/>
          </w:tcPr>
          <w:p w14:paraId="6C1D1612"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VP Costos (USD)</w:t>
            </w:r>
          </w:p>
        </w:tc>
        <w:tc>
          <w:tcPr>
            <w:tcW w:w="1559" w:type="dxa"/>
            <w:tcBorders>
              <w:top w:val="nil"/>
              <w:left w:val="nil"/>
              <w:bottom w:val="single" w:sz="4" w:space="0" w:color="auto"/>
              <w:right w:val="nil"/>
            </w:tcBorders>
            <w:shd w:val="clear" w:color="auto" w:fill="auto"/>
            <w:vAlign w:val="center"/>
            <w:hideMark/>
          </w:tcPr>
          <w:p w14:paraId="32E4A188"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 xml:space="preserve">VP Beneficios </w:t>
            </w:r>
          </w:p>
          <w:p w14:paraId="0815B4F4"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(USD)</w:t>
            </w:r>
          </w:p>
        </w:tc>
        <w:tc>
          <w:tcPr>
            <w:tcW w:w="1558" w:type="dxa"/>
            <w:tcBorders>
              <w:top w:val="nil"/>
              <w:left w:val="nil"/>
              <w:bottom w:val="single" w:sz="4" w:space="0" w:color="auto"/>
              <w:right w:val="nil"/>
            </w:tcBorders>
            <w:shd w:val="clear" w:color="auto" w:fill="auto"/>
            <w:vAlign w:val="center"/>
            <w:hideMark/>
          </w:tcPr>
          <w:p w14:paraId="43CBA040"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Valor Presente Neto (USD)</w:t>
            </w:r>
          </w:p>
        </w:tc>
        <w:tc>
          <w:tcPr>
            <w:tcW w:w="1134" w:type="dxa"/>
            <w:tcBorders>
              <w:top w:val="nil"/>
              <w:left w:val="nil"/>
              <w:bottom w:val="single" w:sz="4" w:space="0" w:color="auto"/>
              <w:right w:val="nil"/>
            </w:tcBorders>
            <w:shd w:val="clear" w:color="auto" w:fill="auto"/>
            <w:vAlign w:val="center"/>
            <w:hideMark/>
          </w:tcPr>
          <w:p w14:paraId="75CF8626"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Razón Beneficio/Costo</w:t>
            </w:r>
          </w:p>
        </w:tc>
        <w:tc>
          <w:tcPr>
            <w:tcW w:w="852" w:type="dxa"/>
            <w:tcBorders>
              <w:top w:val="nil"/>
              <w:left w:val="nil"/>
              <w:bottom w:val="single" w:sz="4" w:space="0" w:color="auto"/>
              <w:right w:val="nil"/>
            </w:tcBorders>
            <w:shd w:val="clear" w:color="auto" w:fill="auto"/>
            <w:vAlign w:val="center"/>
          </w:tcPr>
          <w:p w14:paraId="355A43E9"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TIR</w:t>
            </w:r>
          </w:p>
          <w:p w14:paraId="62EC0EE5"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Social</w:t>
            </w:r>
          </w:p>
        </w:tc>
      </w:tr>
      <w:tr w:rsidR="00685D8F" w:rsidRPr="00D4782A" w14:paraId="70E0BF51" w14:textId="77777777" w:rsidTr="003921D9">
        <w:trPr>
          <w:trHeight w:val="300"/>
          <w:jc w:val="center"/>
        </w:trPr>
        <w:tc>
          <w:tcPr>
            <w:tcW w:w="1843" w:type="dxa"/>
            <w:tcBorders>
              <w:top w:val="nil"/>
              <w:left w:val="nil"/>
              <w:bottom w:val="single" w:sz="4" w:space="0" w:color="auto"/>
              <w:right w:val="nil"/>
            </w:tcBorders>
            <w:shd w:val="clear" w:color="auto" w:fill="auto"/>
            <w:noWrap/>
            <w:vAlign w:val="center"/>
            <w:hideMark/>
          </w:tcPr>
          <w:p w14:paraId="60CF2F9A"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Escenario 1-Base</w:t>
            </w:r>
          </w:p>
        </w:tc>
        <w:tc>
          <w:tcPr>
            <w:tcW w:w="1701" w:type="dxa"/>
            <w:tcBorders>
              <w:top w:val="nil"/>
              <w:left w:val="nil"/>
              <w:bottom w:val="single" w:sz="4" w:space="0" w:color="auto"/>
              <w:right w:val="nil"/>
            </w:tcBorders>
            <w:shd w:val="clear" w:color="auto" w:fill="auto"/>
            <w:noWrap/>
            <w:vAlign w:val="center"/>
            <w:hideMark/>
          </w:tcPr>
          <w:p w14:paraId="076202F6"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1559" w:type="dxa"/>
            <w:tcBorders>
              <w:top w:val="nil"/>
              <w:left w:val="nil"/>
              <w:bottom w:val="single" w:sz="4" w:space="0" w:color="auto"/>
              <w:right w:val="nil"/>
            </w:tcBorders>
            <w:shd w:val="clear" w:color="auto" w:fill="auto"/>
            <w:noWrap/>
            <w:vAlign w:val="center"/>
            <w:hideMark/>
          </w:tcPr>
          <w:p w14:paraId="56184CF1"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1558" w:type="dxa"/>
            <w:tcBorders>
              <w:top w:val="nil"/>
              <w:left w:val="nil"/>
              <w:bottom w:val="single" w:sz="4" w:space="0" w:color="auto"/>
              <w:right w:val="nil"/>
            </w:tcBorders>
            <w:shd w:val="clear" w:color="auto" w:fill="auto"/>
            <w:noWrap/>
            <w:vAlign w:val="center"/>
            <w:hideMark/>
          </w:tcPr>
          <w:p w14:paraId="7D4C8E84"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1134" w:type="dxa"/>
            <w:tcBorders>
              <w:top w:val="nil"/>
              <w:left w:val="nil"/>
              <w:bottom w:val="single" w:sz="4" w:space="0" w:color="auto"/>
              <w:right w:val="nil"/>
            </w:tcBorders>
            <w:shd w:val="clear" w:color="auto" w:fill="auto"/>
            <w:noWrap/>
            <w:vAlign w:val="center"/>
            <w:hideMark/>
          </w:tcPr>
          <w:p w14:paraId="7D045D67"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852" w:type="dxa"/>
            <w:tcBorders>
              <w:top w:val="nil"/>
              <w:left w:val="nil"/>
              <w:bottom w:val="single" w:sz="4" w:space="0" w:color="auto"/>
              <w:right w:val="nil"/>
            </w:tcBorders>
            <w:shd w:val="clear" w:color="auto" w:fill="auto"/>
          </w:tcPr>
          <w:p w14:paraId="2B803793" w14:textId="77777777" w:rsidR="00685D8F" w:rsidRPr="00D4782A" w:rsidRDefault="00685D8F" w:rsidP="00DF0502">
            <w:pPr>
              <w:pStyle w:val="Entabla"/>
              <w:rPr>
                <w:rFonts w:ascii="Arial" w:hAnsi="Arial" w:cs="Arial"/>
                <w:b/>
                <w:sz w:val="18"/>
                <w:szCs w:val="18"/>
                <w:lang w:val="es-ES_tradnl"/>
              </w:rPr>
            </w:pPr>
          </w:p>
        </w:tc>
      </w:tr>
      <w:tr w:rsidR="00685D8F" w:rsidRPr="00D4782A" w14:paraId="0EB37615" w14:textId="77777777" w:rsidTr="003921D9">
        <w:trPr>
          <w:trHeight w:val="300"/>
          <w:jc w:val="center"/>
        </w:trPr>
        <w:tc>
          <w:tcPr>
            <w:tcW w:w="1843" w:type="dxa"/>
            <w:tcBorders>
              <w:top w:val="nil"/>
              <w:left w:val="nil"/>
              <w:bottom w:val="nil"/>
              <w:right w:val="nil"/>
            </w:tcBorders>
            <w:shd w:val="clear" w:color="auto" w:fill="auto"/>
            <w:noWrap/>
            <w:vAlign w:val="center"/>
          </w:tcPr>
          <w:p w14:paraId="57DA2A8F" w14:textId="77777777" w:rsidR="00685D8F" w:rsidRPr="00D4782A" w:rsidRDefault="00685D8F" w:rsidP="00DF0502">
            <w:pPr>
              <w:pStyle w:val="Entabla"/>
              <w:rPr>
                <w:rFonts w:ascii="Arial" w:hAnsi="Arial" w:cs="Arial"/>
                <w:b/>
                <w:sz w:val="18"/>
                <w:szCs w:val="18"/>
              </w:rPr>
            </w:pPr>
            <w:r w:rsidRPr="00D4782A">
              <w:rPr>
                <w:rFonts w:ascii="Arial" w:hAnsi="Arial" w:cs="Arial"/>
                <w:b/>
                <w:sz w:val="18"/>
                <w:szCs w:val="18"/>
              </w:rPr>
              <w:t>Total</w:t>
            </w:r>
          </w:p>
        </w:tc>
        <w:tc>
          <w:tcPr>
            <w:tcW w:w="1701" w:type="dxa"/>
            <w:tcBorders>
              <w:top w:val="nil"/>
              <w:left w:val="nil"/>
              <w:bottom w:val="nil"/>
              <w:right w:val="nil"/>
            </w:tcBorders>
            <w:shd w:val="clear" w:color="auto" w:fill="auto"/>
            <w:noWrap/>
            <w:vAlign w:val="center"/>
          </w:tcPr>
          <w:p w14:paraId="679FA4D6" w14:textId="77777777" w:rsidR="00685D8F" w:rsidRPr="00D4782A" w:rsidRDefault="001D0103" w:rsidP="00DF0502">
            <w:pPr>
              <w:pStyle w:val="Entabla"/>
              <w:rPr>
                <w:rFonts w:ascii="Arial" w:hAnsi="Arial" w:cs="Arial"/>
                <w:b/>
                <w:sz w:val="18"/>
                <w:szCs w:val="18"/>
              </w:rPr>
            </w:pPr>
            <w:r w:rsidRPr="00D4782A">
              <w:rPr>
                <w:rFonts w:ascii="Arial" w:hAnsi="Arial" w:cs="Arial"/>
                <w:b/>
                <w:sz w:val="18"/>
                <w:szCs w:val="18"/>
              </w:rPr>
              <w:t>4</w:t>
            </w:r>
            <w:r w:rsidR="00FC67AF" w:rsidRPr="00D4782A">
              <w:rPr>
                <w:rFonts w:ascii="Arial" w:hAnsi="Arial" w:cs="Arial"/>
                <w:b/>
                <w:sz w:val="18"/>
                <w:szCs w:val="18"/>
              </w:rPr>
              <w:t>5.500.120</w:t>
            </w:r>
          </w:p>
        </w:tc>
        <w:tc>
          <w:tcPr>
            <w:tcW w:w="1559" w:type="dxa"/>
            <w:tcBorders>
              <w:top w:val="nil"/>
              <w:left w:val="nil"/>
              <w:bottom w:val="nil"/>
              <w:right w:val="nil"/>
            </w:tcBorders>
            <w:shd w:val="clear" w:color="auto" w:fill="auto"/>
            <w:noWrap/>
            <w:vAlign w:val="center"/>
          </w:tcPr>
          <w:p w14:paraId="3BD33101" w14:textId="77777777" w:rsidR="007E63A5" w:rsidRPr="00C94B0A" w:rsidRDefault="007E63A5" w:rsidP="007E63A5">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225,591,922</w:t>
            </w:r>
          </w:p>
          <w:p w14:paraId="300BD5E5" w14:textId="77777777" w:rsidR="00685D8F" w:rsidRPr="00544D9C" w:rsidRDefault="00685D8F" w:rsidP="00DF0502">
            <w:pPr>
              <w:spacing w:after="0" w:line="240" w:lineRule="auto"/>
              <w:rPr>
                <w:rFonts w:ascii="Arial" w:hAnsi="Arial" w:cs="Arial"/>
                <w:b/>
                <w:sz w:val="18"/>
                <w:szCs w:val="18"/>
              </w:rPr>
            </w:pPr>
          </w:p>
        </w:tc>
        <w:tc>
          <w:tcPr>
            <w:tcW w:w="1558" w:type="dxa"/>
            <w:tcBorders>
              <w:top w:val="nil"/>
              <w:left w:val="nil"/>
              <w:bottom w:val="nil"/>
              <w:right w:val="nil"/>
            </w:tcBorders>
            <w:shd w:val="clear" w:color="auto" w:fill="auto"/>
            <w:noWrap/>
            <w:vAlign w:val="center"/>
          </w:tcPr>
          <w:p w14:paraId="5B4C0A04" w14:textId="77777777" w:rsidR="006058E2" w:rsidRPr="00C94B0A" w:rsidRDefault="006058E2" w:rsidP="006058E2">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180,091,803</w:t>
            </w:r>
          </w:p>
          <w:p w14:paraId="0F293524" w14:textId="77777777" w:rsidR="00685D8F" w:rsidRPr="00544D9C" w:rsidRDefault="00685D8F" w:rsidP="00DF0502">
            <w:pPr>
              <w:spacing w:after="0" w:line="240" w:lineRule="auto"/>
              <w:rPr>
                <w:rFonts w:ascii="Arial" w:hAnsi="Arial" w:cs="Arial"/>
                <w:b/>
                <w:sz w:val="18"/>
                <w:szCs w:val="18"/>
              </w:rPr>
            </w:pPr>
          </w:p>
        </w:tc>
        <w:tc>
          <w:tcPr>
            <w:tcW w:w="1134" w:type="dxa"/>
            <w:tcBorders>
              <w:top w:val="nil"/>
              <w:left w:val="nil"/>
              <w:bottom w:val="nil"/>
              <w:right w:val="nil"/>
            </w:tcBorders>
            <w:shd w:val="clear" w:color="auto" w:fill="auto"/>
            <w:noWrap/>
            <w:vAlign w:val="center"/>
          </w:tcPr>
          <w:p w14:paraId="7EA96F4A" w14:textId="77777777" w:rsidR="00EB3E9D" w:rsidRPr="00C94B0A" w:rsidRDefault="006058E2" w:rsidP="00EB3E9D">
            <w:pPr>
              <w:spacing w:after="0" w:line="240" w:lineRule="auto"/>
              <w:rPr>
                <w:rFonts w:ascii="Arial" w:eastAsia="Times New Roman" w:hAnsi="Arial" w:cs="Arial"/>
                <w:b/>
                <w:bCs/>
                <w:color w:val="000000"/>
                <w:sz w:val="18"/>
                <w:szCs w:val="18"/>
              </w:rPr>
            </w:pPr>
            <w:r w:rsidRPr="00544D9C">
              <w:rPr>
                <w:rFonts w:ascii="Arial" w:hAnsi="Arial" w:cs="Arial"/>
                <w:b/>
                <w:bCs/>
                <w:color w:val="000000"/>
                <w:sz w:val="18"/>
                <w:szCs w:val="18"/>
              </w:rPr>
              <w:t>4.96</w:t>
            </w:r>
          </w:p>
          <w:p w14:paraId="451F643E" w14:textId="77777777" w:rsidR="00685D8F" w:rsidRPr="00544D9C" w:rsidRDefault="00685D8F" w:rsidP="00DF0502">
            <w:pPr>
              <w:spacing w:after="0" w:line="240" w:lineRule="auto"/>
              <w:rPr>
                <w:rFonts w:ascii="Arial" w:hAnsi="Arial" w:cs="Arial"/>
                <w:b/>
                <w:bCs/>
                <w:sz w:val="18"/>
                <w:szCs w:val="18"/>
              </w:rPr>
            </w:pPr>
          </w:p>
        </w:tc>
        <w:tc>
          <w:tcPr>
            <w:tcW w:w="852" w:type="dxa"/>
            <w:tcBorders>
              <w:top w:val="nil"/>
              <w:left w:val="nil"/>
              <w:bottom w:val="nil"/>
              <w:right w:val="nil"/>
            </w:tcBorders>
            <w:shd w:val="clear" w:color="auto" w:fill="auto"/>
            <w:vAlign w:val="center"/>
          </w:tcPr>
          <w:p w14:paraId="47C9B28C" w14:textId="08B42EEC" w:rsidR="00EB3E9D" w:rsidRPr="00C94B0A" w:rsidRDefault="00EB3E9D" w:rsidP="00EB3E9D">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5</w:t>
            </w:r>
            <w:r w:rsidR="006058E2" w:rsidRPr="00544D9C">
              <w:rPr>
                <w:rFonts w:ascii="Arial" w:hAnsi="Arial" w:cs="Arial"/>
                <w:b/>
                <w:bCs/>
                <w:color w:val="000000"/>
                <w:sz w:val="18"/>
                <w:szCs w:val="18"/>
              </w:rPr>
              <w:t>1</w:t>
            </w:r>
            <w:r w:rsidRPr="00C94B0A">
              <w:rPr>
                <w:rFonts w:ascii="Arial" w:hAnsi="Arial" w:cs="Arial"/>
                <w:b/>
                <w:bCs/>
                <w:color w:val="000000"/>
                <w:sz w:val="18"/>
                <w:szCs w:val="18"/>
              </w:rPr>
              <w:t>%</w:t>
            </w:r>
          </w:p>
          <w:p w14:paraId="1FD3781B" w14:textId="77777777" w:rsidR="00685D8F" w:rsidRPr="00544D9C" w:rsidRDefault="00685D8F" w:rsidP="00DF0502">
            <w:pPr>
              <w:pStyle w:val="Entabla"/>
              <w:rPr>
                <w:rFonts w:ascii="Arial" w:hAnsi="Arial" w:cs="Arial"/>
                <w:b/>
                <w:bCs/>
                <w:sz w:val="18"/>
                <w:szCs w:val="18"/>
              </w:rPr>
            </w:pPr>
          </w:p>
        </w:tc>
      </w:tr>
      <w:tr w:rsidR="00685D8F" w:rsidRPr="00D4782A" w14:paraId="3E407CCA" w14:textId="77777777" w:rsidTr="003921D9">
        <w:trPr>
          <w:trHeight w:val="531"/>
          <w:jc w:val="center"/>
        </w:trPr>
        <w:tc>
          <w:tcPr>
            <w:tcW w:w="1843" w:type="dxa"/>
            <w:tcBorders>
              <w:top w:val="single" w:sz="4" w:space="0" w:color="auto"/>
              <w:left w:val="nil"/>
              <w:bottom w:val="single" w:sz="4" w:space="0" w:color="auto"/>
              <w:right w:val="nil"/>
            </w:tcBorders>
            <w:shd w:val="clear" w:color="auto" w:fill="auto"/>
            <w:noWrap/>
            <w:vAlign w:val="center"/>
            <w:hideMark/>
          </w:tcPr>
          <w:p w14:paraId="15C5C80B"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Escenario 2-Conservador</w:t>
            </w:r>
          </w:p>
        </w:tc>
        <w:tc>
          <w:tcPr>
            <w:tcW w:w="1701" w:type="dxa"/>
            <w:tcBorders>
              <w:top w:val="single" w:sz="4" w:space="0" w:color="auto"/>
              <w:left w:val="nil"/>
              <w:bottom w:val="single" w:sz="4" w:space="0" w:color="auto"/>
              <w:right w:val="nil"/>
            </w:tcBorders>
            <w:shd w:val="clear" w:color="auto" w:fill="auto"/>
            <w:noWrap/>
            <w:vAlign w:val="center"/>
            <w:hideMark/>
          </w:tcPr>
          <w:p w14:paraId="5F97FB40" w14:textId="77777777" w:rsidR="00685D8F" w:rsidRPr="00D4782A" w:rsidRDefault="00685D8F"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1559" w:type="dxa"/>
            <w:tcBorders>
              <w:top w:val="single" w:sz="4" w:space="0" w:color="auto"/>
              <w:left w:val="nil"/>
              <w:bottom w:val="single" w:sz="4" w:space="0" w:color="auto"/>
              <w:right w:val="nil"/>
            </w:tcBorders>
            <w:shd w:val="clear" w:color="auto" w:fill="auto"/>
            <w:noWrap/>
            <w:vAlign w:val="center"/>
            <w:hideMark/>
          </w:tcPr>
          <w:p w14:paraId="648EBB5C" w14:textId="77777777" w:rsidR="00685D8F" w:rsidRPr="00544D9C" w:rsidRDefault="00685D8F"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1558" w:type="dxa"/>
            <w:tcBorders>
              <w:top w:val="single" w:sz="4" w:space="0" w:color="auto"/>
              <w:left w:val="nil"/>
              <w:bottom w:val="single" w:sz="4" w:space="0" w:color="auto"/>
              <w:right w:val="nil"/>
            </w:tcBorders>
            <w:shd w:val="clear" w:color="auto" w:fill="auto"/>
            <w:noWrap/>
            <w:vAlign w:val="center"/>
            <w:hideMark/>
          </w:tcPr>
          <w:p w14:paraId="52B6B4F4" w14:textId="77777777" w:rsidR="00685D8F" w:rsidRPr="00544D9C" w:rsidRDefault="00685D8F"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1134" w:type="dxa"/>
            <w:tcBorders>
              <w:top w:val="single" w:sz="4" w:space="0" w:color="auto"/>
              <w:left w:val="nil"/>
              <w:bottom w:val="single" w:sz="4" w:space="0" w:color="auto"/>
              <w:right w:val="nil"/>
            </w:tcBorders>
            <w:shd w:val="clear" w:color="auto" w:fill="auto"/>
            <w:noWrap/>
            <w:vAlign w:val="center"/>
            <w:hideMark/>
          </w:tcPr>
          <w:p w14:paraId="4648CA22" w14:textId="77777777" w:rsidR="00685D8F" w:rsidRPr="00544D9C" w:rsidRDefault="00685D8F"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852" w:type="dxa"/>
            <w:tcBorders>
              <w:top w:val="single" w:sz="4" w:space="0" w:color="auto"/>
              <w:left w:val="nil"/>
              <w:bottom w:val="single" w:sz="4" w:space="0" w:color="auto"/>
              <w:right w:val="nil"/>
            </w:tcBorders>
            <w:shd w:val="clear" w:color="auto" w:fill="auto"/>
          </w:tcPr>
          <w:p w14:paraId="717F5DDB" w14:textId="77777777" w:rsidR="00685D8F" w:rsidRPr="00544D9C" w:rsidRDefault="00685D8F" w:rsidP="00DF0502">
            <w:pPr>
              <w:pStyle w:val="Entabla"/>
              <w:rPr>
                <w:rFonts w:ascii="Arial" w:hAnsi="Arial" w:cs="Arial"/>
                <w:b/>
                <w:sz w:val="18"/>
                <w:szCs w:val="18"/>
                <w:lang w:val="es-ES_tradnl"/>
              </w:rPr>
            </w:pPr>
          </w:p>
        </w:tc>
      </w:tr>
      <w:tr w:rsidR="00212EAB" w:rsidRPr="00D4782A" w14:paraId="586E1C76" w14:textId="77777777" w:rsidTr="003921D9">
        <w:trPr>
          <w:trHeight w:val="300"/>
          <w:jc w:val="center"/>
        </w:trPr>
        <w:tc>
          <w:tcPr>
            <w:tcW w:w="1843" w:type="dxa"/>
            <w:tcBorders>
              <w:top w:val="nil"/>
              <w:left w:val="nil"/>
              <w:bottom w:val="nil"/>
              <w:right w:val="nil"/>
            </w:tcBorders>
            <w:shd w:val="clear" w:color="auto" w:fill="auto"/>
            <w:noWrap/>
            <w:vAlign w:val="center"/>
          </w:tcPr>
          <w:p w14:paraId="4675DE39" w14:textId="77777777" w:rsidR="00212EAB" w:rsidRPr="00D4782A" w:rsidRDefault="00212EAB" w:rsidP="00DF0502">
            <w:pPr>
              <w:pStyle w:val="Entabla"/>
              <w:rPr>
                <w:rFonts w:ascii="Arial" w:hAnsi="Arial" w:cs="Arial"/>
                <w:b/>
                <w:sz w:val="18"/>
                <w:szCs w:val="18"/>
              </w:rPr>
            </w:pPr>
            <w:r w:rsidRPr="00D4782A">
              <w:rPr>
                <w:rFonts w:ascii="Arial" w:hAnsi="Arial" w:cs="Arial"/>
                <w:b/>
                <w:sz w:val="18"/>
                <w:szCs w:val="18"/>
              </w:rPr>
              <w:t>Total</w:t>
            </w:r>
          </w:p>
        </w:tc>
        <w:tc>
          <w:tcPr>
            <w:tcW w:w="1701" w:type="dxa"/>
            <w:tcBorders>
              <w:top w:val="nil"/>
              <w:left w:val="nil"/>
              <w:bottom w:val="nil"/>
              <w:right w:val="nil"/>
            </w:tcBorders>
            <w:shd w:val="clear" w:color="auto" w:fill="auto"/>
            <w:noWrap/>
            <w:vAlign w:val="center"/>
          </w:tcPr>
          <w:p w14:paraId="32DAF87D" w14:textId="77777777" w:rsidR="00212EAB" w:rsidRPr="00D4782A" w:rsidRDefault="00212EAB" w:rsidP="00DF0502">
            <w:pPr>
              <w:pStyle w:val="Entabla"/>
              <w:rPr>
                <w:rFonts w:ascii="Arial" w:hAnsi="Arial" w:cs="Arial"/>
                <w:b/>
                <w:sz w:val="18"/>
                <w:szCs w:val="18"/>
              </w:rPr>
            </w:pPr>
            <w:r w:rsidRPr="00D4782A">
              <w:rPr>
                <w:rFonts w:ascii="Arial" w:hAnsi="Arial" w:cs="Arial"/>
                <w:b/>
                <w:sz w:val="18"/>
                <w:szCs w:val="18"/>
              </w:rPr>
              <w:t>45.500.120</w:t>
            </w:r>
          </w:p>
        </w:tc>
        <w:tc>
          <w:tcPr>
            <w:tcW w:w="1559" w:type="dxa"/>
            <w:tcBorders>
              <w:top w:val="nil"/>
              <w:left w:val="nil"/>
              <w:bottom w:val="nil"/>
              <w:right w:val="nil"/>
            </w:tcBorders>
            <w:shd w:val="clear" w:color="auto" w:fill="auto"/>
            <w:noWrap/>
            <w:vAlign w:val="center"/>
          </w:tcPr>
          <w:p w14:paraId="157BADB4" w14:textId="0378D48D" w:rsidR="00331AFF" w:rsidRPr="00C94B0A" w:rsidRDefault="00331AFF" w:rsidP="00331AFF">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166,000,423</w:t>
            </w:r>
          </w:p>
          <w:p w14:paraId="44C38125" w14:textId="77777777" w:rsidR="00212EAB" w:rsidRPr="00544D9C" w:rsidRDefault="00212EAB" w:rsidP="00DF0502">
            <w:pPr>
              <w:spacing w:after="0" w:line="240" w:lineRule="auto"/>
              <w:rPr>
                <w:rFonts w:ascii="Arial" w:hAnsi="Arial" w:cs="Arial"/>
                <w:b/>
                <w:sz w:val="18"/>
                <w:szCs w:val="18"/>
              </w:rPr>
            </w:pPr>
          </w:p>
        </w:tc>
        <w:tc>
          <w:tcPr>
            <w:tcW w:w="1558" w:type="dxa"/>
            <w:tcBorders>
              <w:top w:val="nil"/>
              <w:left w:val="nil"/>
              <w:bottom w:val="nil"/>
              <w:right w:val="nil"/>
            </w:tcBorders>
            <w:shd w:val="clear" w:color="auto" w:fill="auto"/>
            <w:noWrap/>
            <w:vAlign w:val="center"/>
          </w:tcPr>
          <w:p w14:paraId="1B3E4F78" w14:textId="4D7EDD45" w:rsidR="00331AFF" w:rsidRPr="00C94B0A" w:rsidRDefault="00331AFF" w:rsidP="00331AFF">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120,500,303</w:t>
            </w:r>
          </w:p>
          <w:p w14:paraId="407B7F11" w14:textId="77777777" w:rsidR="00212EAB" w:rsidRPr="00544D9C" w:rsidRDefault="00212EAB" w:rsidP="00DF0502">
            <w:pPr>
              <w:spacing w:after="0" w:line="240" w:lineRule="auto"/>
              <w:rPr>
                <w:rFonts w:ascii="Arial" w:hAnsi="Arial" w:cs="Arial"/>
                <w:b/>
                <w:sz w:val="18"/>
                <w:szCs w:val="18"/>
              </w:rPr>
            </w:pPr>
          </w:p>
        </w:tc>
        <w:tc>
          <w:tcPr>
            <w:tcW w:w="1134" w:type="dxa"/>
            <w:tcBorders>
              <w:top w:val="nil"/>
              <w:left w:val="nil"/>
              <w:bottom w:val="nil"/>
              <w:right w:val="nil"/>
            </w:tcBorders>
            <w:shd w:val="clear" w:color="auto" w:fill="auto"/>
            <w:noWrap/>
            <w:vAlign w:val="center"/>
          </w:tcPr>
          <w:p w14:paraId="5CC68C29" w14:textId="16FB74D0" w:rsidR="00331AFF" w:rsidRPr="00C94B0A" w:rsidRDefault="00331AFF" w:rsidP="00331AFF">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3.65</w:t>
            </w:r>
          </w:p>
          <w:p w14:paraId="47FBEAB1" w14:textId="77777777" w:rsidR="00212EAB" w:rsidRPr="00544D9C" w:rsidRDefault="00212EAB" w:rsidP="00DF0502">
            <w:pPr>
              <w:spacing w:after="0" w:line="240" w:lineRule="auto"/>
              <w:rPr>
                <w:rFonts w:ascii="Arial" w:hAnsi="Arial" w:cs="Arial"/>
                <w:b/>
                <w:bCs/>
                <w:sz w:val="18"/>
                <w:szCs w:val="18"/>
              </w:rPr>
            </w:pPr>
          </w:p>
        </w:tc>
        <w:tc>
          <w:tcPr>
            <w:tcW w:w="852" w:type="dxa"/>
            <w:tcBorders>
              <w:top w:val="nil"/>
              <w:left w:val="nil"/>
              <w:bottom w:val="nil"/>
              <w:right w:val="nil"/>
            </w:tcBorders>
            <w:shd w:val="clear" w:color="auto" w:fill="auto"/>
            <w:vAlign w:val="center"/>
          </w:tcPr>
          <w:p w14:paraId="2667746D" w14:textId="47BD13BF" w:rsidR="009B4F43" w:rsidRPr="00C94B0A" w:rsidRDefault="009B4F43" w:rsidP="009B4F43">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4</w:t>
            </w:r>
            <w:r w:rsidR="00331AFF" w:rsidRPr="00544D9C">
              <w:rPr>
                <w:rFonts w:ascii="Arial" w:hAnsi="Arial" w:cs="Arial"/>
                <w:b/>
                <w:bCs/>
                <w:color w:val="000000"/>
                <w:sz w:val="18"/>
                <w:szCs w:val="18"/>
              </w:rPr>
              <w:t>1</w:t>
            </w:r>
            <w:r w:rsidRPr="00C94B0A">
              <w:rPr>
                <w:rFonts w:ascii="Arial" w:hAnsi="Arial" w:cs="Arial"/>
                <w:b/>
                <w:bCs/>
                <w:color w:val="000000"/>
                <w:sz w:val="18"/>
                <w:szCs w:val="18"/>
              </w:rPr>
              <w:t>%</w:t>
            </w:r>
          </w:p>
          <w:p w14:paraId="69EA3131" w14:textId="77777777" w:rsidR="00212EAB" w:rsidRPr="00544D9C" w:rsidRDefault="00212EAB" w:rsidP="00DF0502">
            <w:pPr>
              <w:spacing w:after="0" w:line="240" w:lineRule="auto"/>
              <w:rPr>
                <w:rFonts w:ascii="Arial" w:hAnsi="Arial" w:cs="Arial"/>
                <w:b/>
                <w:bCs/>
                <w:sz w:val="18"/>
                <w:szCs w:val="18"/>
              </w:rPr>
            </w:pPr>
          </w:p>
        </w:tc>
      </w:tr>
      <w:tr w:rsidR="00FA01F5" w:rsidRPr="00D4782A" w14:paraId="54E98441" w14:textId="77777777" w:rsidTr="003921D9">
        <w:trPr>
          <w:trHeight w:val="287"/>
          <w:jc w:val="center"/>
        </w:trPr>
        <w:tc>
          <w:tcPr>
            <w:tcW w:w="1843" w:type="dxa"/>
            <w:tcBorders>
              <w:top w:val="single" w:sz="4" w:space="0" w:color="auto"/>
              <w:left w:val="nil"/>
              <w:bottom w:val="single" w:sz="4" w:space="0" w:color="auto"/>
              <w:right w:val="nil"/>
            </w:tcBorders>
            <w:shd w:val="clear" w:color="auto" w:fill="auto"/>
            <w:vAlign w:val="center"/>
          </w:tcPr>
          <w:p w14:paraId="1346B7C8" w14:textId="77777777" w:rsidR="00FA01F5" w:rsidRPr="00D4782A" w:rsidRDefault="00FA01F5" w:rsidP="00DF0502">
            <w:pPr>
              <w:pStyle w:val="Entabla"/>
              <w:rPr>
                <w:rFonts w:ascii="Arial" w:hAnsi="Arial" w:cs="Arial"/>
                <w:b/>
                <w:sz w:val="18"/>
                <w:szCs w:val="18"/>
                <w:lang w:val="es-ES_tradnl"/>
              </w:rPr>
            </w:pPr>
            <w:r w:rsidRPr="00D4782A">
              <w:rPr>
                <w:rFonts w:ascii="Arial" w:hAnsi="Arial" w:cs="Arial"/>
                <w:b/>
                <w:sz w:val="18"/>
                <w:szCs w:val="18"/>
                <w:lang w:val="es-ES_tradnl"/>
              </w:rPr>
              <w:t>Escenario 3-Favorable</w:t>
            </w:r>
          </w:p>
        </w:tc>
        <w:tc>
          <w:tcPr>
            <w:tcW w:w="1701" w:type="dxa"/>
            <w:tcBorders>
              <w:top w:val="single" w:sz="4" w:space="0" w:color="auto"/>
              <w:left w:val="nil"/>
              <w:bottom w:val="single" w:sz="4" w:space="0" w:color="auto"/>
              <w:right w:val="nil"/>
            </w:tcBorders>
            <w:shd w:val="clear" w:color="auto" w:fill="auto"/>
            <w:noWrap/>
            <w:vAlign w:val="center"/>
          </w:tcPr>
          <w:p w14:paraId="1B053020" w14:textId="77777777" w:rsidR="00FA01F5" w:rsidRPr="00D4782A" w:rsidRDefault="00FA01F5" w:rsidP="00DF0502">
            <w:pPr>
              <w:pStyle w:val="Entabla"/>
              <w:rPr>
                <w:rFonts w:ascii="Arial" w:hAnsi="Arial" w:cs="Arial"/>
                <w:b/>
                <w:sz w:val="18"/>
                <w:szCs w:val="18"/>
                <w:lang w:val="es-ES_tradnl"/>
              </w:rPr>
            </w:pPr>
            <w:r w:rsidRPr="00D4782A">
              <w:rPr>
                <w:rFonts w:ascii="Arial" w:hAnsi="Arial" w:cs="Arial"/>
                <w:b/>
                <w:sz w:val="18"/>
                <w:szCs w:val="18"/>
                <w:lang w:val="es-ES_tradnl"/>
              </w:rPr>
              <w:t> </w:t>
            </w:r>
          </w:p>
        </w:tc>
        <w:tc>
          <w:tcPr>
            <w:tcW w:w="1559" w:type="dxa"/>
            <w:tcBorders>
              <w:top w:val="single" w:sz="4" w:space="0" w:color="auto"/>
              <w:left w:val="nil"/>
              <w:bottom w:val="single" w:sz="4" w:space="0" w:color="auto"/>
              <w:right w:val="nil"/>
            </w:tcBorders>
            <w:shd w:val="clear" w:color="auto" w:fill="auto"/>
            <w:noWrap/>
            <w:vAlign w:val="center"/>
          </w:tcPr>
          <w:p w14:paraId="31140581" w14:textId="77777777" w:rsidR="00FA01F5" w:rsidRPr="00544D9C" w:rsidRDefault="00FA01F5"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1558" w:type="dxa"/>
            <w:tcBorders>
              <w:top w:val="single" w:sz="4" w:space="0" w:color="auto"/>
              <w:left w:val="nil"/>
              <w:bottom w:val="single" w:sz="4" w:space="0" w:color="auto"/>
              <w:right w:val="nil"/>
            </w:tcBorders>
            <w:shd w:val="clear" w:color="auto" w:fill="auto"/>
            <w:noWrap/>
            <w:vAlign w:val="center"/>
          </w:tcPr>
          <w:p w14:paraId="68240372" w14:textId="77777777" w:rsidR="00FA01F5" w:rsidRPr="00544D9C" w:rsidRDefault="00FA01F5"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1134" w:type="dxa"/>
            <w:tcBorders>
              <w:top w:val="single" w:sz="4" w:space="0" w:color="auto"/>
              <w:left w:val="nil"/>
              <w:bottom w:val="single" w:sz="4" w:space="0" w:color="auto"/>
              <w:right w:val="nil"/>
            </w:tcBorders>
            <w:shd w:val="clear" w:color="auto" w:fill="auto"/>
            <w:noWrap/>
            <w:vAlign w:val="center"/>
          </w:tcPr>
          <w:p w14:paraId="48A52799" w14:textId="77777777" w:rsidR="00FA01F5" w:rsidRPr="00544D9C" w:rsidRDefault="00FA01F5" w:rsidP="00DF0502">
            <w:pPr>
              <w:pStyle w:val="Entabla"/>
              <w:rPr>
                <w:rFonts w:ascii="Arial" w:hAnsi="Arial" w:cs="Arial"/>
                <w:b/>
                <w:sz w:val="18"/>
                <w:szCs w:val="18"/>
                <w:lang w:val="es-ES_tradnl"/>
              </w:rPr>
            </w:pPr>
            <w:r w:rsidRPr="00544D9C">
              <w:rPr>
                <w:rFonts w:ascii="Arial" w:hAnsi="Arial" w:cs="Arial"/>
                <w:b/>
                <w:sz w:val="18"/>
                <w:szCs w:val="18"/>
                <w:lang w:val="es-ES_tradnl"/>
              </w:rPr>
              <w:t> </w:t>
            </w:r>
          </w:p>
        </w:tc>
        <w:tc>
          <w:tcPr>
            <w:tcW w:w="852" w:type="dxa"/>
            <w:tcBorders>
              <w:top w:val="single" w:sz="4" w:space="0" w:color="auto"/>
              <w:left w:val="nil"/>
              <w:bottom w:val="single" w:sz="4" w:space="0" w:color="auto"/>
              <w:right w:val="nil"/>
            </w:tcBorders>
            <w:shd w:val="clear" w:color="auto" w:fill="auto"/>
          </w:tcPr>
          <w:p w14:paraId="02ECE3BD" w14:textId="77777777" w:rsidR="00FA01F5" w:rsidRPr="00544D9C" w:rsidRDefault="00FA01F5" w:rsidP="00DF0502">
            <w:pPr>
              <w:pStyle w:val="Entabla"/>
              <w:rPr>
                <w:rFonts w:ascii="Arial" w:hAnsi="Arial" w:cs="Arial"/>
                <w:b/>
                <w:sz w:val="18"/>
                <w:szCs w:val="18"/>
                <w:lang w:val="es-ES_tradnl"/>
              </w:rPr>
            </w:pPr>
          </w:p>
        </w:tc>
      </w:tr>
      <w:tr w:rsidR="00212EAB" w:rsidRPr="00D4782A" w14:paraId="2CD8022D" w14:textId="77777777" w:rsidTr="00BA00AA">
        <w:trPr>
          <w:trHeight w:val="300"/>
          <w:jc w:val="center"/>
        </w:trPr>
        <w:tc>
          <w:tcPr>
            <w:tcW w:w="1843" w:type="dxa"/>
            <w:tcBorders>
              <w:top w:val="nil"/>
              <w:left w:val="nil"/>
              <w:bottom w:val="single" w:sz="4" w:space="0" w:color="auto"/>
              <w:right w:val="nil"/>
            </w:tcBorders>
            <w:shd w:val="clear" w:color="auto" w:fill="auto"/>
            <w:noWrap/>
            <w:vAlign w:val="center"/>
          </w:tcPr>
          <w:p w14:paraId="67D7A7D5" w14:textId="77777777" w:rsidR="00212EAB" w:rsidRPr="00D4782A" w:rsidRDefault="00212EAB" w:rsidP="00DF0502">
            <w:pPr>
              <w:pStyle w:val="Entabla"/>
              <w:rPr>
                <w:rFonts w:ascii="Arial" w:hAnsi="Arial" w:cs="Arial"/>
                <w:b/>
                <w:sz w:val="18"/>
                <w:szCs w:val="18"/>
              </w:rPr>
            </w:pPr>
            <w:r w:rsidRPr="00D4782A">
              <w:rPr>
                <w:rFonts w:ascii="Arial" w:hAnsi="Arial" w:cs="Arial"/>
                <w:b/>
                <w:sz w:val="18"/>
                <w:szCs w:val="18"/>
              </w:rPr>
              <w:t>Total</w:t>
            </w:r>
          </w:p>
        </w:tc>
        <w:tc>
          <w:tcPr>
            <w:tcW w:w="1701" w:type="dxa"/>
            <w:tcBorders>
              <w:top w:val="nil"/>
              <w:left w:val="nil"/>
              <w:bottom w:val="single" w:sz="4" w:space="0" w:color="auto"/>
              <w:right w:val="nil"/>
            </w:tcBorders>
            <w:shd w:val="clear" w:color="auto" w:fill="auto"/>
            <w:noWrap/>
            <w:vAlign w:val="center"/>
          </w:tcPr>
          <w:p w14:paraId="574E74F0" w14:textId="77777777" w:rsidR="00212EAB" w:rsidRPr="00D4782A" w:rsidRDefault="00212EAB" w:rsidP="00DF0502">
            <w:pPr>
              <w:pStyle w:val="Entabla"/>
              <w:rPr>
                <w:rFonts w:ascii="Arial" w:hAnsi="Arial" w:cs="Arial"/>
                <w:b/>
                <w:sz w:val="18"/>
                <w:szCs w:val="18"/>
              </w:rPr>
            </w:pPr>
            <w:r w:rsidRPr="00D4782A">
              <w:rPr>
                <w:rFonts w:ascii="Arial" w:hAnsi="Arial" w:cs="Arial"/>
                <w:b/>
                <w:sz w:val="18"/>
                <w:szCs w:val="18"/>
              </w:rPr>
              <w:t>45.500.120</w:t>
            </w:r>
          </w:p>
        </w:tc>
        <w:tc>
          <w:tcPr>
            <w:tcW w:w="1559" w:type="dxa"/>
            <w:tcBorders>
              <w:top w:val="nil"/>
              <w:left w:val="nil"/>
              <w:bottom w:val="single" w:sz="4" w:space="0" w:color="auto"/>
              <w:right w:val="nil"/>
            </w:tcBorders>
            <w:shd w:val="clear" w:color="auto" w:fill="auto"/>
            <w:noWrap/>
            <w:vAlign w:val="center"/>
          </w:tcPr>
          <w:p w14:paraId="77E8FDDD" w14:textId="3BAB6B77" w:rsidR="00233DA7" w:rsidRPr="00C94B0A" w:rsidRDefault="00233DA7" w:rsidP="00233DA7">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272,485,801</w:t>
            </w:r>
          </w:p>
          <w:p w14:paraId="40600FF4" w14:textId="77777777" w:rsidR="00212EAB" w:rsidRPr="00544D9C" w:rsidRDefault="00212EAB" w:rsidP="00DF0502">
            <w:pPr>
              <w:spacing w:after="0" w:line="240" w:lineRule="auto"/>
              <w:rPr>
                <w:rFonts w:ascii="Arial" w:hAnsi="Arial" w:cs="Arial"/>
                <w:b/>
                <w:sz w:val="18"/>
                <w:szCs w:val="18"/>
              </w:rPr>
            </w:pPr>
          </w:p>
        </w:tc>
        <w:tc>
          <w:tcPr>
            <w:tcW w:w="1558" w:type="dxa"/>
            <w:tcBorders>
              <w:top w:val="nil"/>
              <w:left w:val="nil"/>
              <w:bottom w:val="single" w:sz="4" w:space="0" w:color="auto"/>
              <w:right w:val="nil"/>
            </w:tcBorders>
            <w:shd w:val="clear" w:color="auto" w:fill="auto"/>
            <w:noWrap/>
            <w:vAlign w:val="center"/>
          </w:tcPr>
          <w:p w14:paraId="4050E978" w14:textId="3A468F58" w:rsidR="00233DA7" w:rsidRPr="00C94B0A" w:rsidRDefault="00233DA7" w:rsidP="00233DA7">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226,985,681</w:t>
            </w:r>
          </w:p>
          <w:p w14:paraId="7B1974A9" w14:textId="77777777" w:rsidR="00212EAB" w:rsidRPr="00544D9C" w:rsidRDefault="00212EAB" w:rsidP="00DF0502">
            <w:pPr>
              <w:spacing w:after="0" w:line="240" w:lineRule="auto"/>
              <w:rPr>
                <w:rFonts w:ascii="Arial" w:hAnsi="Arial" w:cs="Arial"/>
                <w:b/>
                <w:sz w:val="18"/>
                <w:szCs w:val="18"/>
              </w:rPr>
            </w:pPr>
          </w:p>
        </w:tc>
        <w:tc>
          <w:tcPr>
            <w:tcW w:w="1134" w:type="dxa"/>
            <w:tcBorders>
              <w:top w:val="nil"/>
              <w:left w:val="nil"/>
              <w:bottom w:val="single" w:sz="4" w:space="0" w:color="auto"/>
              <w:right w:val="nil"/>
            </w:tcBorders>
            <w:shd w:val="clear" w:color="auto" w:fill="auto"/>
            <w:noWrap/>
            <w:vAlign w:val="center"/>
          </w:tcPr>
          <w:p w14:paraId="1A9D6FF5" w14:textId="3FF5F803" w:rsidR="0085613A" w:rsidRPr="00C94B0A" w:rsidRDefault="00233DA7" w:rsidP="0085613A">
            <w:pPr>
              <w:spacing w:after="0" w:line="240" w:lineRule="auto"/>
              <w:rPr>
                <w:rFonts w:ascii="Arial" w:eastAsia="Times New Roman" w:hAnsi="Arial" w:cs="Arial"/>
                <w:b/>
                <w:bCs/>
                <w:color w:val="000000"/>
                <w:sz w:val="18"/>
                <w:szCs w:val="18"/>
              </w:rPr>
            </w:pPr>
            <w:r w:rsidRPr="00C94B0A">
              <w:rPr>
                <w:rFonts w:ascii="Arial" w:hAnsi="Arial" w:cs="Arial"/>
                <w:b/>
                <w:bCs/>
                <w:color w:val="000000"/>
                <w:sz w:val="18"/>
                <w:szCs w:val="18"/>
              </w:rPr>
              <w:t>5.99</w:t>
            </w:r>
          </w:p>
          <w:p w14:paraId="24DCC786" w14:textId="77777777" w:rsidR="00212EAB" w:rsidRPr="00544D9C" w:rsidRDefault="00212EAB" w:rsidP="00DF0502">
            <w:pPr>
              <w:pStyle w:val="Entabla"/>
              <w:ind w:left="34"/>
              <w:rPr>
                <w:rFonts w:ascii="Arial" w:hAnsi="Arial" w:cs="Arial"/>
                <w:b/>
                <w:bCs/>
                <w:sz w:val="18"/>
                <w:szCs w:val="18"/>
              </w:rPr>
            </w:pPr>
          </w:p>
        </w:tc>
        <w:tc>
          <w:tcPr>
            <w:tcW w:w="852" w:type="dxa"/>
            <w:tcBorders>
              <w:top w:val="nil"/>
              <w:left w:val="nil"/>
              <w:bottom w:val="single" w:sz="4" w:space="0" w:color="auto"/>
              <w:right w:val="nil"/>
            </w:tcBorders>
            <w:shd w:val="clear" w:color="auto" w:fill="auto"/>
            <w:vAlign w:val="center"/>
          </w:tcPr>
          <w:p w14:paraId="44DF1807" w14:textId="5A386B26" w:rsidR="0085613A" w:rsidRPr="00C94B0A" w:rsidRDefault="00233DA7" w:rsidP="0085613A">
            <w:pPr>
              <w:spacing w:after="0" w:line="240" w:lineRule="auto"/>
              <w:rPr>
                <w:rFonts w:ascii="Arial" w:eastAsia="Times New Roman" w:hAnsi="Arial" w:cs="Arial"/>
                <w:b/>
                <w:bCs/>
                <w:color w:val="000000"/>
                <w:sz w:val="18"/>
                <w:szCs w:val="18"/>
              </w:rPr>
            </w:pPr>
            <w:r w:rsidRPr="00544D9C">
              <w:rPr>
                <w:rFonts w:ascii="Arial" w:hAnsi="Arial" w:cs="Arial"/>
                <w:b/>
                <w:bCs/>
                <w:color w:val="000000"/>
                <w:sz w:val="18"/>
                <w:szCs w:val="18"/>
              </w:rPr>
              <w:t>57</w:t>
            </w:r>
            <w:r w:rsidR="0085613A" w:rsidRPr="00C94B0A">
              <w:rPr>
                <w:rFonts w:ascii="Arial" w:hAnsi="Arial" w:cs="Arial"/>
                <w:b/>
                <w:bCs/>
                <w:color w:val="000000"/>
                <w:sz w:val="18"/>
                <w:szCs w:val="18"/>
              </w:rPr>
              <w:t>%</w:t>
            </w:r>
          </w:p>
          <w:p w14:paraId="3DA98ECC" w14:textId="77777777" w:rsidR="00212EAB" w:rsidRPr="00544D9C" w:rsidRDefault="00212EAB" w:rsidP="00DF0502">
            <w:pPr>
              <w:pStyle w:val="Entabla"/>
              <w:rPr>
                <w:rFonts w:ascii="Arial" w:hAnsi="Arial" w:cs="Arial"/>
                <w:b/>
                <w:bCs/>
                <w:sz w:val="18"/>
                <w:szCs w:val="18"/>
              </w:rPr>
            </w:pPr>
          </w:p>
        </w:tc>
      </w:tr>
    </w:tbl>
    <w:p w14:paraId="75D8388F" w14:textId="77777777" w:rsidR="00685D8F" w:rsidRPr="00DF0502" w:rsidRDefault="00685D8F" w:rsidP="00DF0502">
      <w:pPr>
        <w:pStyle w:val="Paragraph"/>
        <w:numPr>
          <w:ilvl w:val="0"/>
          <w:numId w:val="0"/>
        </w:numPr>
        <w:spacing w:before="0" w:after="0"/>
        <w:ind w:left="567"/>
        <w:rPr>
          <w:rFonts w:ascii="Arial" w:hAnsi="Arial" w:cs="Arial"/>
          <w:sz w:val="22"/>
          <w:szCs w:val="22"/>
        </w:rPr>
      </w:pPr>
    </w:p>
    <w:p w14:paraId="02FEB958" w14:textId="51747EA0" w:rsidR="00685D8F" w:rsidRDefault="00685D8F" w:rsidP="00DF0502">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En el escenario base, la relación costo beneficio para el programa como un to</w:t>
      </w:r>
      <w:r w:rsidR="000F67A7" w:rsidRPr="00DF0502">
        <w:rPr>
          <w:rFonts w:ascii="Arial" w:hAnsi="Arial" w:cs="Arial"/>
          <w:kern w:val="28"/>
          <w:lang w:val="es-ES_tradnl"/>
        </w:rPr>
        <w:t>do resul</w:t>
      </w:r>
      <w:r w:rsidR="00A01D69" w:rsidRPr="00DF0502">
        <w:rPr>
          <w:rFonts w:ascii="Arial" w:hAnsi="Arial" w:cs="Arial"/>
          <w:kern w:val="28"/>
          <w:lang w:val="es-ES_tradnl"/>
        </w:rPr>
        <w:t xml:space="preserve">ta ser de </w:t>
      </w:r>
      <w:r w:rsidR="00311215">
        <w:rPr>
          <w:rFonts w:ascii="Arial" w:hAnsi="Arial" w:cs="Arial"/>
          <w:kern w:val="28"/>
          <w:lang w:val="es-ES_tradnl"/>
        </w:rPr>
        <w:t>4.96</w:t>
      </w:r>
      <w:r w:rsidRPr="00DF0502">
        <w:rPr>
          <w:rFonts w:ascii="Arial" w:hAnsi="Arial" w:cs="Arial"/>
          <w:kern w:val="28"/>
          <w:lang w:val="es-ES_tradnl"/>
        </w:rPr>
        <w:t>. Esto signif</w:t>
      </w:r>
      <w:r w:rsidR="00A01D69" w:rsidRPr="00DF0502">
        <w:rPr>
          <w:rFonts w:ascii="Arial" w:hAnsi="Arial" w:cs="Arial"/>
          <w:kern w:val="28"/>
          <w:lang w:val="es-ES_tradnl"/>
        </w:rPr>
        <w:t xml:space="preserve">ica que se espera recuperar </w:t>
      </w:r>
      <w:r w:rsidR="00311215">
        <w:rPr>
          <w:rFonts w:ascii="Arial" w:hAnsi="Arial" w:cs="Arial"/>
          <w:kern w:val="28"/>
          <w:lang w:val="es-ES_tradnl"/>
        </w:rPr>
        <w:t>4.96</w:t>
      </w:r>
      <w:r w:rsidRPr="00DF0502">
        <w:rPr>
          <w:rFonts w:ascii="Arial" w:hAnsi="Arial" w:cs="Arial"/>
          <w:kern w:val="28"/>
          <w:lang w:val="es-ES_tradnl"/>
        </w:rPr>
        <w:t xml:space="preserve"> dólares por cada dólar invertido en el proyecto. </w:t>
      </w:r>
      <w:r w:rsidR="00243949" w:rsidRPr="00DF0502">
        <w:rPr>
          <w:rFonts w:ascii="Arial" w:hAnsi="Arial" w:cs="Arial"/>
          <w:kern w:val="28"/>
          <w:lang w:val="es-ES_tradnl"/>
        </w:rPr>
        <w:t xml:space="preserve">La TIR social resulta ser del </w:t>
      </w:r>
      <w:r w:rsidR="009227E5" w:rsidRPr="00DF0502">
        <w:rPr>
          <w:rFonts w:ascii="Arial" w:hAnsi="Arial" w:cs="Arial"/>
          <w:kern w:val="28"/>
          <w:lang w:val="es-ES_tradnl"/>
        </w:rPr>
        <w:t>5</w:t>
      </w:r>
      <w:r w:rsidR="00311215">
        <w:rPr>
          <w:rFonts w:ascii="Arial" w:hAnsi="Arial" w:cs="Arial"/>
          <w:kern w:val="28"/>
          <w:lang w:val="es-ES_tradnl"/>
        </w:rPr>
        <w:t>1</w:t>
      </w:r>
      <w:r w:rsidRPr="00DF0502">
        <w:rPr>
          <w:rFonts w:ascii="Arial" w:hAnsi="Arial" w:cs="Arial"/>
          <w:kern w:val="28"/>
          <w:lang w:val="es-ES_tradnl"/>
        </w:rPr>
        <w:t>%, una media ponderada de las tasas respectivas a ca</w:t>
      </w:r>
      <w:r w:rsidR="00A01D69" w:rsidRPr="00DF0502">
        <w:rPr>
          <w:rFonts w:ascii="Arial" w:hAnsi="Arial" w:cs="Arial"/>
          <w:kern w:val="28"/>
          <w:lang w:val="es-ES_tradnl"/>
        </w:rPr>
        <w:t xml:space="preserve">da Componente. </w:t>
      </w:r>
    </w:p>
    <w:p w14:paraId="01190DF5" w14:textId="77777777" w:rsidR="00D4782A" w:rsidRPr="00DF0502" w:rsidRDefault="00D4782A" w:rsidP="00D4782A">
      <w:pPr>
        <w:spacing w:after="0" w:line="240" w:lineRule="auto"/>
        <w:ind w:left="567"/>
        <w:jc w:val="both"/>
        <w:rPr>
          <w:rFonts w:ascii="Arial" w:hAnsi="Arial" w:cs="Arial"/>
          <w:kern w:val="28"/>
          <w:lang w:val="es-ES_tradnl"/>
        </w:rPr>
      </w:pPr>
    </w:p>
    <w:p w14:paraId="39393132" w14:textId="6A04C080" w:rsidR="00685D8F" w:rsidRDefault="00685D8F" w:rsidP="00DF0502">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 xml:space="preserve">En el escenario más conservador, </w:t>
      </w:r>
      <w:r w:rsidR="00EE64AC" w:rsidRPr="00DF0502">
        <w:rPr>
          <w:rFonts w:ascii="Arial" w:hAnsi="Arial" w:cs="Arial"/>
          <w:kern w:val="28"/>
          <w:lang w:val="es-ES_tradnl"/>
        </w:rPr>
        <w:t xml:space="preserve">donde se toma un valor menor de </w:t>
      </w:r>
      <w:r w:rsidR="0085613A">
        <w:rPr>
          <w:rFonts w:ascii="Arial" w:hAnsi="Arial" w:cs="Arial"/>
          <w:kern w:val="28"/>
          <w:lang w:val="es-ES_tradnl"/>
        </w:rPr>
        <w:t>la magnitud de los efectos para el a</w:t>
      </w:r>
      <w:r w:rsidR="0085613A">
        <w:rPr>
          <w:rFonts w:ascii="Arial" w:hAnsi="Arial" w:cs="Arial"/>
          <w:kern w:val="28"/>
          <w:lang w:val="es-MX"/>
        </w:rPr>
        <w:t>ño 5 y años posteriores</w:t>
      </w:r>
      <w:r w:rsidR="00EE64AC" w:rsidRPr="00DF0502">
        <w:rPr>
          <w:rFonts w:ascii="Arial" w:hAnsi="Arial" w:cs="Arial"/>
          <w:kern w:val="28"/>
          <w:lang w:val="es-ES_tradnl"/>
        </w:rPr>
        <w:t xml:space="preserve">, </w:t>
      </w:r>
      <w:r w:rsidRPr="00DF0502">
        <w:rPr>
          <w:rFonts w:ascii="Arial" w:hAnsi="Arial" w:cs="Arial"/>
          <w:kern w:val="28"/>
          <w:lang w:val="es-ES_tradnl"/>
        </w:rPr>
        <w:t>resulta un</w:t>
      </w:r>
      <w:r w:rsidR="000F67A7" w:rsidRPr="00DF0502">
        <w:rPr>
          <w:rFonts w:ascii="Arial" w:hAnsi="Arial" w:cs="Arial"/>
          <w:kern w:val="28"/>
          <w:lang w:val="es-ES_tradnl"/>
        </w:rPr>
        <w:t xml:space="preserve">a TIR social del </w:t>
      </w:r>
      <w:r w:rsidR="009227E5" w:rsidRPr="00DF0502">
        <w:rPr>
          <w:rFonts w:ascii="Arial" w:hAnsi="Arial" w:cs="Arial"/>
          <w:kern w:val="28"/>
          <w:lang w:val="es-ES_tradnl"/>
        </w:rPr>
        <w:t>4</w:t>
      </w:r>
      <w:r w:rsidR="00311215">
        <w:rPr>
          <w:rFonts w:ascii="Arial" w:hAnsi="Arial" w:cs="Arial"/>
          <w:kern w:val="28"/>
          <w:lang w:val="es-ES_tradnl"/>
        </w:rPr>
        <w:t>1</w:t>
      </w:r>
      <w:r w:rsidRPr="00DF0502">
        <w:rPr>
          <w:rFonts w:ascii="Arial" w:hAnsi="Arial" w:cs="Arial"/>
          <w:kern w:val="28"/>
          <w:lang w:val="es-ES_tradnl"/>
        </w:rPr>
        <w:t>% para el programa como un todo. Esto demuestra que aun en escenarios desfavorables, este sigue siendo rentable para la sociedad.</w:t>
      </w:r>
    </w:p>
    <w:p w14:paraId="622116AF" w14:textId="77777777" w:rsidR="00D4782A" w:rsidRPr="00DF0502" w:rsidRDefault="00D4782A" w:rsidP="00D4782A">
      <w:pPr>
        <w:spacing w:after="0" w:line="240" w:lineRule="auto"/>
        <w:ind w:left="567"/>
        <w:jc w:val="both"/>
        <w:rPr>
          <w:rFonts w:ascii="Arial" w:hAnsi="Arial" w:cs="Arial"/>
          <w:kern w:val="28"/>
          <w:lang w:val="es-ES_tradnl"/>
        </w:rPr>
      </w:pPr>
    </w:p>
    <w:p w14:paraId="2A702845" w14:textId="0BC530C5" w:rsidR="00685D8F" w:rsidRDefault="00685D8F" w:rsidP="00DF0502">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 xml:space="preserve">En un escenario más favorable, </w:t>
      </w:r>
      <w:r w:rsidR="00EE64AC" w:rsidRPr="00DF0502">
        <w:rPr>
          <w:rFonts w:ascii="Arial" w:hAnsi="Arial" w:cs="Arial"/>
          <w:kern w:val="28"/>
          <w:lang w:val="es-ES_tradnl"/>
        </w:rPr>
        <w:t>donde se toma un valor mayor de l</w:t>
      </w:r>
      <w:r w:rsidR="0085613A">
        <w:rPr>
          <w:rFonts w:ascii="Arial" w:hAnsi="Arial" w:cs="Arial"/>
          <w:kern w:val="28"/>
          <w:lang w:val="es-ES_tradnl"/>
        </w:rPr>
        <w:t>o</w:t>
      </w:r>
      <w:r w:rsidR="00EE64AC" w:rsidRPr="00DF0502">
        <w:rPr>
          <w:rFonts w:ascii="Arial" w:hAnsi="Arial" w:cs="Arial"/>
          <w:kern w:val="28"/>
          <w:lang w:val="es-ES_tradnl"/>
        </w:rPr>
        <w:t xml:space="preserve">s </w:t>
      </w:r>
      <w:r w:rsidR="0085613A">
        <w:rPr>
          <w:rFonts w:ascii="Arial" w:hAnsi="Arial" w:cs="Arial"/>
          <w:kern w:val="28"/>
          <w:lang w:val="es-ES_tradnl"/>
        </w:rPr>
        <w:t>efectos</w:t>
      </w:r>
      <w:r w:rsidR="00EE64AC" w:rsidRPr="00DF0502">
        <w:rPr>
          <w:rFonts w:ascii="Arial" w:hAnsi="Arial" w:cs="Arial"/>
          <w:kern w:val="28"/>
          <w:lang w:val="es-ES_tradnl"/>
        </w:rPr>
        <w:t xml:space="preserve"> respecto del escenario base, </w:t>
      </w:r>
      <w:r w:rsidR="00A01D69" w:rsidRPr="00DF0502">
        <w:rPr>
          <w:rFonts w:ascii="Arial" w:hAnsi="Arial" w:cs="Arial"/>
          <w:kern w:val="28"/>
          <w:lang w:val="es-ES_tradnl"/>
        </w:rPr>
        <w:t xml:space="preserve">se obtiene una TIR social del </w:t>
      </w:r>
      <w:r w:rsidR="00311215">
        <w:rPr>
          <w:rFonts w:ascii="Arial" w:hAnsi="Arial" w:cs="Arial"/>
          <w:kern w:val="28"/>
          <w:lang w:val="es-ES_tradnl"/>
        </w:rPr>
        <w:t>57</w:t>
      </w:r>
      <w:r w:rsidRPr="00DF0502">
        <w:rPr>
          <w:rFonts w:ascii="Arial" w:hAnsi="Arial" w:cs="Arial"/>
          <w:kern w:val="28"/>
          <w:lang w:val="es-ES_tradnl"/>
        </w:rPr>
        <w:t>%.</w:t>
      </w:r>
    </w:p>
    <w:p w14:paraId="2BC599BD" w14:textId="77777777" w:rsidR="00D4782A" w:rsidRPr="00DF0502" w:rsidRDefault="00D4782A" w:rsidP="00D4782A">
      <w:pPr>
        <w:spacing w:after="0" w:line="240" w:lineRule="auto"/>
        <w:ind w:left="567"/>
        <w:jc w:val="both"/>
        <w:rPr>
          <w:rFonts w:ascii="Arial" w:hAnsi="Arial" w:cs="Arial"/>
          <w:kern w:val="28"/>
          <w:lang w:val="es-ES_tradnl"/>
        </w:rPr>
      </w:pPr>
    </w:p>
    <w:p w14:paraId="56A7A3C0" w14:textId="6CA057BA" w:rsidR="003A7B94" w:rsidRDefault="002F4082" w:rsidP="00DF0502">
      <w:pPr>
        <w:numPr>
          <w:ilvl w:val="1"/>
          <w:numId w:val="1"/>
        </w:numPr>
        <w:spacing w:after="0" w:line="240" w:lineRule="auto"/>
        <w:jc w:val="both"/>
        <w:rPr>
          <w:rFonts w:ascii="Arial" w:hAnsi="Arial" w:cs="Arial"/>
          <w:kern w:val="28"/>
          <w:lang w:val="es-ES_tradnl"/>
        </w:rPr>
      </w:pPr>
      <w:r w:rsidRPr="00DF0502">
        <w:rPr>
          <w:rFonts w:ascii="Arial" w:hAnsi="Arial" w:cs="Arial"/>
          <w:kern w:val="28"/>
          <w:lang w:val="es-ES_tradnl"/>
        </w:rPr>
        <w:t>En conclusión</w:t>
      </w:r>
      <w:r w:rsidR="00685D8F" w:rsidRPr="00DF0502">
        <w:rPr>
          <w:rFonts w:ascii="Arial" w:hAnsi="Arial" w:cs="Arial"/>
          <w:kern w:val="28"/>
          <w:lang w:val="es-ES_tradnl"/>
        </w:rPr>
        <w:t>, puede afirmarse que el programa posee una alta rentabilidad social. Aun en los escenarios más conservadores mantiene la rentabilidad considerando el programa en el agregado, observando en el escenario bas</w:t>
      </w:r>
      <w:r w:rsidR="00EE64AC" w:rsidRPr="00DF0502">
        <w:rPr>
          <w:rFonts w:ascii="Arial" w:hAnsi="Arial" w:cs="Arial"/>
          <w:kern w:val="28"/>
          <w:lang w:val="es-ES_tradnl"/>
        </w:rPr>
        <w:t>e u</w:t>
      </w:r>
      <w:r w:rsidR="00A01D69" w:rsidRPr="00DF0502">
        <w:rPr>
          <w:rFonts w:ascii="Arial" w:hAnsi="Arial" w:cs="Arial"/>
          <w:kern w:val="28"/>
          <w:lang w:val="es-ES_tradnl"/>
        </w:rPr>
        <w:t xml:space="preserve">na razón costo beneficio de </w:t>
      </w:r>
      <w:r w:rsidR="00311215">
        <w:rPr>
          <w:rFonts w:ascii="Arial" w:hAnsi="Arial" w:cs="Arial"/>
          <w:kern w:val="28"/>
          <w:lang w:val="es-ES_tradnl"/>
        </w:rPr>
        <w:t>4.96</w:t>
      </w:r>
      <w:r w:rsidR="00685D8F" w:rsidRPr="00DF0502">
        <w:rPr>
          <w:rFonts w:ascii="Arial" w:hAnsi="Arial" w:cs="Arial"/>
          <w:kern w:val="28"/>
          <w:lang w:val="es-ES_tradnl"/>
        </w:rPr>
        <w:t xml:space="preserve"> dólares por cada dólar invertido, con </w:t>
      </w:r>
      <w:r w:rsidR="00243949" w:rsidRPr="00DF0502">
        <w:rPr>
          <w:rFonts w:ascii="Arial" w:hAnsi="Arial" w:cs="Arial"/>
          <w:kern w:val="28"/>
          <w:lang w:val="es-ES_tradnl"/>
        </w:rPr>
        <w:t xml:space="preserve">una TIR social del </w:t>
      </w:r>
      <w:r w:rsidR="009227E5" w:rsidRPr="00DF0502">
        <w:rPr>
          <w:rFonts w:ascii="Arial" w:hAnsi="Arial" w:cs="Arial"/>
          <w:kern w:val="28"/>
          <w:lang w:val="es-ES_tradnl"/>
        </w:rPr>
        <w:t>5</w:t>
      </w:r>
      <w:r w:rsidR="00311215">
        <w:rPr>
          <w:rFonts w:ascii="Arial" w:hAnsi="Arial" w:cs="Arial"/>
          <w:kern w:val="28"/>
          <w:lang w:val="es-ES_tradnl"/>
        </w:rPr>
        <w:t>1</w:t>
      </w:r>
      <w:r w:rsidR="00685D8F" w:rsidRPr="00DF0502">
        <w:rPr>
          <w:rFonts w:ascii="Arial" w:hAnsi="Arial" w:cs="Arial"/>
          <w:kern w:val="28"/>
          <w:lang w:val="es-ES_tradnl"/>
        </w:rPr>
        <w:t>%, superior a la tasa del 12% establecida como estándar del Banco.</w:t>
      </w:r>
      <w:r w:rsidR="0085613A">
        <w:rPr>
          <w:rFonts w:ascii="Arial" w:hAnsi="Arial" w:cs="Arial"/>
          <w:kern w:val="28"/>
          <w:lang w:val="es-ES_tradnl"/>
        </w:rPr>
        <w:t xml:space="preserve"> Ver Tablas 15 y 16)</w:t>
      </w:r>
    </w:p>
    <w:p w14:paraId="7841F083" w14:textId="77777777" w:rsidR="0085613A" w:rsidRDefault="0085613A" w:rsidP="00C94B0A">
      <w:pPr>
        <w:pStyle w:val="ListParagraph"/>
        <w:rPr>
          <w:rFonts w:ascii="Arial" w:hAnsi="Arial" w:cs="Arial"/>
          <w:kern w:val="28"/>
          <w:lang w:val="es-ES_tradnl"/>
        </w:rPr>
      </w:pPr>
    </w:p>
    <w:p w14:paraId="14B4C3C9" w14:textId="77777777" w:rsidR="0085613A" w:rsidRPr="00C94B0A" w:rsidRDefault="0085613A" w:rsidP="0085613A">
      <w:pPr>
        <w:spacing w:after="0" w:line="240" w:lineRule="auto"/>
        <w:ind w:left="567"/>
        <w:jc w:val="both"/>
        <w:rPr>
          <w:rFonts w:ascii="Arial" w:hAnsi="Arial" w:cs="Arial"/>
          <w:b/>
          <w:kern w:val="28"/>
          <w:lang w:val="es-ES_tradnl"/>
        </w:rPr>
      </w:pPr>
      <w:r w:rsidRPr="00C94B0A">
        <w:rPr>
          <w:rFonts w:ascii="Arial" w:hAnsi="Arial" w:cs="Arial"/>
          <w:b/>
          <w:kern w:val="28"/>
          <w:lang w:val="es-ES_tradnl"/>
        </w:rPr>
        <w:t>Tabla 16. Variables de los escenarios</w:t>
      </w:r>
    </w:p>
    <w:p w14:paraId="75C7A299" w14:textId="77777777" w:rsidR="0085613A" w:rsidRDefault="00311215" w:rsidP="00C94B0A">
      <w:pPr>
        <w:spacing w:after="0" w:line="240" w:lineRule="auto"/>
        <w:ind w:left="567"/>
        <w:jc w:val="both"/>
        <w:rPr>
          <w:rFonts w:ascii="Arial" w:hAnsi="Arial" w:cs="Arial"/>
          <w:kern w:val="28"/>
          <w:lang w:val="es-ES_tradnl"/>
        </w:rPr>
      </w:pPr>
      <w:r w:rsidRPr="00311215">
        <w:rPr>
          <w:noProof/>
        </w:rPr>
        <w:drawing>
          <wp:inline distT="0" distB="0" distL="0" distR="0" wp14:anchorId="37E3F335" wp14:editId="3EF61AB6">
            <wp:extent cx="5396230" cy="17550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6230" cy="1755062"/>
                    </a:xfrm>
                    <a:prstGeom prst="rect">
                      <a:avLst/>
                    </a:prstGeom>
                    <a:noFill/>
                    <a:ln>
                      <a:noFill/>
                    </a:ln>
                  </pic:spPr>
                </pic:pic>
              </a:graphicData>
            </a:graphic>
          </wp:inline>
        </w:drawing>
      </w:r>
    </w:p>
    <w:p w14:paraId="06B5CAB6" w14:textId="77777777" w:rsidR="0064072F" w:rsidRDefault="0064072F" w:rsidP="00C94B0A">
      <w:pPr>
        <w:pStyle w:val="ListParagraph"/>
        <w:rPr>
          <w:rFonts w:ascii="Arial" w:hAnsi="Arial" w:cs="Arial"/>
          <w:kern w:val="28"/>
          <w:lang w:val="es-ES_tradnl"/>
        </w:rPr>
      </w:pPr>
    </w:p>
    <w:p w14:paraId="072E56CD" w14:textId="77777777" w:rsidR="0064072F" w:rsidRPr="00DF0502" w:rsidRDefault="0064072F" w:rsidP="00C94B0A">
      <w:pPr>
        <w:spacing w:after="0" w:line="240" w:lineRule="auto"/>
        <w:ind w:left="567"/>
        <w:jc w:val="both"/>
        <w:rPr>
          <w:rFonts w:ascii="Arial" w:hAnsi="Arial" w:cs="Arial"/>
          <w:kern w:val="28"/>
          <w:lang w:val="es-ES_tradnl"/>
        </w:rPr>
      </w:pPr>
    </w:p>
    <w:p w14:paraId="17C4B02C" w14:textId="77777777" w:rsidR="003A7B94" w:rsidRPr="00DF0502" w:rsidRDefault="003A7B94" w:rsidP="00DF0502">
      <w:pPr>
        <w:numPr>
          <w:ilvl w:val="0"/>
          <w:numId w:val="1"/>
        </w:numPr>
        <w:spacing w:after="0" w:line="240" w:lineRule="auto"/>
        <w:jc w:val="both"/>
        <w:rPr>
          <w:rFonts w:ascii="Arial" w:hAnsi="Arial" w:cs="Arial"/>
          <w:b/>
          <w:lang w:val="es-ES"/>
        </w:rPr>
      </w:pPr>
      <w:r w:rsidRPr="00DF0502">
        <w:rPr>
          <w:rFonts w:ascii="Arial" w:eastAsia="Times New Roman" w:hAnsi="Arial" w:cs="Arial"/>
          <w:b/>
          <w:kern w:val="28"/>
          <w:lang w:val="es-ES_tradnl"/>
        </w:rPr>
        <w:t>Referencias</w:t>
      </w:r>
    </w:p>
    <w:p w14:paraId="6FA73636" w14:textId="77777777" w:rsidR="003A7B94" w:rsidRPr="00DF0502" w:rsidRDefault="003A7B94" w:rsidP="00DF0502">
      <w:pPr>
        <w:pStyle w:val="Paragraph"/>
        <w:numPr>
          <w:ilvl w:val="0"/>
          <w:numId w:val="13"/>
        </w:numPr>
        <w:spacing w:before="0" w:after="0"/>
        <w:rPr>
          <w:rFonts w:ascii="Arial" w:hAnsi="Arial" w:cs="Arial"/>
          <w:kern w:val="28"/>
          <w:sz w:val="22"/>
          <w:szCs w:val="22"/>
          <w:lang w:val="en-US"/>
        </w:rPr>
      </w:pPr>
      <w:r w:rsidRPr="00993B13">
        <w:rPr>
          <w:rFonts w:ascii="Arial" w:hAnsi="Arial" w:cs="Arial"/>
          <w:kern w:val="28"/>
          <w:sz w:val="22"/>
          <w:szCs w:val="22"/>
          <w:lang w:val="en-US"/>
        </w:rPr>
        <w:t xml:space="preserve">Ajzenman, N., Galiani, S., &amp; Seira, E. (2015). </w:t>
      </w:r>
      <w:r w:rsidRPr="00DF0502">
        <w:rPr>
          <w:rFonts w:ascii="Arial" w:hAnsi="Arial" w:cs="Arial"/>
          <w:kern w:val="28"/>
          <w:sz w:val="22"/>
          <w:szCs w:val="22"/>
          <w:lang w:val="en-US"/>
        </w:rPr>
        <w:t>On the distributive costs of drug-related homicides. The Journal of Law and Economics, 58(4), 779–803.</w:t>
      </w:r>
    </w:p>
    <w:p w14:paraId="7CD7B897" w14:textId="77777777" w:rsidR="003A7B94" w:rsidRPr="00DF0502" w:rsidRDefault="003A7B94" w:rsidP="00DF0502">
      <w:pPr>
        <w:pStyle w:val="Paragraph"/>
        <w:numPr>
          <w:ilvl w:val="0"/>
          <w:numId w:val="13"/>
        </w:numPr>
        <w:spacing w:before="0" w:after="0"/>
        <w:rPr>
          <w:rFonts w:ascii="Arial" w:hAnsi="Arial" w:cs="Arial"/>
          <w:kern w:val="28"/>
          <w:sz w:val="22"/>
          <w:szCs w:val="22"/>
          <w:lang w:val="en-US"/>
        </w:rPr>
      </w:pPr>
      <w:r w:rsidRPr="00DF0502">
        <w:rPr>
          <w:rFonts w:ascii="Arial" w:hAnsi="Arial" w:cs="Arial"/>
          <w:kern w:val="28"/>
          <w:sz w:val="22"/>
          <w:szCs w:val="22"/>
          <w:lang w:val="en-US"/>
        </w:rPr>
        <w:t xml:space="preserve">BenYishay, A., &amp; Pearlman, S. (2013). Homicide and Work: The Impact of Mexico’s Drug War on Labor Market Participation. </w:t>
      </w:r>
      <w:r w:rsidRPr="00DF0502">
        <w:rPr>
          <w:rFonts w:ascii="Arial" w:hAnsi="Arial" w:cs="Arial"/>
          <w:i/>
          <w:kern w:val="28"/>
          <w:sz w:val="22"/>
          <w:szCs w:val="22"/>
          <w:lang w:val="en-US"/>
        </w:rPr>
        <w:t>Working Paper.</w:t>
      </w:r>
    </w:p>
    <w:p w14:paraId="7AD1662C" w14:textId="77777777" w:rsidR="003A7B94" w:rsidRPr="00DF0502" w:rsidRDefault="003A7B94" w:rsidP="00DF0502">
      <w:pPr>
        <w:pStyle w:val="Paragraph"/>
        <w:numPr>
          <w:ilvl w:val="0"/>
          <w:numId w:val="13"/>
        </w:numPr>
        <w:spacing w:before="0" w:after="0"/>
        <w:rPr>
          <w:rFonts w:ascii="Arial" w:hAnsi="Arial" w:cs="Arial"/>
          <w:kern w:val="28"/>
          <w:sz w:val="22"/>
          <w:szCs w:val="22"/>
          <w:lang w:val="es-ES_tradnl"/>
        </w:rPr>
      </w:pPr>
      <w:r w:rsidRPr="00DF0502">
        <w:rPr>
          <w:rFonts w:ascii="Arial" w:hAnsi="Arial" w:cs="Arial"/>
          <w:kern w:val="28"/>
          <w:sz w:val="22"/>
          <w:szCs w:val="22"/>
          <w:lang w:val="en-US"/>
        </w:rPr>
        <w:t xml:space="preserve">Campbell, R. (2006). Rape Survivors’ Experiences with the Legal and Medical Systems: Do Rape Victim Advocates Make a Difference? </w:t>
      </w:r>
      <w:r w:rsidRPr="00DF0502">
        <w:rPr>
          <w:rFonts w:ascii="Arial" w:hAnsi="Arial" w:cs="Arial"/>
          <w:i/>
          <w:iCs/>
          <w:kern w:val="28"/>
          <w:sz w:val="22"/>
          <w:szCs w:val="22"/>
          <w:lang w:val="es-ES_tradnl"/>
        </w:rPr>
        <w:t>Violence Against Women</w:t>
      </w:r>
      <w:r w:rsidRPr="00DF0502">
        <w:rPr>
          <w:rFonts w:ascii="Arial" w:hAnsi="Arial" w:cs="Arial"/>
          <w:kern w:val="28"/>
          <w:sz w:val="22"/>
          <w:szCs w:val="22"/>
          <w:lang w:val="es-ES_tradnl"/>
        </w:rPr>
        <w:t xml:space="preserve">, </w:t>
      </w:r>
      <w:r w:rsidRPr="00DF0502">
        <w:rPr>
          <w:rFonts w:ascii="Arial" w:hAnsi="Arial" w:cs="Arial"/>
          <w:i/>
          <w:iCs/>
          <w:kern w:val="28"/>
          <w:sz w:val="22"/>
          <w:szCs w:val="22"/>
          <w:lang w:val="es-ES_tradnl"/>
        </w:rPr>
        <w:t>12</w:t>
      </w:r>
      <w:r w:rsidRPr="00DF0502">
        <w:rPr>
          <w:rFonts w:ascii="Arial" w:hAnsi="Arial" w:cs="Arial"/>
          <w:kern w:val="28"/>
          <w:sz w:val="22"/>
          <w:szCs w:val="22"/>
          <w:lang w:val="es-ES_tradnl"/>
        </w:rPr>
        <w:t xml:space="preserve">(1), 30-45. </w:t>
      </w:r>
    </w:p>
    <w:p w14:paraId="4E49A6C9" w14:textId="77777777" w:rsidR="003A7B94" w:rsidRPr="00DF0502" w:rsidRDefault="003A7B94" w:rsidP="00DF0502">
      <w:pPr>
        <w:pStyle w:val="Paragraph"/>
        <w:numPr>
          <w:ilvl w:val="0"/>
          <w:numId w:val="13"/>
        </w:numPr>
        <w:spacing w:before="0" w:after="0"/>
        <w:rPr>
          <w:rFonts w:ascii="Arial" w:hAnsi="Arial" w:cs="Arial"/>
          <w:kern w:val="28"/>
          <w:sz w:val="22"/>
          <w:szCs w:val="22"/>
          <w:lang w:val="en-US"/>
        </w:rPr>
      </w:pPr>
      <w:r w:rsidRPr="00DF0502">
        <w:rPr>
          <w:rFonts w:ascii="Arial" w:hAnsi="Arial" w:cs="Arial"/>
          <w:kern w:val="28"/>
          <w:sz w:val="22"/>
          <w:szCs w:val="22"/>
          <w:lang w:val="en-US"/>
        </w:rPr>
        <w:t xml:space="preserve">Garicano, L., &amp; Heaton, P. (2010). Information technology, organization, and productivity in the public sector: Evidence from police departments. </w:t>
      </w:r>
      <w:r w:rsidRPr="00DF0502">
        <w:rPr>
          <w:rFonts w:ascii="Arial" w:hAnsi="Arial" w:cs="Arial"/>
          <w:i/>
          <w:iCs/>
          <w:kern w:val="28"/>
          <w:sz w:val="22"/>
          <w:szCs w:val="22"/>
          <w:lang w:val="es-ES_tradnl"/>
        </w:rPr>
        <w:t>Journal of Labor Economics</w:t>
      </w:r>
      <w:r w:rsidRPr="00DF0502">
        <w:rPr>
          <w:rFonts w:ascii="Arial" w:hAnsi="Arial" w:cs="Arial"/>
          <w:kern w:val="28"/>
          <w:sz w:val="22"/>
          <w:szCs w:val="22"/>
          <w:lang w:val="es-ES_tradnl"/>
        </w:rPr>
        <w:t xml:space="preserve">, </w:t>
      </w:r>
      <w:r w:rsidRPr="00DF0502">
        <w:rPr>
          <w:rFonts w:ascii="Arial" w:hAnsi="Arial" w:cs="Arial"/>
          <w:i/>
          <w:iCs/>
          <w:kern w:val="28"/>
          <w:sz w:val="22"/>
          <w:szCs w:val="22"/>
          <w:lang w:val="es-ES_tradnl"/>
        </w:rPr>
        <w:t>28</w:t>
      </w:r>
      <w:r w:rsidRPr="00DF0502">
        <w:rPr>
          <w:rFonts w:ascii="Arial" w:hAnsi="Arial" w:cs="Arial"/>
          <w:kern w:val="28"/>
          <w:sz w:val="22"/>
          <w:szCs w:val="22"/>
          <w:lang w:val="es-ES_tradnl"/>
        </w:rPr>
        <w:t>(1), 167–201.</w:t>
      </w:r>
    </w:p>
    <w:p w14:paraId="7A905025" w14:textId="77777777" w:rsidR="00E1754D" w:rsidRPr="00DF0502" w:rsidRDefault="00E1754D" w:rsidP="00DF0502">
      <w:pPr>
        <w:pStyle w:val="ListParagraph"/>
        <w:numPr>
          <w:ilvl w:val="0"/>
          <w:numId w:val="13"/>
        </w:numPr>
        <w:spacing w:after="0" w:line="240" w:lineRule="auto"/>
        <w:rPr>
          <w:rFonts w:ascii="Arial" w:eastAsia="Times New Roman" w:hAnsi="Arial" w:cs="Arial"/>
          <w:lang w:eastAsia="es-ES_tradnl"/>
        </w:rPr>
      </w:pPr>
      <w:r w:rsidRPr="00DF0502">
        <w:rPr>
          <w:rFonts w:ascii="Arial" w:eastAsia="Times New Roman" w:hAnsi="Arial" w:cs="Arial"/>
          <w:lang w:eastAsia="es-ES_tradnl"/>
        </w:rPr>
        <w:t>Jaitman, L., Caprirolo, D., Granguillhome Ochoa, R., Keefer, P., Leggett, T., Lewis, J. A., … Torre, I. (2017). The Costs of Crime and Violence: New Evidence and Insights in Latin America and the Caribbean. BID</w:t>
      </w:r>
    </w:p>
    <w:p w14:paraId="0D5FA790" w14:textId="77777777" w:rsidR="003A7B94" w:rsidRPr="00DF0502" w:rsidRDefault="003A7B94" w:rsidP="00DF0502">
      <w:pPr>
        <w:pStyle w:val="Paragraph"/>
        <w:numPr>
          <w:ilvl w:val="0"/>
          <w:numId w:val="13"/>
        </w:numPr>
        <w:spacing w:before="0" w:after="0"/>
        <w:rPr>
          <w:rFonts w:ascii="Arial" w:hAnsi="Arial" w:cs="Arial"/>
          <w:kern w:val="28"/>
          <w:sz w:val="22"/>
          <w:szCs w:val="22"/>
          <w:lang w:val="es-ES_tradnl"/>
        </w:rPr>
      </w:pPr>
      <w:r w:rsidRPr="00DF0502">
        <w:rPr>
          <w:rFonts w:ascii="Arial" w:hAnsi="Arial" w:cs="Arial"/>
          <w:kern w:val="28"/>
          <w:sz w:val="22"/>
          <w:szCs w:val="22"/>
          <w:lang w:val="en-US"/>
        </w:rPr>
        <w:t xml:space="preserve">Koppa, V. (2016). Can domestic violence victim screening and active safety counseling save lives? </w:t>
      </w:r>
      <w:r w:rsidRPr="00DF0502">
        <w:rPr>
          <w:rFonts w:ascii="Arial" w:hAnsi="Arial" w:cs="Arial"/>
          <w:i/>
          <w:kern w:val="28"/>
          <w:sz w:val="22"/>
          <w:szCs w:val="22"/>
          <w:lang w:val="es-ES_tradnl"/>
        </w:rPr>
        <w:t>Working Paper.</w:t>
      </w:r>
    </w:p>
    <w:p w14:paraId="29ABE634" w14:textId="77777777" w:rsidR="005D03AB" w:rsidRPr="00DF0502" w:rsidRDefault="005D03AB" w:rsidP="00DF0502">
      <w:pPr>
        <w:pStyle w:val="Paragraph"/>
        <w:numPr>
          <w:ilvl w:val="0"/>
          <w:numId w:val="13"/>
        </w:numPr>
        <w:spacing w:before="0" w:after="0"/>
        <w:rPr>
          <w:rFonts w:ascii="Arial" w:hAnsi="Arial" w:cs="Arial"/>
          <w:kern w:val="28"/>
          <w:sz w:val="22"/>
          <w:szCs w:val="22"/>
          <w:lang w:val="en-US"/>
        </w:rPr>
      </w:pPr>
      <w:r w:rsidRPr="00DF0502">
        <w:rPr>
          <w:rFonts w:ascii="Arial" w:hAnsi="Arial" w:cs="Arial"/>
          <w:kern w:val="28"/>
          <w:sz w:val="22"/>
          <w:szCs w:val="22"/>
          <w:lang w:val="en-US"/>
        </w:rPr>
        <w:t>Welsh P. and Farrington D. (2008), Improved Street Lighting and Crime Prevention, A Systematic Review. The Swedish National Council for Crime Prevention.</w:t>
      </w:r>
      <w:r w:rsidR="00B93EC5" w:rsidRPr="00DF0502">
        <w:rPr>
          <w:rFonts w:ascii="Arial" w:hAnsi="Arial" w:cs="Arial"/>
          <w:kern w:val="28"/>
          <w:sz w:val="22"/>
          <w:szCs w:val="22"/>
          <w:lang w:val="en-US"/>
        </w:rPr>
        <w:t xml:space="preserve"> </w:t>
      </w:r>
      <w:r w:rsidR="00B93EC5" w:rsidRPr="00DF0502">
        <w:rPr>
          <w:rFonts w:ascii="Arial" w:hAnsi="Arial" w:cs="Arial"/>
          <w:i/>
          <w:kern w:val="28"/>
          <w:sz w:val="22"/>
          <w:szCs w:val="22"/>
          <w:lang w:val="en-US"/>
        </w:rPr>
        <w:t>Report.</w:t>
      </w:r>
    </w:p>
    <w:p w14:paraId="42AB16C8" w14:textId="77777777" w:rsidR="00D2113A" w:rsidRPr="00DF0502" w:rsidRDefault="00D2113A" w:rsidP="00DF0502">
      <w:pPr>
        <w:pStyle w:val="Paragraph"/>
        <w:numPr>
          <w:ilvl w:val="0"/>
          <w:numId w:val="0"/>
        </w:numPr>
        <w:spacing w:before="0" w:after="0"/>
        <w:ind w:left="720" w:hanging="720"/>
        <w:rPr>
          <w:rFonts w:ascii="Arial" w:hAnsi="Arial" w:cs="Arial"/>
          <w:kern w:val="28"/>
          <w:sz w:val="22"/>
          <w:szCs w:val="22"/>
          <w:lang w:val="en-US"/>
        </w:rPr>
      </w:pPr>
    </w:p>
    <w:p w14:paraId="3895D1D8" w14:textId="77777777" w:rsidR="00716988" w:rsidRPr="00DF0502" w:rsidRDefault="00716988" w:rsidP="00DF0502">
      <w:pPr>
        <w:pStyle w:val="Paragraph"/>
        <w:numPr>
          <w:ilvl w:val="0"/>
          <w:numId w:val="0"/>
        </w:numPr>
        <w:spacing w:before="0" w:after="0"/>
        <w:rPr>
          <w:rFonts w:ascii="Arial" w:hAnsi="Arial" w:cs="Arial"/>
          <w:kern w:val="28"/>
          <w:sz w:val="22"/>
          <w:szCs w:val="22"/>
          <w:lang w:val="en-US"/>
        </w:rPr>
      </w:pPr>
    </w:p>
    <w:sectPr w:rsidR="00716988" w:rsidRPr="00DF0502" w:rsidSect="00555605">
      <w:headerReference w:type="default" r:id="rId21"/>
      <w:footerReference w:type="default" r:id="rId22"/>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32D18" w14:textId="77777777" w:rsidR="005E2C3D" w:rsidRDefault="005E2C3D" w:rsidP="00EC433C">
      <w:pPr>
        <w:spacing w:after="0" w:line="240" w:lineRule="auto"/>
      </w:pPr>
      <w:r>
        <w:separator/>
      </w:r>
    </w:p>
  </w:endnote>
  <w:endnote w:type="continuationSeparator" w:id="0">
    <w:p w14:paraId="1B7E1AAC" w14:textId="77777777" w:rsidR="005E2C3D" w:rsidRDefault="005E2C3D" w:rsidP="00EC433C">
      <w:pPr>
        <w:spacing w:after="0" w:line="240" w:lineRule="auto"/>
      </w:pPr>
      <w:r>
        <w:continuationSeparator/>
      </w:r>
    </w:p>
  </w:endnote>
  <w:endnote w:type="continuationNotice" w:id="1">
    <w:p w14:paraId="440E05C3" w14:textId="77777777" w:rsidR="005E2C3D" w:rsidRDefault="005E2C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otham">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D22A8" w14:textId="77777777" w:rsidR="003A7479" w:rsidRDefault="003A7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5502F" w14:textId="77777777" w:rsidR="005E2C3D" w:rsidRDefault="005E2C3D" w:rsidP="00EC433C">
      <w:pPr>
        <w:spacing w:after="0" w:line="240" w:lineRule="auto"/>
      </w:pPr>
      <w:r>
        <w:separator/>
      </w:r>
    </w:p>
  </w:footnote>
  <w:footnote w:type="continuationSeparator" w:id="0">
    <w:p w14:paraId="41A163B6" w14:textId="77777777" w:rsidR="005E2C3D" w:rsidRDefault="005E2C3D" w:rsidP="00EC433C">
      <w:pPr>
        <w:spacing w:after="0" w:line="240" w:lineRule="auto"/>
      </w:pPr>
      <w:r>
        <w:continuationSeparator/>
      </w:r>
    </w:p>
  </w:footnote>
  <w:footnote w:type="continuationNotice" w:id="1">
    <w:p w14:paraId="75E2210E" w14:textId="77777777" w:rsidR="005E2C3D" w:rsidRDefault="005E2C3D">
      <w:pPr>
        <w:spacing w:after="0" w:line="240" w:lineRule="auto"/>
      </w:pPr>
    </w:p>
  </w:footnote>
  <w:footnote w:id="2">
    <w:p w14:paraId="084F472A" w14:textId="77777777" w:rsidR="003A7479" w:rsidRPr="00DF0502" w:rsidRDefault="003A7479" w:rsidP="008233B5">
      <w:pPr>
        <w:pStyle w:val="FootnoteText"/>
        <w:spacing w:after="0"/>
        <w:ind w:left="274" w:hanging="274"/>
        <w:jc w:val="left"/>
        <w:rPr>
          <w:rFonts w:ascii="Arial" w:hAnsi="Arial" w:cs="Arial"/>
          <w:sz w:val="18"/>
          <w:szCs w:val="18"/>
        </w:rPr>
      </w:pPr>
      <w:r w:rsidRPr="00DF0502">
        <w:rPr>
          <w:rStyle w:val="FootnoteReference"/>
          <w:rFonts w:ascii="Arial" w:hAnsi="Arial" w:cs="Arial"/>
          <w:sz w:val="18"/>
          <w:szCs w:val="18"/>
        </w:rPr>
        <w:footnoteRef/>
      </w:r>
      <w:r w:rsidRPr="00DF0502">
        <w:rPr>
          <w:rFonts w:ascii="Arial" w:hAnsi="Arial" w:cs="Arial"/>
          <w:sz w:val="18"/>
          <w:szCs w:val="18"/>
        </w:rPr>
        <w:t xml:space="preserve"> </w:t>
      </w:r>
      <w:r>
        <w:rPr>
          <w:rFonts w:ascii="Arial" w:hAnsi="Arial" w:cs="Arial"/>
          <w:sz w:val="18"/>
          <w:szCs w:val="18"/>
        </w:rPr>
        <w:tab/>
      </w:r>
      <w:r w:rsidRPr="00DF0502">
        <w:rPr>
          <w:rFonts w:ascii="Arial" w:hAnsi="Arial" w:cs="Arial"/>
          <w:sz w:val="18"/>
          <w:szCs w:val="18"/>
        </w:rPr>
        <w:t>Los barrios de intervención en el Distrito Central son: Monte De los Olivos, Nueva Jerusalén; Australia; 25 de enero; Nueva España; Brisas del Mogote y Nueva Galilea.</w:t>
      </w:r>
    </w:p>
  </w:footnote>
  <w:footnote w:id="3">
    <w:p w14:paraId="6469BEF1" w14:textId="77777777" w:rsidR="007C3A06" w:rsidRPr="008233B5" w:rsidRDefault="007C3A06" w:rsidP="008233B5">
      <w:pPr>
        <w:tabs>
          <w:tab w:val="left" w:pos="270"/>
        </w:tabs>
        <w:spacing w:after="0" w:line="240" w:lineRule="auto"/>
        <w:ind w:left="274" w:hanging="274"/>
        <w:jc w:val="both"/>
        <w:rPr>
          <w:rFonts w:ascii="Arial" w:hAnsi="Arial" w:cs="Arial"/>
          <w:sz w:val="18"/>
          <w:szCs w:val="18"/>
          <w:lang w:val="es-ES_tradnl"/>
        </w:rPr>
      </w:pPr>
      <w:r w:rsidRPr="00404204">
        <w:rPr>
          <w:rFonts w:ascii="Arial" w:hAnsi="Arial" w:cs="Arial"/>
          <w:sz w:val="18"/>
          <w:szCs w:val="18"/>
          <w:vertAlign w:val="superscript"/>
        </w:rPr>
        <w:footnoteRef/>
      </w:r>
      <w:r w:rsidRPr="008233B5">
        <w:rPr>
          <w:rFonts w:ascii="Arial" w:hAnsi="Arial" w:cs="Arial"/>
          <w:sz w:val="18"/>
          <w:szCs w:val="18"/>
          <w:lang w:val="es-ES_tradnl"/>
        </w:rPr>
        <w:tab/>
        <w:t>Todas estas intervenciones se focalizan en áreas de intervención de C1.</w:t>
      </w:r>
    </w:p>
  </w:footnote>
  <w:footnote w:id="4">
    <w:p w14:paraId="47CF1597" w14:textId="77777777" w:rsidR="007C3A06" w:rsidRPr="008233B5" w:rsidRDefault="007C3A06" w:rsidP="008233B5">
      <w:pPr>
        <w:tabs>
          <w:tab w:val="left" w:pos="270"/>
        </w:tabs>
        <w:spacing w:after="0" w:line="240" w:lineRule="auto"/>
        <w:ind w:left="274" w:hanging="274"/>
        <w:jc w:val="both"/>
        <w:rPr>
          <w:lang w:val="es-ES_tradnl"/>
        </w:rPr>
      </w:pPr>
      <w:r w:rsidRPr="00404204">
        <w:rPr>
          <w:rStyle w:val="FootnoteReference"/>
          <w:rFonts w:ascii="Arial" w:hAnsi="Arial" w:cs="Arial"/>
          <w:sz w:val="18"/>
          <w:szCs w:val="18"/>
        </w:rPr>
        <w:footnoteRef/>
      </w:r>
      <w:r w:rsidRPr="008233B5">
        <w:rPr>
          <w:lang w:val="es-ES_tradnl"/>
        </w:rPr>
        <w:tab/>
      </w:r>
      <w:r w:rsidRPr="008233B5">
        <w:rPr>
          <w:rFonts w:ascii="Arial" w:hAnsi="Arial" w:cs="Arial"/>
          <w:sz w:val="18"/>
          <w:szCs w:val="18"/>
          <w:lang w:val="es-ES_tradnl"/>
        </w:rPr>
        <w:t>Ver</w:t>
      </w:r>
      <w:r w:rsidRPr="008233B5">
        <w:rPr>
          <w:lang w:val="es-ES_tradnl"/>
        </w:rPr>
        <w:t xml:space="preserve"> </w:t>
      </w:r>
      <w:hyperlink r:id="rId1" w:history="1">
        <w:r w:rsidRPr="008233B5">
          <w:rPr>
            <w:rStyle w:val="Hyperlink"/>
            <w:rFonts w:ascii="Arial" w:hAnsi="Arial" w:cs="Arial"/>
            <w:sz w:val="18"/>
            <w:szCs w:val="18"/>
            <w:lang w:val="es-ES_tradnl"/>
          </w:rPr>
          <w:t>Diseño de obras de proyectos de integración urbana</w:t>
        </w:r>
      </w:hyperlink>
      <w:r w:rsidRPr="008233B5">
        <w:rPr>
          <w:lang w:val="es-ES_tradnl"/>
        </w:rPr>
        <w:t xml:space="preserve"> </w:t>
      </w:r>
    </w:p>
  </w:footnote>
  <w:footnote w:id="5">
    <w:p w14:paraId="6E7C2D3A" w14:textId="77777777" w:rsidR="007C3A06" w:rsidRPr="008233B5" w:rsidRDefault="007C3A06" w:rsidP="008233B5">
      <w:pPr>
        <w:tabs>
          <w:tab w:val="left" w:pos="270"/>
        </w:tabs>
        <w:spacing w:after="0" w:line="240" w:lineRule="auto"/>
        <w:ind w:left="274" w:hanging="274"/>
        <w:jc w:val="both"/>
        <w:rPr>
          <w:rFonts w:ascii="Arial" w:hAnsi="Arial" w:cs="Arial"/>
          <w:sz w:val="18"/>
          <w:szCs w:val="18"/>
          <w:lang w:val="es-ES_tradnl"/>
        </w:rPr>
      </w:pPr>
      <w:r w:rsidRPr="00E95FBF">
        <w:rPr>
          <w:rFonts w:ascii="Arial" w:hAnsi="Arial" w:cs="Arial"/>
          <w:sz w:val="18"/>
          <w:szCs w:val="18"/>
          <w:vertAlign w:val="superscript"/>
        </w:rPr>
        <w:footnoteRef/>
      </w:r>
      <w:r w:rsidRPr="008233B5">
        <w:rPr>
          <w:rFonts w:ascii="Arial" w:hAnsi="Arial" w:cs="Arial"/>
          <w:sz w:val="18"/>
          <w:szCs w:val="18"/>
          <w:lang w:val="es-ES_tradnl"/>
        </w:rPr>
        <w:tab/>
        <w:t>Evaluaciones sugieren que una reducción total en el crimen del 20% en áreas tratadas, fue por alumbrado público. (Welsh y Farrington, 2008).</w:t>
      </w:r>
    </w:p>
  </w:footnote>
  <w:footnote w:id="6">
    <w:p w14:paraId="2CDFEF13" w14:textId="77777777" w:rsidR="007C3A06" w:rsidRPr="008233B5" w:rsidRDefault="007C3A06" w:rsidP="008233B5">
      <w:pPr>
        <w:tabs>
          <w:tab w:val="left" w:pos="270"/>
        </w:tabs>
        <w:spacing w:after="0" w:line="240" w:lineRule="auto"/>
        <w:ind w:left="274" w:hanging="274"/>
        <w:jc w:val="both"/>
        <w:rPr>
          <w:rFonts w:ascii="Arial" w:hAnsi="Arial" w:cs="Arial"/>
          <w:sz w:val="18"/>
          <w:szCs w:val="18"/>
          <w:lang w:val="es-ES_tradnl"/>
        </w:rPr>
      </w:pPr>
      <w:r w:rsidRPr="00E95FBF">
        <w:rPr>
          <w:rFonts w:ascii="Arial" w:hAnsi="Arial" w:cs="Arial"/>
          <w:sz w:val="18"/>
          <w:szCs w:val="18"/>
          <w:vertAlign w:val="superscript"/>
        </w:rPr>
        <w:footnoteRef/>
      </w:r>
      <w:r w:rsidRPr="008233B5">
        <w:rPr>
          <w:rFonts w:ascii="Arial" w:hAnsi="Arial" w:cs="Arial"/>
          <w:sz w:val="18"/>
          <w:szCs w:val="18"/>
          <w:lang w:val="es-ES_tradnl"/>
        </w:rPr>
        <w:tab/>
        <w:t>Una evaluación demostró que revitalizar físicamente viviendas sociales, redujo arrestos entre jóvenes por crímenes violentos en 15% en relación con un grupo control (Kling, Ludwig, y Katz, 2004). Según la evidencia, una disminución en homicidios y femicidios de 18%, lleva a un aumento del 1% en el precio de casas de bajos ingresos (Ajzenman, et. al., 2015).</w:t>
      </w:r>
    </w:p>
  </w:footnote>
  <w:footnote w:id="7">
    <w:p w14:paraId="25E3800C" w14:textId="77777777" w:rsidR="007C3A06" w:rsidRPr="008233B5" w:rsidRDefault="007C3A06" w:rsidP="007C3A06">
      <w:pPr>
        <w:tabs>
          <w:tab w:val="left" w:pos="270"/>
        </w:tabs>
        <w:ind w:left="270" w:hanging="270"/>
        <w:jc w:val="both"/>
        <w:rPr>
          <w:rFonts w:ascii="Arial" w:hAnsi="Arial" w:cs="Arial"/>
          <w:sz w:val="18"/>
          <w:szCs w:val="18"/>
          <w:vertAlign w:val="superscript"/>
          <w:lang w:val="es-ES_tradnl"/>
        </w:rPr>
      </w:pPr>
      <w:r w:rsidRPr="00E95FBF">
        <w:rPr>
          <w:rFonts w:ascii="Arial" w:hAnsi="Arial" w:cs="Arial"/>
          <w:sz w:val="18"/>
          <w:szCs w:val="18"/>
          <w:vertAlign w:val="superscript"/>
        </w:rPr>
        <w:footnoteRef/>
      </w:r>
      <w:r w:rsidRPr="008233B5">
        <w:rPr>
          <w:rFonts w:ascii="Arial" w:hAnsi="Arial" w:cs="Arial"/>
          <w:sz w:val="18"/>
          <w:szCs w:val="18"/>
          <w:lang w:val="es-ES_tradnl"/>
        </w:rPr>
        <w:tab/>
        <w:t>Una evaluación de un programa que vincula a jóvenes en riesgo a sus comunidades como miembros productivos mediante actividades de mentoría, asistencia académica y desarrollo, reportó reducciones de 59% en arrestos juveniles y de 25% en delitos, en las comunidades intervenidas (Laliberté, 2015).</w:t>
      </w:r>
    </w:p>
  </w:footnote>
  <w:footnote w:id="8">
    <w:p w14:paraId="23B42587" w14:textId="77777777" w:rsidR="003A7479" w:rsidRPr="001F1286" w:rsidRDefault="003A7479" w:rsidP="00144868">
      <w:pPr>
        <w:pStyle w:val="FootnoteText"/>
        <w:rPr>
          <w:rFonts w:ascii="Arial" w:hAnsi="Arial" w:cs="Arial"/>
          <w:sz w:val="18"/>
          <w:szCs w:val="18"/>
          <w:lang w:val="es-MX"/>
        </w:rPr>
      </w:pPr>
      <w:r w:rsidRPr="001F1286">
        <w:rPr>
          <w:rStyle w:val="FootnoteReference"/>
          <w:rFonts w:ascii="Arial" w:hAnsi="Arial" w:cs="Arial"/>
          <w:sz w:val="18"/>
          <w:szCs w:val="18"/>
        </w:rPr>
        <w:footnoteRef/>
      </w:r>
      <w:r w:rsidRPr="001F1286">
        <w:rPr>
          <w:rFonts w:ascii="Arial" w:hAnsi="Arial" w:cs="Arial"/>
          <w:sz w:val="18"/>
          <w:szCs w:val="18"/>
          <w:lang w:val="es-MX"/>
        </w:rPr>
        <w:t xml:space="preserve"> </w:t>
      </w:r>
      <w:r>
        <w:rPr>
          <w:rFonts w:ascii="Arial" w:hAnsi="Arial" w:cs="Arial"/>
          <w:sz w:val="18"/>
          <w:szCs w:val="18"/>
          <w:lang w:val="es-MX"/>
        </w:rPr>
        <w:tab/>
      </w:r>
      <w:r w:rsidRPr="001F1286">
        <w:rPr>
          <w:rFonts w:ascii="Arial" w:hAnsi="Arial" w:cs="Arial"/>
          <w:sz w:val="18"/>
          <w:szCs w:val="18"/>
          <w:lang w:val="es-MX"/>
        </w:rPr>
        <w:t xml:space="preserve">Esta cifra corresponde al porcentaje de encuestados en Distrito Central que reportó haber cambiado al menos uno de los siguientes hábitos en su colonia, comunidad o barrio, debido a la inseguridad: i) </w:t>
      </w:r>
      <w:r w:rsidRPr="001F1286">
        <w:rPr>
          <w:rFonts w:ascii="Arial" w:hAnsi="Arial" w:cs="Arial"/>
          <w:sz w:val="18"/>
          <w:szCs w:val="18"/>
          <w:lang w:eastAsia="es-SV"/>
        </w:rPr>
        <w:t xml:space="preserve">rutas de acceso, ii) </w:t>
      </w:r>
      <w:r w:rsidRPr="001F1286">
        <w:rPr>
          <w:rFonts w:ascii="Arial" w:hAnsi="Arial" w:cs="Arial"/>
          <w:sz w:val="18"/>
          <w:szCs w:val="18"/>
        </w:rPr>
        <w:t>lugares donde va de compras</w:t>
      </w:r>
      <w:r w:rsidRPr="001F1286">
        <w:rPr>
          <w:rFonts w:ascii="Arial" w:hAnsi="Arial" w:cs="Arial"/>
          <w:sz w:val="18"/>
          <w:szCs w:val="18"/>
          <w:lang w:eastAsia="es-SV"/>
        </w:rPr>
        <w:t xml:space="preserve">, iii) </w:t>
      </w:r>
      <w:r w:rsidRPr="001F1286">
        <w:rPr>
          <w:rFonts w:ascii="Arial" w:hAnsi="Arial" w:cs="Arial"/>
          <w:sz w:val="18"/>
          <w:szCs w:val="18"/>
        </w:rPr>
        <w:t xml:space="preserve">lugares de recreación, iv) cerrado su negocio, v) </w:t>
      </w:r>
      <w:r w:rsidRPr="001F1286">
        <w:rPr>
          <w:rFonts w:ascii="Arial" w:hAnsi="Arial" w:cs="Arial"/>
          <w:sz w:val="18"/>
          <w:szCs w:val="18"/>
          <w:lang w:eastAsia="es-SV"/>
        </w:rPr>
        <w:t xml:space="preserve">instalado en su casa o su negocio materiales de protección, vi) adquirido un arma de fuego, ó vii) </w:t>
      </w:r>
      <w:r w:rsidRPr="001F1286">
        <w:rPr>
          <w:rFonts w:ascii="Arial" w:hAnsi="Arial" w:cs="Arial"/>
          <w:sz w:val="18"/>
          <w:szCs w:val="18"/>
        </w:rPr>
        <w:t xml:space="preserve">contratada vigilancia privada. </w:t>
      </w:r>
      <w:r w:rsidRPr="001F1286">
        <w:rPr>
          <w:rFonts w:ascii="Arial" w:hAnsi="Arial" w:cs="Arial"/>
          <w:sz w:val="18"/>
          <w:szCs w:val="18"/>
          <w:lang w:eastAsia="es-SV"/>
        </w:rPr>
        <w:t xml:space="preserve"> </w:t>
      </w:r>
      <w:r w:rsidRPr="001F1286">
        <w:rPr>
          <w:rFonts w:ascii="Arial" w:hAnsi="Arial" w:cs="Arial"/>
          <w:bCs/>
          <w:sz w:val="18"/>
          <w:szCs w:val="18"/>
        </w:rPr>
        <w:t>Encuesta Nacional de Convivencia y Seguridad Ciudadana en Honduras 2017.</w:t>
      </w:r>
      <w:r w:rsidRPr="001F1286">
        <w:rPr>
          <w:rFonts w:ascii="Arial" w:hAnsi="Arial" w:cs="Arial"/>
          <w:b/>
          <w:bCs/>
          <w:sz w:val="18"/>
          <w:szCs w:val="18"/>
        </w:rPr>
        <w:t xml:space="preserve"> </w:t>
      </w:r>
    </w:p>
  </w:footnote>
  <w:footnote w:id="9">
    <w:p w14:paraId="5110655D" w14:textId="77777777" w:rsidR="003A7479" w:rsidRPr="00DF0502" w:rsidRDefault="003A7479" w:rsidP="00DF0502">
      <w:pPr>
        <w:pStyle w:val="FootnoteText"/>
        <w:spacing w:after="0"/>
        <w:ind w:left="274" w:hanging="274"/>
        <w:rPr>
          <w:rFonts w:ascii="Arial" w:hAnsi="Arial" w:cs="Arial"/>
          <w:sz w:val="18"/>
          <w:szCs w:val="18"/>
        </w:rPr>
      </w:pPr>
      <w:r w:rsidRPr="00DF0502">
        <w:rPr>
          <w:rStyle w:val="FootnoteReference"/>
          <w:rFonts w:ascii="Arial" w:hAnsi="Arial" w:cs="Arial"/>
          <w:sz w:val="18"/>
          <w:szCs w:val="18"/>
        </w:rPr>
        <w:footnoteRef/>
      </w:r>
      <w:r w:rsidRPr="00DF0502">
        <w:rPr>
          <w:rFonts w:ascii="Arial" w:hAnsi="Arial" w:cs="Arial"/>
          <w:sz w:val="18"/>
          <w:szCs w:val="18"/>
        </w:rPr>
        <w:t xml:space="preserve"> </w:t>
      </w:r>
      <w:r>
        <w:rPr>
          <w:rFonts w:ascii="Arial" w:hAnsi="Arial" w:cs="Arial"/>
          <w:sz w:val="18"/>
          <w:szCs w:val="18"/>
        </w:rPr>
        <w:tab/>
      </w:r>
      <w:r w:rsidRPr="00DF0502">
        <w:rPr>
          <w:rFonts w:ascii="Arial" w:hAnsi="Arial" w:cs="Arial"/>
          <w:sz w:val="18"/>
          <w:szCs w:val="18"/>
        </w:rPr>
        <w:t>En los municipios de mayor población y afectación por homicidio y VIF: Distrito Central y San Pedro Sula -priorizando las acciones del componente 2 en los barrios intervenidos en el componente 1.</w:t>
      </w:r>
    </w:p>
  </w:footnote>
  <w:footnote w:id="10">
    <w:p w14:paraId="7D0D78E6" w14:textId="77777777" w:rsidR="003A7479" w:rsidRPr="00DF0502" w:rsidRDefault="003A7479" w:rsidP="00DF0502">
      <w:pPr>
        <w:pStyle w:val="FootnoteText"/>
        <w:spacing w:after="0"/>
        <w:ind w:left="274" w:hanging="274"/>
        <w:rPr>
          <w:rFonts w:ascii="Arial" w:hAnsi="Arial" w:cs="Arial"/>
          <w:sz w:val="18"/>
          <w:szCs w:val="18"/>
        </w:rPr>
      </w:pPr>
      <w:r w:rsidRPr="00DF0502">
        <w:rPr>
          <w:rStyle w:val="FootnoteReference"/>
          <w:rFonts w:ascii="Arial" w:hAnsi="Arial" w:cs="Arial"/>
          <w:sz w:val="18"/>
          <w:szCs w:val="18"/>
        </w:rPr>
        <w:footnoteRef/>
      </w:r>
      <w:r w:rsidRPr="00DF0502">
        <w:rPr>
          <w:rFonts w:ascii="Arial" w:hAnsi="Arial" w:cs="Arial"/>
          <w:sz w:val="18"/>
          <w:szCs w:val="18"/>
        </w:rPr>
        <w:t xml:space="preserve"> </w:t>
      </w:r>
      <w:r w:rsidRPr="00DF0502">
        <w:rPr>
          <w:rFonts w:ascii="Arial" w:hAnsi="Arial" w:cs="Arial"/>
          <w:sz w:val="18"/>
          <w:szCs w:val="18"/>
        </w:rPr>
        <w:tab/>
        <w:t xml:space="preserve">En </w:t>
      </w:r>
      <w:r w:rsidRPr="00DF0502">
        <w:rPr>
          <w:rFonts w:ascii="Arial" w:hAnsi="Arial" w:cs="Arial"/>
          <w:kern w:val="28"/>
          <w:sz w:val="18"/>
          <w:szCs w:val="18"/>
        </w:rPr>
        <w:t>específico</w:t>
      </w:r>
      <w:r w:rsidRPr="00DF0502">
        <w:rPr>
          <w:rFonts w:ascii="Arial" w:hAnsi="Arial" w:cs="Arial"/>
          <w:sz w:val="18"/>
          <w:szCs w:val="18"/>
        </w:rPr>
        <w:t xml:space="preserve"> de VIF.</w:t>
      </w:r>
    </w:p>
  </w:footnote>
  <w:footnote w:id="11">
    <w:p w14:paraId="08E400C6" w14:textId="77777777" w:rsidR="003A7479" w:rsidRPr="00AF3826" w:rsidRDefault="003A7479" w:rsidP="00DF0502">
      <w:pPr>
        <w:pStyle w:val="FootnoteText"/>
        <w:spacing w:after="0"/>
        <w:ind w:left="274" w:hanging="274"/>
        <w:rPr>
          <w:rFonts w:ascii="Arial" w:hAnsi="Arial" w:cs="Arial"/>
          <w:sz w:val="18"/>
          <w:szCs w:val="18"/>
          <w:lang w:val="es-MX"/>
        </w:rPr>
      </w:pPr>
      <w:r w:rsidRPr="00DF0502">
        <w:rPr>
          <w:rStyle w:val="FootnoteReference"/>
          <w:rFonts w:ascii="Arial" w:hAnsi="Arial" w:cs="Arial"/>
          <w:sz w:val="18"/>
          <w:szCs w:val="18"/>
        </w:rPr>
        <w:footnoteRef/>
      </w:r>
      <w:r w:rsidRPr="00DF0502">
        <w:rPr>
          <w:rFonts w:ascii="Arial" w:hAnsi="Arial" w:cs="Arial"/>
          <w:sz w:val="18"/>
          <w:szCs w:val="18"/>
          <w:lang w:val="es-MX"/>
        </w:rPr>
        <w:tab/>
      </w:r>
      <w:r w:rsidRPr="00DF0502">
        <w:rPr>
          <w:rFonts w:ascii="Arial" w:hAnsi="Arial" w:cs="Arial"/>
          <w:kern w:val="28"/>
          <w:sz w:val="18"/>
          <w:szCs w:val="18"/>
        </w:rPr>
        <w:t>Identifica</w:t>
      </w:r>
      <w:r w:rsidRPr="00DF0502">
        <w:rPr>
          <w:rFonts w:ascii="Arial" w:hAnsi="Arial" w:cs="Arial"/>
          <w:color w:val="000000"/>
          <w:sz w:val="18"/>
          <w:szCs w:val="18"/>
        </w:rPr>
        <w:t xml:space="preserve"> áreas geográficas donde existe un tipo de patrón delictual, para implementar un patrullaje operativo estratégico</w:t>
      </w:r>
      <w:r w:rsidRPr="00DF0502">
        <w:rPr>
          <w:rFonts w:ascii="Arial" w:hAnsi="Arial" w:cs="Arial"/>
          <w:sz w:val="18"/>
          <w:szCs w:val="18"/>
          <w:lang w:val="es-MX"/>
        </w:rPr>
        <w:t>.</w:t>
      </w:r>
    </w:p>
  </w:footnote>
  <w:footnote w:id="12">
    <w:p w14:paraId="2DFE7117" w14:textId="77777777" w:rsidR="003A7479" w:rsidRPr="001F1286" w:rsidRDefault="003A7479" w:rsidP="00DF0502">
      <w:pPr>
        <w:autoSpaceDE w:val="0"/>
        <w:adjustRightInd w:val="0"/>
        <w:ind w:left="270" w:hanging="270"/>
        <w:jc w:val="both"/>
        <w:rPr>
          <w:rFonts w:ascii="Arial" w:hAnsi="Arial" w:cs="Arial"/>
          <w:sz w:val="18"/>
          <w:szCs w:val="18"/>
          <w:lang w:val="es-ES_tradnl"/>
        </w:rPr>
      </w:pPr>
      <w:r w:rsidRPr="001F1286">
        <w:rPr>
          <w:rStyle w:val="FootnoteReference"/>
          <w:rFonts w:ascii="Arial" w:hAnsi="Arial" w:cs="Arial"/>
          <w:sz w:val="18"/>
          <w:szCs w:val="18"/>
        </w:rPr>
        <w:footnoteRef/>
      </w:r>
      <w:r w:rsidRPr="001F1286">
        <w:rPr>
          <w:rFonts w:ascii="Arial" w:hAnsi="Arial" w:cs="Arial"/>
          <w:sz w:val="18"/>
          <w:szCs w:val="18"/>
          <w:lang w:val="es-MX"/>
        </w:rPr>
        <w:t xml:space="preserve"> </w:t>
      </w:r>
      <w:r>
        <w:rPr>
          <w:rFonts w:ascii="Arial" w:hAnsi="Arial" w:cs="Arial"/>
          <w:sz w:val="18"/>
          <w:szCs w:val="18"/>
          <w:lang w:val="es-MX"/>
        </w:rPr>
        <w:tab/>
      </w:r>
      <w:r w:rsidRPr="001F1286">
        <w:rPr>
          <w:rFonts w:ascii="Arial" w:hAnsi="Arial" w:cs="Arial"/>
          <w:sz w:val="18"/>
          <w:szCs w:val="18"/>
          <w:lang w:val="es-MX"/>
        </w:rPr>
        <w:t xml:space="preserve">Esta cifra corresponde al porcentaje de encuestados en Distrito Central y San Pedro Sula que responden afirmativamente a si su pareja le ha: </w:t>
      </w:r>
      <w:r>
        <w:rPr>
          <w:rFonts w:ascii="Arial" w:hAnsi="Arial" w:cs="Arial"/>
          <w:sz w:val="18"/>
          <w:szCs w:val="18"/>
          <w:lang w:val="es-MX"/>
        </w:rPr>
        <w:t>(</w:t>
      </w:r>
      <w:r w:rsidRPr="001F1286">
        <w:rPr>
          <w:rFonts w:ascii="Arial" w:hAnsi="Arial" w:cs="Arial"/>
          <w:bCs/>
          <w:sz w:val="18"/>
          <w:szCs w:val="18"/>
          <w:lang w:val="es-ES_tradnl"/>
        </w:rPr>
        <w:t xml:space="preserve">i) amenazado con herirlo(a) a usted o a alguien que sea muy importante para usted, ii) abofeteado o tirado cosas que pudieran herirlo(a), iii) empujado, arrinconado o jalado el pelo, iv) pateado, arrastrado o dado una golpiza?, v) intentado ahorcar o quemar a propósito, vi) con usar o ha usado una pistola, cuchillo u otra arma en contra suya, y vii) </w:t>
      </w:r>
      <w:r w:rsidRPr="001F1286">
        <w:rPr>
          <w:rFonts w:ascii="Arial" w:hAnsi="Arial" w:cs="Arial"/>
          <w:sz w:val="18"/>
          <w:szCs w:val="18"/>
          <w:lang w:val="es-ES_tradnl"/>
        </w:rPr>
        <w:t>sometido sexualmente contra su voluntad.</w:t>
      </w:r>
    </w:p>
  </w:footnote>
  <w:footnote w:id="13">
    <w:p w14:paraId="15454BEF" w14:textId="77777777" w:rsidR="007C3A06" w:rsidRPr="008233B5" w:rsidRDefault="007C3A06" w:rsidP="007C3A06">
      <w:pPr>
        <w:tabs>
          <w:tab w:val="left" w:pos="270"/>
        </w:tabs>
        <w:ind w:left="270" w:hanging="270"/>
        <w:jc w:val="both"/>
        <w:rPr>
          <w:rFonts w:ascii="Arial" w:hAnsi="Arial" w:cs="Arial"/>
          <w:sz w:val="18"/>
          <w:szCs w:val="18"/>
          <w:lang w:val="es-ES_tradnl"/>
        </w:rPr>
      </w:pPr>
      <w:r w:rsidRPr="00D45DB2">
        <w:rPr>
          <w:rFonts w:ascii="Arial" w:hAnsi="Arial" w:cs="Arial"/>
          <w:sz w:val="18"/>
          <w:szCs w:val="18"/>
          <w:vertAlign w:val="superscript"/>
        </w:rPr>
        <w:footnoteRef/>
      </w:r>
      <w:r w:rsidRPr="008233B5">
        <w:rPr>
          <w:rFonts w:ascii="Arial" w:hAnsi="Arial" w:cs="Arial"/>
          <w:sz w:val="20"/>
          <w:szCs w:val="18"/>
          <w:vertAlign w:val="superscript"/>
          <w:lang w:val="es-ES_tradnl"/>
        </w:rPr>
        <w:t xml:space="preserve"> </w:t>
      </w:r>
      <w:r w:rsidRPr="008233B5">
        <w:rPr>
          <w:rFonts w:ascii="Arial" w:hAnsi="Arial" w:cs="Arial"/>
          <w:sz w:val="18"/>
          <w:szCs w:val="18"/>
          <w:lang w:val="es-ES_tradnl"/>
        </w:rPr>
        <w:tab/>
        <w:t>El nuevo curriculum, con enfoque de atención a víctimas y respeto a derechos humanos -incluye VIF-. Según la evidencia, el uso del modelo de Policía Comunitaria reduce delitos personales en 13%. (Soares y Viveiros, 2010).</w:t>
      </w:r>
    </w:p>
  </w:footnote>
  <w:footnote w:id="14">
    <w:p w14:paraId="1E7EDBBB" w14:textId="77777777" w:rsidR="007C3A06" w:rsidRPr="00C56230" w:rsidRDefault="007C3A06" w:rsidP="007C3A06">
      <w:pPr>
        <w:tabs>
          <w:tab w:val="left" w:pos="270"/>
        </w:tabs>
        <w:ind w:left="270" w:hanging="270"/>
        <w:jc w:val="both"/>
        <w:rPr>
          <w:lang w:val="es-MX"/>
        </w:rPr>
      </w:pPr>
      <w:r w:rsidRPr="00C56230">
        <w:rPr>
          <w:rFonts w:ascii="Arial" w:hAnsi="Arial" w:cs="Arial"/>
          <w:sz w:val="18"/>
          <w:szCs w:val="18"/>
        </w:rPr>
        <w:footnoteRef/>
      </w:r>
      <w:r w:rsidRPr="008233B5">
        <w:rPr>
          <w:rFonts w:ascii="Arial" w:hAnsi="Arial" w:cs="Arial"/>
          <w:sz w:val="16"/>
          <w:szCs w:val="18"/>
          <w:vertAlign w:val="superscript"/>
          <w:lang w:val="es-ES_tradnl"/>
        </w:rPr>
        <w:t xml:space="preserve"> </w:t>
      </w:r>
      <w:r w:rsidRPr="008233B5">
        <w:rPr>
          <w:rFonts w:ascii="Arial" w:hAnsi="Arial" w:cs="Arial"/>
          <w:sz w:val="18"/>
          <w:szCs w:val="18"/>
          <w:lang w:val="es-ES_tradnl"/>
        </w:rPr>
        <w:tab/>
        <w:t>Consiste en la adecuación de salones, dormitorios, laboratorios de entrenamiento, comedores, entrenamiento deportivo, aulas de maestros, biblioteca, entre otros.</w:t>
      </w:r>
    </w:p>
  </w:footnote>
  <w:footnote w:id="15">
    <w:p w14:paraId="3EE05635" w14:textId="77777777" w:rsidR="003A7479" w:rsidRPr="00AF3826" w:rsidRDefault="003A7479" w:rsidP="00F4760B">
      <w:pPr>
        <w:pStyle w:val="FootnoteText"/>
        <w:spacing w:after="0"/>
        <w:ind w:left="360" w:hanging="360"/>
        <w:rPr>
          <w:rFonts w:ascii="Arial" w:hAnsi="Arial" w:cs="Arial"/>
          <w:sz w:val="18"/>
          <w:szCs w:val="18"/>
        </w:rPr>
      </w:pPr>
      <w:r w:rsidRPr="00922526">
        <w:rPr>
          <w:rStyle w:val="FootnoteReference"/>
          <w:rFonts w:ascii="Arial" w:hAnsi="Arial" w:cs="Arial"/>
          <w:sz w:val="18"/>
          <w:szCs w:val="18"/>
        </w:rPr>
        <w:footnoteRef/>
      </w:r>
      <w:r w:rsidRPr="00922526">
        <w:rPr>
          <w:rFonts w:ascii="Arial" w:hAnsi="Arial" w:cs="Arial"/>
          <w:sz w:val="18"/>
          <w:szCs w:val="18"/>
        </w:rPr>
        <w:t xml:space="preserve"> </w:t>
      </w:r>
      <w:r w:rsidRPr="00922526">
        <w:rPr>
          <w:rFonts w:ascii="Arial" w:hAnsi="Arial" w:cs="Arial"/>
          <w:sz w:val="18"/>
          <w:szCs w:val="18"/>
        </w:rPr>
        <w:tab/>
      </w:r>
      <w:r w:rsidRPr="00922526">
        <w:rPr>
          <w:rFonts w:ascii="Arial" w:hAnsi="Arial" w:cs="Arial"/>
          <w:kern w:val="28"/>
          <w:sz w:val="18"/>
          <w:szCs w:val="18"/>
        </w:rPr>
        <w:t>Incluyendo</w:t>
      </w:r>
      <w:r w:rsidRPr="00922526">
        <w:rPr>
          <w:rFonts w:ascii="Arial" w:hAnsi="Arial" w:cs="Arial"/>
          <w:sz w:val="18"/>
          <w:szCs w:val="18"/>
        </w:rPr>
        <w:t xml:space="preserve"> investigación de las distintas formas de VIF y femicidio.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8A55C" w14:textId="77777777" w:rsidR="003A7479" w:rsidRDefault="003A74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19EC1D39"/>
    <w:multiLevelType w:val="hybridMultilevel"/>
    <w:tmpl w:val="892AA60E"/>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1D9E6B0D"/>
    <w:multiLevelType w:val="hybridMultilevel"/>
    <w:tmpl w:val="6414BE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7366A02"/>
    <w:multiLevelType w:val="multilevel"/>
    <w:tmpl w:val="1EAC12D4"/>
    <w:lvl w:ilvl="0">
      <w:start w:val="1"/>
      <w:numFmt w:val="bullet"/>
      <w:lvlText w:val=""/>
      <w:lvlJc w:val="left"/>
      <w:pPr>
        <w:ind w:left="360" w:hanging="360"/>
      </w:pPr>
      <w:rPr>
        <w:rFonts w:ascii="Symbol" w:hAnsi="Symbol" w:hint="default"/>
        <w:b/>
      </w:rPr>
    </w:lvl>
    <w:lvl w:ilvl="1">
      <w:start w:val="1"/>
      <w:numFmt w:val="decimal"/>
      <w:isLgl/>
      <w:lvlText w:val="%1.%2"/>
      <w:lvlJc w:val="left"/>
      <w:pPr>
        <w:ind w:left="567" w:hanging="567"/>
      </w:pPr>
      <w:rPr>
        <w:rFonts w:ascii="Arial" w:hAnsi="Arial" w:cs="Arial" w:hint="default"/>
        <w:b w:val="0"/>
        <w:sz w:val="22"/>
        <w:szCs w:val="22"/>
      </w:rPr>
    </w:lvl>
    <w:lvl w:ilvl="2">
      <w:start w:val="1"/>
      <w:numFmt w:val="bullet"/>
      <w:lvlText w:val=""/>
      <w:lvlJc w:val="left"/>
      <w:pPr>
        <w:ind w:left="1080" w:hanging="36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29A1402E"/>
    <w:multiLevelType w:val="multilevel"/>
    <w:tmpl w:val="CE40E602"/>
    <w:lvl w:ilvl="0">
      <w:start w:val="1"/>
      <w:numFmt w:val="upperRoman"/>
      <w:lvlText w:val="%1."/>
      <w:lvlJc w:val="left"/>
      <w:pPr>
        <w:ind w:left="360" w:hanging="360"/>
      </w:pPr>
      <w:rPr>
        <w:rFonts w:ascii="Times New Roman" w:hAnsi="Times New Roman" w:cs="Times New Roman" w:hint="default"/>
        <w:b/>
      </w:rPr>
    </w:lvl>
    <w:lvl w:ilvl="1">
      <w:start w:val="1"/>
      <w:numFmt w:val="decimal"/>
      <w:isLgl/>
      <w:lvlText w:val="%1.%2"/>
      <w:lvlJc w:val="left"/>
      <w:pPr>
        <w:ind w:left="567" w:hanging="567"/>
      </w:pPr>
      <w:rPr>
        <w:rFonts w:ascii="Times New Roman" w:hAnsi="Times New Roman" w:cs="Times New Roman" w:hint="default"/>
        <w:b w:val="0"/>
        <w:sz w:val="24"/>
        <w:szCs w:val="24"/>
      </w:rPr>
    </w:lvl>
    <w:lvl w:ilvl="2">
      <w:start w:val="1"/>
      <w:numFmt w:val="bullet"/>
      <w:lvlText w:val=""/>
      <w:lvlJc w:val="left"/>
      <w:pPr>
        <w:ind w:left="1080" w:hanging="36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2D2C1C79"/>
    <w:multiLevelType w:val="hybridMultilevel"/>
    <w:tmpl w:val="EB7A67A4"/>
    <w:lvl w:ilvl="0" w:tplc="040A0001">
      <w:start w:val="1"/>
      <w:numFmt w:val="bullet"/>
      <w:lvlText w:val=""/>
      <w:lvlJc w:val="left"/>
      <w:pPr>
        <w:tabs>
          <w:tab w:val="num" w:pos="1426"/>
        </w:tabs>
        <w:ind w:left="1426" w:hanging="360"/>
      </w:pPr>
      <w:rPr>
        <w:rFonts w:ascii="Symbol" w:hAnsi="Symbol" w:hint="default"/>
      </w:rPr>
    </w:lvl>
    <w:lvl w:ilvl="1" w:tplc="040A0003" w:tentative="1">
      <w:start w:val="1"/>
      <w:numFmt w:val="bullet"/>
      <w:lvlText w:val="o"/>
      <w:lvlJc w:val="left"/>
      <w:pPr>
        <w:tabs>
          <w:tab w:val="num" w:pos="2146"/>
        </w:tabs>
        <w:ind w:left="2146" w:hanging="360"/>
      </w:pPr>
      <w:rPr>
        <w:rFonts w:ascii="Courier New" w:hAnsi="Courier New" w:cs="Courier New" w:hint="default"/>
      </w:rPr>
    </w:lvl>
    <w:lvl w:ilvl="2" w:tplc="040A0005" w:tentative="1">
      <w:start w:val="1"/>
      <w:numFmt w:val="bullet"/>
      <w:lvlText w:val=""/>
      <w:lvlJc w:val="left"/>
      <w:pPr>
        <w:tabs>
          <w:tab w:val="num" w:pos="2866"/>
        </w:tabs>
        <w:ind w:left="2866" w:hanging="360"/>
      </w:pPr>
      <w:rPr>
        <w:rFonts w:ascii="Wingdings" w:hAnsi="Wingdings" w:hint="default"/>
      </w:rPr>
    </w:lvl>
    <w:lvl w:ilvl="3" w:tplc="040A0001" w:tentative="1">
      <w:start w:val="1"/>
      <w:numFmt w:val="bullet"/>
      <w:lvlText w:val=""/>
      <w:lvlJc w:val="left"/>
      <w:pPr>
        <w:tabs>
          <w:tab w:val="num" w:pos="3586"/>
        </w:tabs>
        <w:ind w:left="3586" w:hanging="360"/>
      </w:pPr>
      <w:rPr>
        <w:rFonts w:ascii="Symbol" w:hAnsi="Symbol" w:hint="default"/>
      </w:rPr>
    </w:lvl>
    <w:lvl w:ilvl="4" w:tplc="040A0003" w:tentative="1">
      <w:start w:val="1"/>
      <w:numFmt w:val="bullet"/>
      <w:lvlText w:val="o"/>
      <w:lvlJc w:val="left"/>
      <w:pPr>
        <w:tabs>
          <w:tab w:val="num" w:pos="4306"/>
        </w:tabs>
        <w:ind w:left="4306" w:hanging="360"/>
      </w:pPr>
      <w:rPr>
        <w:rFonts w:ascii="Courier New" w:hAnsi="Courier New" w:cs="Courier New" w:hint="default"/>
      </w:rPr>
    </w:lvl>
    <w:lvl w:ilvl="5" w:tplc="040A0005" w:tentative="1">
      <w:start w:val="1"/>
      <w:numFmt w:val="bullet"/>
      <w:lvlText w:val=""/>
      <w:lvlJc w:val="left"/>
      <w:pPr>
        <w:tabs>
          <w:tab w:val="num" w:pos="5026"/>
        </w:tabs>
        <w:ind w:left="5026" w:hanging="360"/>
      </w:pPr>
      <w:rPr>
        <w:rFonts w:ascii="Wingdings" w:hAnsi="Wingdings" w:hint="default"/>
      </w:rPr>
    </w:lvl>
    <w:lvl w:ilvl="6" w:tplc="040A0001" w:tentative="1">
      <w:start w:val="1"/>
      <w:numFmt w:val="bullet"/>
      <w:lvlText w:val=""/>
      <w:lvlJc w:val="left"/>
      <w:pPr>
        <w:tabs>
          <w:tab w:val="num" w:pos="5746"/>
        </w:tabs>
        <w:ind w:left="5746" w:hanging="360"/>
      </w:pPr>
      <w:rPr>
        <w:rFonts w:ascii="Symbol" w:hAnsi="Symbol" w:hint="default"/>
      </w:rPr>
    </w:lvl>
    <w:lvl w:ilvl="7" w:tplc="040A0003" w:tentative="1">
      <w:start w:val="1"/>
      <w:numFmt w:val="bullet"/>
      <w:lvlText w:val="o"/>
      <w:lvlJc w:val="left"/>
      <w:pPr>
        <w:tabs>
          <w:tab w:val="num" w:pos="6466"/>
        </w:tabs>
        <w:ind w:left="6466" w:hanging="360"/>
      </w:pPr>
      <w:rPr>
        <w:rFonts w:ascii="Courier New" w:hAnsi="Courier New" w:cs="Courier New" w:hint="default"/>
      </w:rPr>
    </w:lvl>
    <w:lvl w:ilvl="8" w:tplc="040A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30B42106"/>
    <w:multiLevelType w:val="hybridMultilevel"/>
    <w:tmpl w:val="2000E8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006D12"/>
    <w:multiLevelType w:val="hybridMultilevel"/>
    <w:tmpl w:val="CB5291B0"/>
    <w:lvl w:ilvl="0" w:tplc="8A4025E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51601E"/>
    <w:multiLevelType w:val="hybridMultilevel"/>
    <w:tmpl w:val="6596A4E0"/>
    <w:lvl w:ilvl="0" w:tplc="040A0001">
      <w:start w:val="1"/>
      <w:numFmt w:val="bullet"/>
      <w:lvlText w:val=""/>
      <w:lvlJc w:val="left"/>
      <w:pPr>
        <w:tabs>
          <w:tab w:val="num" w:pos="1426"/>
        </w:tabs>
        <w:ind w:left="1426" w:hanging="360"/>
      </w:pPr>
      <w:rPr>
        <w:rFonts w:ascii="Symbol" w:hAnsi="Symbol" w:hint="default"/>
      </w:rPr>
    </w:lvl>
    <w:lvl w:ilvl="1" w:tplc="040A0003" w:tentative="1">
      <w:start w:val="1"/>
      <w:numFmt w:val="bullet"/>
      <w:lvlText w:val="o"/>
      <w:lvlJc w:val="left"/>
      <w:pPr>
        <w:tabs>
          <w:tab w:val="num" w:pos="2146"/>
        </w:tabs>
        <w:ind w:left="2146" w:hanging="360"/>
      </w:pPr>
      <w:rPr>
        <w:rFonts w:ascii="Courier New" w:hAnsi="Courier New" w:cs="Courier New" w:hint="default"/>
      </w:rPr>
    </w:lvl>
    <w:lvl w:ilvl="2" w:tplc="040A0005" w:tentative="1">
      <w:start w:val="1"/>
      <w:numFmt w:val="bullet"/>
      <w:lvlText w:val=""/>
      <w:lvlJc w:val="left"/>
      <w:pPr>
        <w:tabs>
          <w:tab w:val="num" w:pos="2866"/>
        </w:tabs>
        <w:ind w:left="2866" w:hanging="360"/>
      </w:pPr>
      <w:rPr>
        <w:rFonts w:ascii="Wingdings" w:hAnsi="Wingdings" w:hint="default"/>
      </w:rPr>
    </w:lvl>
    <w:lvl w:ilvl="3" w:tplc="040A0001" w:tentative="1">
      <w:start w:val="1"/>
      <w:numFmt w:val="bullet"/>
      <w:lvlText w:val=""/>
      <w:lvlJc w:val="left"/>
      <w:pPr>
        <w:tabs>
          <w:tab w:val="num" w:pos="3586"/>
        </w:tabs>
        <w:ind w:left="3586" w:hanging="360"/>
      </w:pPr>
      <w:rPr>
        <w:rFonts w:ascii="Symbol" w:hAnsi="Symbol" w:hint="default"/>
      </w:rPr>
    </w:lvl>
    <w:lvl w:ilvl="4" w:tplc="040A0003" w:tentative="1">
      <w:start w:val="1"/>
      <w:numFmt w:val="bullet"/>
      <w:lvlText w:val="o"/>
      <w:lvlJc w:val="left"/>
      <w:pPr>
        <w:tabs>
          <w:tab w:val="num" w:pos="4306"/>
        </w:tabs>
        <w:ind w:left="4306" w:hanging="360"/>
      </w:pPr>
      <w:rPr>
        <w:rFonts w:ascii="Courier New" w:hAnsi="Courier New" w:cs="Courier New" w:hint="default"/>
      </w:rPr>
    </w:lvl>
    <w:lvl w:ilvl="5" w:tplc="040A0005" w:tentative="1">
      <w:start w:val="1"/>
      <w:numFmt w:val="bullet"/>
      <w:lvlText w:val=""/>
      <w:lvlJc w:val="left"/>
      <w:pPr>
        <w:tabs>
          <w:tab w:val="num" w:pos="5026"/>
        </w:tabs>
        <w:ind w:left="5026" w:hanging="360"/>
      </w:pPr>
      <w:rPr>
        <w:rFonts w:ascii="Wingdings" w:hAnsi="Wingdings" w:hint="default"/>
      </w:rPr>
    </w:lvl>
    <w:lvl w:ilvl="6" w:tplc="040A0001" w:tentative="1">
      <w:start w:val="1"/>
      <w:numFmt w:val="bullet"/>
      <w:lvlText w:val=""/>
      <w:lvlJc w:val="left"/>
      <w:pPr>
        <w:tabs>
          <w:tab w:val="num" w:pos="5746"/>
        </w:tabs>
        <w:ind w:left="5746" w:hanging="360"/>
      </w:pPr>
      <w:rPr>
        <w:rFonts w:ascii="Symbol" w:hAnsi="Symbol" w:hint="default"/>
      </w:rPr>
    </w:lvl>
    <w:lvl w:ilvl="7" w:tplc="040A0003" w:tentative="1">
      <w:start w:val="1"/>
      <w:numFmt w:val="bullet"/>
      <w:lvlText w:val="o"/>
      <w:lvlJc w:val="left"/>
      <w:pPr>
        <w:tabs>
          <w:tab w:val="num" w:pos="6466"/>
        </w:tabs>
        <w:ind w:left="6466" w:hanging="360"/>
      </w:pPr>
      <w:rPr>
        <w:rFonts w:ascii="Courier New" w:hAnsi="Courier New" w:cs="Courier New" w:hint="default"/>
      </w:rPr>
    </w:lvl>
    <w:lvl w:ilvl="8" w:tplc="040A0005" w:tentative="1">
      <w:start w:val="1"/>
      <w:numFmt w:val="bullet"/>
      <w:lvlText w:val=""/>
      <w:lvlJc w:val="left"/>
      <w:pPr>
        <w:tabs>
          <w:tab w:val="num" w:pos="7186"/>
        </w:tabs>
        <w:ind w:left="7186" w:hanging="360"/>
      </w:pPr>
      <w:rPr>
        <w:rFonts w:ascii="Wingdings" w:hAnsi="Wingdings" w:hint="default"/>
      </w:rPr>
    </w:lvl>
  </w:abstractNum>
  <w:abstractNum w:abstractNumId="13" w15:restartNumberingAfterBreak="0">
    <w:nsid w:val="3DF117A1"/>
    <w:multiLevelType w:val="hybridMultilevel"/>
    <w:tmpl w:val="47502AFC"/>
    <w:lvl w:ilvl="0" w:tplc="00F621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E838DB"/>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4F6227CD"/>
    <w:multiLevelType w:val="hybridMultilevel"/>
    <w:tmpl w:val="90D48BAC"/>
    <w:lvl w:ilvl="0" w:tplc="B164E1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15915DF"/>
    <w:multiLevelType w:val="multilevel"/>
    <w:tmpl w:val="D2C2099C"/>
    <w:lvl w:ilvl="0">
      <w:start w:val="1"/>
      <w:numFmt w:val="upperRoman"/>
      <w:lvlText w:val="%1."/>
      <w:lvlJc w:val="left"/>
      <w:pPr>
        <w:ind w:left="360" w:hanging="360"/>
      </w:pPr>
      <w:rPr>
        <w:rFonts w:ascii="Arial" w:hAnsi="Arial" w:cs="Arial" w:hint="default"/>
        <w:b/>
      </w:rPr>
    </w:lvl>
    <w:lvl w:ilvl="1">
      <w:start w:val="1"/>
      <w:numFmt w:val="decimal"/>
      <w:isLgl/>
      <w:lvlText w:val="%1.%2"/>
      <w:lvlJc w:val="left"/>
      <w:pPr>
        <w:ind w:left="567" w:hanging="567"/>
      </w:pPr>
      <w:rPr>
        <w:rFonts w:ascii="Arial" w:hAnsi="Arial" w:cs="Arial" w:hint="default"/>
        <w:b w:val="0"/>
        <w:sz w:val="22"/>
        <w:szCs w:val="22"/>
      </w:rPr>
    </w:lvl>
    <w:lvl w:ilvl="2">
      <w:start w:val="1"/>
      <w:numFmt w:val="bullet"/>
      <w:lvlText w:val=""/>
      <w:lvlJc w:val="left"/>
      <w:pPr>
        <w:ind w:left="1080" w:hanging="36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636A279D"/>
    <w:multiLevelType w:val="hybridMultilevel"/>
    <w:tmpl w:val="CE1C8FA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6B420D04"/>
    <w:multiLevelType w:val="hybridMultilevel"/>
    <w:tmpl w:val="774E5184"/>
    <w:lvl w:ilvl="0" w:tplc="040A0001">
      <w:start w:val="1"/>
      <w:numFmt w:val="bullet"/>
      <w:lvlText w:val=""/>
      <w:lvlJc w:val="left"/>
      <w:pPr>
        <w:tabs>
          <w:tab w:val="num" w:pos="1429"/>
        </w:tabs>
        <w:ind w:left="1429" w:hanging="360"/>
      </w:pPr>
      <w:rPr>
        <w:rFonts w:ascii="Symbol" w:hAnsi="Symbol" w:hint="default"/>
      </w:rPr>
    </w:lvl>
    <w:lvl w:ilvl="1" w:tplc="040A0003" w:tentative="1">
      <w:start w:val="1"/>
      <w:numFmt w:val="bullet"/>
      <w:lvlText w:val="o"/>
      <w:lvlJc w:val="left"/>
      <w:pPr>
        <w:tabs>
          <w:tab w:val="num" w:pos="2149"/>
        </w:tabs>
        <w:ind w:left="2149" w:hanging="360"/>
      </w:pPr>
      <w:rPr>
        <w:rFonts w:ascii="Courier New" w:hAnsi="Courier New" w:cs="Courier New" w:hint="default"/>
      </w:rPr>
    </w:lvl>
    <w:lvl w:ilvl="2" w:tplc="040A0005" w:tentative="1">
      <w:start w:val="1"/>
      <w:numFmt w:val="bullet"/>
      <w:lvlText w:val=""/>
      <w:lvlJc w:val="left"/>
      <w:pPr>
        <w:tabs>
          <w:tab w:val="num" w:pos="2869"/>
        </w:tabs>
        <w:ind w:left="2869" w:hanging="360"/>
      </w:pPr>
      <w:rPr>
        <w:rFonts w:ascii="Wingdings" w:hAnsi="Wingdings" w:hint="default"/>
      </w:rPr>
    </w:lvl>
    <w:lvl w:ilvl="3" w:tplc="040A0001" w:tentative="1">
      <w:start w:val="1"/>
      <w:numFmt w:val="bullet"/>
      <w:lvlText w:val=""/>
      <w:lvlJc w:val="left"/>
      <w:pPr>
        <w:tabs>
          <w:tab w:val="num" w:pos="3589"/>
        </w:tabs>
        <w:ind w:left="3589" w:hanging="360"/>
      </w:pPr>
      <w:rPr>
        <w:rFonts w:ascii="Symbol" w:hAnsi="Symbol" w:hint="default"/>
      </w:rPr>
    </w:lvl>
    <w:lvl w:ilvl="4" w:tplc="040A0003" w:tentative="1">
      <w:start w:val="1"/>
      <w:numFmt w:val="bullet"/>
      <w:lvlText w:val="o"/>
      <w:lvlJc w:val="left"/>
      <w:pPr>
        <w:tabs>
          <w:tab w:val="num" w:pos="4309"/>
        </w:tabs>
        <w:ind w:left="4309" w:hanging="360"/>
      </w:pPr>
      <w:rPr>
        <w:rFonts w:ascii="Courier New" w:hAnsi="Courier New" w:cs="Courier New" w:hint="default"/>
      </w:rPr>
    </w:lvl>
    <w:lvl w:ilvl="5" w:tplc="040A0005" w:tentative="1">
      <w:start w:val="1"/>
      <w:numFmt w:val="bullet"/>
      <w:lvlText w:val=""/>
      <w:lvlJc w:val="left"/>
      <w:pPr>
        <w:tabs>
          <w:tab w:val="num" w:pos="5029"/>
        </w:tabs>
        <w:ind w:left="5029" w:hanging="360"/>
      </w:pPr>
      <w:rPr>
        <w:rFonts w:ascii="Wingdings" w:hAnsi="Wingdings" w:hint="default"/>
      </w:rPr>
    </w:lvl>
    <w:lvl w:ilvl="6" w:tplc="040A0001" w:tentative="1">
      <w:start w:val="1"/>
      <w:numFmt w:val="bullet"/>
      <w:lvlText w:val=""/>
      <w:lvlJc w:val="left"/>
      <w:pPr>
        <w:tabs>
          <w:tab w:val="num" w:pos="5749"/>
        </w:tabs>
        <w:ind w:left="5749" w:hanging="360"/>
      </w:pPr>
      <w:rPr>
        <w:rFonts w:ascii="Symbol" w:hAnsi="Symbol" w:hint="default"/>
      </w:rPr>
    </w:lvl>
    <w:lvl w:ilvl="7" w:tplc="040A0003" w:tentative="1">
      <w:start w:val="1"/>
      <w:numFmt w:val="bullet"/>
      <w:lvlText w:val="o"/>
      <w:lvlJc w:val="left"/>
      <w:pPr>
        <w:tabs>
          <w:tab w:val="num" w:pos="6469"/>
        </w:tabs>
        <w:ind w:left="6469" w:hanging="360"/>
      </w:pPr>
      <w:rPr>
        <w:rFonts w:ascii="Courier New" w:hAnsi="Courier New" w:cs="Courier New" w:hint="default"/>
      </w:rPr>
    </w:lvl>
    <w:lvl w:ilvl="8" w:tplc="040A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083FB4"/>
    <w:multiLevelType w:val="hybridMultilevel"/>
    <w:tmpl w:val="C0C6F110"/>
    <w:lvl w:ilvl="0" w:tplc="BD863A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7F8A12A7"/>
    <w:multiLevelType w:val="hybridMultilevel"/>
    <w:tmpl w:val="9C5045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6"/>
  </w:num>
  <w:num w:numId="2">
    <w:abstractNumId w:val="0"/>
  </w:num>
  <w:num w:numId="3">
    <w:abstractNumId w:val="3"/>
  </w:num>
  <w:num w:numId="4">
    <w:abstractNumId w:val="10"/>
  </w:num>
  <w:num w:numId="5">
    <w:abstractNumId w:val="7"/>
  </w:num>
  <w:num w:numId="6">
    <w:abstractNumId w:val="20"/>
  </w:num>
  <w:num w:numId="7">
    <w:abstractNumId w:val="17"/>
  </w:num>
  <w:num w:numId="8">
    <w:abstractNumId w:val="21"/>
  </w:num>
  <w:num w:numId="9">
    <w:abstractNumId w:val="4"/>
  </w:num>
  <w:num w:numId="10">
    <w:abstractNumId w:val="18"/>
  </w:num>
  <w:num w:numId="11">
    <w:abstractNumId w:val="12"/>
  </w:num>
  <w:num w:numId="12">
    <w:abstractNumId w:val="8"/>
  </w:num>
  <w:num w:numId="13">
    <w:abstractNumId w:val="2"/>
  </w:num>
  <w:num w:numId="14">
    <w:abstractNumId w:val="6"/>
  </w:num>
  <w:num w:numId="15">
    <w:abstractNumId w:val="1"/>
  </w:num>
  <w:num w:numId="16">
    <w:abstractNumId w:val="13"/>
  </w:num>
  <w:num w:numId="17">
    <w:abstractNumId w:val="9"/>
  </w:num>
  <w:num w:numId="18">
    <w:abstractNumId w:val="15"/>
  </w:num>
  <w:num w:numId="19">
    <w:abstractNumId w:val="11"/>
  </w:num>
  <w:num w:numId="20">
    <w:abstractNumId w:val="5"/>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265"/>
    <w:rsid w:val="0000187D"/>
    <w:rsid w:val="000042C6"/>
    <w:rsid w:val="00017EDE"/>
    <w:rsid w:val="00020ACB"/>
    <w:rsid w:val="00021DBE"/>
    <w:rsid w:val="00023AA4"/>
    <w:rsid w:val="00023C4D"/>
    <w:rsid w:val="00033E27"/>
    <w:rsid w:val="000348C6"/>
    <w:rsid w:val="00035478"/>
    <w:rsid w:val="0004396F"/>
    <w:rsid w:val="00044248"/>
    <w:rsid w:val="00044F84"/>
    <w:rsid w:val="00050402"/>
    <w:rsid w:val="000544F4"/>
    <w:rsid w:val="00057916"/>
    <w:rsid w:val="00063580"/>
    <w:rsid w:val="000645B3"/>
    <w:rsid w:val="0006676E"/>
    <w:rsid w:val="00067445"/>
    <w:rsid w:val="000753BD"/>
    <w:rsid w:val="000808D5"/>
    <w:rsid w:val="00081881"/>
    <w:rsid w:val="00085D2F"/>
    <w:rsid w:val="000A1C2E"/>
    <w:rsid w:val="000C0553"/>
    <w:rsid w:val="000C1C74"/>
    <w:rsid w:val="000C485E"/>
    <w:rsid w:val="000D1FB6"/>
    <w:rsid w:val="000D26EE"/>
    <w:rsid w:val="000D2A25"/>
    <w:rsid w:val="000D2EE8"/>
    <w:rsid w:val="000D5D98"/>
    <w:rsid w:val="000F67A7"/>
    <w:rsid w:val="00101D04"/>
    <w:rsid w:val="00112216"/>
    <w:rsid w:val="0011456B"/>
    <w:rsid w:val="00124F24"/>
    <w:rsid w:val="001338E9"/>
    <w:rsid w:val="001343FB"/>
    <w:rsid w:val="00140FE8"/>
    <w:rsid w:val="00142AA6"/>
    <w:rsid w:val="00144868"/>
    <w:rsid w:val="00150FF0"/>
    <w:rsid w:val="00152DBC"/>
    <w:rsid w:val="00153437"/>
    <w:rsid w:val="00154997"/>
    <w:rsid w:val="001549DD"/>
    <w:rsid w:val="001573EA"/>
    <w:rsid w:val="0016323C"/>
    <w:rsid w:val="001644E3"/>
    <w:rsid w:val="00174AC2"/>
    <w:rsid w:val="00180690"/>
    <w:rsid w:val="001824D3"/>
    <w:rsid w:val="00183971"/>
    <w:rsid w:val="00184F91"/>
    <w:rsid w:val="001A3895"/>
    <w:rsid w:val="001A483A"/>
    <w:rsid w:val="001A64C0"/>
    <w:rsid w:val="001C5A73"/>
    <w:rsid w:val="001D0103"/>
    <w:rsid w:val="001D0A86"/>
    <w:rsid w:val="001D2DDD"/>
    <w:rsid w:val="001D6AAA"/>
    <w:rsid w:val="001E533C"/>
    <w:rsid w:val="001F5E35"/>
    <w:rsid w:val="001F681F"/>
    <w:rsid w:val="00203482"/>
    <w:rsid w:val="002058B2"/>
    <w:rsid w:val="00206B75"/>
    <w:rsid w:val="00206F2E"/>
    <w:rsid w:val="00211919"/>
    <w:rsid w:val="00212EAB"/>
    <w:rsid w:val="0021362C"/>
    <w:rsid w:val="00215D2B"/>
    <w:rsid w:val="00222960"/>
    <w:rsid w:val="002329FA"/>
    <w:rsid w:val="00233DA7"/>
    <w:rsid w:val="00237935"/>
    <w:rsid w:val="00241F49"/>
    <w:rsid w:val="002434FC"/>
    <w:rsid w:val="00243949"/>
    <w:rsid w:val="002467AB"/>
    <w:rsid w:val="0025638B"/>
    <w:rsid w:val="00267213"/>
    <w:rsid w:val="002717C8"/>
    <w:rsid w:val="00275EC8"/>
    <w:rsid w:val="0028072F"/>
    <w:rsid w:val="00291DB7"/>
    <w:rsid w:val="0029278A"/>
    <w:rsid w:val="002931A9"/>
    <w:rsid w:val="002972BF"/>
    <w:rsid w:val="002A0778"/>
    <w:rsid w:val="002A6053"/>
    <w:rsid w:val="002B486B"/>
    <w:rsid w:val="002B7ACD"/>
    <w:rsid w:val="002C21BB"/>
    <w:rsid w:val="002C3910"/>
    <w:rsid w:val="002C6E1D"/>
    <w:rsid w:val="002E780E"/>
    <w:rsid w:val="002F4082"/>
    <w:rsid w:val="002F59BF"/>
    <w:rsid w:val="00303646"/>
    <w:rsid w:val="003067EF"/>
    <w:rsid w:val="00311215"/>
    <w:rsid w:val="00324F9F"/>
    <w:rsid w:val="00331AFF"/>
    <w:rsid w:val="003421AC"/>
    <w:rsid w:val="00353F1B"/>
    <w:rsid w:val="00355309"/>
    <w:rsid w:val="003566FC"/>
    <w:rsid w:val="003613FB"/>
    <w:rsid w:val="003625D9"/>
    <w:rsid w:val="003661E0"/>
    <w:rsid w:val="0037006F"/>
    <w:rsid w:val="00371EAA"/>
    <w:rsid w:val="0038279A"/>
    <w:rsid w:val="003921D9"/>
    <w:rsid w:val="003A308B"/>
    <w:rsid w:val="003A3D41"/>
    <w:rsid w:val="003A7479"/>
    <w:rsid w:val="003A7B94"/>
    <w:rsid w:val="003C1281"/>
    <w:rsid w:val="003C2B3C"/>
    <w:rsid w:val="003D3136"/>
    <w:rsid w:val="003F17AE"/>
    <w:rsid w:val="003F5B6B"/>
    <w:rsid w:val="003F76EB"/>
    <w:rsid w:val="004071ED"/>
    <w:rsid w:val="004108DC"/>
    <w:rsid w:val="00422234"/>
    <w:rsid w:val="00424642"/>
    <w:rsid w:val="00431453"/>
    <w:rsid w:val="00433918"/>
    <w:rsid w:val="0044754C"/>
    <w:rsid w:val="00461C89"/>
    <w:rsid w:val="0046611B"/>
    <w:rsid w:val="00467A92"/>
    <w:rsid w:val="00471F9A"/>
    <w:rsid w:val="004739E2"/>
    <w:rsid w:val="00483A48"/>
    <w:rsid w:val="004933C9"/>
    <w:rsid w:val="004A3071"/>
    <w:rsid w:val="004B32D3"/>
    <w:rsid w:val="004C0907"/>
    <w:rsid w:val="004D50F7"/>
    <w:rsid w:val="004D7A10"/>
    <w:rsid w:val="004E69BB"/>
    <w:rsid w:val="004F2CD7"/>
    <w:rsid w:val="004F37B3"/>
    <w:rsid w:val="004F4B16"/>
    <w:rsid w:val="004F7AFE"/>
    <w:rsid w:val="0050688E"/>
    <w:rsid w:val="00515DF3"/>
    <w:rsid w:val="005224F9"/>
    <w:rsid w:val="0052319D"/>
    <w:rsid w:val="005238C0"/>
    <w:rsid w:val="0054077D"/>
    <w:rsid w:val="005438E0"/>
    <w:rsid w:val="00544D9C"/>
    <w:rsid w:val="00544E47"/>
    <w:rsid w:val="005459C3"/>
    <w:rsid w:val="0054635B"/>
    <w:rsid w:val="00550D64"/>
    <w:rsid w:val="00555605"/>
    <w:rsid w:val="00561625"/>
    <w:rsid w:val="005664B5"/>
    <w:rsid w:val="00572539"/>
    <w:rsid w:val="00575018"/>
    <w:rsid w:val="00580851"/>
    <w:rsid w:val="00591555"/>
    <w:rsid w:val="00592476"/>
    <w:rsid w:val="00596B65"/>
    <w:rsid w:val="005A006D"/>
    <w:rsid w:val="005A2DA1"/>
    <w:rsid w:val="005B1879"/>
    <w:rsid w:val="005C3B17"/>
    <w:rsid w:val="005C503F"/>
    <w:rsid w:val="005D03AB"/>
    <w:rsid w:val="005D60B3"/>
    <w:rsid w:val="005D79B9"/>
    <w:rsid w:val="005E2C3D"/>
    <w:rsid w:val="005E3D57"/>
    <w:rsid w:val="005E63BD"/>
    <w:rsid w:val="006058E2"/>
    <w:rsid w:val="00606B71"/>
    <w:rsid w:val="00621458"/>
    <w:rsid w:val="006272FA"/>
    <w:rsid w:val="00634DE2"/>
    <w:rsid w:val="0064072F"/>
    <w:rsid w:val="00641D35"/>
    <w:rsid w:val="00642D5F"/>
    <w:rsid w:val="00676249"/>
    <w:rsid w:val="006815DA"/>
    <w:rsid w:val="00685D8F"/>
    <w:rsid w:val="006907A0"/>
    <w:rsid w:val="00691A37"/>
    <w:rsid w:val="006A3BDD"/>
    <w:rsid w:val="006A45DF"/>
    <w:rsid w:val="006A5F41"/>
    <w:rsid w:val="006B54E1"/>
    <w:rsid w:val="006B75D7"/>
    <w:rsid w:val="006D180C"/>
    <w:rsid w:val="006D45A0"/>
    <w:rsid w:val="006D4FD5"/>
    <w:rsid w:val="006D68E9"/>
    <w:rsid w:val="006E2C22"/>
    <w:rsid w:val="006F5906"/>
    <w:rsid w:val="00716988"/>
    <w:rsid w:val="007201A5"/>
    <w:rsid w:val="00723A10"/>
    <w:rsid w:val="007307E8"/>
    <w:rsid w:val="00730959"/>
    <w:rsid w:val="0073545B"/>
    <w:rsid w:val="007437B0"/>
    <w:rsid w:val="00753CBC"/>
    <w:rsid w:val="00755D64"/>
    <w:rsid w:val="00757C73"/>
    <w:rsid w:val="00781172"/>
    <w:rsid w:val="00794CAC"/>
    <w:rsid w:val="00797A29"/>
    <w:rsid w:val="007A1F3B"/>
    <w:rsid w:val="007B07C4"/>
    <w:rsid w:val="007B3265"/>
    <w:rsid w:val="007B3563"/>
    <w:rsid w:val="007B47E0"/>
    <w:rsid w:val="007C16F5"/>
    <w:rsid w:val="007C3A06"/>
    <w:rsid w:val="007C6972"/>
    <w:rsid w:val="007D5D46"/>
    <w:rsid w:val="007E63A5"/>
    <w:rsid w:val="007E68F2"/>
    <w:rsid w:val="00800295"/>
    <w:rsid w:val="0080058A"/>
    <w:rsid w:val="00804C74"/>
    <w:rsid w:val="008124F8"/>
    <w:rsid w:val="00820EC5"/>
    <w:rsid w:val="008233B5"/>
    <w:rsid w:val="0082664F"/>
    <w:rsid w:val="00833695"/>
    <w:rsid w:val="008351AA"/>
    <w:rsid w:val="00835714"/>
    <w:rsid w:val="00835C5C"/>
    <w:rsid w:val="0085613A"/>
    <w:rsid w:val="00860CF8"/>
    <w:rsid w:val="00862FAB"/>
    <w:rsid w:val="008631A5"/>
    <w:rsid w:val="00863291"/>
    <w:rsid w:val="008651F8"/>
    <w:rsid w:val="00884667"/>
    <w:rsid w:val="00884E3C"/>
    <w:rsid w:val="0088602D"/>
    <w:rsid w:val="00891FC4"/>
    <w:rsid w:val="008972DC"/>
    <w:rsid w:val="008A56A7"/>
    <w:rsid w:val="008A70BC"/>
    <w:rsid w:val="008B7C8D"/>
    <w:rsid w:val="008C2137"/>
    <w:rsid w:val="008C60FE"/>
    <w:rsid w:val="008E386F"/>
    <w:rsid w:val="008F2BD4"/>
    <w:rsid w:val="00901343"/>
    <w:rsid w:val="00902E00"/>
    <w:rsid w:val="0091023A"/>
    <w:rsid w:val="009166ED"/>
    <w:rsid w:val="00922526"/>
    <w:rsid w:val="009227E5"/>
    <w:rsid w:val="009231DB"/>
    <w:rsid w:val="00954B14"/>
    <w:rsid w:val="0095587D"/>
    <w:rsid w:val="009709C4"/>
    <w:rsid w:val="00971931"/>
    <w:rsid w:val="00993B13"/>
    <w:rsid w:val="00996E8B"/>
    <w:rsid w:val="009A7B09"/>
    <w:rsid w:val="009A7C20"/>
    <w:rsid w:val="009B1BCB"/>
    <w:rsid w:val="009B4F43"/>
    <w:rsid w:val="009C056C"/>
    <w:rsid w:val="009C0E7E"/>
    <w:rsid w:val="009C2182"/>
    <w:rsid w:val="009C4039"/>
    <w:rsid w:val="009C55CE"/>
    <w:rsid w:val="009C721F"/>
    <w:rsid w:val="009C73B1"/>
    <w:rsid w:val="009E2C54"/>
    <w:rsid w:val="009E5050"/>
    <w:rsid w:val="009E62BB"/>
    <w:rsid w:val="009E68D7"/>
    <w:rsid w:val="009F0DFE"/>
    <w:rsid w:val="009F7945"/>
    <w:rsid w:val="00A01D69"/>
    <w:rsid w:val="00A109C5"/>
    <w:rsid w:val="00A14695"/>
    <w:rsid w:val="00A15BBC"/>
    <w:rsid w:val="00A173D4"/>
    <w:rsid w:val="00A177B5"/>
    <w:rsid w:val="00A23A18"/>
    <w:rsid w:val="00A340FA"/>
    <w:rsid w:val="00A37B1D"/>
    <w:rsid w:val="00A405B9"/>
    <w:rsid w:val="00A41F5F"/>
    <w:rsid w:val="00A561A5"/>
    <w:rsid w:val="00A6284B"/>
    <w:rsid w:val="00A639C9"/>
    <w:rsid w:val="00A63EAF"/>
    <w:rsid w:val="00A65733"/>
    <w:rsid w:val="00A65A99"/>
    <w:rsid w:val="00A677FA"/>
    <w:rsid w:val="00A70572"/>
    <w:rsid w:val="00A72F59"/>
    <w:rsid w:val="00A7743F"/>
    <w:rsid w:val="00A77C0E"/>
    <w:rsid w:val="00A86ED0"/>
    <w:rsid w:val="00A95480"/>
    <w:rsid w:val="00A95CE1"/>
    <w:rsid w:val="00A9743D"/>
    <w:rsid w:val="00AA6D55"/>
    <w:rsid w:val="00AB08BA"/>
    <w:rsid w:val="00AB43B8"/>
    <w:rsid w:val="00AB4587"/>
    <w:rsid w:val="00AC3282"/>
    <w:rsid w:val="00AC3E16"/>
    <w:rsid w:val="00AD58F6"/>
    <w:rsid w:val="00AE5082"/>
    <w:rsid w:val="00AE7344"/>
    <w:rsid w:val="00AF3BD5"/>
    <w:rsid w:val="00AF6A8A"/>
    <w:rsid w:val="00AF782C"/>
    <w:rsid w:val="00AF7A71"/>
    <w:rsid w:val="00B04196"/>
    <w:rsid w:val="00B07D6A"/>
    <w:rsid w:val="00B10BD5"/>
    <w:rsid w:val="00B13BD8"/>
    <w:rsid w:val="00B1408A"/>
    <w:rsid w:val="00B148C9"/>
    <w:rsid w:val="00B215A8"/>
    <w:rsid w:val="00B36DB8"/>
    <w:rsid w:val="00B46740"/>
    <w:rsid w:val="00B4740B"/>
    <w:rsid w:val="00B54278"/>
    <w:rsid w:val="00B57FC8"/>
    <w:rsid w:val="00B6133E"/>
    <w:rsid w:val="00B63ED8"/>
    <w:rsid w:val="00B64BF0"/>
    <w:rsid w:val="00B75B1B"/>
    <w:rsid w:val="00B75ED1"/>
    <w:rsid w:val="00B82108"/>
    <w:rsid w:val="00B836EC"/>
    <w:rsid w:val="00B9178D"/>
    <w:rsid w:val="00B93EC5"/>
    <w:rsid w:val="00BA00AA"/>
    <w:rsid w:val="00BA012B"/>
    <w:rsid w:val="00BA1012"/>
    <w:rsid w:val="00BA193F"/>
    <w:rsid w:val="00BA5B30"/>
    <w:rsid w:val="00BB0C83"/>
    <w:rsid w:val="00BB1A8F"/>
    <w:rsid w:val="00BE69ED"/>
    <w:rsid w:val="00BF2624"/>
    <w:rsid w:val="00BF2A68"/>
    <w:rsid w:val="00BF63DE"/>
    <w:rsid w:val="00BF7197"/>
    <w:rsid w:val="00C007FD"/>
    <w:rsid w:val="00C06ADB"/>
    <w:rsid w:val="00C11CC4"/>
    <w:rsid w:val="00C26DA9"/>
    <w:rsid w:val="00C31376"/>
    <w:rsid w:val="00C47A92"/>
    <w:rsid w:val="00C54E11"/>
    <w:rsid w:val="00C5735D"/>
    <w:rsid w:val="00C60A15"/>
    <w:rsid w:val="00C63EF4"/>
    <w:rsid w:val="00C72374"/>
    <w:rsid w:val="00C73779"/>
    <w:rsid w:val="00C759D6"/>
    <w:rsid w:val="00C76232"/>
    <w:rsid w:val="00C76E9B"/>
    <w:rsid w:val="00C8789E"/>
    <w:rsid w:val="00C900EF"/>
    <w:rsid w:val="00C91340"/>
    <w:rsid w:val="00C94B0A"/>
    <w:rsid w:val="00CA1FE4"/>
    <w:rsid w:val="00CB76D7"/>
    <w:rsid w:val="00CC098F"/>
    <w:rsid w:val="00CC0DF4"/>
    <w:rsid w:val="00CC3626"/>
    <w:rsid w:val="00CC49B5"/>
    <w:rsid w:val="00CC5966"/>
    <w:rsid w:val="00CD05FC"/>
    <w:rsid w:val="00CD294A"/>
    <w:rsid w:val="00CD489E"/>
    <w:rsid w:val="00CD4CDD"/>
    <w:rsid w:val="00CE1DB9"/>
    <w:rsid w:val="00CE2CA3"/>
    <w:rsid w:val="00CE400D"/>
    <w:rsid w:val="00CE5F1E"/>
    <w:rsid w:val="00CF3FCB"/>
    <w:rsid w:val="00D0129F"/>
    <w:rsid w:val="00D17035"/>
    <w:rsid w:val="00D2113A"/>
    <w:rsid w:val="00D248AA"/>
    <w:rsid w:val="00D40AC7"/>
    <w:rsid w:val="00D40E66"/>
    <w:rsid w:val="00D42226"/>
    <w:rsid w:val="00D4782A"/>
    <w:rsid w:val="00D57A5E"/>
    <w:rsid w:val="00D606AD"/>
    <w:rsid w:val="00D6083E"/>
    <w:rsid w:val="00D6460B"/>
    <w:rsid w:val="00D714CC"/>
    <w:rsid w:val="00D7613A"/>
    <w:rsid w:val="00D918A4"/>
    <w:rsid w:val="00D968E1"/>
    <w:rsid w:val="00DA4569"/>
    <w:rsid w:val="00DA5172"/>
    <w:rsid w:val="00DB1DE4"/>
    <w:rsid w:val="00DB2F7E"/>
    <w:rsid w:val="00DB5C3B"/>
    <w:rsid w:val="00DC072F"/>
    <w:rsid w:val="00DC49D1"/>
    <w:rsid w:val="00DC5087"/>
    <w:rsid w:val="00DC7E17"/>
    <w:rsid w:val="00DD3B7E"/>
    <w:rsid w:val="00DD6969"/>
    <w:rsid w:val="00DE68CB"/>
    <w:rsid w:val="00DE7308"/>
    <w:rsid w:val="00DE77A9"/>
    <w:rsid w:val="00DF0502"/>
    <w:rsid w:val="00DF1F1A"/>
    <w:rsid w:val="00DF7027"/>
    <w:rsid w:val="00E10DB9"/>
    <w:rsid w:val="00E13C54"/>
    <w:rsid w:val="00E1754D"/>
    <w:rsid w:val="00E23B83"/>
    <w:rsid w:val="00E271EA"/>
    <w:rsid w:val="00E32A26"/>
    <w:rsid w:val="00E34F91"/>
    <w:rsid w:val="00E3659E"/>
    <w:rsid w:val="00E53B28"/>
    <w:rsid w:val="00E60529"/>
    <w:rsid w:val="00E64CCA"/>
    <w:rsid w:val="00E711C5"/>
    <w:rsid w:val="00E72A5E"/>
    <w:rsid w:val="00E8385E"/>
    <w:rsid w:val="00E85794"/>
    <w:rsid w:val="00E85DFB"/>
    <w:rsid w:val="00E87DE8"/>
    <w:rsid w:val="00EA354B"/>
    <w:rsid w:val="00EA3593"/>
    <w:rsid w:val="00EB04ED"/>
    <w:rsid w:val="00EB1940"/>
    <w:rsid w:val="00EB1F3A"/>
    <w:rsid w:val="00EB2B7C"/>
    <w:rsid w:val="00EB3E9D"/>
    <w:rsid w:val="00EB5820"/>
    <w:rsid w:val="00EB7A4B"/>
    <w:rsid w:val="00EC1AA2"/>
    <w:rsid w:val="00EC433C"/>
    <w:rsid w:val="00ED3B98"/>
    <w:rsid w:val="00EE2F34"/>
    <w:rsid w:val="00EE64AC"/>
    <w:rsid w:val="00EE78D8"/>
    <w:rsid w:val="00EF2D3B"/>
    <w:rsid w:val="00EF6646"/>
    <w:rsid w:val="00EF67D8"/>
    <w:rsid w:val="00EF7B63"/>
    <w:rsid w:val="00F014EF"/>
    <w:rsid w:val="00F0292F"/>
    <w:rsid w:val="00F101F9"/>
    <w:rsid w:val="00F13223"/>
    <w:rsid w:val="00F2001B"/>
    <w:rsid w:val="00F24B8D"/>
    <w:rsid w:val="00F24C2F"/>
    <w:rsid w:val="00F426DB"/>
    <w:rsid w:val="00F45456"/>
    <w:rsid w:val="00F4760B"/>
    <w:rsid w:val="00F5442B"/>
    <w:rsid w:val="00F64721"/>
    <w:rsid w:val="00F72133"/>
    <w:rsid w:val="00F84308"/>
    <w:rsid w:val="00F84737"/>
    <w:rsid w:val="00F87B11"/>
    <w:rsid w:val="00F93D7F"/>
    <w:rsid w:val="00FA01F5"/>
    <w:rsid w:val="00FA0A9F"/>
    <w:rsid w:val="00FA1CFD"/>
    <w:rsid w:val="00FA4E49"/>
    <w:rsid w:val="00FB16A8"/>
    <w:rsid w:val="00FC154E"/>
    <w:rsid w:val="00FC3F8D"/>
    <w:rsid w:val="00FC5589"/>
    <w:rsid w:val="00FC5622"/>
    <w:rsid w:val="00FC67AF"/>
    <w:rsid w:val="00FC7B56"/>
    <w:rsid w:val="00FD0CD6"/>
    <w:rsid w:val="00FD773D"/>
    <w:rsid w:val="00FE0D33"/>
    <w:rsid w:val="00FE193B"/>
    <w:rsid w:val="00FE749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88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40E66"/>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E66"/>
    <w:pPr>
      <w:ind w:left="720"/>
      <w:contextualSpacing/>
    </w:pPr>
  </w:style>
  <w:style w:type="paragraph" w:styleId="Title">
    <w:name w:val="Title"/>
    <w:basedOn w:val="Normal"/>
    <w:link w:val="TitleChar"/>
    <w:qFormat/>
    <w:rsid w:val="00D40E66"/>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D40E66"/>
    <w:rPr>
      <w:rFonts w:ascii="Times New Roman" w:eastAsia="Times New Roman" w:hAnsi="Times New Roman" w:cs="Times New Roman"/>
      <w:szCs w:val="20"/>
      <w:lang w:val="en-US"/>
    </w:rPr>
  </w:style>
  <w:style w:type="paragraph" w:customStyle="1" w:styleId="Newpage">
    <w:name w:val="Newpage"/>
    <w:basedOn w:val="Normal"/>
    <w:rsid w:val="00D40E66"/>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D40E66"/>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D40E66"/>
    <w:rPr>
      <w:rFonts w:ascii="Times New Roman" w:eastAsia="Times New Roman" w:hAnsi="Times New Roman" w:cs="Times New Roman"/>
      <w:szCs w:val="20"/>
      <w:lang w:val="en-US"/>
    </w:rPr>
  </w:style>
  <w:style w:type="paragraph" w:customStyle="1" w:styleId="Chapter">
    <w:name w:val="Chapter"/>
    <w:basedOn w:val="Normal"/>
    <w:next w:val="Normal"/>
    <w:rsid w:val="00D40E66"/>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D40E66"/>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D40E66"/>
    <w:pPr>
      <w:numPr>
        <w:ilvl w:val="2"/>
        <w:numId w:val="2"/>
      </w:numPr>
      <w:tabs>
        <w:tab w:val="clear" w:pos="1152"/>
        <w:tab w:val="num" w:pos="360"/>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D40E66"/>
    <w:pPr>
      <w:numPr>
        <w:ilvl w:val="3"/>
      </w:numPr>
      <w:tabs>
        <w:tab w:val="clear" w:pos="1584"/>
        <w:tab w:val="left" w:pos="0"/>
        <w:tab w:val="num" w:pos="360"/>
      </w:tabs>
      <w:ind w:left="2880" w:hanging="360"/>
    </w:pPr>
  </w:style>
  <w:style w:type="character" w:customStyle="1" w:styleId="ParagraphChar">
    <w:name w:val="Paragraph Char"/>
    <w:aliases w:val="paragraph Char,p Char,PARAGRAPH Char,PG Char,pa Char,at Char"/>
    <w:link w:val="Paragraph"/>
    <w:rsid w:val="00D40E66"/>
    <w:rPr>
      <w:rFonts w:ascii="Times New Roman" w:eastAsia="Times New Roman" w:hAnsi="Times New Roman" w:cs="Times New Roman"/>
      <w:szCs w:val="20"/>
      <w:lang w:val="es-ES"/>
    </w:rPr>
  </w:style>
  <w:style w:type="paragraph" w:styleId="BodyTextIndent">
    <w:name w:val="Body Text Indent"/>
    <w:basedOn w:val="Normal"/>
    <w:link w:val="BodyTextIndentChar"/>
    <w:uiPriority w:val="99"/>
    <w:semiHidden/>
    <w:unhideWhenUsed/>
    <w:rsid w:val="00D40E66"/>
    <w:pPr>
      <w:spacing w:after="120"/>
      <w:ind w:left="283"/>
    </w:pPr>
  </w:style>
  <w:style w:type="character" w:customStyle="1" w:styleId="BodyTextIndentChar">
    <w:name w:val="Body Text Indent Char"/>
    <w:basedOn w:val="DefaultParagraphFont"/>
    <w:link w:val="BodyTextIndent"/>
    <w:uiPriority w:val="99"/>
    <w:semiHidden/>
    <w:rsid w:val="00D40E66"/>
    <w:rPr>
      <w:rFonts w:ascii="Calibri" w:eastAsia="Calibri" w:hAnsi="Calibri" w:cs="Times New Roman"/>
      <w:sz w:val="22"/>
      <w:szCs w:val="22"/>
      <w:lang w:val="en-US"/>
    </w:rPr>
  </w:style>
  <w:style w:type="paragraph" w:styleId="BodyTextIndent3">
    <w:name w:val="Body Text Indent 3"/>
    <w:basedOn w:val="Normal"/>
    <w:link w:val="BodyTextIndent3Char"/>
    <w:uiPriority w:val="99"/>
    <w:semiHidden/>
    <w:unhideWhenUsed/>
    <w:rsid w:val="00D40E6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40E66"/>
    <w:rPr>
      <w:rFonts w:ascii="Calibri" w:eastAsia="Calibri" w:hAnsi="Calibri" w:cs="Times New Roman"/>
      <w:sz w:val="16"/>
      <w:szCs w:val="16"/>
      <w:lang w:val="en-US"/>
    </w:rPr>
  </w:style>
  <w:style w:type="table" w:styleId="TableGrid">
    <w:name w:val="Table Grid"/>
    <w:basedOn w:val="TableNormal"/>
    <w:uiPriority w:val="39"/>
    <w:rsid w:val="00716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16988"/>
    <w:pPr>
      <w:spacing w:line="240" w:lineRule="auto"/>
    </w:pPr>
    <w:rPr>
      <w:i/>
      <w:iCs/>
      <w:color w:val="44546A" w:themeColor="text2"/>
      <w:sz w:val="18"/>
      <w:szCs w:val="18"/>
    </w:rPr>
  </w:style>
  <w:style w:type="paragraph" w:styleId="FootnoteText">
    <w:name w:val="footnote text"/>
    <w:aliases w:val="fn,Footnote Text Char Char,Car,footnote,foottextfra,F,Footnote Text Char Char Char,Footnote Text Char Char Char Char Char Char Char,Footnote Text Char Char Char Char Char,Footnote Text Char Char Char Char Char Char,ft,Footnote reference,f"/>
    <w:basedOn w:val="Normal"/>
    <w:link w:val="FootnoteTextChar"/>
    <w:qFormat/>
    <w:rsid w:val="00EC433C"/>
    <w:pPr>
      <w:keepNext/>
      <w:keepLines/>
      <w:spacing w:after="120" w:line="240" w:lineRule="auto"/>
      <w:ind w:left="288" w:hanging="288"/>
      <w:jc w:val="both"/>
    </w:pPr>
    <w:rPr>
      <w:rFonts w:ascii="Times New Roman" w:eastAsia="Times New Roman" w:hAnsi="Times New Roman"/>
      <w:spacing w:val="-3"/>
      <w:sz w:val="20"/>
      <w:szCs w:val="20"/>
      <w:lang w:val="es-ES_tradnl"/>
    </w:rPr>
  </w:style>
  <w:style w:type="character" w:customStyle="1" w:styleId="FootnoteTextChar">
    <w:name w:val="Footnote Text Char"/>
    <w:aliases w:val="fn Char,Footnote Text Char Char Char1,Car Char,footnote Char,foottextfra Char,F Char,Footnote Text Char Char Char Char,Footnote Text Char Char Char Char Char Char Char Char,Footnote Text Char Char Char Char Char Char1,ft Char,f Char"/>
    <w:basedOn w:val="DefaultParagraphFont"/>
    <w:link w:val="FootnoteText"/>
    <w:rsid w:val="00EC433C"/>
    <w:rPr>
      <w:rFonts w:ascii="Times New Roman" w:eastAsia="Times New Roman" w:hAnsi="Times New Roman" w:cs="Times New Roman"/>
      <w:spacing w:val="-3"/>
      <w:sz w:val="20"/>
      <w:szCs w:val="20"/>
    </w:rPr>
  </w:style>
  <w:style w:type="character" w:styleId="FootnoteReference">
    <w:name w:val="footnote reference"/>
    <w:aliases w:val="referencia nota al pie,FC,titulo 2,Style 24,pie pddes,Fußnotenzeichen DISS,16 Point,Superscript 6 Point,ftref,Texto de nota al pie,Footnote Referencefra,BVI fnr,Знак сноски 1,Ref,de nota al pie,Footnote Reference.SES,Nota de pie"/>
    <w:basedOn w:val="DefaultParagraphFont"/>
    <w:qFormat/>
    <w:rsid w:val="00EC433C"/>
    <w:rPr>
      <w:vertAlign w:val="superscript"/>
    </w:rPr>
  </w:style>
  <w:style w:type="paragraph" w:customStyle="1" w:styleId="Vieta">
    <w:name w:val="Viñeta"/>
    <w:basedOn w:val="Paragraph"/>
    <w:link w:val="VietaCar"/>
    <w:qFormat/>
    <w:rsid w:val="00EC433C"/>
    <w:pPr>
      <w:numPr>
        <w:numId w:val="5"/>
      </w:numPr>
      <w:spacing w:before="0" w:after="0" w:line="480" w:lineRule="auto"/>
      <w:ind w:left="993" w:hanging="426"/>
    </w:pPr>
    <w:rPr>
      <w:kern w:val="28"/>
    </w:rPr>
  </w:style>
  <w:style w:type="character" w:customStyle="1" w:styleId="VietaCar">
    <w:name w:val="Viñeta Car"/>
    <w:basedOn w:val="ParagraphChar"/>
    <w:link w:val="Vieta"/>
    <w:rsid w:val="00EC433C"/>
    <w:rPr>
      <w:rFonts w:ascii="Times New Roman" w:eastAsia="Times New Roman" w:hAnsi="Times New Roman" w:cs="Times New Roman"/>
      <w:kern w:val="28"/>
      <w:szCs w:val="20"/>
      <w:lang w:val="es-ES"/>
    </w:rPr>
  </w:style>
  <w:style w:type="paragraph" w:styleId="Header">
    <w:name w:val="header"/>
    <w:basedOn w:val="Normal"/>
    <w:link w:val="HeaderChar"/>
    <w:uiPriority w:val="99"/>
    <w:unhideWhenUsed/>
    <w:rsid w:val="004739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39E2"/>
    <w:rPr>
      <w:rFonts w:ascii="Calibri" w:eastAsia="Calibri" w:hAnsi="Calibri" w:cs="Times New Roman"/>
      <w:sz w:val="22"/>
      <w:szCs w:val="22"/>
      <w:lang w:val="en-US"/>
    </w:rPr>
  </w:style>
  <w:style w:type="paragraph" w:customStyle="1" w:styleId="Entabla">
    <w:name w:val="Entabla"/>
    <w:basedOn w:val="Normal"/>
    <w:link w:val="EntablaCar"/>
    <w:qFormat/>
    <w:rsid w:val="004739E2"/>
    <w:pPr>
      <w:spacing w:after="0" w:line="240" w:lineRule="auto"/>
    </w:pPr>
    <w:rPr>
      <w:rFonts w:ascii="Times New Roman" w:eastAsia="Times New Roman" w:hAnsi="Times New Roman"/>
      <w:color w:val="000000"/>
      <w:lang w:val="es-ES"/>
    </w:rPr>
  </w:style>
  <w:style w:type="paragraph" w:customStyle="1" w:styleId="TituloTabla">
    <w:name w:val="Titulo Tabla"/>
    <w:basedOn w:val="Normal"/>
    <w:link w:val="TituloTablaCar"/>
    <w:qFormat/>
    <w:rsid w:val="004739E2"/>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4739E2"/>
    <w:rPr>
      <w:rFonts w:ascii="Times New Roman" w:eastAsia="Times New Roman" w:hAnsi="Times New Roman" w:cs="Times New Roman"/>
      <w:color w:val="000000"/>
      <w:sz w:val="22"/>
      <w:szCs w:val="22"/>
      <w:lang w:val="es-ES"/>
    </w:rPr>
  </w:style>
  <w:style w:type="character" w:customStyle="1" w:styleId="TituloTablaCar">
    <w:name w:val="Titulo Tabla Car"/>
    <w:basedOn w:val="DefaultParagraphFont"/>
    <w:link w:val="TituloTabla"/>
    <w:rsid w:val="004739E2"/>
    <w:rPr>
      <w:rFonts w:ascii="Times New Roman" w:eastAsia="Times New Roman" w:hAnsi="Times New Roman" w:cs="Times New Roman"/>
      <w:b/>
      <w:bCs/>
      <w:color w:val="000000"/>
      <w:sz w:val="22"/>
      <w:szCs w:val="22"/>
      <w:lang w:val="es-ES"/>
    </w:rPr>
  </w:style>
  <w:style w:type="paragraph" w:styleId="BodyText2">
    <w:name w:val="Body Text 2"/>
    <w:basedOn w:val="Normal"/>
    <w:link w:val="BodyText2Char"/>
    <w:uiPriority w:val="99"/>
    <w:unhideWhenUsed/>
    <w:rsid w:val="00EE78D8"/>
    <w:pPr>
      <w:spacing w:after="120" w:line="480" w:lineRule="auto"/>
    </w:pPr>
  </w:style>
  <w:style w:type="character" w:customStyle="1" w:styleId="BodyText2Char">
    <w:name w:val="Body Text 2 Char"/>
    <w:basedOn w:val="DefaultParagraphFont"/>
    <w:link w:val="BodyText2"/>
    <w:uiPriority w:val="99"/>
    <w:rsid w:val="00EE78D8"/>
    <w:rPr>
      <w:rFonts w:ascii="Calibri" w:eastAsia="Calibri" w:hAnsi="Calibri" w:cs="Times New Roman"/>
      <w:sz w:val="22"/>
      <w:szCs w:val="22"/>
      <w:lang w:val="en-US"/>
    </w:rPr>
  </w:style>
  <w:style w:type="paragraph" w:styleId="BodyText3">
    <w:name w:val="Body Text 3"/>
    <w:basedOn w:val="Normal"/>
    <w:link w:val="BodyText3Char"/>
    <w:uiPriority w:val="99"/>
    <w:unhideWhenUsed/>
    <w:rsid w:val="00EE78D8"/>
    <w:pPr>
      <w:spacing w:after="120"/>
    </w:pPr>
    <w:rPr>
      <w:sz w:val="16"/>
      <w:szCs w:val="16"/>
    </w:rPr>
  </w:style>
  <w:style w:type="character" w:customStyle="1" w:styleId="BodyText3Char">
    <w:name w:val="Body Text 3 Char"/>
    <w:basedOn w:val="DefaultParagraphFont"/>
    <w:link w:val="BodyText3"/>
    <w:uiPriority w:val="99"/>
    <w:rsid w:val="00EE78D8"/>
    <w:rPr>
      <w:rFonts w:ascii="Calibri" w:eastAsia="Calibri" w:hAnsi="Calibri" w:cs="Times New Roman"/>
      <w:sz w:val="16"/>
      <w:szCs w:val="16"/>
      <w:lang w:val="en-US"/>
    </w:rPr>
  </w:style>
  <w:style w:type="character" w:styleId="Hyperlink">
    <w:name w:val="Hyperlink"/>
    <w:basedOn w:val="DefaultParagraphFont"/>
    <w:uiPriority w:val="99"/>
    <w:unhideWhenUsed/>
    <w:rsid w:val="003A7B94"/>
    <w:rPr>
      <w:color w:val="0563C1" w:themeColor="hyperlink"/>
      <w:u w:val="single"/>
    </w:rPr>
  </w:style>
  <w:style w:type="character" w:styleId="CommentReference">
    <w:name w:val="annotation reference"/>
    <w:basedOn w:val="DefaultParagraphFont"/>
    <w:unhideWhenUsed/>
    <w:rsid w:val="005D60B3"/>
    <w:rPr>
      <w:sz w:val="16"/>
      <w:szCs w:val="16"/>
    </w:rPr>
  </w:style>
  <w:style w:type="paragraph" w:styleId="CommentText">
    <w:name w:val="annotation text"/>
    <w:basedOn w:val="Normal"/>
    <w:link w:val="CommentTextChar"/>
    <w:uiPriority w:val="99"/>
    <w:unhideWhenUsed/>
    <w:rsid w:val="005D60B3"/>
    <w:pPr>
      <w:spacing w:line="240" w:lineRule="auto"/>
    </w:pPr>
    <w:rPr>
      <w:sz w:val="20"/>
      <w:szCs w:val="20"/>
    </w:rPr>
  </w:style>
  <w:style w:type="character" w:customStyle="1" w:styleId="CommentTextChar">
    <w:name w:val="Comment Text Char"/>
    <w:basedOn w:val="DefaultParagraphFont"/>
    <w:link w:val="CommentText"/>
    <w:uiPriority w:val="99"/>
    <w:rsid w:val="005D60B3"/>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60B3"/>
    <w:rPr>
      <w:b/>
      <w:bCs/>
    </w:rPr>
  </w:style>
  <w:style w:type="character" w:customStyle="1" w:styleId="CommentSubjectChar">
    <w:name w:val="Comment Subject Char"/>
    <w:basedOn w:val="CommentTextChar"/>
    <w:link w:val="CommentSubject"/>
    <w:uiPriority w:val="99"/>
    <w:semiHidden/>
    <w:rsid w:val="005D60B3"/>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5D6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0B3"/>
    <w:rPr>
      <w:rFonts w:ascii="Segoe UI" w:eastAsia="Calibri" w:hAnsi="Segoe UI" w:cs="Segoe UI"/>
      <w:sz w:val="18"/>
      <w:szCs w:val="18"/>
      <w:lang w:val="en-US"/>
    </w:rPr>
  </w:style>
  <w:style w:type="character" w:customStyle="1" w:styleId="A12">
    <w:name w:val="A12"/>
    <w:uiPriority w:val="99"/>
    <w:rsid w:val="002434FC"/>
    <w:rPr>
      <w:rFonts w:cs="Gotham"/>
      <w:color w:val="000000"/>
      <w:sz w:val="18"/>
      <w:szCs w:val="18"/>
    </w:rPr>
  </w:style>
  <w:style w:type="paragraph" w:styleId="Footer">
    <w:name w:val="footer"/>
    <w:basedOn w:val="Normal"/>
    <w:link w:val="FooterChar"/>
    <w:uiPriority w:val="99"/>
    <w:unhideWhenUsed/>
    <w:rsid w:val="00C94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B0A"/>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2519">
      <w:bodyDiv w:val="1"/>
      <w:marLeft w:val="0"/>
      <w:marRight w:val="0"/>
      <w:marTop w:val="0"/>
      <w:marBottom w:val="0"/>
      <w:divBdr>
        <w:top w:val="none" w:sz="0" w:space="0" w:color="auto"/>
        <w:left w:val="none" w:sz="0" w:space="0" w:color="auto"/>
        <w:bottom w:val="none" w:sz="0" w:space="0" w:color="auto"/>
        <w:right w:val="none" w:sz="0" w:space="0" w:color="auto"/>
      </w:divBdr>
    </w:div>
    <w:div w:id="15084248">
      <w:bodyDiv w:val="1"/>
      <w:marLeft w:val="0"/>
      <w:marRight w:val="0"/>
      <w:marTop w:val="0"/>
      <w:marBottom w:val="0"/>
      <w:divBdr>
        <w:top w:val="none" w:sz="0" w:space="0" w:color="auto"/>
        <w:left w:val="none" w:sz="0" w:space="0" w:color="auto"/>
        <w:bottom w:val="none" w:sz="0" w:space="0" w:color="auto"/>
        <w:right w:val="none" w:sz="0" w:space="0" w:color="auto"/>
      </w:divBdr>
    </w:div>
    <w:div w:id="20278187">
      <w:bodyDiv w:val="1"/>
      <w:marLeft w:val="0"/>
      <w:marRight w:val="0"/>
      <w:marTop w:val="0"/>
      <w:marBottom w:val="0"/>
      <w:divBdr>
        <w:top w:val="none" w:sz="0" w:space="0" w:color="auto"/>
        <w:left w:val="none" w:sz="0" w:space="0" w:color="auto"/>
        <w:bottom w:val="none" w:sz="0" w:space="0" w:color="auto"/>
        <w:right w:val="none" w:sz="0" w:space="0" w:color="auto"/>
      </w:divBdr>
    </w:div>
    <w:div w:id="24988572">
      <w:bodyDiv w:val="1"/>
      <w:marLeft w:val="0"/>
      <w:marRight w:val="0"/>
      <w:marTop w:val="0"/>
      <w:marBottom w:val="0"/>
      <w:divBdr>
        <w:top w:val="none" w:sz="0" w:space="0" w:color="auto"/>
        <w:left w:val="none" w:sz="0" w:space="0" w:color="auto"/>
        <w:bottom w:val="none" w:sz="0" w:space="0" w:color="auto"/>
        <w:right w:val="none" w:sz="0" w:space="0" w:color="auto"/>
      </w:divBdr>
    </w:div>
    <w:div w:id="32074222">
      <w:bodyDiv w:val="1"/>
      <w:marLeft w:val="0"/>
      <w:marRight w:val="0"/>
      <w:marTop w:val="0"/>
      <w:marBottom w:val="0"/>
      <w:divBdr>
        <w:top w:val="none" w:sz="0" w:space="0" w:color="auto"/>
        <w:left w:val="none" w:sz="0" w:space="0" w:color="auto"/>
        <w:bottom w:val="none" w:sz="0" w:space="0" w:color="auto"/>
        <w:right w:val="none" w:sz="0" w:space="0" w:color="auto"/>
      </w:divBdr>
    </w:div>
    <w:div w:id="57369121">
      <w:bodyDiv w:val="1"/>
      <w:marLeft w:val="0"/>
      <w:marRight w:val="0"/>
      <w:marTop w:val="0"/>
      <w:marBottom w:val="0"/>
      <w:divBdr>
        <w:top w:val="none" w:sz="0" w:space="0" w:color="auto"/>
        <w:left w:val="none" w:sz="0" w:space="0" w:color="auto"/>
        <w:bottom w:val="none" w:sz="0" w:space="0" w:color="auto"/>
        <w:right w:val="none" w:sz="0" w:space="0" w:color="auto"/>
      </w:divBdr>
    </w:div>
    <w:div w:id="87117491">
      <w:bodyDiv w:val="1"/>
      <w:marLeft w:val="0"/>
      <w:marRight w:val="0"/>
      <w:marTop w:val="0"/>
      <w:marBottom w:val="0"/>
      <w:divBdr>
        <w:top w:val="none" w:sz="0" w:space="0" w:color="auto"/>
        <w:left w:val="none" w:sz="0" w:space="0" w:color="auto"/>
        <w:bottom w:val="none" w:sz="0" w:space="0" w:color="auto"/>
        <w:right w:val="none" w:sz="0" w:space="0" w:color="auto"/>
      </w:divBdr>
    </w:div>
    <w:div w:id="95290513">
      <w:bodyDiv w:val="1"/>
      <w:marLeft w:val="0"/>
      <w:marRight w:val="0"/>
      <w:marTop w:val="0"/>
      <w:marBottom w:val="0"/>
      <w:divBdr>
        <w:top w:val="none" w:sz="0" w:space="0" w:color="auto"/>
        <w:left w:val="none" w:sz="0" w:space="0" w:color="auto"/>
        <w:bottom w:val="none" w:sz="0" w:space="0" w:color="auto"/>
        <w:right w:val="none" w:sz="0" w:space="0" w:color="auto"/>
      </w:divBdr>
    </w:div>
    <w:div w:id="99104833">
      <w:bodyDiv w:val="1"/>
      <w:marLeft w:val="0"/>
      <w:marRight w:val="0"/>
      <w:marTop w:val="0"/>
      <w:marBottom w:val="0"/>
      <w:divBdr>
        <w:top w:val="none" w:sz="0" w:space="0" w:color="auto"/>
        <w:left w:val="none" w:sz="0" w:space="0" w:color="auto"/>
        <w:bottom w:val="none" w:sz="0" w:space="0" w:color="auto"/>
        <w:right w:val="none" w:sz="0" w:space="0" w:color="auto"/>
      </w:divBdr>
      <w:divsChild>
        <w:div w:id="182861542">
          <w:marLeft w:val="480"/>
          <w:marRight w:val="0"/>
          <w:marTop w:val="0"/>
          <w:marBottom w:val="0"/>
          <w:divBdr>
            <w:top w:val="none" w:sz="0" w:space="0" w:color="auto"/>
            <w:left w:val="none" w:sz="0" w:space="0" w:color="auto"/>
            <w:bottom w:val="none" w:sz="0" w:space="0" w:color="auto"/>
            <w:right w:val="none" w:sz="0" w:space="0" w:color="auto"/>
          </w:divBdr>
          <w:divsChild>
            <w:div w:id="2892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0346">
      <w:bodyDiv w:val="1"/>
      <w:marLeft w:val="0"/>
      <w:marRight w:val="0"/>
      <w:marTop w:val="0"/>
      <w:marBottom w:val="0"/>
      <w:divBdr>
        <w:top w:val="none" w:sz="0" w:space="0" w:color="auto"/>
        <w:left w:val="none" w:sz="0" w:space="0" w:color="auto"/>
        <w:bottom w:val="none" w:sz="0" w:space="0" w:color="auto"/>
        <w:right w:val="none" w:sz="0" w:space="0" w:color="auto"/>
      </w:divBdr>
    </w:div>
    <w:div w:id="132062542">
      <w:bodyDiv w:val="1"/>
      <w:marLeft w:val="0"/>
      <w:marRight w:val="0"/>
      <w:marTop w:val="0"/>
      <w:marBottom w:val="0"/>
      <w:divBdr>
        <w:top w:val="none" w:sz="0" w:space="0" w:color="auto"/>
        <w:left w:val="none" w:sz="0" w:space="0" w:color="auto"/>
        <w:bottom w:val="none" w:sz="0" w:space="0" w:color="auto"/>
        <w:right w:val="none" w:sz="0" w:space="0" w:color="auto"/>
      </w:divBdr>
    </w:div>
    <w:div w:id="138501007">
      <w:bodyDiv w:val="1"/>
      <w:marLeft w:val="0"/>
      <w:marRight w:val="0"/>
      <w:marTop w:val="0"/>
      <w:marBottom w:val="0"/>
      <w:divBdr>
        <w:top w:val="none" w:sz="0" w:space="0" w:color="auto"/>
        <w:left w:val="none" w:sz="0" w:space="0" w:color="auto"/>
        <w:bottom w:val="none" w:sz="0" w:space="0" w:color="auto"/>
        <w:right w:val="none" w:sz="0" w:space="0" w:color="auto"/>
      </w:divBdr>
    </w:div>
    <w:div w:id="145978728">
      <w:bodyDiv w:val="1"/>
      <w:marLeft w:val="0"/>
      <w:marRight w:val="0"/>
      <w:marTop w:val="0"/>
      <w:marBottom w:val="0"/>
      <w:divBdr>
        <w:top w:val="none" w:sz="0" w:space="0" w:color="auto"/>
        <w:left w:val="none" w:sz="0" w:space="0" w:color="auto"/>
        <w:bottom w:val="none" w:sz="0" w:space="0" w:color="auto"/>
        <w:right w:val="none" w:sz="0" w:space="0" w:color="auto"/>
      </w:divBdr>
    </w:div>
    <w:div w:id="157962826">
      <w:bodyDiv w:val="1"/>
      <w:marLeft w:val="0"/>
      <w:marRight w:val="0"/>
      <w:marTop w:val="0"/>
      <w:marBottom w:val="0"/>
      <w:divBdr>
        <w:top w:val="none" w:sz="0" w:space="0" w:color="auto"/>
        <w:left w:val="none" w:sz="0" w:space="0" w:color="auto"/>
        <w:bottom w:val="none" w:sz="0" w:space="0" w:color="auto"/>
        <w:right w:val="none" w:sz="0" w:space="0" w:color="auto"/>
      </w:divBdr>
    </w:div>
    <w:div w:id="170419028">
      <w:bodyDiv w:val="1"/>
      <w:marLeft w:val="0"/>
      <w:marRight w:val="0"/>
      <w:marTop w:val="0"/>
      <w:marBottom w:val="0"/>
      <w:divBdr>
        <w:top w:val="none" w:sz="0" w:space="0" w:color="auto"/>
        <w:left w:val="none" w:sz="0" w:space="0" w:color="auto"/>
        <w:bottom w:val="none" w:sz="0" w:space="0" w:color="auto"/>
        <w:right w:val="none" w:sz="0" w:space="0" w:color="auto"/>
      </w:divBdr>
    </w:div>
    <w:div w:id="191504349">
      <w:bodyDiv w:val="1"/>
      <w:marLeft w:val="0"/>
      <w:marRight w:val="0"/>
      <w:marTop w:val="0"/>
      <w:marBottom w:val="0"/>
      <w:divBdr>
        <w:top w:val="none" w:sz="0" w:space="0" w:color="auto"/>
        <w:left w:val="none" w:sz="0" w:space="0" w:color="auto"/>
        <w:bottom w:val="none" w:sz="0" w:space="0" w:color="auto"/>
        <w:right w:val="none" w:sz="0" w:space="0" w:color="auto"/>
      </w:divBdr>
    </w:div>
    <w:div w:id="222105641">
      <w:bodyDiv w:val="1"/>
      <w:marLeft w:val="0"/>
      <w:marRight w:val="0"/>
      <w:marTop w:val="0"/>
      <w:marBottom w:val="0"/>
      <w:divBdr>
        <w:top w:val="none" w:sz="0" w:space="0" w:color="auto"/>
        <w:left w:val="none" w:sz="0" w:space="0" w:color="auto"/>
        <w:bottom w:val="none" w:sz="0" w:space="0" w:color="auto"/>
        <w:right w:val="none" w:sz="0" w:space="0" w:color="auto"/>
      </w:divBdr>
    </w:div>
    <w:div w:id="225141105">
      <w:bodyDiv w:val="1"/>
      <w:marLeft w:val="0"/>
      <w:marRight w:val="0"/>
      <w:marTop w:val="0"/>
      <w:marBottom w:val="0"/>
      <w:divBdr>
        <w:top w:val="none" w:sz="0" w:space="0" w:color="auto"/>
        <w:left w:val="none" w:sz="0" w:space="0" w:color="auto"/>
        <w:bottom w:val="none" w:sz="0" w:space="0" w:color="auto"/>
        <w:right w:val="none" w:sz="0" w:space="0" w:color="auto"/>
      </w:divBdr>
    </w:div>
    <w:div w:id="238174586">
      <w:bodyDiv w:val="1"/>
      <w:marLeft w:val="0"/>
      <w:marRight w:val="0"/>
      <w:marTop w:val="0"/>
      <w:marBottom w:val="0"/>
      <w:divBdr>
        <w:top w:val="none" w:sz="0" w:space="0" w:color="auto"/>
        <w:left w:val="none" w:sz="0" w:space="0" w:color="auto"/>
        <w:bottom w:val="none" w:sz="0" w:space="0" w:color="auto"/>
        <w:right w:val="none" w:sz="0" w:space="0" w:color="auto"/>
      </w:divBdr>
    </w:div>
    <w:div w:id="242497930">
      <w:bodyDiv w:val="1"/>
      <w:marLeft w:val="0"/>
      <w:marRight w:val="0"/>
      <w:marTop w:val="0"/>
      <w:marBottom w:val="0"/>
      <w:divBdr>
        <w:top w:val="none" w:sz="0" w:space="0" w:color="auto"/>
        <w:left w:val="none" w:sz="0" w:space="0" w:color="auto"/>
        <w:bottom w:val="none" w:sz="0" w:space="0" w:color="auto"/>
        <w:right w:val="none" w:sz="0" w:space="0" w:color="auto"/>
      </w:divBdr>
    </w:div>
    <w:div w:id="258103644">
      <w:bodyDiv w:val="1"/>
      <w:marLeft w:val="0"/>
      <w:marRight w:val="0"/>
      <w:marTop w:val="0"/>
      <w:marBottom w:val="0"/>
      <w:divBdr>
        <w:top w:val="none" w:sz="0" w:space="0" w:color="auto"/>
        <w:left w:val="none" w:sz="0" w:space="0" w:color="auto"/>
        <w:bottom w:val="none" w:sz="0" w:space="0" w:color="auto"/>
        <w:right w:val="none" w:sz="0" w:space="0" w:color="auto"/>
      </w:divBdr>
      <w:divsChild>
        <w:div w:id="2105690294">
          <w:marLeft w:val="480"/>
          <w:marRight w:val="0"/>
          <w:marTop w:val="0"/>
          <w:marBottom w:val="0"/>
          <w:divBdr>
            <w:top w:val="none" w:sz="0" w:space="0" w:color="auto"/>
            <w:left w:val="none" w:sz="0" w:space="0" w:color="auto"/>
            <w:bottom w:val="none" w:sz="0" w:space="0" w:color="auto"/>
            <w:right w:val="none" w:sz="0" w:space="0" w:color="auto"/>
          </w:divBdr>
          <w:divsChild>
            <w:div w:id="10893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46758">
      <w:bodyDiv w:val="1"/>
      <w:marLeft w:val="0"/>
      <w:marRight w:val="0"/>
      <w:marTop w:val="0"/>
      <w:marBottom w:val="0"/>
      <w:divBdr>
        <w:top w:val="none" w:sz="0" w:space="0" w:color="auto"/>
        <w:left w:val="none" w:sz="0" w:space="0" w:color="auto"/>
        <w:bottom w:val="none" w:sz="0" w:space="0" w:color="auto"/>
        <w:right w:val="none" w:sz="0" w:space="0" w:color="auto"/>
      </w:divBdr>
    </w:div>
    <w:div w:id="273294793">
      <w:bodyDiv w:val="1"/>
      <w:marLeft w:val="0"/>
      <w:marRight w:val="0"/>
      <w:marTop w:val="0"/>
      <w:marBottom w:val="0"/>
      <w:divBdr>
        <w:top w:val="none" w:sz="0" w:space="0" w:color="auto"/>
        <w:left w:val="none" w:sz="0" w:space="0" w:color="auto"/>
        <w:bottom w:val="none" w:sz="0" w:space="0" w:color="auto"/>
        <w:right w:val="none" w:sz="0" w:space="0" w:color="auto"/>
      </w:divBdr>
    </w:div>
    <w:div w:id="315651318">
      <w:bodyDiv w:val="1"/>
      <w:marLeft w:val="0"/>
      <w:marRight w:val="0"/>
      <w:marTop w:val="0"/>
      <w:marBottom w:val="0"/>
      <w:divBdr>
        <w:top w:val="none" w:sz="0" w:space="0" w:color="auto"/>
        <w:left w:val="none" w:sz="0" w:space="0" w:color="auto"/>
        <w:bottom w:val="none" w:sz="0" w:space="0" w:color="auto"/>
        <w:right w:val="none" w:sz="0" w:space="0" w:color="auto"/>
      </w:divBdr>
    </w:div>
    <w:div w:id="340661844">
      <w:bodyDiv w:val="1"/>
      <w:marLeft w:val="0"/>
      <w:marRight w:val="0"/>
      <w:marTop w:val="0"/>
      <w:marBottom w:val="0"/>
      <w:divBdr>
        <w:top w:val="none" w:sz="0" w:space="0" w:color="auto"/>
        <w:left w:val="none" w:sz="0" w:space="0" w:color="auto"/>
        <w:bottom w:val="none" w:sz="0" w:space="0" w:color="auto"/>
        <w:right w:val="none" w:sz="0" w:space="0" w:color="auto"/>
      </w:divBdr>
    </w:div>
    <w:div w:id="441917213">
      <w:bodyDiv w:val="1"/>
      <w:marLeft w:val="0"/>
      <w:marRight w:val="0"/>
      <w:marTop w:val="0"/>
      <w:marBottom w:val="0"/>
      <w:divBdr>
        <w:top w:val="none" w:sz="0" w:space="0" w:color="auto"/>
        <w:left w:val="none" w:sz="0" w:space="0" w:color="auto"/>
        <w:bottom w:val="none" w:sz="0" w:space="0" w:color="auto"/>
        <w:right w:val="none" w:sz="0" w:space="0" w:color="auto"/>
      </w:divBdr>
    </w:div>
    <w:div w:id="444741191">
      <w:bodyDiv w:val="1"/>
      <w:marLeft w:val="0"/>
      <w:marRight w:val="0"/>
      <w:marTop w:val="0"/>
      <w:marBottom w:val="0"/>
      <w:divBdr>
        <w:top w:val="none" w:sz="0" w:space="0" w:color="auto"/>
        <w:left w:val="none" w:sz="0" w:space="0" w:color="auto"/>
        <w:bottom w:val="none" w:sz="0" w:space="0" w:color="auto"/>
        <w:right w:val="none" w:sz="0" w:space="0" w:color="auto"/>
      </w:divBdr>
    </w:div>
    <w:div w:id="491336122">
      <w:bodyDiv w:val="1"/>
      <w:marLeft w:val="0"/>
      <w:marRight w:val="0"/>
      <w:marTop w:val="0"/>
      <w:marBottom w:val="0"/>
      <w:divBdr>
        <w:top w:val="none" w:sz="0" w:space="0" w:color="auto"/>
        <w:left w:val="none" w:sz="0" w:space="0" w:color="auto"/>
        <w:bottom w:val="none" w:sz="0" w:space="0" w:color="auto"/>
        <w:right w:val="none" w:sz="0" w:space="0" w:color="auto"/>
      </w:divBdr>
    </w:div>
    <w:div w:id="495458693">
      <w:bodyDiv w:val="1"/>
      <w:marLeft w:val="0"/>
      <w:marRight w:val="0"/>
      <w:marTop w:val="0"/>
      <w:marBottom w:val="0"/>
      <w:divBdr>
        <w:top w:val="none" w:sz="0" w:space="0" w:color="auto"/>
        <w:left w:val="none" w:sz="0" w:space="0" w:color="auto"/>
        <w:bottom w:val="none" w:sz="0" w:space="0" w:color="auto"/>
        <w:right w:val="none" w:sz="0" w:space="0" w:color="auto"/>
      </w:divBdr>
    </w:div>
    <w:div w:id="519469792">
      <w:bodyDiv w:val="1"/>
      <w:marLeft w:val="0"/>
      <w:marRight w:val="0"/>
      <w:marTop w:val="0"/>
      <w:marBottom w:val="0"/>
      <w:divBdr>
        <w:top w:val="none" w:sz="0" w:space="0" w:color="auto"/>
        <w:left w:val="none" w:sz="0" w:space="0" w:color="auto"/>
        <w:bottom w:val="none" w:sz="0" w:space="0" w:color="auto"/>
        <w:right w:val="none" w:sz="0" w:space="0" w:color="auto"/>
      </w:divBdr>
    </w:div>
    <w:div w:id="522938370">
      <w:bodyDiv w:val="1"/>
      <w:marLeft w:val="0"/>
      <w:marRight w:val="0"/>
      <w:marTop w:val="0"/>
      <w:marBottom w:val="0"/>
      <w:divBdr>
        <w:top w:val="none" w:sz="0" w:space="0" w:color="auto"/>
        <w:left w:val="none" w:sz="0" w:space="0" w:color="auto"/>
        <w:bottom w:val="none" w:sz="0" w:space="0" w:color="auto"/>
        <w:right w:val="none" w:sz="0" w:space="0" w:color="auto"/>
      </w:divBdr>
    </w:div>
    <w:div w:id="546456335">
      <w:bodyDiv w:val="1"/>
      <w:marLeft w:val="0"/>
      <w:marRight w:val="0"/>
      <w:marTop w:val="0"/>
      <w:marBottom w:val="0"/>
      <w:divBdr>
        <w:top w:val="none" w:sz="0" w:space="0" w:color="auto"/>
        <w:left w:val="none" w:sz="0" w:space="0" w:color="auto"/>
        <w:bottom w:val="none" w:sz="0" w:space="0" w:color="auto"/>
        <w:right w:val="none" w:sz="0" w:space="0" w:color="auto"/>
      </w:divBdr>
    </w:div>
    <w:div w:id="552814204">
      <w:bodyDiv w:val="1"/>
      <w:marLeft w:val="0"/>
      <w:marRight w:val="0"/>
      <w:marTop w:val="0"/>
      <w:marBottom w:val="0"/>
      <w:divBdr>
        <w:top w:val="none" w:sz="0" w:space="0" w:color="auto"/>
        <w:left w:val="none" w:sz="0" w:space="0" w:color="auto"/>
        <w:bottom w:val="none" w:sz="0" w:space="0" w:color="auto"/>
        <w:right w:val="none" w:sz="0" w:space="0" w:color="auto"/>
      </w:divBdr>
    </w:div>
    <w:div w:id="560672332">
      <w:bodyDiv w:val="1"/>
      <w:marLeft w:val="0"/>
      <w:marRight w:val="0"/>
      <w:marTop w:val="0"/>
      <w:marBottom w:val="0"/>
      <w:divBdr>
        <w:top w:val="none" w:sz="0" w:space="0" w:color="auto"/>
        <w:left w:val="none" w:sz="0" w:space="0" w:color="auto"/>
        <w:bottom w:val="none" w:sz="0" w:space="0" w:color="auto"/>
        <w:right w:val="none" w:sz="0" w:space="0" w:color="auto"/>
      </w:divBdr>
    </w:div>
    <w:div w:id="590896148">
      <w:bodyDiv w:val="1"/>
      <w:marLeft w:val="0"/>
      <w:marRight w:val="0"/>
      <w:marTop w:val="0"/>
      <w:marBottom w:val="0"/>
      <w:divBdr>
        <w:top w:val="none" w:sz="0" w:space="0" w:color="auto"/>
        <w:left w:val="none" w:sz="0" w:space="0" w:color="auto"/>
        <w:bottom w:val="none" w:sz="0" w:space="0" w:color="auto"/>
        <w:right w:val="none" w:sz="0" w:space="0" w:color="auto"/>
      </w:divBdr>
    </w:div>
    <w:div w:id="623392590">
      <w:bodyDiv w:val="1"/>
      <w:marLeft w:val="0"/>
      <w:marRight w:val="0"/>
      <w:marTop w:val="0"/>
      <w:marBottom w:val="0"/>
      <w:divBdr>
        <w:top w:val="none" w:sz="0" w:space="0" w:color="auto"/>
        <w:left w:val="none" w:sz="0" w:space="0" w:color="auto"/>
        <w:bottom w:val="none" w:sz="0" w:space="0" w:color="auto"/>
        <w:right w:val="none" w:sz="0" w:space="0" w:color="auto"/>
      </w:divBdr>
    </w:div>
    <w:div w:id="627206475">
      <w:bodyDiv w:val="1"/>
      <w:marLeft w:val="0"/>
      <w:marRight w:val="0"/>
      <w:marTop w:val="0"/>
      <w:marBottom w:val="0"/>
      <w:divBdr>
        <w:top w:val="none" w:sz="0" w:space="0" w:color="auto"/>
        <w:left w:val="none" w:sz="0" w:space="0" w:color="auto"/>
        <w:bottom w:val="none" w:sz="0" w:space="0" w:color="auto"/>
        <w:right w:val="none" w:sz="0" w:space="0" w:color="auto"/>
      </w:divBdr>
    </w:div>
    <w:div w:id="638919378">
      <w:bodyDiv w:val="1"/>
      <w:marLeft w:val="0"/>
      <w:marRight w:val="0"/>
      <w:marTop w:val="0"/>
      <w:marBottom w:val="0"/>
      <w:divBdr>
        <w:top w:val="none" w:sz="0" w:space="0" w:color="auto"/>
        <w:left w:val="none" w:sz="0" w:space="0" w:color="auto"/>
        <w:bottom w:val="none" w:sz="0" w:space="0" w:color="auto"/>
        <w:right w:val="none" w:sz="0" w:space="0" w:color="auto"/>
      </w:divBdr>
    </w:div>
    <w:div w:id="640572076">
      <w:bodyDiv w:val="1"/>
      <w:marLeft w:val="0"/>
      <w:marRight w:val="0"/>
      <w:marTop w:val="0"/>
      <w:marBottom w:val="0"/>
      <w:divBdr>
        <w:top w:val="none" w:sz="0" w:space="0" w:color="auto"/>
        <w:left w:val="none" w:sz="0" w:space="0" w:color="auto"/>
        <w:bottom w:val="none" w:sz="0" w:space="0" w:color="auto"/>
        <w:right w:val="none" w:sz="0" w:space="0" w:color="auto"/>
      </w:divBdr>
    </w:div>
    <w:div w:id="658002089">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45961125">
      <w:bodyDiv w:val="1"/>
      <w:marLeft w:val="0"/>
      <w:marRight w:val="0"/>
      <w:marTop w:val="0"/>
      <w:marBottom w:val="0"/>
      <w:divBdr>
        <w:top w:val="none" w:sz="0" w:space="0" w:color="auto"/>
        <w:left w:val="none" w:sz="0" w:space="0" w:color="auto"/>
        <w:bottom w:val="none" w:sz="0" w:space="0" w:color="auto"/>
        <w:right w:val="none" w:sz="0" w:space="0" w:color="auto"/>
      </w:divBdr>
    </w:div>
    <w:div w:id="755442961">
      <w:bodyDiv w:val="1"/>
      <w:marLeft w:val="0"/>
      <w:marRight w:val="0"/>
      <w:marTop w:val="0"/>
      <w:marBottom w:val="0"/>
      <w:divBdr>
        <w:top w:val="none" w:sz="0" w:space="0" w:color="auto"/>
        <w:left w:val="none" w:sz="0" w:space="0" w:color="auto"/>
        <w:bottom w:val="none" w:sz="0" w:space="0" w:color="auto"/>
        <w:right w:val="none" w:sz="0" w:space="0" w:color="auto"/>
      </w:divBdr>
    </w:div>
    <w:div w:id="794639298">
      <w:bodyDiv w:val="1"/>
      <w:marLeft w:val="0"/>
      <w:marRight w:val="0"/>
      <w:marTop w:val="0"/>
      <w:marBottom w:val="0"/>
      <w:divBdr>
        <w:top w:val="none" w:sz="0" w:space="0" w:color="auto"/>
        <w:left w:val="none" w:sz="0" w:space="0" w:color="auto"/>
        <w:bottom w:val="none" w:sz="0" w:space="0" w:color="auto"/>
        <w:right w:val="none" w:sz="0" w:space="0" w:color="auto"/>
      </w:divBdr>
    </w:div>
    <w:div w:id="815417470">
      <w:bodyDiv w:val="1"/>
      <w:marLeft w:val="0"/>
      <w:marRight w:val="0"/>
      <w:marTop w:val="0"/>
      <w:marBottom w:val="0"/>
      <w:divBdr>
        <w:top w:val="none" w:sz="0" w:space="0" w:color="auto"/>
        <w:left w:val="none" w:sz="0" w:space="0" w:color="auto"/>
        <w:bottom w:val="none" w:sz="0" w:space="0" w:color="auto"/>
        <w:right w:val="none" w:sz="0" w:space="0" w:color="auto"/>
      </w:divBdr>
    </w:div>
    <w:div w:id="820542806">
      <w:bodyDiv w:val="1"/>
      <w:marLeft w:val="0"/>
      <w:marRight w:val="0"/>
      <w:marTop w:val="0"/>
      <w:marBottom w:val="0"/>
      <w:divBdr>
        <w:top w:val="none" w:sz="0" w:space="0" w:color="auto"/>
        <w:left w:val="none" w:sz="0" w:space="0" w:color="auto"/>
        <w:bottom w:val="none" w:sz="0" w:space="0" w:color="auto"/>
        <w:right w:val="none" w:sz="0" w:space="0" w:color="auto"/>
      </w:divBdr>
    </w:div>
    <w:div w:id="827550252">
      <w:bodyDiv w:val="1"/>
      <w:marLeft w:val="0"/>
      <w:marRight w:val="0"/>
      <w:marTop w:val="0"/>
      <w:marBottom w:val="0"/>
      <w:divBdr>
        <w:top w:val="none" w:sz="0" w:space="0" w:color="auto"/>
        <w:left w:val="none" w:sz="0" w:space="0" w:color="auto"/>
        <w:bottom w:val="none" w:sz="0" w:space="0" w:color="auto"/>
        <w:right w:val="none" w:sz="0" w:space="0" w:color="auto"/>
      </w:divBdr>
    </w:div>
    <w:div w:id="840899374">
      <w:bodyDiv w:val="1"/>
      <w:marLeft w:val="0"/>
      <w:marRight w:val="0"/>
      <w:marTop w:val="0"/>
      <w:marBottom w:val="0"/>
      <w:divBdr>
        <w:top w:val="none" w:sz="0" w:space="0" w:color="auto"/>
        <w:left w:val="none" w:sz="0" w:space="0" w:color="auto"/>
        <w:bottom w:val="none" w:sz="0" w:space="0" w:color="auto"/>
        <w:right w:val="none" w:sz="0" w:space="0" w:color="auto"/>
      </w:divBdr>
    </w:div>
    <w:div w:id="843932682">
      <w:bodyDiv w:val="1"/>
      <w:marLeft w:val="0"/>
      <w:marRight w:val="0"/>
      <w:marTop w:val="0"/>
      <w:marBottom w:val="0"/>
      <w:divBdr>
        <w:top w:val="none" w:sz="0" w:space="0" w:color="auto"/>
        <w:left w:val="none" w:sz="0" w:space="0" w:color="auto"/>
        <w:bottom w:val="none" w:sz="0" w:space="0" w:color="auto"/>
        <w:right w:val="none" w:sz="0" w:space="0" w:color="auto"/>
      </w:divBdr>
    </w:div>
    <w:div w:id="862520108">
      <w:bodyDiv w:val="1"/>
      <w:marLeft w:val="0"/>
      <w:marRight w:val="0"/>
      <w:marTop w:val="0"/>
      <w:marBottom w:val="0"/>
      <w:divBdr>
        <w:top w:val="none" w:sz="0" w:space="0" w:color="auto"/>
        <w:left w:val="none" w:sz="0" w:space="0" w:color="auto"/>
        <w:bottom w:val="none" w:sz="0" w:space="0" w:color="auto"/>
        <w:right w:val="none" w:sz="0" w:space="0" w:color="auto"/>
      </w:divBdr>
    </w:div>
    <w:div w:id="868034197">
      <w:bodyDiv w:val="1"/>
      <w:marLeft w:val="0"/>
      <w:marRight w:val="0"/>
      <w:marTop w:val="0"/>
      <w:marBottom w:val="0"/>
      <w:divBdr>
        <w:top w:val="none" w:sz="0" w:space="0" w:color="auto"/>
        <w:left w:val="none" w:sz="0" w:space="0" w:color="auto"/>
        <w:bottom w:val="none" w:sz="0" w:space="0" w:color="auto"/>
        <w:right w:val="none" w:sz="0" w:space="0" w:color="auto"/>
      </w:divBdr>
    </w:div>
    <w:div w:id="877621480">
      <w:bodyDiv w:val="1"/>
      <w:marLeft w:val="0"/>
      <w:marRight w:val="0"/>
      <w:marTop w:val="0"/>
      <w:marBottom w:val="0"/>
      <w:divBdr>
        <w:top w:val="none" w:sz="0" w:space="0" w:color="auto"/>
        <w:left w:val="none" w:sz="0" w:space="0" w:color="auto"/>
        <w:bottom w:val="none" w:sz="0" w:space="0" w:color="auto"/>
        <w:right w:val="none" w:sz="0" w:space="0" w:color="auto"/>
      </w:divBdr>
    </w:div>
    <w:div w:id="891693959">
      <w:bodyDiv w:val="1"/>
      <w:marLeft w:val="0"/>
      <w:marRight w:val="0"/>
      <w:marTop w:val="0"/>
      <w:marBottom w:val="0"/>
      <w:divBdr>
        <w:top w:val="none" w:sz="0" w:space="0" w:color="auto"/>
        <w:left w:val="none" w:sz="0" w:space="0" w:color="auto"/>
        <w:bottom w:val="none" w:sz="0" w:space="0" w:color="auto"/>
        <w:right w:val="none" w:sz="0" w:space="0" w:color="auto"/>
      </w:divBdr>
    </w:div>
    <w:div w:id="913583565">
      <w:bodyDiv w:val="1"/>
      <w:marLeft w:val="0"/>
      <w:marRight w:val="0"/>
      <w:marTop w:val="0"/>
      <w:marBottom w:val="0"/>
      <w:divBdr>
        <w:top w:val="none" w:sz="0" w:space="0" w:color="auto"/>
        <w:left w:val="none" w:sz="0" w:space="0" w:color="auto"/>
        <w:bottom w:val="none" w:sz="0" w:space="0" w:color="auto"/>
        <w:right w:val="none" w:sz="0" w:space="0" w:color="auto"/>
      </w:divBdr>
    </w:div>
    <w:div w:id="923295713">
      <w:bodyDiv w:val="1"/>
      <w:marLeft w:val="0"/>
      <w:marRight w:val="0"/>
      <w:marTop w:val="0"/>
      <w:marBottom w:val="0"/>
      <w:divBdr>
        <w:top w:val="none" w:sz="0" w:space="0" w:color="auto"/>
        <w:left w:val="none" w:sz="0" w:space="0" w:color="auto"/>
        <w:bottom w:val="none" w:sz="0" w:space="0" w:color="auto"/>
        <w:right w:val="none" w:sz="0" w:space="0" w:color="auto"/>
      </w:divBdr>
    </w:div>
    <w:div w:id="939799986">
      <w:bodyDiv w:val="1"/>
      <w:marLeft w:val="0"/>
      <w:marRight w:val="0"/>
      <w:marTop w:val="0"/>
      <w:marBottom w:val="0"/>
      <w:divBdr>
        <w:top w:val="none" w:sz="0" w:space="0" w:color="auto"/>
        <w:left w:val="none" w:sz="0" w:space="0" w:color="auto"/>
        <w:bottom w:val="none" w:sz="0" w:space="0" w:color="auto"/>
        <w:right w:val="none" w:sz="0" w:space="0" w:color="auto"/>
      </w:divBdr>
    </w:div>
    <w:div w:id="958027430">
      <w:bodyDiv w:val="1"/>
      <w:marLeft w:val="0"/>
      <w:marRight w:val="0"/>
      <w:marTop w:val="0"/>
      <w:marBottom w:val="0"/>
      <w:divBdr>
        <w:top w:val="none" w:sz="0" w:space="0" w:color="auto"/>
        <w:left w:val="none" w:sz="0" w:space="0" w:color="auto"/>
        <w:bottom w:val="none" w:sz="0" w:space="0" w:color="auto"/>
        <w:right w:val="none" w:sz="0" w:space="0" w:color="auto"/>
      </w:divBdr>
    </w:div>
    <w:div w:id="975137972">
      <w:bodyDiv w:val="1"/>
      <w:marLeft w:val="0"/>
      <w:marRight w:val="0"/>
      <w:marTop w:val="0"/>
      <w:marBottom w:val="0"/>
      <w:divBdr>
        <w:top w:val="none" w:sz="0" w:space="0" w:color="auto"/>
        <w:left w:val="none" w:sz="0" w:space="0" w:color="auto"/>
        <w:bottom w:val="none" w:sz="0" w:space="0" w:color="auto"/>
        <w:right w:val="none" w:sz="0" w:space="0" w:color="auto"/>
      </w:divBdr>
    </w:div>
    <w:div w:id="986859461">
      <w:bodyDiv w:val="1"/>
      <w:marLeft w:val="0"/>
      <w:marRight w:val="0"/>
      <w:marTop w:val="0"/>
      <w:marBottom w:val="0"/>
      <w:divBdr>
        <w:top w:val="none" w:sz="0" w:space="0" w:color="auto"/>
        <w:left w:val="none" w:sz="0" w:space="0" w:color="auto"/>
        <w:bottom w:val="none" w:sz="0" w:space="0" w:color="auto"/>
        <w:right w:val="none" w:sz="0" w:space="0" w:color="auto"/>
      </w:divBdr>
    </w:div>
    <w:div w:id="1016535840">
      <w:bodyDiv w:val="1"/>
      <w:marLeft w:val="0"/>
      <w:marRight w:val="0"/>
      <w:marTop w:val="0"/>
      <w:marBottom w:val="0"/>
      <w:divBdr>
        <w:top w:val="none" w:sz="0" w:space="0" w:color="auto"/>
        <w:left w:val="none" w:sz="0" w:space="0" w:color="auto"/>
        <w:bottom w:val="none" w:sz="0" w:space="0" w:color="auto"/>
        <w:right w:val="none" w:sz="0" w:space="0" w:color="auto"/>
      </w:divBdr>
    </w:div>
    <w:div w:id="1019701515">
      <w:bodyDiv w:val="1"/>
      <w:marLeft w:val="0"/>
      <w:marRight w:val="0"/>
      <w:marTop w:val="0"/>
      <w:marBottom w:val="0"/>
      <w:divBdr>
        <w:top w:val="none" w:sz="0" w:space="0" w:color="auto"/>
        <w:left w:val="none" w:sz="0" w:space="0" w:color="auto"/>
        <w:bottom w:val="none" w:sz="0" w:space="0" w:color="auto"/>
        <w:right w:val="none" w:sz="0" w:space="0" w:color="auto"/>
      </w:divBdr>
    </w:div>
    <w:div w:id="1033189423">
      <w:bodyDiv w:val="1"/>
      <w:marLeft w:val="0"/>
      <w:marRight w:val="0"/>
      <w:marTop w:val="0"/>
      <w:marBottom w:val="0"/>
      <w:divBdr>
        <w:top w:val="none" w:sz="0" w:space="0" w:color="auto"/>
        <w:left w:val="none" w:sz="0" w:space="0" w:color="auto"/>
        <w:bottom w:val="none" w:sz="0" w:space="0" w:color="auto"/>
        <w:right w:val="none" w:sz="0" w:space="0" w:color="auto"/>
      </w:divBdr>
    </w:div>
    <w:div w:id="1035158066">
      <w:bodyDiv w:val="1"/>
      <w:marLeft w:val="0"/>
      <w:marRight w:val="0"/>
      <w:marTop w:val="0"/>
      <w:marBottom w:val="0"/>
      <w:divBdr>
        <w:top w:val="none" w:sz="0" w:space="0" w:color="auto"/>
        <w:left w:val="none" w:sz="0" w:space="0" w:color="auto"/>
        <w:bottom w:val="none" w:sz="0" w:space="0" w:color="auto"/>
        <w:right w:val="none" w:sz="0" w:space="0" w:color="auto"/>
      </w:divBdr>
    </w:div>
    <w:div w:id="1071542008">
      <w:bodyDiv w:val="1"/>
      <w:marLeft w:val="0"/>
      <w:marRight w:val="0"/>
      <w:marTop w:val="0"/>
      <w:marBottom w:val="0"/>
      <w:divBdr>
        <w:top w:val="none" w:sz="0" w:space="0" w:color="auto"/>
        <w:left w:val="none" w:sz="0" w:space="0" w:color="auto"/>
        <w:bottom w:val="none" w:sz="0" w:space="0" w:color="auto"/>
        <w:right w:val="none" w:sz="0" w:space="0" w:color="auto"/>
      </w:divBdr>
    </w:div>
    <w:div w:id="1075858631">
      <w:bodyDiv w:val="1"/>
      <w:marLeft w:val="0"/>
      <w:marRight w:val="0"/>
      <w:marTop w:val="0"/>
      <w:marBottom w:val="0"/>
      <w:divBdr>
        <w:top w:val="none" w:sz="0" w:space="0" w:color="auto"/>
        <w:left w:val="none" w:sz="0" w:space="0" w:color="auto"/>
        <w:bottom w:val="none" w:sz="0" w:space="0" w:color="auto"/>
        <w:right w:val="none" w:sz="0" w:space="0" w:color="auto"/>
      </w:divBdr>
    </w:div>
    <w:div w:id="1107508467">
      <w:bodyDiv w:val="1"/>
      <w:marLeft w:val="0"/>
      <w:marRight w:val="0"/>
      <w:marTop w:val="0"/>
      <w:marBottom w:val="0"/>
      <w:divBdr>
        <w:top w:val="none" w:sz="0" w:space="0" w:color="auto"/>
        <w:left w:val="none" w:sz="0" w:space="0" w:color="auto"/>
        <w:bottom w:val="none" w:sz="0" w:space="0" w:color="auto"/>
        <w:right w:val="none" w:sz="0" w:space="0" w:color="auto"/>
      </w:divBdr>
    </w:div>
    <w:div w:id="1125344066">
      <w:bodyDiv w:val="1"/>
      <w:marLeft w:val="0"/>
      <w:marRight w:val="0"/>
      <w:marTop w:val="0"/>
      <w:marBottom w:val="0"/>
      <w:divBdr>
        <w:top w:val="none" w:sz="0" w:space="0" w:color="auto"/>
        <w:left w:val="none" w:sz="0" w:space="0" w:color="auto"/>
        <w:bottom w:val="none" w:sz="0" w:space="0" w:color="auto"/>
        <w:right w:val="none" w:sz="0" w:space="0" w:color="auto"/>
      </w:divBdr>
    </w:div>
    <w:div w:id="1133716537">
      <w:bodyDiv w:val="1"/>
      <w:marLeft w:val="0"/>
      <w:marRight w:val="0"/>
      <w:marTop w:val="0"/>
      <w:marBottom w:val="0"/>
      <w:divBdr>
        <w:top w:val="none" w:sz="0" w:space="0" w:color="auto"/>
        <w:left w:val="none" w:sz="0" w:space="0" w:color="auto"/>
        <w:bottom w:val="none" w:sz="0" w:space="0" w:color="auto"/>
        <w:right w:val="none" w:sz="0" w:space="0" w:color="auto"/>
      </w:divBdr>
    </w:div>
    <w:div w:id="1153520240">
      <w:bodyDiv w:val="1"/>
      <w:marLeft w:val="0"/>
      <w:marRight w:val="0"/>
      <w:marTop w:val="0"/>
      <w:marBottom w:val="0"/>
      <w:divBdr>
        <w:top w:val="none" w:sz="0" w:space="0" w:color="auto"/>
        <w:left w:val="none" w:sz="0" w:space="0" w:color="auto"/>
        <w:bottom w:val="none" w:sz="0" w:space="0" w:color="auto"/>
        <w:right w:val="none" w:sz="0" w:space="0" w:color="auto"/>
      </w:divBdr>
    </w:div>
    <w:div w:id="1162045642">
      <w:bodyDiv w:val="1"/>
      <w:marLeft w:val="0"/>
      <w:marRight w:val="0"/>
      <w:marTop w:val="0"/>
      <w:marBottom w:val="0"/>
      <w:divBdr>
        <w:top w:val="none" w:sz="0" w:space="0" w:color="auto"/>
        <w:left w:val="none" w:sz="0" w:space="0" w:color="auto"/>
        <w:bottom w:val="none" w:sz="0" w:space="0" w:color="auto"/>
        <w:right w:val="none" w:sz="0" w:space="0" w:color="auto"/>
      </w:divBdr>
    </w:div>
    <w:div w:id="1203831044">
      <w:bodyDiv w:val="1"/>
      <w:marLeft w:val="0"/>
      <w:marRight w:val="0"/>
      <w:marTop w:val="0"/>
      <w:marBottom w:val="0"/>
      <w:divBdr>
        <w:top w:val="none" w:sz="0" w:space="0" w:color="auto"/>
        <w:left w:val="none" w:sz="0" w:space="0" w:color="auto"/>
        <w:bottom w:val="none" w:sz="0" w:space="0" w:color="auto"/>
        <w:right w:val="none" w:sz="0" w:space="0" w:color="auto"/>
      </w:divBdr>
    </w:div>
    <w:div w:id="1214657357">
      <w:bodyDiv w:val="1"/>
      <w:marLeft w:val="0"/>
      <w:marRight w:val="0"/>
      <w:marTop w:val="0"/>
      <w:marBottom w:val="0"/>
      <w:divBdr>
        <w:top w:val="none" w:sz="0" w:space="0" w:color="auto"/>
        <w:left w:val="none" w:sz="0" w:space="0" w:color="auto"/>
        <w:bottom w:val="none" w:sz="0" w:space="0" w:color="auto"/>
        <w:right w:val="none" w:sz="0" w:space="0" w:color="auto"/>
      </w:divBdr>
    </w:div>
    <w:div w:id="1225293197">
      <w:bodyDiv w:val="1"/>
      <w:marLeft w:val="0"/>
      <w:marRight w:val="0"/>
      <w:marTop w:val="0"/>
      <w:marBottom w:val="0"/>
      <w:divBdr>
        <w:top w:val="none" w:sz="0" w:space="0" w:color="auto"/>
        <w:left w:val="none" w:sz="0" w:space="0" w:color="auto"/>
        <w:bottom w:val="none" w:sz="0" w:space="0" w:color="auto"/>
        <w:right w:val="none" w:sz="0" w:space="0" w:color="auto"/>
      </w:divBdr>
    </w:div>
    <w:div w:id="1235162206">
      <w:bodyDiv w:val="1"/>
      <w:marLeft w:val="0"/>
      <w:marRight w:val="0"/>
      <w:marTop w:val="0"/>
      <w:marBottom w:val="0"/>
      <w:divBdr>
        <w:top w:val="none" w:sz="0" w:space="0" w:color="auto"/>
        <w:left w:val="none" w:sz="0" w:space="0" w:color="auto"/>
        <w:bottom w:val="none" w:sz="0" w:space="0" w:color="auto"/>
        <w:right w:val="none" w:sz="0" w:space="0" w:color="auto"/>
      </w:divBdr>
    </w:div>
    <w:div w:id="1243225833">
      <w:bodyDiv w:val="1"/>
      <w:marLeft w:val="0"/>
      <w:marRight w:val="0"/>
      <w:marTop w:val="0"/>
      <w:marBottom w:val="0"/>
      <w:divBdr>
        <w:top w:val="none" w:sz="0" w:space="0" w:color="auto"/>
        <w:left w:val="none" w:sz="0" w:space="0" w:color="auto"/>
        <w:bottom w:val="none" w:sz="0" w:space="0" w:color="auto"/>
        <w:right w:val="none" w:sz="0" w:space="0" w:color="auto"/>
      </w:divBdr>
    </w:div>
    <w:div w:id="1254824292">
      <w:bodyDiv w:val="1"/>
      <w:marLeft w:val="0"/>
      <w:marRight w:val="0"/>
      <w:marTop w:val="0"/>
      <w:marBottom w:val="0"/>
      <w:divBdr>
        <w:top w:val="none" w:sz="0" w:space="0" w:color="auto"/>
        <w:left w:val="none" w:sz="0" w:space="0" w:color="auto"/>
        <w:bottom w:val="none" w:sz="0" w:space="0" w:color="auto"/>
        <w:right w:val="none" w:sz="0" w:space="0" w:color="auto"/>
      </w:divBdr>
    </w:div>
    <w:div w:id="1256859984">
      <w:bodyDiv w:val="1"/>
      <w:marLeft w:val="0"/>
      <w:marRight w:val="0"/>
      <w:marTop w:val="0"/>
      <w:marBottom w:val="0"/>
      <w:divBdr>
        <w:top w:val="none" w:sz="0" w:space="0" w:color="auto"/>
        <w:left w:val="none" w:sz="0" w:space="0" w:color="auto"/>
        <w:bottom w:val="none" w:sz="0" w:space="0" w:color="auto"/>
        <w:right w:val="none" w:sz="0" w:space="0" w:color="auto"/>
      </w:divBdr>
    </w:div>
    <w:div w:id="1260405432">
      <w:bodyDiv w:val="1"/>
      <w:marLeft w:val="0"/>
      <w:marRight w:val="0"/>
      <w:marTop w:val="0"/>
      <w:marBottom w:val="0"/>
      <w:divBdr>
        <w:top w:val="none" w:sz="0" w:space="0" w:color="auto"/>
        <w:left w:val="none" w:sz="0" w:space="0" w:color="auto"/>
        <w:bottom w:val="none" w:sz="0" w:space="0" w:color="auto"/>
        <w:right w:val="none" w:sz="0" w:space="0" w:color="auto"/>
      </w:divBdr>
    </w:div>
    <w:div w:id="1271232587">
      <w:bodyDiv w:val="1"/>
      <w:marLeft w:val="0"/>
      <w:marRight w:val="0"/>
      <w:marTop w:val="0"/>
      <w:marBottom w:val="0"/>
      <w:divBdr>
        <w:top w:val="none" w:sz="0" w:space="0" w:color="auto"/>
        <w:left w:val="none" w:sz="0" w:space="0" w:color="auto"/>
        <w:bottom w:val="none" w:sz="0" w:space="0" w:color="auto"/>
        <w:right w:val="none" w:sz="0" w:space="0" w:color="auto"/>
      </w:divBdr>
    </w:div>
    <w:div w:id="1271549983">
      <w:bodyDiv w:val="1"/>
      <w:marLeft w:val="0"/>
      <w:marRight w:val="0"/>
      <w:marTop w:val="0"/>
      <w:marBottom w:val="0"/>
      <w:divBdr>
        <w:top w:val="none" w:sz="0" w:space="0" w:color="auto"/>
        <w:left w:val="none" w:sz="0" w:space="0" w:color="auto"/>
        <w:bottom w:val="none" w:sz="0" w:space="0" w:color="auto"/>
        <w:right w:val="none" w:sz="0" w:space="0" w:color="auto"/>
      </w:divBdr>
    </w:div>
    <w:div w:id="1320385556">
      <w:bodyDiv w:val="1"/>
      <w:marLeft w:val="0"/>
      <w:marRight w:val="0"/>
      <w:marTop w:val="0"/>
      <w:marBottom w:val="0"/>
      <w:divBdr>
        <w:top w:val="none" w:sz="0" w:space="0" w:color="auto"/>
        <w:left w:val="none" w:sz="0" w:space="0" w:color="auto"/>
        <w:bottom w:val="none" w:sz="0" w:space="0" w:color="auto"/>
        <w:right w:val="none" w:sz="0" w:space="0" w:color="auto"/>
      </w:divBdr>
    </w:div>
    <w:div w:id="1324966360">
      <w:bodyDiv w:val="1"/>
      <w:marLeft w:val="0"/>
      <w:marRight w:val="0"/>
      <w:marTop w:val="0"/>
      <w:marBottom w:val="0"/>
      <w:divBdr>
        <w:top w:val="none" w:sz="0" w:space="0" w:color="auto"/>
        <w:left w:val="none" w:sz="0" w:space="0" w:color="auto"/>
        <w:bottom w:val="none" w:sz="0" w:space="0" w:color="auto"/>
        <w:right w:val="none" w:sz="0" w:space="0" w:color="auto"/>
      </w:divBdr>
    </w:div>
    <w:div w:id="1326736801">
      <w:bodyDiv w:val="1"/>
      <w:marLeft w:val="0"/>
      <w:marRight w:val="0"/>
      <w:marTop w:val="0"/>
      <w:marBottom w:val="0"/>
      <w:divBdr>
        <w:top w:val="none" w:sz="0" w:space="0" w:color="auto"/>
        <w:left w:val="none" w:sz="0" w:space="0" w:color="auto"/>
        <w:bottom w:val="none" w:sz="0" w:space="0" w:color="auto"/>
        <w:right w:val="none" w:sz="0" w:space="0" w:color="auto"/>
      </w:divBdr>
    </w:div>
    <w:div w:id="1363244051">
      <w:bodyDiv w:val="1"/>
      <w:marLeft w:val="0"/>
      <w:marRight w:val="0"/>
      <w:marTop w:val="0"/>
      <w:marBottom w:val="0"/>
      <w:divBdr>
        <w:top w:val="none" w:sz="0" w:space="0" w:color="auto"/>
        <w:left w:val="none" w:sz="0" w:space="0" w:color="auto"/>
        <w:bottom w:val="none" w:sz="0" w:space="0" w:color="auto"/>
        <w:right w:val="none" w:sz="0" w:space="0" w:color="auto"/>
      </w:divBdr>
    </w:div>
    <w:div w:id="1367869174">
      <w:bodyDiv w:val="1"/>
      <w:marLeft w:val="0"/>
      <w:marRight w:val="0"/>
      <w:marTop w:val="0"/>
      <w:marBottom w:val="0"/>
      <w:divBdr>
        <w:top w:val="none" w:sz="0" w:space="0" w:color="auto"/>
        <w:left w:val="none" w:sz="0" w:space="0" w:color="auto"/>
        <w:bottom w:val="none" w:sz="0" w:space="0" w:color="auto"/>
        <w:right w:val="none" w:sz="0" w:space="0" w:color="auto"/>
      </w:divBdr>
    </w:div>
    <w:div w:id="1387027564">
      <w:bodyDiv w:val="1"/>
      <w:marLeft w:val="0"/>
      <w:marRight w:val="0"/>
      <w:marTop w:val="0"/>
      <w:marBottom w:val="0"/>
      <w:divBdr>
        <w:top w:val="none" w:sz="0" w:space="0" w:color="auto"/>
        <w:left w:val="none" w:sz="0" w:space="0" w:color="auto"/>
        <w:bottom w:val="none" w:sz="0" w:space="0" w:color="auto"/>
        <w:right w:val="none" w:sz="0" w:space="0" w:color="auto"/>
      </w:divBdr>
    </w:div>
    <w:div w:id="1411657320">
      <w:bodyDiv w:val="1"/>
      <w:marLeft w:val="0"/>
      <w:marRight w:val="0"/>
      <w:marTop w:val="0"/>
      <w:marBottom w:val="0"/>
      <w:divBdr>
        <w:top w:val="none" w:sz="0" w:space="0" w:color="auto"/>
        <w:left w:val="none" w:sz="0" w:space="0" w:color="auto"/>
        <w:bottom w:val="none" w:sz="0" w:space="0" w:color="auto"/>
        <w:right w:val="none" w:sz="0" w:space="0" w:color="auto"/>
      </w:divBdr>
    </w:div>
    <w:div w:id="1427657463">
      <w:bodyDiv w:val="1"/>
      <w:marLeft w:val="0"/>
      <w:marRight w:val="0"/>
      <w:marTop w:val="0"/>
      <w:marBottom w:val="0"/>
      <w:divBdr>
        <w:top w:val="none" w:sz="0" w:space="0" w:color="auto"/>
        <w:left w:val="none" w:sz="0" w:space="0" w:color="auto"/>
        <w:bottom w:val="none" w:sz="0" w:space="0" w:color="auto"/>
        <w:right w:val="none" w:sz="0" w:space="0" w:color="auto"/>
      </w:divBdr>
    </w:div>
    <w:div w:id="1433938801">
      <w:bodyDiv w:val="1"/>
      <w:marLeft w:val="0"/>
      <w:marRight w:val="0"/>
      <w:marTop w:val="0"/>
      <w:marBottom w:val="0"/>
      <w:divBdr>
        <w:top w:val="none" w:sz="0" w:space="0" w:color="auto"/>
        <w:left w:val="none" w:sz="0" w:space="0" w:color="auto"/>
        <w:bottom w:val="none" w:sz="0" w:space="0" w:color="auto"/>
        <w:right w:val="none" w:sz="0" w:space="0" w:color="auto"/>
      </w:divBdr>
    </w:div>
    <w:div w:id="1449085747">
      <w:bodyDiv w:val="1"/>
      <w:marLeft w:val="0"/>
      <w:marRight w:val="0"/>
      <w:marTop w:val="0"/>
      <w:marBottom w:val="0"/>
      <w:divBdr>
        <w:top w:val="none" w:sz="0" w:space="0" w:color="auto"/>
        <w:left w:val="none" w:sz="0" w:space="0" w:color="auto"/>
        <w:bottom w:val="none" w:sz="0" w:space="0" w:color="auto"/>
        <w:right w:val="none" w:sz="0" w:space="0" w:color="auto"/>
      </w:divBdr>
    </w:div>
    <w:div w:id="1459644663">
      <w:bodyDiv w:val="1"/>
      <w:marLeft w:val="0"/>
      <w:marRight w:val="0"/>
      <w:marTop w:val="0"/>
      <w:marBottom w:val="0"/>
      <w:divBdr>
        <w:top w:val="none" w:sz="0" w:space="0" w:color="auto"/>
        <w:left w:val="none" w:sz="0" w:space="0" w:color="auto"/>
        <w:bottom w:val="none" w:sz="0" w:space="0" w:color="auto"/>
        <w:right w:val="none" w:sz="0" w:space="0" w:color="auto"/>
      </w:divBdr>
    </w:div>
    <w:div w:id="1483962676">
      <w:bodyDiv w:val="1"/>
      <w:marLeft w:val="0"/>
      <w:marRight w:val="0"/>
      <w:marTop w:val="0"/>
      <w:marBottom w:val="0"/>
      <w:divBdr>
        <w:top w:val="none" w:sz="0" w:space="0" w:color="auto"/>
        <w:left w:val="none" w:sz="0" w:space="0" w:color="auto"/>
        <w:bottom w:val="none" w:sz="0" w:space="0" w:color="auto"/>
        <w:right w:val="none" w:sz="0" w:space="0" w:color="auto"/>
      </w:divBdr>
    </w:div>
    <w:div w:id="1534995598">
      <w:bodyDiv w:val="1"/>
      <w:marLeft w:val="0"/>
      <w:marRight w:val="0"/>
      <w:marTop w:val="0"/>
      <w:marBottom w:val="0"/>
      <w:divBdr>
        <w:top w:val="none" w:sz="0" w:space="0" w:color="auto"/>
        <w:left w:val="none" w:sz="0" w:space="0" w:color="auto"/>
        <w:bottom w:val="none" w:sz="0" w:space="0" w:color="auto"/>
        <w:right w:val="none" w:sz="0" w:space="0" w:color="auto"/>
      </w:divBdr>
    </w:div>
    <w:div w:id="1539010287">
      <w:bodyDiv w:val="1"/>
      <w:marLeft w:val="0"/>
      <w:marRight w:val="0"/>
      <w:marTop w:val="0"/>
      <w:marBottom w:val="0"/>
      <w:divBdr>
        <w:top w:val="none" w:sz="0" w:space="0" w:color="auto"/>
        <w:left w:val="none" w:sz="0" w:space="0" w:color="auto"/>
        <w:bottom w:val="none" w:sz="0" w:space="0" w:color="auto"/>
        <w:right w:val="none" w:sz="0" w:space="0" w:color="auto"/>
      </w:divBdr>
    </w:div>
    <w:div w:id="1539900992">
      <w:bodyDiv w:val="1"/>
      <w:marLeft w:val="0"/>
      <w:marRight w:val="0"/>
      <w:marTop w:val="0"/>
      <w:marBottom w:val="0"/>
      <w:divBdr>
        <w:top w:val="none" w:sz="0" w:space="0" w:color="auto"/>
        <w:left w:val="none" w:sz="0" w:space="0" w:color="auto"/>
        <w:bottom w:val="none" w:sz="0" w:space="0" w:color="auto"/>
        <w:right w:val="none" w:sz="0" w:space="0" w:color="auto"/>
      </w:divBdr>
    </w:div>
    <w:div w:id="1559441384">
      <w:bodyDiv w:val="1"/>
      <w:marLeft w:val="0"/>
      <w:marRight w:val="0"/>
      <w:marTop w:val="0"/>
      <w:marBottom w:val="0"/>
      <w:divBdr>
        <w:top w:val="none" w:sz="0" w:space="0" w:color="auto"/>
        <w:left w:val="none" w:sz="0" w:space="0" w:color="auto"/>
        <w:bottom w:val="none" w:sz="0" w:space="0" w:color="auto"/>
        <w:right w:val="none" w:sz="0" w:space="0" w:color="auto"/>
      </w:divBdr>
    </w:div>
    <w:div w:id="1561405603">
      <w:bodyDiv w:val="1"/>
      <w:marLeft w:val="0"/>
      <w:marRight w:val="0"/>
      <w:marTop w:val="0"/>
      <w:marBottom w:val="0"/>
      <w:divBdr>
        <w:top w:val="none" w:sz="0" w:space="0" w:color="auto"/>
        <w:left w:val="none" w:sz="0" w:space="0" w:color="auto"/>
        <w:bottom w:val="none" w:sz="0" w:space="0" w:color="auto"/>
        <w:right w:val="none" w:sz="0" w:space="0" w:color="auto"/>
      </w:divBdr>
    </w:div>
    <w:div w:id="1566573727">
      <w:bodyDiv w:val="1"/>
      <w:marLeft w:val="0"/>
      <w:marRight w:val="0"/>
      <w:marTop w:val="0"/>
      <w:marBottom w:val="0"/>
      <w:divBdr>
        <w:top w:val="none" w:sz="0" w:space="0" w:color="auto"/>
        <w:left w:val="none" w:sz="0" w:space="0" w:color="auto"/>
        <w:bottom w:val="none" w:sz="0" w:space="0" w:color="auto"/>
        <w:right w:val="none" w:sz="0" w:space="0" w:color="auto"/>
      </w:divBdr>
    </w:div>
    <w:div w:id="1568764969">
      <w:bodyDiv w:val="1"/>
      <w:marLeft w:val="0"/>
      <w:marRight w:val="0"/>
      <w:marTop w:val="0"/>
      <w:marBottom w:val="0"/>
      <w:divBdr>
        <w:top w:val="none" w:sz="0" w:space="0" w:color="auto"/>
        <w:left w:val="none" w:sz="0" w:space="0" w:color="auto"/>
        <w:bottom w:val="none" w:sz="0" w:space="0" w:color="auto"/>
        <w:right w:val="none" w:sz="0" w:space="0" w:color="auto"/>
      </w:divBdr>
    </w:div>
    <w:div w:id="1571960862">
      <w:bodyDiv w:val="1"/>
      <w:marLeft w:val="0"/>
      <w:marRight w:val="0"/>
      <w:marTop w:val="0"/>
      <w:marBottom w:val="0"/>
      <w:divBdr>
        <w:top w:val="none" w:sz="0" w:space="0" w:color="auto"/>
        <w:left w:val="none" w:sz="0" w:space="0" w:color="auto"/>
        <w:bottom w:val="none" w:sz="0" w:space="0" w:color="auto"/>
        <w:right w:val="none" w:sz="0" w:space="0" w:color="auto"/>
      </w:divBdr>
    </w:div>
    <w:div w:id="1579557108">
      <w:bodyDiv w:val="1"/>
      <w:marLeft w:val="0"/>
      <w:marRight w:val="0"/>
      <w:marTop w:val="0"/>
      <w:marBottom w:val="0"/>
      <w:divBdr>
        <w:top w:val="none" w:sz="0" w:space="0" w:color="auto"/>
        <w:left w:val="none" w:sz="0" w:space="0" w:color="auto"/>
        <w:bottom w:val="none" w:sz="0" w:space="0" w:color="auto"/>
        <w:right w:val="none" w:sz="0" w:space="0" w:color="auto"/>
      </w:divBdr>
    </w:div>
    <w:div w:id="1592542201">
      <w:bodyDiv w:val="1"/>
      <w:marLeft w:val="0"/>
      <w:marRight w:val="0"/>
      <w:marTop w:val="0"/>
      <w:marBottom w:val="0"/>
      <w:divBdr>
        <w:top w:val="none" w:sz="0" w:space="0" w:color="auto"/>
        <w:left w:val="none" w:sz="0" w:space="0" w:color="auto"/>
        <w:bottom w:val="none" w:sz="0" w:space="0" w:color="auto"/>
        <w:right w:val="none" w:sz="0" w:space="0" w:color="auto"/>
      </w:divBdr>
    </w:div>
    <w:div w:id="1594975809">
      <w:bodyDiv w:val="1"/>
      <w:marLeft w:val="0"/>
      <w:marRight w:val="0"/>
      <w:marTop w:val="0"/>
      <w:marBottom w:val="0"/>
      <w:divBdr>
        <w:top w:val="none" w:sz="0" w:space="0" w:color="auto"/>
        <w:left w:val="none" w:sz="0" w:space="0" w:color="auto"/>
        <w:bottom w:val="none" w:sz="0" w:space="0" w:color="auto"/>
        <w:right w:val="none" w:sz="0" w:space="0" w:color="auto"/>
      </w:divBdr>
    </w:div>
    <w:div w:id="1624841468">
      <w:bodyDiv w:val="1"/>
      <w:marLeft w:val="0"/>
      <w:marRight w:val="0"/>
      <w:marTop w:val="0"/>
      <w:marBottom w:val="0"/>
      <w:divBdr>
        <w:top w:val="none" w:sz="0" w:space="0" w:color="auto"/>
        <w:left w:val="none" w:sz="0" w:space="0" w:color="auto"/>
        <w:bottom w:val="none" w:sz="0" w:space="0" w:color="auto"/>
        <w:right w:val="none" w:sz="0" w:space="0" w:color="auto"/>
      </w:divBdr>
    </w:div>
    <w:div w:id="1670980763">
      <w:bodyDiv w:val="1"/>
      <w:marLeft w:val="0"/>
      <w:marRight w:val="0"/>
      <w:marTop w:val="0"/>
      <w:marBottom w:val="0"/>
      <w:divBdr>
        <w:top w:val="none" w:sz="0" w:space="0" w:color="auto"/>
        <w:left w:val="none" w:sz="0" w:space="0" w:color="auto"/>
        <w:bottom w:val="none" w:sz="0" w:space="0" w:color="auto"/>
        <w:right w:val="none" w:sz="0" w:space="0" w:color="auto"/>
      </w:divBdr>
    </w:div>
    <w:div w:id="1673724279">
      <w:bodyDiv w:val="1"/>
      <w:marLeft w:val="0"/>
      <w:marRight w:val="0"/>
      <w:marTop w:val="0"/>
      <w:marBottom w:val="0"/>
      <w:divBdr>
        <w:top w:val="none" w:sz="0" w:space="0" w:color="auto"/>
        <w:left w:val="none" w:sz="0" w:space="0" w:color="auto"/>
        <w:bottom w:val="none" w:sz="0" w:space="0" w:color="auto"/>
        <w:right w:val="none" w:sz="0" w:space="0" w:color="auto"/>
      </w:divBdr>
    </w:div>
    <w:div w:id="1673875383">
      <w:bodyDiv w:val="1"/>
      <w:marLeft w:val="0"/>
      <w:marRight w:val="0"/>
      <w:marTop w:val="0"/>
      <w:marBottom w:val="0"/>
      <w:divBdr>
        <w:top w:val="none" w:sz="0" w:space="0" w:color="auto"/>
        <w:left w:val="none" w:sz="0" w:space="0" w:color="auto"/>
        <w:bottom w:val="none" w:sz="0" w:space="0" w:color="auto"/>
        <w:right w:val="none" w:sz="0" w:space="0" w:color="auto"/>
      </w:divBdr>
    </w:div>
    <w:div w:id="1675305904">
      <w:bodyDiv w:val="1"/>
      <w:marLeft w:val="0"/>
      <w:marRight w:val="0"/>
      <w:marTop w:val="0"/>
      <w:marBottom w:val="0"/>
      <w:divBdr>
        <w:top w:val="none" w:sz="0" w:space="0" w:color="auto"/>
        <w:left w:val="none" w:sz="0" w:space="0" w:color="auto"/>
        <w:bottom w:val="none" w:sz="0" w:space="0" w:color="auto"/>
        <w:right w:val="none" w:sz="0" w:space="0" w:color="auto"/>
      </w:divBdr>
    </w:div>
    <w:div w:id="1684743293">
      <w:bodyDiv w:val="1"/>
      <w:marLeft w:val="0"/>
      <w:marRight w:val="0"/>
      <w:marTop w:val="0"/>
      <w:marBottom w:val="0"/>
      <w:divBdr>
        <w:top w:val="none" w:sz="0" w:space="0" w:color="auto"/>
        <w:left w:val="none" w:sz="0" w:space="0" w:color="auto"/>
        <w:bottom w:val="none" w:sz="0" w:space="0" w:color="auto"/>
        <w:right w:val="none" w:sz="0" w:space="0" w:color="auto"/>
      </w:divBdr>
    </w:div>
    <w:div w:id="1707099213">
      <w:bodyDiv w:val="1"/>
      <w:marLeft w:val="0"/>
      <w:marRight w:val="0"/>
      <w:marTop w:val="0"/>
      <w:marBottom w:val="0"/>
      <w:divBdr>
        <w:top w:val="none" w:sz="0" w:space="0" w:color="auto"/>
        <w:left w:val="none" w:sz="0" w:space="0" w:color="auto"/>
        <w:bottom w:val="none" w:sz="0" w:space="0" w:color="auto"/>
        <w:right w:val="none" w:sz="0" w:space="0" w:color="auto"/>
      </w:divBdr>
    </w:div>
    <w:div w:id="1711345789">
      <w:bodyDiv w:val="1"/>
      <w:marLeft w:val="0"/>
      <w:marRight w:val="0"/>
      <w:marTop w:val="0"/>
      <w:marBottom w:val="0"/>
      <w:divBdr>
        <w:top w:val="none" w:sz="0" w:space="0" w:color="auto"/>
        <w:left w:val="none" w:sz="0" w:space="0" w:color="auto"/>
        <w:bottom w:val="none" w:sz="0" w:space="0" w:color="auto"/>
        <w:right w:val="none" w:sz="0" w:space="0" w:color="auto"/>
      </w:divBdr>
    </w:div>
    <w:div w:id="1715814617">
      <w:bodyDiv w:val="1"/>
      <w:marLeft w:val="0"/>
      <w:marRight w:val="0"/>
      <w:marTop w:val="0"/>
      <w:marBottom w:val="0"/>
      <w:divBdr>
        <w:top w:val="none" w:sz="0" w:space="0" w:color="auto"/>
        <w:left w:val="none" w:sz="0" w:space="0" w:color="auto"/>
        <w:bottom w:val="none" w:sz="0" w:space="0" w:color="auto"/>
        <w:right w:val="none" w:sz="0" w:space="0" w:color="auto"/>
      </w:divBdr>
    </w:div>
    <w:div w:id="1742144347">
      <w:bodyDiv w:val="1"/>
      <w:marLeft w:val="0"/>
      <w:marRight w:val="0"/>
      <w:marTop w:val="0"/>
      <w:marBottom w:val="0"/>
      <w:divBdr>
        <w:top w:val="none" w:sz="0" w:space="0" w:color="auto"/>
        <w:left w:val="none" w:sz="0" w:space="0" w:color="auto"/>
        <w:bottom w:val="none" w:sz="0" w:space="0" w:color="auto"/>
        <w:right w:val="none" w:sz="0" w:space="0" w:color="auto"/>
      </w:divBdr>
    </w:div>
    <w:div w:id="1745181063">
      <w:bodyDiv w:val="1"/>
      <w:marLeft w:val="0"/>
      <w:marRight w:val="0"/>
      <w:marTop w:val="0"/>
      <w:marBottom w:val="0"/>
      <w:divBdr>
        <w:top w:val="none" w:sz="0" w:space="0" w:color="auto"/>
        <w:left w:val="none" w:sz="0" w:space="0" w:color="auto"/>
        <w:bottom w:val="none" w:sz="0" w:space="0" w:color="auto"/>
        <w:right w:val="none" w:sz="0" w:space="0" w:color="auto"/>
      </w:divBdr>
    </w:div>
    <w:div w:id="1766730364">
      <w:bodyDiv w:val="1"/>
      <w:marLeft w:val="0"/>
      <w:marRight w:val="0"/>
      <w:marTop w:val="0"/>
      <w:marBottom w:val="0"/>
      <w:divBdr>
        <w:top w:val="none" w:sz="0" w:space="0" w:color="auto"/>
        <w:left w:val="none" w:sz="0" w:space="0" w:color="auto"/>
        <w:bottom w:val="none" w:sz="0" w:space="0" w:color="auto"/>
        <w:right w:val="none" w:sz="0" w:space="0" w:color="auto"/>
      </w:divBdr>
    </w:div>
    <w:div w:id="1766997971">
      <w:bodyDiv w:val="1"/>
      <w:marLeft w:val="0"/>
      <w:marRight w:val="0"/>
      <w:marTop w:val="0"/>
      <w:marBottom w:val="0"/>
      <w:divBdr>
        <w:top w:val="none" w:sz="0" w:space="0" w:color="auto"/>
        <w:left w:val="none" w:sz="0" w:space="0" w:color="auto"/>
        <w:bottom w:val="none" w:sz="0" w:space="0" w:color="auto"/>
        <w:right w:val="none" w:sz="0" w:space="0" w:color="auto"/>
      </w:divBdr>
    </w:div>
    <w:div w:id="1770587426">
      <w:bodyDiv w:val="1"/>
      <w:marLeft w:val="0"/>
      <w:marRight w:val="0"/>
      <w:marTop w:val="0"/>
      <w:marBottom w:val="0"/>
      <w:divBdr>
        <w:top w:val="none" w:sz="0" w:space="0" w:color="auto"/>
        <w:left w:val="none" w:sz="0" w:space="0" w:color="auto"/>
        <w:bottom w:val="none" w:sz="0" w:space="0" w:color="auto"/>
        <w:right w:val="none" w:sz="0" w:space="0" w:color="auto"/>
      </w:divBdr>
      <w:divsChild>
        <w:div w:id="972560468">
          <w:marLeft w:val="480"/>
          <w:marRight w:val="0"/>
          <w:marTop w:val="0"/>
          <w:marBottom w:val="0"/>
          <w:divBdr>
            <w:top w:val="none" w:sz="0" w:space="0" w:color="auto"/>
            <w:left w:val="none" w:sz="0" w:space="0" w:color="auto"/>
            <w:bottom w:val="none" w:sz="0" w:space="0" w:color="auto"/>
            <w:right w:val="none" w:sz="0" w:space="0" w:color="auto"/>
          </w:divBdr>
          <w:divsChild>
            <w:div w:id="163656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188070">
      <w:bodyDiv w:val="1"/>
      <w:marLeft w:val="0"/>
      <w:marRight w:val="0"/>
      <w:marTop w:val="0"/>
      <w:marBottom w:val="0"/>
      <w:divBdr>
        <w:top w:val="none" w:sz="0" w:space="0" w:color="auto"/>
        <w:left w:val="none" w:sz="0" w:space="0" w:color="auto"/>
        <w:bottom w:val="none" w:sz="0" w:space="0" w:color="auto"/>
        <w:right w:val="none" w:sz="0" w:space="0" w:color="auto"/>
      </w:divBdr>
    </w:div>
    <w:div w:id="1784880881">
      <w:bodyDiv w:val="1"/>
      <w:marLeft w:val="0"/>
      <w:marRight w:val="0"/>
      <w:marTop w:val="0"/>
      <w:marBottom w:val="0"/>
      <w:divBdr>
        <w:top w:val="none" w:sz="0" w:space="0" w:color="auto"/>
        <w:left w:val="none" w:sz="0" w:space="0" w:color="auto"/>
        <w:bottom w:val="none" w:sz="0" w:space="0" w:color="auto"/>
        <w:right w:val="none" w:sz="0" w:space="0" w:color="auto"/>
      </w:divBdr>
    </w:div>
    <w:div w:id="1794789550">
      <w:bodyDiv w:val="1"/>
      <w:marLeft w:val="0"/>
      <w:marRight w:val="0"/>
      <w:marTop w:val="0"/>
      <w:marBottom w:val="0"/>
      <w:divBdr>
        <w:top w:val="none" w:sz="0" w:space="0" w:color="auto"/>
        <w:left w:val="none" w:sz="0" w:space="0" w:color="auto"/>
        <w:bottom w:val="none" w:sz="0" w:space="0" w:color="auto"/>
        <w:right w:val="none" w:sz="0" w:space="0" w:color="auto"/>
      </w:divBdr>
    </w:div>
    <w:div w:id="1803229140">
      <w:bodyDiv w:val="1"/>
      <w:marLeft w:val="0"/>
      <w:marRight w:val="0"/>
      <w:marTop w:val="0"/>
      <w:marBottom w:val="0"/>
      <w:divBdr>
        <w:top w:val="none" w:sz="0" w:space="0" w:color="auto"/>
        <w:left w:val="none" w:sz="0" w:space="0" w:color="auto"/>
        <w:bottom w:val="none" w:sz="0" w:space="0" w:color="auto"/>
        <w:right w:val="none" w:sz="0" w:space="0" w:color="auto"/>
      </w:divBdr>
    </w:div>
    <w:div w:id="1813400711">
      <w:bodyDiv w:val="1"/>
      <w:marLeft w:val="0"/>
      <w:marRight w:val="0"/>
      <w:marTop w:val="0"/>
      <w:marBottom w:val="0"/>
      <w:divBdr>
        <w:top w:val="none" w:sz="0" w:space="0" w:color="auto"/>
        <w:left w:val="none" w:sz="0" w:space="0" w:color="auto"/>
        <w:bottom w:val="none" w:sz="0" w:space="0" w:color="auto"/>
        <w:right w:val="none" w:sz="0" w:space="0" w:color="auto"/>
      </w:divBdr>
    </w:div>
    <w:div w:id="1814518813">
      <w:bodyDiv w:val="1"/>
      <w:marLeft w:val="0"/>
      <w:marRight w:val="0"/>
      <w:marTop w:val="0"/>
      <w:marBottom w:val="0"/>
      <w:divBdr>
        <w:top w:val="none" w:sz="0" w:space="0" w:color="auto"/>
        <w:left w:val="none" w:sz="0" w:space="0" w:color="auto"/>
        <w:bottom w:val="none" w:sz="0" w:space="0" w:color="auto"/>
        <w:right w:val="none" w:sz="0" w:space="0" w:color="auto"/>
      </w:divBdr>
      <w:divsChild>
        <w:div w:id="1876844683">
          <w:marLeft w:val="480"/>
          <w:marRight w:val="0"/>
          <w:marTop w:val="0"/>
          <w:marBottom w:val="0"/>
          <w:divBdr>
            <w:top w:val="none" w:sz="0" w:space="0" w:color="auto"/>
            <w:left w:val="none" w:sz="0" w:space="0" w:color="auto"/>
            <w:bottom w:val="none" w:sz="0" w:space="0" w:color="auto"/>
            <w:right w:val="none" w:sz="0" w:space="0" w:color="auto"/>
          </w:divBdr>
          <w:divsChild>
            <w:div w:id="17752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2038">
      <w:bodyDiv w:val="1"/>
      <w:marLeft w:val="0"/>
      <w:marRight w:val="0"/>
      <w:marTop w:val="0"/>
      <w:marBottom w:val="0"/>
      <w:divBdr>
        <w:top w:val="none" w:sz="0" w:space="0" w:color="auto"/>
        <w:left w:val="none" w:sz="0" w:space="0" w:color="auto"/>
        <w:bottom w:val="none" w:sz="0" w:space="0" w:color="auto"/>
        <w:right w:val="none" w:sz="0" w:space="0" w:color="auto"/>
      </w:divBdr>
    </w:div>
    <w:div w:id="1823158043">
      <w:bodyDiv w:val="1"/>
      <w:marLeft w:val="0"/>
      <w:marRight w:val="0"/>
      <w:marTop w:val="0"/>
      <w:marBottom w:val="0"/>
      <w:divBdr>
        <w:top w:val="none" w:sz="0" w:space="0" w:color="auto"/>
        <w:left w:val="none" w:sz="0" w:space="0" w:color="auto"/>
        <w:bottom w:val="none" w:sz="0" w:space="0" w:color="auto"/>
        <w:right w:val="none" w:sz="0" w:space="0" w:color="auto"/>
      </w:divBdr>
    </w:div>
    <w:div w:id="1824345107">
      <w:bodyDiv w:val="1"/>
      <w:marLeft w:val="0"/>
      <w:marRight w:val="0"/>
      <w:marTop w:val="0"/>
      <w:marBottom w:val="0"/>
      <w:divBdr>
        <w:top w:val="none" w:sz="0" w:space="0" w:color="auto"/>
        <w:left w:val="none" w:sz="0" w:space="0" w:color="auto"/>
        <w:bottom w:val="none" w:sz="0" w:space="0" w:color="auto"/>
        <w:right w:val="none" w:sz="0" w:space="0" w:color="auto"/>
      </w:divBdr>
    </w:div>
    <w:div w:id="1827362060">
      <w:bodyDiv w:val="1"/>
      <w:marLeft w:val="0"/>
      <w:marRight w:val="0"/>
      <w:marTop w:val="0"/>
      <w:marBottom w:val="0"/>
      <w:divBdr>
        <w:top w:val="none" w:sz="0" w:space="0" w:color="auto"/>
        <w:left w:val="none" w:sz="0" w:space="0" w:color="auto"/>
        <w:bottom w:val="none" w:sz="0" w:space="0" w:color="auto"/>
        <w:right w:val="none" w:sz="0" w:space="0" w:color="auto"/>
      </w:divBdr>
    </w:div>
    <w:div w:id="1848321436">
      <w:bodyDiv w:val="1"/>
      <w:marLeft w:val="0"/>
      <w:marRight w:val="0"/>
      <w:marTop w:val="0"/>
      <w:marBottom w:val="0"/>
      <w:divBdr>
        <w:top w:val="none" w:sz="0" w:space="0" w:color="auto"/>
        <w:left w:val="none" w:sz="0" w:space="0" w:color="auto"/>
        <w:bottom w:val="none" w:sz="0" w:space="0" w:color="auto"/>
        <w:right w:val="none" w:sz="0" w:space="0" w:color="auto"/>
      </w:divBdr>
    </w:div>
    <w:div w:id="1855532119">
      <w:bodyDiv w:val="1"/>
      <w:marLeft w:val="0"/>
      <w:marRight w:val="0"/>
      <w:marTop w:val="0"/>
      <w:marBottom w:val="0"/>
      <w:divBdr>
        <w:top w:val="none" w:sz="0" w:space="0" w:color="auto"/>
        <w:left w:val="none" w:sz="0" w:space="0" w:color="auto"/>
        <w:bottom w:val="none" w:sz="0" w:space="0" w:color="auto"/>
        <w:right w:val="none" w:sz="0" w:space="0" w:color="auto"/>
      </w:divBdr>
    </w:div>
    <w:div w:id="1887832873">
      <w:bodyDiv w:val="1"/>
      <w:marLeft w:val="0"/>
      <w:marRight w:val="0"/>
      <w:marTop w:val="0"/>
      <w:marBottom w:val="0"/>
      <w:divBdr>
        <w:top w:val="none" w:sz="0" w:space="0" w:color="auto"/>
        <w:left w:val="none" w:sz="0" w:space="0" w:color="auto"/>
        <w:bottom w:val="none" w:sz="0" w:space="0" w:color="auto"/>
        <w:right w:val="none" w:sz="0" w:space="0" w:color="auto"/>
      </w:divBdr>
    </w:div>
    <w:div w:id="1933468613">
      <w:bodyDiv w:val="1"/>
      <w:marLeft w:val="0"/>
      <w:marRight w:val="0"/>
      <w:marTop w:val="0"/>
      <w:marBottom w:val="0"/>
      <w:divBdr>
        <w:top w:val="none" w:sz="0" w:space="0" w:color="auto"/>
        <w:left w:val="none" w:sz="0" w:space="0" w:color="auto"/>
        <w:bottom w:val="none" w:sz="0" w:space="0" w:color="auto"/>
        <w:right w:val="none" w:sz="0" w:space="0" w:color="auto"/>
      </w:divBdr>
    </w:div>
    <w:div w:id="1954894834">
      <w:bodyDiv w:val="1"/>
      <w:marLeft w:val="0"/>
      <w:marRight w:val="0"/>
      <w:marTop w:val="0"/>
      <w:marBottom w:val="0"/>
      <w:divBdr>
        <w:top w:val="none" w:sz="0" w:space="0" w:color="auto"/>
        <w:left w:val="none" w:sz="0" w:space="0" w:color="auto"/>
        <w:bottom w:val="none" w:sz="0" w:space="0" w:color="auto"/>
        <w:right w:val="none" w:sz="0" w:space="0" w:color="auto"/>
      </w:divBdr>
    </w:div>
    <w:div w:id="1964655198">
      <w:bodyDiv w:val="1"/>
      <w:marLeft w:val="0"/>
      <w:marRight w:val="0"/>
      <w:marTop w:val="0"/>
      <w:marBottom w:val="0"/>
      <w:divBdr>
        <w:top w:val="none" w:sz="0" w:space="0" w:color="auto"/>
        <w:left w:val="none" w:sz="0" w:space="0" w:color="auto"/>
        <w:bottom w:val="none" w:sz="0" w:space="0" w:color="auto"/>
        <w:right w:val="none" w:sz="0" w:space="0" w:color="auto"/>
      </w:divBdr>
    </w:div>
    <w:div w:id="1966615907">
      <w:bodyDiv w:val="1"/>
      <w:marLeft w:val="0"/>
      <w:marRight w:val="0"/>
      <w:marTop w:val="0"/>
      <w:marBottom w:val="0"/>
      <w:divBdr>
        <w:top w:val="none" w:sz="0" w:space="0" w:color="auto"/>
        <w:left w:val="none" w:sz="0" w:space="0" w:color="auto"/>
        <w:bottom w:val="none" w:sz="0" w:space="0" w:color="auto"/>
        <w:right w:val="none" w:sz="0" w:space="0" w:color="auto"/>
      </w:divBdr>
    </w:div>
    <w:div w:id="1986280297">
      <w:bodyDiv w:val="1"/>
      <w:marLeft w:val="0"/>
      <w:marRight w:val="0"/>
      <w:marTop w:val="0"/>
      <w:marBottom w:val="0"/>
      <w:divBdr>
        <w:top w:val="none" w:sz="0" w:space="0" w:color="auto"/>
        <w:left w:val="none" w:sz="0" w:space="0" w:color="auto"/>
        <w:bottom w:val="none" w:sz="0" w:space="0" w:color="auto"/>
        <w:right w:val="none" w:sz="0" w:space="0" w:color="auto"/>
      </w:divBdr>
    </w:div>
    <w:div w:id="2007584795">
      <w:bodyDiv w:val="1"/>
      <w:marLeft w:val="0"/>
      <w:marRight w:val="0"/>
      <w:marTop w:val="0"/>
      <w:marBottom w:val="0"/>
      <w:divBdr>
        <w:top w:val="none" w:sz="0" w:space="0" w:color="auto"/>
        <w:left w:val="none" w:sz="0" w:space="0" w:color="auto"/>
        <w:bottom w:val="none" w:sz="0" w:space="0" w:color="auto"/>
        <w:right w:val="none" w:sz="0" w:space="0" w:color="auto"/>
      </w:divBdr>
    </w:div>
    <w:div w:id="2037997764">
      <w:bodyDiv w:val="1"/>
      <w:marLeft w:val="0"/>
      <w:marRight w:val="0"/>
      <w:marTop w:val="0"/>
      <w:marBottom w:val="0"/>
      <w:divBdr>
        <w:top w:val="none" w:sz="0" w:space="0" w:color="auto"/>
        <w:left w:val="none" w:sz="0" w:space="0" w:color="auto"/>
        <w:bottom w:val="none" w:sz="0" w:space="0" w:color="auto"/>
        <w:right w:val="none" w:sz="0" w:space="0" w:color="auto"/>
      </w:divBdr>
    </w:div>
    <w:div w:id="2044549483">
      <w:bodyDiv w:val="1"/>
      <w:marLeft w:val="0"/>
      <w:marRight w:val="0"/>
      <w:marTop w:val="0"/>
      <w:marBottom w:val="0"/>
      <w:divBdr>
        <w:top w:val="none" w:sz="0" w:space="0" w:color="auto"/>
        <w:left w:val="none" w:sz="0" w:space="0" w:color="auto"/>
        <w:bottom w:val="none" w:sz="0" w:space="0" w:color="auto"/>
        <w:right w:val="none" w:sz="0" w:space="0" w:color="auto"/>
      </w:divBdr>
    </w:div>
    <w:div w:id="2047563751">
      <w:bodyDiv w:val="1"/>
      <w:marLeft w:val="0"/>
      <w:marRight w:val="0"/>
      <w:marTop w:val="0"/>
      <w:marBottom w:val="0"/>
      <w:divBdr>
        <w:top w:val="none" w:sz="0" w:space="0" w:color="auto"/>
        <w:left w:val="none" w:sz="0" w:space="0" w:color="auto"/>
        <w:bottom w:val="none" w:sz="0" w:space="0" w:color="auto"/>
        <w:right w:val="none" w:sz="0" w:space="0" w:color="auto"/>
      </w:divBdr>
    </w:div>
    <w:div w:id="2051565643">
      <w:bodyDiv w:val="1"/>
      <w:marLeft w:val="0"/>
      <w:marRight w:val="0"/>
      <w:marTop w:val="0"/>
      <w:marBottom w:val="0"/>
      <w:divBdr>
        <w:top w:val="none" w:sz="0" w:space="0" w:color="auto"/>
        <w:left w:val="none" w:sz="0" w:space="0" w:color="auto"/>
        <w:bottom w:val="none" w:sz="0" w:space="0" w:color="auto"/>
        <w:right w:val="none" w:sz="0" w:space="0" w:color="auto"/>
      </w:divBdr>
    </w:div>
    <w:div w:id="2059473277">
      <w:bodyDiv w:val="1"/>
      <w:marLeft w:val="0"/>
      <w:marRight w:val="0"/>
      <w:marTop w:val="0"/>
      <w:marBottom w:val="0"/>
      <w:divBdr>
        <w:top w:val="none" w:sz="0" w:space="0" w:color="auto"/>
        <w:left w:val="none" w:sz="0" w:space="0" w:color="auto"/>
        <w:bottom w:val="none" w:sz="0" w:space="0" w:color="auto"/>
        <w:right w:val="none" w:sz="0" w:space="0" w:color="auto"/>
      </w:divBdr>
    </w:div>
    <w:div w:id="2073118854">
      <w:bodyDiv w:val="1"/>
      <w:marLeft w:val="0"/>
      <w:marRight w:val="0"/>
      <w:marTop w:val="0"/>
      <w:marBottom w:val="0"/>
      <w:divBdr>
        <w:top w:val="none" w:sz="0" w:space="0" w:color="auto"/>
        <w:left w:val="none" w:sz="0" w:space="0" w:color="auto"/>
        <w:bottom w:val="none" w:sz="0" w:space="0" w:color="auto"/>
        <w:right w:val="none" w:sz="0" w:space="0" w:color="auto"/>
      </w:divBdr>
    </w:div>
    <w:div w:id="2103136598">
      <w:bodyDiv w:val="1"/>
      <w:marLeft w:val="0"/>
      <w:marRight w:val="0"/>
      <w:marTop w:val="0"/>
      <w:marBottom w:val="0"/>
      <w:divBdr>
        <w:top w:val="none" w:sz="0" w:space="0" w:color="auto"/>
        <w:left w:val="none" w:sz="0" w:space="0" w:color="auto"/>
        <w:bottom w:val="none" w:sz="0" w:space="0" w:color="auto"/>
        <w:right w:val="none" w:sz="0" w:space="0" w:color="auto"/>
      </w:divBdr>
    </w:div>
    <w:div w:id="2139835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HO-LON/HO-L1187/_layouts/15/DocIdRedir.aspx?ID=EZSHARE-2057183708-5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18289-8142-422F-B90E-3B1EB660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6036</Words>
  <Characters>34406</Characters>
  <Application>Microsoft Office Word</Application>
  <DocSecurity>0</DocSecurity>
  <Lines>286</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Vazquez</dc:creator>
  <cp:keywords/>
  <dc:description/>
  <cp:lastModifiedBy>Rojas Gonzalez, Sonia Amalia</cp:lastModifiedBy>
  <cp:revision>3</cp:revision>
  <dcterms:created xsi:type="dcterms:W3CDTF">2018-02-27T12:33:00Z</dcterms:created>
  <dcterms:modified xsi:type="dcterms:W3CDTF">2018-02-27T12:33:00Z</dcterms:modified>
</cp:coreProperties>
</file>