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34" w:rsidRPr="00D877B4" w:rsidRDefault="00683634">
      <w:pPr>
        <w:rPr>
          <w:rFonts w:ascii="Arial" w:hAnsi="Arial" w:cs="Arial"/>
        </w:rPr>
      </w:pPr>
    </w:p>
    <w:p w:rsidR="00683634" w:rsidRPr="00D877B4" w:rsidRDefault="00683634" w:rsidP="00683634">
      <w:pPr>
        <w:keepNext/>
        <w:ind w:firstLine="720"/>
        <w:jc w:val="center"/>
        <w:rPr>
          <w:rFonts w:ascii="Arial" w:hAnsi="Arial" w:cs="Arial"/>
          <w:b/>
          <w:smallCaps/>
          <w:sz w:val="24"/>
          <w:szCs w:val="24"/>
          <w:lang w:val="es-AR"/>
        </w:rPr>
      </w:pPr>
      <w:r w:rsidRPr="00D877B4">
        <w:rPr>
          <w:rFonts w:ascii="Arial" w:hAnsi="Arial" w:cs="Arial"/>
          <w:b/>
          <w:smallCaps/>
          <w:sz w:val="24"/>
          <w:szCs w:val="24"/>
          <w:lang w:val="es-ES"/>
        </w:rPr>
        <w:t>Apoyo al Programa de Reformas del Sector Transporte y Logística de Panamá</w:t>
      </w:r>
      <w:r w:rsidR="00FC5E7F" w:rsidRPr="00D877B4">
        <w:rPr>
          <w:rFonts w:ascii="Arial" w:hAnsi="Arial" w:cs="Arial"/>
          <w:b/>
          <w:smallCaps/>
          <w:sz w:val="24"/>
          <w:szCs w:val="24"/>
          <w:lang w:val="es-ES"/>
        </w:rPr>
        <w:t xml:space="preserve"> II</w:t>
      </w:r>
    </w:p>
    <w:p w:rsidR="00683634" w:rsidRPr="00D877B4" w:rsidRDefault="00683634" w:rsidP="00683634">
      <w:pPr>
        <w:jc w:val="center"/>
        <w:rPr>
          <w:rFonts w:ascii="Arial" w:hAnsi="Arial" w:cs="Arial"/>
          <w:b/>
          <w:bCs/>
          <w:smallCaps/>
          <w:sz w:val="24"/>
          <w:szCs w:val="24"/>
          <w:lang w:val="es-AR"/>
        </w:rPr>
      </w:pPr>
      <w:r w:rsidRPr="00D877B4">
        <w:rPr>
          <w:rFonts w:ascii="Arial" w:hAnsi="Arial" w:cs="Arial"/>
          <w:b/>
          <w:bCs/>
          <w:smallCaps/>
          <w:sz w:val="24"/>
          <w:szCs w:val="24"/>
          <w:lang w:val="es-ES"/>
        </w:rPr>
        <w:t>Matriz de Medios de Verificación</w:t>
      </w:r>
    </w:p>
    <w:p w:rsidR="00FC5E7F" w:rsidRPr="00D877B4" w:rsidRDefault="00FC5E7F" w:rsidP="00683634">
      <w:pPr>
        <w:jc w:val="center"/>
        <w:rPr>
          <w:rFonts w:ascii="Arial" w:hAnsi="Arial" w:cs="Arial"/>
          <w:b/>
          <w:bCs/>
          <w:smallCaps/>
          <w:sz w:val="24"/>
          <w:szCs w:val="24"/>
          <w:lang w:val="es-AR"/>
        </w:rPr>
      </w:pPr>
    </w:p>
    <w:p w:rsidR="00683634" w:rsidRPr="00D877B4" w:rsidRDefault="00683634" w:rsidP="00683634">
      <w:pPr>
        <w:spacing w:before="120" w:after="120"/>
        <w:jc w:val="both"/>
        <w:rPr>
          <w:rFonts w:ascii="Arial" w:hAnsi="Arial" w:cs="Arial"/>
          <w:b/>
          <w:smallCaps/>
          <w:lang w:val="es-AR"/>
        </w:rPr>
      </w:pPr>
      <w:r w:rsidRPr="00D877B4">
        <w:rPr>
          <w:rFonts w:ascii="Arial" w:hAnsi="Arial" w:cs="Arial"/>
          <w:b/>
          <w:smallCaps/>
          <w:lang w:val="es-ES"/>
        </w:rPr>
        <w:t>Objetivo</w:t>
      </w:r>
    </w:p>
    <w:p w:rsidR="002674EB" w:rsidRPr="00D877B4" w:rsidRDefault="002674EB" w:rsidP="002674EB">
      <w:pPr>
        <w:pStyle w:val="FootnoteText"/>
        <w:widowControl w:val="0"/>
        <w:ind w:left="0" w:right="200" w:firstLine="0"/>
        <w:rPr>
          <w:rFonts w:ascii="Arial" w:hAnsi="Arial" w:cs="Arial"/>
          <w:szCs w:val="22"/>
        </w:rPr>
      </w:pPr>
      <w:r w:rsidRPr="00D877B4">
        <w:rPr>
          <w:rFonts w:ascii="Arial" w:hAnsi="Arial" w:cs="Arial"/>
          <w:szCs w:val="22"/>
          <w:lang w:val="es-ES"/>
        </w:rPr>
        <w:t>El objetivo del programa es contribuir a la mejora del desempeño logístico de Panamá para aprovechar su posición geográfica privilegiada, a través de la reducción de restricciones normativas e institucionales que limitan el desempeño del país especialmente en los ámbitos de: (i) Servicios Logísticos de Valor Agregado (SLVA); (ii) logística de apoyo al sector agrícola; (iii) logística de apoyo al comercio regional.  Los objetivos específicos del programa son: (i) fortalecimiento del marco legal y regulatorio; (ii) consolidación del marco institucional de logística y transporte; (iii) fortalecimiento del sistema de planificación multisectorial y de facilitación comercial</w:t>
      </w:r>
      <w:r w:rsidR="00061938" w:rsidRPr="00D877B4">
        <w:rPr>
          <w:rFonts w:ascii="Arial" w:hAnsi="Arial" w:cs="Arial"/>
          <w:szCs w:val="22"/>
          <w:lang w:val="es-ES"/>
        </w:rPr>
        <w:t xml:space="preserve">, </w:t>
      </w:r>
      <w:r w:rsidR="00061938" w:rsidRPr="00D877B4">
        <w:rPr>
          <w:rFonts w:ascii="Arial" w:hAnsi="Arial" w:cs="Arial"/>
          <w:szCs w:val="22"/>
        </w:rPr>
        <w:t xml:space="preserve"> que contribuirán al incremento de la inversión en el sector de logística y transporte (puertos, aeropuerto y vías), la ampliación del área logística utilizada, a la reducción del tiempo del despacho de mercancías y a la provisión de recursos humanos en el área de logística.</w:t>
      </w:r>
    </w:p>
    <w:tbl>
      <w:tblPr>
        <w:tblW w:w="13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2120"/>
        <w:gridCol w:w="3509"/>
        <w:gridCol w:w="2953"/>
        <w:gridCol w:w="2209"/>
      </w:tblGrid>
      <w:tr w:rsidR="0040704B" w:rsidRPr="00A906F0" w:rsidTr="00D877B4">
        <w:trPr>
          <w:trHeight w:val="64"/>
          <w:tblHeader/>
        </w:trPr>
        <w:tc>
          <w:tcPr>
            <w:tcW w:w="2431" w:type="dxa"/>
            <w:shd w:val="clear" w:color="auto" w:fill="BFBFBF"/>
            <w:vAlign w:val="center"/>
          </w:tcPr>
          <w:p w:rsidR="0040704B" w:rsidRPr="00D877B4" w:rsidRDefault="0040704B" w:rsidP="00D877B4">
            <w:pPr>
              <w:suppressAutoHyphens/>
              <w:jc w:val="center"/>
              <w:rPr>
                <w:rFonts w:ascii="Arial" w:hAnsi="Arial" w:cs="Arial"/>
                <w:smallCaps/>
                <w:lang w:val="es-ES"/>
              </w:rPr>
            </w:pPr>
            <w:r w:rsidRPr="00D877B4">
              <w:rPr>
                <w:rFonts w:ascii="Arial" w:hAnsi="Arial" w:cs="Arial"/>
                <w:b/>
                <w:bCs/>
                <w:smallCaps/>
                <w:lang w:val="es-ES"/>
              </w:rPr>
              <w:t>Objetivo y Alcance</w:t>
            </w:r>
          </w:p>
        </w:tc>
        <w:tc>
          <w:tcPr>
            <w:tcW w:w="2120" w:type="dxa"/>
            <w:shd w:val="clear" w:color="auto" w:fill="BFBFBF"/>
            <w:vAlign w:val="center"/>
          </w:tcPr>
          <w:p w:rsidR="0040704B" w:rsidRPr="00D877B4" w:rsidRDefault="0040704B" w:rsidP="00D877B4">
            <w:pPr>
              <w:suppressAutoHyphens/>
              <w:jc w:val="center"/>
              <w:rPr>
                <w:rFonts w:ascii="Arial" w:hAnsi="Arial" w:cs="Arial"/>
                <w:b/>
                <w:bCs/>
                <w:smallCaps/>
                <w:lang w:val="es-ES"/>
              </w:rPr>
            </w:pPr>
            <w:r w:rsidRPr="00D877B4">
              <w:rPr>
                <w:rFonts w:ascii="Arial" w:hAnsi="Arial" w:cs="Arial"/>
                <w:b/>
                <w:bCs/>
                <w:smallCaps/>
                <w:lang w:val="es-ES"/>
              </w:rPr>
              <w:t>Agencia</w:t>
            </w:r>
            <w:r w:rsidR="008028E6" w:rsidRPr="00D877B4">
              <w:rPr>
                <w:rFonts w:ascii="Arial" w:hAnsi="Arial" w:cs="Arial"/>
                <w:b/>
                <w:bCs/>
                <w:smallCaps/>
                <w:lang w:val="es-ES"/>
              </w:rPr>
              <w:t>s</w:t>
            </w:r>
            <w:r w:rsidRPr="00D877B4">
              <w:rPr>
                <w:rFonts w:ascii="Arial" w:hAnsi="Arial" w:cs="Arial"/>
                <w:b/>
                <w:bCs/>
                <w:smallCaps/>
                <w:lang w:val="es-ES"/>
              </w:rPr>
              <w:t xml:space="preserve"> Responsable</w:t>
            </w:r>
            <w:r w:rsidR="008028E6" w:rsidRPr="00D877B4">
              <w:rPr>
                <w:rFonts w:ascii="Arial" w:hAnsi="Arial" w:cs="Arial"/>
                <w:b/>
                <w:bCs/>
                <w:smallCaps/>
                <w:lang w:val="es-ES"/>
              </w:rPr>
              <w:t>s del cumplimiento del objetivo</w:t>
            </w:r>
          </w:p>
        </w:tc>
        <w:tc>
          <w:tcPr>
            <w:tcW w:w="3509" w:type="dxa"/>
            <w:shd w:val="clear" w:color="auto" w:fill="BFBFBF"/>
            <w:vAlign w:val="center"/>
          </w:tcPr>
          <w:p w:rsidR="0040704B" w:rsidRPr="00D877B4" w:rsidRDefault="0040704B" w:rsidP="00D877B4">
            <w:pPr>
              <w:suppressAutoHyphens/>
              <w:jc w:val="center"/>
              <w:rPr>
                <w:rFonts w:ascii="Arial" w:hAnsi="Arial" w:cs="Arial"/>
                <w:b/>
                <w:bCs/>
                <w:smallCaps/>
                <w:lang w:val="es-ES"/>
              </w:rPr>
            </w:pPr>
            <w:r w:rsidRPr="00D877B4">
              <w:rPr>
                <w:rFonts w:ascii="Arial" w:hAnsi="Arial" w:cs="Arial"/>
                <w:b/>
                <w:bCs/>
                <w:smallCaps/>
                <w:lang w:val="es-ES"/>
              </w:rPr>
              <w:t>Reformas de Política II</w:t>
            </w:r>
          </w:p>
        </w:tc>
        <w:tc>
          <w:tcPr>
            <w:tcW w:w="2953" w:type="dxa"/>
            <w:shd w:val="clear" w:color="auto" w:fill="BFBFBF"/>
            <w:vAlign w:val="center"/>
          </w:tcPr>
          <w:p w:rsidR="0040704B" w:rsidRPr="00D877B4" w:rsidRDefault="0040704B" w:rsidP="00D877B4">
            <w:pPr>
              <w:suppressAutoHyphens/>
              <w:jc w:val="center"/>
              <w:rPr>
                <w:rFonts w:ascii="Arial" w:hAnsi="Arial" w:cs="Arial"/>
                <w:b/>
                <w:smallCaps/>
                <w:lang w:val="es-ES"/>
              </w:rPr>
            </w:pPr>
            <w:r w:rsidRPr="00D877B4">
              <w:rPr>
                <w:rFonts w:ascii="Arial" w:hAnsi="Arial" w:cs="Arial"/>
                <w:b/>
                <w:smallCaps/>
                <w:lang w:val="es-ES"/>
              </w:rPr>
              <w:t>Medios de Verificación</w:t>
            </w:r>
          </w:p>
        </w:tc>
        <w:tc>
          <w:tcPr>
            <w:tcW w:w="2209" w:type="dxa"/>
            <w:shd w:val="clear" w:color="auto" w:fill="BFBFBF"/>
            <w:vAlign w:val="center"/>
          </w:tcPr>
          <w:p w:rsidR="0040704B" w:rsidRPr="00D877B4" w:rsidRDefault="0040704B" w:rsidP="00D877B4">
            <w:pPr>
              <w:suppressAutoHyphens/>
              <w:jc w:val="center"/>
              <w:rPr>
                <w:rFonts w:ascii="Arial" w:hAnsi="Arial" w:cs="Arial"/>
                <w:b/>
                <w:smallCaps/>
                <w:lang w:val="es-ES"/>
              </w:rPr>
            </w:pPr>
            <w:r w:rsidRPr="00D877B4">
              <w:rPr>
                <w:rFonts w:ascii="Arial" w:hAnsi="Arial" w:cs="Arial"/>
                <w:b/>
                <w:smallCaps/>
                <w:lang w:val="es-ES"/>
              </w:rPr>
              <w:t>Agencia a cargo del medio de verificación</w:t>
            </w:r>
          </w:p>
        </w:tc>
      </w:tr>
      <w:tr w:rsidR="0040704B" w:rsidRPr="00D877B4" w:rsidTr="00D877B4">
        <w:tc>
          <w:tcPr>
            <w:tcW w:w="11013" w:type="dxa"/>
            <w:gridSpan w:val="4"/>
            <w:shd w:val="clear" w:color="auto" w:fill="D9D9D9" w:themeFill="background1" w:themeFillShade="D9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lang w:val="es-AR"/>
              </w:rPr>
            </w:pPr>
            <w:r w:rsidRPr="00D877B4">
              <w:rPr>
                <w:rFonts w:ascii="Arial" w:hAnsi="Arial" w:cs="Arial"/>
                <w:b/>
                <w:lang w:val="es-ES_tradnl"/>
              </w:rPr>
              <w:t>Componente I. Estabilidad macroeconómica</w:t>
            </w:r>
          </w:p>
        </w:tc>
        <w:tc>
          <w:tcPr>
            <w:tcW w:w="2209" w:type="dxa"/>
            <w:shd w:val="clear" w:color="auto" w:fill="D9D9D9" w:themeFill="background1" w:themeFillShade="D9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0704B" w:rsidRPr="00A906F0" w:rsidTr="00D877B4">
        <w:tc>
          <w:tcPr>
            <w:tcW w:w="2431" w:type="dxa"/>
            <w:shd w:val="clear" w:color="auto" w:fill="auto"/>
          </w:tcPr>
          <w:p w:rsidR="0040704B" w:rsidRPr="00D877B4" w:rsidRDefault="0040704B" w:rsidP="00D877B4">
            <w:pPr>
              <w:suppressAutoHyphens/>
              <w:ind w:left="9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Contribuir a la mejora de la estabilidad macroeconómica.</w:t>
            </w:r>
          </w:p>
        </w:tc>
        <w:tc>
          <w:tcPr>
            <w:tcW w:w="2120" w:type="dxa"/>
            <w:shd w:val="clear" w:color="auto" w:fill="auto"/>
          </w:tcPr>
          <w:p w:rsidR="0040704B" w:rsidRPr="00D877B4" w:rsidRDefault="0040704B" w:rsidP="00D877B4">
            <w:pPr>
              <w:suppressAutoHyphens/>
              <w:ind w:left="342" w:hanging="342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1. El marco macroeconómico del Prestatario es estable y consistente con los objetivos del Programa y la Carta de Política Sectorial.</w:t>
            </w:r>
          </w:p>
        </w:tc>
        <w:tc>
          <w:tcPr>
            <w:tcW w:w="2953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AR"/>
              </w:rPr>
              <w:t xml:space="preserve">1. Evaluación Independiente de Condiciones Macroeconómicas (IAMC) </w:t>
            </w:r>
            <w:r w:rsidR="001E5D70" w:rsidRPr="00D877B4">
              <w:rPr>
                <w:rFonts w:ascii="Arial" w:hAnsi="Arial" w:cs="Arial"/>
                <w:sz w:val="18"/>
                <w:szCs w:val="18"/>
                <w:lang w:val="es-AR"/>
              </w:rPr>
              <w:t>preparada por el Banco y vigente al momento del desembolso.</w:t>
            </w:r>
          </w:p>
        </w:tc>
        <w:tc>
          <w:tcPr>
            <w:tcW w:w="2209" w:type="dxa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</w:tr>
      <w:tr w:rsidR="0040704B" w:rsidRPr="00A906F0" w:rsidTr="00D877B4">
        <w:trPr>
          <w:trHeight w:val="312"/>
        </w:trPr>
        <w:tc>
          <w:tcPr>
            <w:tcW w:w="11013" w:type="dxa"/>
            <w:gridSpan w:val="4"/>
            <w:shd w:val="clear" w:color="auto" w:fill="D9D9D9" w:themeFill="background1" w:themeFillShade="D9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lang w:val="es-ES_tradnl"/>
              </w:rPr>
            </w:pPr>
            <w:r w:rsidRPr="00D877B4">
              <w:rPr>
                <w:rFonts w:ascii="Arial" w:hAnsi="Arial" w:cs="Arial"/>
                <w:b/>
                <w:lang w:val="es-ES_tradnl"/>
              </w:rPr>
              <w:t>Componente II. Reforma y consolidación del marco normativo e institucional de logística</w:t>
            </w:r>
          </w:p>
        </w:tc>
        <w:tc>
          <w:tcPr>
            <w:tcW w:w="2209" w:type="dxa"/>
            <w:shd w:val="clear" w:color="auto" w:fill="D9D9D9" w:themeFill="background1" w:themeFillShade="D9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0704B" w:rsidRPr="00A906F0" w:rsidTr="00D877B4">
        <w:trPr>
          <w:trHeight w:val="312"/>
        </w:trPr>
        <w:tc>
          <w:tcPr>
            <w:tcW w:w="11013" w:type="dxa"/>
            <w:gridSpan w:val="4"/>
            <w:shd w:val="clear" w:color="auto" w:fill="D9D9D9" w:themeFill="background1" w:themeFillShade="D9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lang w:val="es-ES_tradnl"/>
              </w:rPr>
            </w:pPr>
            <w:r w:rsidRPr="00D877B4">
              <w:rPr>
                <w:rFonts w:ascii="Arial" w:hAnsi="Arial" w:cs="Arial"/>
                <w:b/>
                <w:lang w:val="es-ES_tradnl"/>
              </w:rPr>
              <w:t>Subcomponente II.1. Reforma del marco normativo de logística</w:t>
            </w:r>
          </w:p>
        </w:tc>
        <w:tc>
          <w:tcPr>
            <w:tcW w:w="2209" w:type="dxa"/>
            <w:shd w:val="clear" w:color="auto" w:fill="D9D9D9" w:themeFill="background1" w:themeFillShade="D9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0704B" w:rsidRPr="00D877B4" w:rsidTr="00D877B4">
        <w:trPr>
          <w:trHeight w:val="686"/>
        </w:trPr>
        <w:tc>
          <w:tcPr>
            <w:tcW w:w="2431" w:type="dxa"/>
            <w:vMerge w:val="restart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Consolidar un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marco normativo de logística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que introduzca una visión de largo plazo y establezca los lineamientos del sector, incluyendo tres niveles: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1"/>
              </w:numPr>
              <w:suppressAutoHyphens/>
              <w:ind w:left="176" w:hanging="142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objetivos, programas y proyectos;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1"/>
              </w:numPr>
              <w:suppressAutoHyphens/>
              <w:ind w:left="176" w:hanging="142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Visión de largo plazo, estrategia de abordaje y sistema de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monitoreo;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1"/>
              </w:numPr>
              <w:suppressAutoHyphens/>
              <w:ind w:left="176" w:hanging="142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lineamientos de políticas, elementos fundamentales del sector de logística  y competencias institucionales.</w:t>
            </w:r>
          </w:p>
        </w:tc>
        <w:tc>
          <w:tcPr>
            <w:tcW w:w="2120" w:type="dxa"/>
            <w:vMerge w:val="restart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Ministerio de la Presidencia</w:t>
            </w:r>
          </w:p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2.1 Aprobación por el Gabinete Logístico (GL)  del P</w:t>
            </w:r>
            <w:r w:rsidR="00061938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lan Nacional de Logística (PN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LOG</w:t>
            </w:r>
            <w:r w:rsidR="00061938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)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,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incluyendo objetivos, programas y proyectos.</w:t>
            </w:r>
          </w:p>
        </w:tc>
        <w:tc>
          <w:tcPr>
            <w:tcW w:w="2953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2.1 Nota Oficial del Ministerio de la Presidencia que aprueba y remite una revisión del PNLOG, el cual incluye objetivos, programas y proyectos. </w:t>
            </w:r>
          </w:p>
        </w:tc>
        <w:tc>
          <w:tcPr>
            <w:tcW w:w="2209" w:type="dxa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Presidencia</w:t>
            </w:r>
          </w:p>
        </w:tc>
      </w:tr>
      <w:tr w:rsidR="0040704B" w:rsidRPr="00D877B4" w:rsidTr="00E04665">
        <w:trPr>
          <w:trHeight w:val="1362"/>
        </w:trPr>
        <w:tc>
          <w:tcPr>
            <w:tcW w:w="2431" w:type="dxa"/>
            <w:vMerge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2.2 Aprobación por el GL de la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Estrategia Logística Nacional (ELN), incluyendo la visión del sector, estrategia de abordaje y sistema de monitoreo.</w:t>
            </w:r>
          </w:p>
        </w:tc>
        <w:tc>
          <w:tcPr>
            <w:tcW w:w="2953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2.2 Nota Oficial del Ministerio de la Presidencia aprobando la hoja de ruta que forma parte consistente de la ELN, la cual incluye visión del sector, una estrategia de abordaje y un </w:t>
            </w: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sistema de monitoreo.  </w:t>
            </w:r>
          </w:p>
        </w:tc>
        <w:tc>
          <w:tcPr>
            <w:tcW w:w="2209" w:type="dxa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Ministerio de Presidencia</w:t>
            </w:r>
          </w:p>
        </w:tc>
      </w:tr>
      <w:tr w:rsidR="0040704B" w:rsidRPr="003D7E61" w:rsidTr="00D877B4">
        <w:trPr>
          <w:trHeight w:val="1529"/>
        </w:trPr>
        <w:tc>
          <w:tcPr>
            <w:tcW w:w="2431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Reformar el marco legal aduanero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a fin de dar cumplimiento al protocolo de integración de Panamá a</w:t>
            </w:r>
            <w:r w:rsidR="008028E6" w:rsidRPr="00D877B4">
              <w:rPr>
                <w:rFonts w:ascii="Arial" w:hAnsi="Arial" w:cs="Arial"/>
                <w:sz w:val="18"/>
                <w:szCs w:val="18"/>
                <w:lang w:val="es-ES"/>
              </w:rPr>
              <w:t>l Sistema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de Integración Económica Centroamericana (SIECA) y armonizarlo con el código aduanero regional (CAUCA, RECAUCA).</w:t>
            </w:r>
          </w:p>
        </w:tc>
        <w:tc>
          <w:tcPr>
            <w:tcW w:w="2120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pt-BR"/>
              </w:rPr>
              <w:t>Autoridad Nacional de Aduanas  (ANA)</w:t>
            </w: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pt-BR"/>
              </w:rPr>
              <w:t>Ministério de Comercio e Indústrias (MICI)</w:t>
            </w:r>
          </w:p>
          <w:p w:rsidR="006A0595" w:rsidRPr="00D877B4" w:rsidRDefault="006A0595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6A0595" w:rsidRPr="00D877B4" w:rsidRDefault="006A0595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pt-BR"/>
              </w:rPr>
              <w:t>Consejo de Gabinete</w:t>
            </w: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D701DE">
            <w:pPr>
              <w:jc w:val="both"/>
              <w:rPr>
                <w:rFonts w:ascii="Arial" w:hAnsi="Arial" w:cs="Arial"/>
                <w:spacing w:val="-2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3. </w:t>
            </w:r>
            <w:r w:rsidR="003D7E61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Aprobación del nuevo marco legal aduanero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que permit</w:t>
            </w:r>
            <w:r w:rsidR="000D258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a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la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armonización con el código aduanero regional de Centroamérica</w:t>
            </w:r>
            <w:r w:rsidR="004379F1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.</w:t>
            </w:r>
            <w:r w:rsidR="004379F1" w:rsidRPr="00A906F0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El nuevo marco legal incluye,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entre otros la</w:t>
            </w:r>
            <w:r w:rsidR="000D258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: (i)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simplificación de trámites aduaneros</w:t>
            </w:r>
            <w:r w:rsidR="000D258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; (ii)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la facilitación de procesos</w:t>
            </w:r>
            <w:r w:rsidR="000D258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;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y</w:t>
            </w:r>
            <w:r w:rsidR="000D258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(iii)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la creación</w:t>
            </w:r>
            <w:r w:rsidR="00D701DE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nuevas competencias en materia aduanera al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Tribunal Penal y</w:t>
            </w:r>
            <w:r w:rsidR="00A84A1B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a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la Defensoría de Oficio.</w:t>
            </w:r>
          </w:p>
        </w:tc>
        <w:tc>
          <w:tcPr>
            <w:tcW w:w="2953" w:type="dxa"/>
            <w:shd w:val="clear" w:color="auto" w:fill="auto"/>
          </w:tcPr>
          <w:p w:rsidR="003D7E61" w:rsidRDefault="0040704B" w:rsidP="003D7E61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3</w:t>
            </w:r>
            <w:r w:rsidR="003D7E6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.1 </w:t>
            </w:r>
          </w:p>
          <w:p w:rsidR="003D7E61" w:rsidRDefault="003D7E61" w:rsidP="003D7E61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a. Aprobación por el Consejo de Gabinete del Decreto Ejecutivo para la simplificación de trámites aduaneros y la facilitación de procesos.</w:t>
            </w:r>
          </w:p>
          <w:p w:rsidR="0040704B" w:rsidRPr="00D877B4" w:rsidRDefault="003D7E61" w:rsidP="00D63E68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b. Aprobación por la Asamblea de la Ley del GAFI No. 23/2015 que incluye </w:t>
            </w:r>
            <w:r w:rsidR="005033C8">
              <w:rPr>
                <w:rFonts w:ascii="Arial" w:hAnsi="Arial" w:cs="Arial"/>
                <w:sz w:val="18"/>
                <w:szCs w:val="18"/>
                <w:lang w:val="es-ES_tradnl"/>
              </w:rPr>
              <w:t>los aspectos penales aduaneros (esta Ley</w:t>
            </w:r>
            <w:r w:rsidR="008E476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fo</w:t>
            </w:r>
            <w:r w:rsidR="00D63E68">
              <w:rPr>
                <w:rFonts w:ascii="Arial" w:hAnsi="Arial" w:cs="Arial"/>
                <w:sz w:val="18"/>
                <w:szCs w:val="18"/>
                <w:lang w:val="es-ES_tradnl"/>
              </w:rPr>
              <w:t>r</w:t>
            </w:r>
            <w:r w:rsidR="008E4763">
              <w:rPr>
                <w:rFonts w:ascii="Arial" w:hAnsi="Arial" w:cs="Arial"/>
                <w:sz w:val="18"/>
                <w:szCs w:val="18"/>
                <w:lang w:val="es-ES_tradnl"/>
              </w:rPr>
              <w:t>talece</w:t>
            </w:r>
            <w:r w:rsidR="005033C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 Ley 26/2013 la cual entre otros, estableció el Tribunal</w:t>
            </w:r>
            <w:r w:rsidR="00D63E6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Aduanero, competente en temas tributarios y administrativos</w:t>
            </w:r>
            <w:r w:rsidR="005033C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). </w:t>
            </w:r>
          </w:p>
        </w:tc>
        <w:tc>
          <w:tcPr>
            <w:tcW w:w="2209" w:type="dxa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AR"/>
              </w:rPr>
              <w:t>Consejo de Gabinete</w:t>
            </w:r>
          </w:p>
        </w:tc>
      </w:tr>
      <w:tr w:rsidR="00AE11BE" w:rsidRPr="00A906F0" w:rsidTr="00D877B4">
        <w:trPr>
          <w:trHeight w:val="4601"/>
        </w:trPr>
        <w:tc>
          <w:tcPr>
            <w:tcW w:w="2431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Modificar el marco legal de servicios marítimos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con el objetivo de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estimular la Inversión directa extranjera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en el subsector de servicios marítimos auxiliares.</w:t>
            </w:r>
          </w:p>
        </w:tc>
        <w:tc>
          <w:tcPr>
            <w:tcW w:w="2120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>Autoridad Marítima de Panamá (AMP)</w:t>
            </w:r>
          </w:p>
        </w:tc>
        <w:tc>
          <w:tcPr>
            <w:tcW w:w="3509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4.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 xml:space="preserve">Aprobación por parte de la AMP de un Plan de Desarrollo de IED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en servicios marítimos auxiliares.</w:t>
            </w:r>
          </w:p>
        </w:tc>
        <w:tc>
          <w:tcPr>
            <w:tcW w:w="2953" w:type="dxa"/>
            <w:shd w:val="clear" w:color="auto" w:fill="auto"/>
          </w:tcPr>
          <w:p w:rsidR="00AE11BE" w:rsidRDefault="00AE11BE" w:rsidP="00D877B4">
            <w:pPr>
              <w:pStyle w:val="ListParagraph"/>
              <w:ind w:left="16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4. </w:t>
            </w:r>
            <w:r w:rsidR="00212BB1" w:rsidRPr="00A906F0">
              <w:rPr>
                <w:rFonts w:ascii="Arial" w:hAnsi="Arial" w:cs="Arial"/>
                <w:sz w:val="18"/>
                <w:lang w:val="es-ES_tradnl"/>
              </w:rPr>
              <w:t>Nota</w:t>
            </w:r>
            <w:r w:rsidRPr="00A906F0">
              <w:rPr>
                <w:rFonts w:ascii="Arial" w:hAnsi="Arial" w:cs="Arial"/>
                <w:sz w:val="18"/>
                <w:lang w:val="es-ES_tradnl"/>
              </w:rPr>
              <w:t xml:space="preserve"> de la AMP aprobando </w:t>
            </w:r>
            <w:r w:rsidR="0009300D" w:rsidRPr="00D877B4">
              <w:rPr>
                <w:rFonts w:ascii="Arial" w:hAnsi="Arial" w:cs="Arial"/>
                <w:sz w:val="18"/>
                <w:szCs w:val="18"/>
                <w:lang w:val="es-ES_tradnl"/>
              </w:rPr>
              <w:t>las acciones de incentivo a la</w:t>
            </w: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IED en servicios marítimos auxiliares, conforme la Ley de Servicios Marítimos Auxiliares.</w:t>
            </w:r>
            <w:r w:rsidR="0009300D" w:rsidRPr="00D877B4">
              <w:rPr>
                <w:rFonts w:ascii="Arial" w:hAnsi="Arial" w:cs="Arial"/>
                <w:sz w:val="18"/>
                <w:szCs w:val="18"/>
                <w:lang w:val="es-ES_tradnl"/>
              </w:rPr>
              <w:t>, incluyendo:</w:t>
            </w:r>
          </w:p>
          <w:p w:rsidR="00212BB1" w:rsidRDefault="00212BB1" w:rsidP="00D877B4">
            <w:pPr>
              <w:pStyle w:val="ListParagraph"/>
              <w:ind w:left="16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a. Resolución No. 63/2015 que aprueba modelo de sanciones a empresas irregulares.</w:t>
            </w:r>
          </w:p>
          <w:p w:rsidR="00212BB1" w:rsidRDefault="00212BB1" w:rsidP="00D877B4">
            <w:pPr>
              <w:pStyle w:val="ListParagraph"/>
              <w:ind w:left="16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b.</w:t>
            </w:r>
            <w:r w:rsidR="000D258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Modelo de Clústers de servicios marítimos auxiliares.</w:t>
            </w:r>
          </w:p>
          <w:p w:rsidR="00212BB1" w:rsidRPr="00D877B4" w:rsidRDefault="00212BB1" w:rsidP="00D877B4">
            <w:pPr>
              <w:pStyle w:val="ListParagraph"/>
              <w:ind w:left="16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c. Publicación de empresas con licencias de operación y permisos provisionales.</w:t>
            </w:r>
          </w:p>
          <w:p w:rsidR="0009300D" w:rsidRPr="00D877B4" w:rsidRDefault="0009300D" w:rsidP="00A906F0">
            <w:pPr>
              <w:rPr>
                <w:lang w:val="es-ES_tradnl"/>
              </w:rPr>
            </w:pPr>
          </w:p>
        </w:tc>
        <w:tc>
          <w:tcPr>
            <w:tcW w:w="2209" w:type="dxa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Autoridad Marítima de Panamá (AMP)</w:t>
            </w:r>
          </w:p>
        </w:tc>
      </w:tr>
      <w:tr w:rsidR="0040704B" w:rsidRPr="00A906F0" w:rsidTr="00D877B4">
        <w:trPr>
          <w:trHeight w:val="314"/>
        </w:trPr>
        <w:tc>
          <w:tcPr>
            <w:tcW w:w="11013" w:type="dxa"/>
            <w:gridSpan w:val="4"/>
            <w:shd w:val="clear" w:color="auto" w:fill="D9D9D9" w:themeFill="background1" w:themeFillShade="D9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lang w:val="es-ES_tradnl"/>
              </w:rPr>
            </w:pPr>
            <w:r w:rsidRPr="00D877B4">
              <w:rPr>
                <w:rFonts w:ascii="Arial" w:hAnsi="Arial" w:cs="Arial"/>
                <w:b/>
                <w:lang w:val="es-ES"/>
              </w:rPr>
              <w:t>Subcomponente II.2. Consolidación del marco institucional de logística y transporte</w:t>
            </w:r>
          </w:p>
        </w:tc>
        <w:tc>
          <w:tcPr>
            <w:tcW w:w="2209" w:type="dxa"/>
            <w:shd w:val="clear" w:color="auto" w:fill="D9D9D9" w:themeFill="background1" w:themeFillShade="D9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  <w:tr w:rsidR="00AE11BE" w:rsidRPr="00D877B4" w:rsidTr="00D877B4">
        <w:trPr>
          <w:trHeight w:val="2501"/>
        </w:trPr>
        <w:tc>
          <w:tcPr>
            <w:tcW w:w="243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34D68" w:rsidRPr="00C34D68" w:rsidRDefault="00C34D68" w:rsidP="00C34D68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C34D68">
              <w:rPr>
                <w:rFonts w:ascii="Arial" w:hAnsi="Arial" w:cs="Arial"/>
                <w:b/>
                <w:sz w:val="18"/>
                <w:szCs w:val="18"/>
                <w:lang w:val="es-AR"/>
              </w:rPr>
              <w:t>Fortalecer el marco organizacional y el contexto institucional</w:t>
            </w:r>
            <w:r w:rsidRPr="00C34D68">
              <w:rPr>
                <w:rFonts w:ascii="Arial" w:hAnsi="Arial" w:cs="Arial"/>
                <w:sz w:val="18"/>
                <w:szCs w:val="18"/>
                <w:lang w:val="es-AR"/>
              </w:rPr>
              <w:t xml:space="preserve"> con el propósito de consolidar una instancia interinstitucional al más alto nivel de Gobierno que facilite la coordinación y la toma de decisiones en materia de </w:t>
            </w:r>
          </w:p>
          <w:p w:rsidR="00C34D68" w:rsidRPr="00C34D68" w:rsidRDefault="00C34D68" w:rsidP="00C34D68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C34D68">
              <w:rPr>
                <w:rFonts w:ascii="Arial" w:hAnsi="Arial" w:cs="Arial"/>
                <w:sz w:val="18"/>
                <w:szCs w:val="18"/>
                <w:lang w:val="es-AR"/>
              </w:rPr>
              <w:t xml:space="preserve">logística integrando el sector privado. </w:t>
            </w:r>
          </w:p>
          <w:p w:rsidR="00C34D68" w:rsidRPr="00C34D68" w:rsidRDefault="00C34D68" w:rsidP="00C34D68">
            <w:pPr>
              <w:pStyle w:val="Default"/>
              <w:spacing w:before="60" w:after="60"/>
              <w:ind w:hanging="193"/>
              <w:jc w:val="both"/>
              <w:rPr>
                <w:sz w:val="18"/>
                <w:szCs w:val="18"/>
                <w:lang w:val="es-ES_tradnl"/>
              </w:rPr>
            </w:pPr>
          </w:p>
          <w:p w:rsidR="00AE11BE" w:rsidRPr="00C34D68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Ministerio de la Presidencia</w:t>
            </w: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highlight w:val="green"/>
                <w:lang w:val="es-ES_tradnl"/>
              </w:rPr>
            </w:pPr>
          </w:p>
          <w:p w:rsidR="00647A45" w:rsidRPr="00D877B4" w:rsidRDefault="00647A45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Coordinación Logística</w:t>
            </w:r>
          </w:p>
          <w:p w:rsidR="00647A45" w:rsidRPr="00D877B4" w:rsidRDefault="00647A45" w:rsidP="00D877B4">
            <w:pPr>
              <w:jc w:val="both"/>
              <w:rPr>
                <w:rFonts w:ascii="Arial" w:hAnsi="Arial" w:cs="Arial"/>
                <w:sz w:val="18"/>
                <w:szCs w:val="18"/>
                <w:highlight w:val="green"/>
                <w:lang w:val="es-ES_tradnl"/>
              </w:rPr>
            </w:pPr>
          </w:p>
        </w:tc>
        <w:tc>
          <w:tcPr>
            <w:tcW w:w="35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5.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Fortalecimiento de la gestión de la CL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por medio de</w:t>
            </w:r>
            <w:r w:rsidR="009E0422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la creación del comité consultivo </w:t>
            </w:r>
            <w:r w:rsidR="00EC20F9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permanente</w:t>
            </w:r>
            <w:r w:rsidR="009E0422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="00EC20F9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d</w:t>
            </w:r>
            <w:r w:rsidR="009E0422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el sector privado y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la a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probación del plan de trabajo plurianual de la CL incluyendo</w:t>
            </w:r>
            <w:r w:rsidRPr="00D877B4">
              <w:rPr>
                <w:rFonts w:ascii="Arial" w:hAnsi="Arial" w:cs="Arial"/>
                <w:spacing w:val="-2"/>
                <w:lang w:val="es-ES_tradnl"/>
              </w:rPr>
              <w:t xml:space="preserve">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la asignación de recursos humanos y técnicos para la elaboración de: (i) el proyecto de ley del Sistema Logístico Nacional; y (ii) la definición los indicadores de seguimiento y  el esquema de monitoreo y evaluación.</w:t>
            </w:r>
          </w:p>
        </w:tc>
        <w:tc>
          <w:tcPr>
            <w:tcW w:w="2953" w:type="dxa"/>
            <w:tcBorders>
              <w:bottom w:val="single" w:sz="4" w:space="0" w:color="auto"/>
            </w:tcBorders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5.1 Decisión Administrativa del Ministerio de la Presidencia aprobando el Plan de Trabajo plurianual de la CL, el cual incluye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la asignación de recursos humanos y técnicos para la elaboración de, entre otros: (i) el proyecto de ley del Sistema Logístico Nacional; y (ii) la definición los indicadores de seguimiento y  el esquema de monitoreo y evaluación.</w:t>
            </w:r>
          </w:p>
        </w:tc>
        <w:tc>
          <w:tcPr>
            <w:tcW w:w="2209" w:type="dxa"/>
            <w:vMerge w:val="restart"/>
            <w:tcBorders>
              <w:bottom w:val="single" w:sz="4" w:space="0" w:color="auto"/>
            </w:tcBorders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Presidencia</w:t>
            </w:r>
          </w:p>
        </w:tc>
      </w:tr>
      <w:tr w:rsidR="00AE11BE" w:rsidRPr="00A906F0" w:rsidTr="00A01365">
        <w:trPr>
          <w:trHeight w:val="603"/>
        </w:trPr>
        <w:tc>
          <w:tcPr>
            <w:tcW w:w="2431" w:type="dxa"/>
            <w:vMerge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509" w:type="dxa"/>
            <w:vMerge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5.2 Decreto Ejecutivo No. 696 de 2015 que crea el Comité Consultivo permanente como ente de consulta y asesoría del Gabinete Logístico. </w:t>
            </w:r>
          </w:p>
        </w:tc>
        <w:tc>
          <w:tcPr>
            <w:tcW w:w="2209" w:type="dxa"/>
            <w:vMerge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AE11BE" w:rsidRPr="00D877B4" w:rsidTr="00D877B4">
        <w:trPr>
          <w:trHeight w:val="2189"/>
        </w:trPr>
        <w:tc>
          <w:tcPr>
            <w:tcW w:w="2431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AR"/>
              </w:rPr>
              <w:lastRenderedPageBreak/>
              <w:t>Consolidar una instancia interinstitucional al  más alto nivel de Gobierno</w:t>
            </w:r>
            <w:r w:rsidRPr="00D877B4">
              <w:rPr>
                <w:rFonts w:ascii="Arial" w:hAnsi="Arial" w:cs="Arial"/>
                <w:sz w:val="18"/>
                <w:szCs w:val="18"/>
                <w:lang w:val="es-AR"/>
              </w:rPr>
              <w:t xml:space="preserve"> que facilite la coordinación y la toma de decisiones entre todas las instituciones clave del sector de logística e integrando también al sector privado.</w:t>
            </w:r>
          </w:p>
        </w:tc>
        <w:tc>
          <w:tcPr>
            <w:tcW w:w="2120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la Presidencia</w:t>
            </w:r>
          </w:p>
          <w:p w:rsidR="00647A45" w:rsidRPr="00D877B4" w:rsidRDefault="00647A45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647A45" w:rsidRPr="00D877B4" w:rsidRDefault="00647A45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Coordinación Logística</w:t>
            </w: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509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6. Aprobación por el GL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del Informe de Gestión de la CL con los productos y resultados vinculados al plan de trabajo del año precedente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así como directrices estratégicas para el próximo año.</w:t>
            </w: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6. Nota del Ministerio de la Presidencia enviando la Memoria Anual de la Secretaría de Competitividad y Logística a la Asamblea Nacional, el cual incluye los productos y resultados vinculados al Plan de Trabajo del año precedente, y directrices estratégicas para el siguiente año.</w:t>
            </w:r>
          </w:p>
        </w:tc>
        <w:tc>
          <w:tcPr>
            <w:tcW w:w="2209" w:type="dxa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Presidencia</w:t>
            </w:r>
          </w:p>
        </w:tc>
      </w:tr>
      <w:tr w:rsidR="0040704B" w:rsidRPr="00A906F0" w:rsidTr="00D877B4">
        <w:trPr>
          <w:trHeight w:val="278"/>
        </w:trPr>
        <w:tc>
          <w:tcPr>
            <w:tcW w:w="11013" w:type="dxa"/>
            <w:gridSpan w:val="4"/>
            <w:shd w:val="clear" w:color="auto" w:fill="D9D9D9" w:themeFill="background1" w:themeFillShade="D9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lang w:val="es-ES_tradnl"/>
              </w:rPr>
            </w:pPr>
            <w:r w:rsidRPr="00D877B4">
              <w:rPr>
                <w:rFonts w:ascii="Arial" w:hAnsi="Arial" w:cs="Arial"/>
                <w:b/>
                <w:lang w:val="es-ES"/>
              </w:rPr>
              <w:t>Componente III. Establecimiento y modernización de procesos de planificación integral y facilitación comercial</w:t>
            </w:r>
          </w:p>
        </w:tc>
        <w:tc>
          <w:tcPr>
            <w:tcW w:w="2209" w:type="dxa"/>
            <w:shd w:val="clear" w:color="auto" w:fill="D9D9D9" w:themeFill="background1" w:themeFillShade="D9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  <w:tr w:rsidR="0040704B" w:rsidRPr="00A906F0" w:rsidTr="00D877B4">
        <w:trPr>
          <w:trHeight w:val="404"/>
        </w:trPr>
        <w:tc>
          <w:tcPr>
            <w:tcW w:w="11013" w:type="dxa"/>
            <w:gridSpan w:val="4"/>
            <w:shd w:val="clear" w:color="auto" w:fill="D9D9D9" w:themeFill="background1" w:themeFillShade="D9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lang w:val="es-ES_tradnl"/>
              </w:rPr>
            </w:pPr>
            <w:r w:rsidRPr="00D877B4">
              <w:rPr>
                <w:rFonts w:ascii="Arial" w:hAnsi="Arial" w:cs="Arial"/>
                <w:b/>
                <w:lang w:val="es-ES_tradnl"/>
              </w:rPr>
              <w:t>Subcomponente III.1. Establecimiento de procesos de planificación integral</w:t>
            </w:r>
          </w:p>
        </w:tc>
        <w:tc>
          <w:tcPr>
            <w:tcW w:w="2209" w:type="dxa"/>
            <w:shd w:val="clear" w:color="auto" w:fill="D9D9D9" w:themeFill="background1" w:themeFillShade="D9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40704B" w:rsidRPr="00D877B4" w:rsidTr="0009300D">
        <w:trPr>
          <w:trHeight w:val="566"/>
        </w:trPr>
        <w:tc>
          <w:tcPr>
            <w:tcW w:w="2431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Desarrollar un Plan de Transporte y Logística de la Zona Interoceánica (PTLZI)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con el fin de ordenar las inversiones en el área del Canal y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fomentar el desarrollo de actividades de valor agregado.</w:t>
            </w:r>
          </w:p>
        </w:tc>
        <w:tc>
          <w:tcPr>
            <w:tcW w:w="2120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Presidencia</w:t>
            </w:r>
          </w:p>
          <w:p w:rsidR="00136651" w:rsidRDefault="00136651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Ambiente</w:t>
            </w:r>
          </w:p>
          <w:p w:rsidR="00136651" w:rsidRDefault="00136651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36651" w:rsidRDefault="00136651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Gabinete Logístico</w:t>
            </w:r>
          </w:p>
          <w:p w:rsidR="0040704B" w:rsidRPr="00D877B4" w:rsidRDefault="00647A45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Autoridad del Canal de Panamá</w:t>
            </w: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7.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Elaboración del PTLZI, incluyendo los siguientes aspectos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: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9"/>
              </w:num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Tamaño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la futura demanda de valor agregado en la zona interoceánica; 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9"/>
              </w:num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Suelos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disponibles;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9"/>
              </w:num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Planes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y proyectos de transporte e infraestructura logística relevantes;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9"/>
              </w:num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Requerimientos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inversión; 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9"/>
              </w:num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Propuestas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mecanismos que permitan armonizar las competencias de diferentes entidades públicas; y</w:t>
            </w:r>
          </w:p>
          <w:p w:rsidR="0040704B" w:rsidRPr="00D877B4" w:rsidRDefault="0040704B" w:rsidP="00D877B4">
            <w:pPr>
              <w:pStyle w:val="ListParagraph"/>
              <w:numPr>
                <w:ilvl w:val="0"/>
                <w:numId w:val="9"/>
              </w:numPr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E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valuación estratégica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ambiental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.</w:t>
            </w:r>
          </w:p>
        </w:tc>
        <w:tc>
          <w:tcPr>
            <w:tcW w:w="2953" w:type="dxa"/>
            <w:shd w:val="clear" w:color="auto" w:fill="auto"/>
          </w:tcPr>
          <w:p w:rsidR="0040704B" w:rsidRPr="00D877B4" w:rsidRDefault="00911C18" w:rsidP="00A009E1">
            <w:pPr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7. </w:t>
            </w:r>
            <w:r w:rsidR="00212BB1">
              <w:rPr>
                <w:rFonts w:ascii="Arial" w:hAnsi="Arial" w:cs="Arial"/>
                <w:sz w:val="18"/>
                <w:szCs w:val="18"/>
                <w:lang w:val="es-ES_tradnl"/>
              </w:rPr>
              <w:t>Acta</w:t>
            </w:r>
            <w:r w:rsidR="0009300D"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</w:t>
            </w:r>
            <w:r w:rsidR="0040704B" w:rsidRPr="00D877B4">
              <w:rPr>
                <w:rFonts w:ascii="Arial" w:hAnsi="Arial" w:cs="Arial"/>
                <w:sz w:val="18"/>
                <w:szCs w:val="18"/>
                <w:lang w:val="es-ES_tradnl"/>
              </w:rPr>
              <w:t>Gabinete Logístico</w:t>
            </w:r>
            <w:r w:rsidR="004F52C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que designa la ACP como</w:t>
            </w:r>
            <w:r w:rsidR="0040704B"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 entidad responsable de la elaboración del PTLZI</w:t>
            </w:r>
            <w:r w:rsidR="009071CA"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 adjunta los términos de referencia con los alcances del plan</w:t>
            </w:r>
            <w:r w:rsidR="0040704B"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</w:p>
        </w:tc>
        <w:tc>
          <w:tcPr>
            <w:tcW w:w="2209" w:type="dxa"/>
          </w:tcPr>
          <w:p w:rsidR="0040704B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Presidencia</w:t>
            </w:r>
          </w:p>
        </w:tc>
      </w:tr>
      <w:tr w:rsidR="00EC20F9" w:rsidRPr="00D877B4" w:rsidTr="00463BEB">
        <w:trPr>
          <w:trHeight w:val="3309"/>
        </w:trPr>
        <w:tc>
          <w:tcPr>
            <w:tcW w:w="2431" w:type="dxa"/>
            <w:shd w:val="clear" w:color="auto" w:fill="auto"/>
          </w:tcPr>
          <w:p w:rsidR="00EC20F9" w:rsidRPr="00D877B4" w:rsidRDefault="00EC20F9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Desarrollar un Plan Maestro de Transporte y  Logística (PMTL)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a fin de integrar la planificación multimodal de infraestructura y los servicios logísticos a nivel nacional,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tomando en cuenta  los principales sectores económicos incluyendo los productores agrícolas.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</w:tcPr>
          <w:p w:rsidR="00EC20F9" w:rsidRDefault="00EC20F9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pt-BR"/>
              </w:rPr>
              <w:t>Ministerio de Presidencia</w:t>
            </w:r>
          </w:p>
          <w:p w:rsidR="00A1643C" w:rsidRDefault="00A1643C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A1643C" w:rsidRPr="00D877B4" w:rsidRDefault="00A1643C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Coordinación Logística</w:t>
            </w:r>
          </w:p>
          <w:p w:rsidR="00EC20F9" w:rsidRPr="00D877B4" w:rsidRDefault="00EC20F9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EC20F9" w:rsidRPr="00D877B4" w:rsidRDefault="00EC20F9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EC20F9" w:rsidRPr="00D877B4" w:rsidRDefault="00EC20F9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EC20F9" w:rsidRPr="00D877B4" w:rsidRDefault="00EC20F9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3509" w:type="dxa"/>
            <w:shd w:val="clear" w:color="auto" w:fill="auto"/>
          </w:tcPr>
          <w:p w:rsidR="00EC20F9" w:rsidRPr="00D877B4" w:rsidRDefault="00EC20F9" w:rsidP="00D877B4">
            <w:pPr>
              <w:suppressAutoHyphens/>
              <w:jc w:val="both"/>
              <w:rPr>
                <w:rFonts w:ascii="Arial" w:hAnsi="Arial" w:cs="Arial"/>
                <w:smallCaps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8.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Elaboración del PMTL e incorporación de su seguimiento a las actividades de las mesas de trabajo.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El PMT</w:t>
            </w:r>
            <w:r w:rsidRPr="00D877B4">
              <w:rPr>
                <w:rFonts w:ascii="Arial" w:hAnsi="Arial" w:cs="Arial"/>
                <w:smallCaps/>
                <w:spacing w:val="-2"/>
                <w:sz w:val="18"/>
                <w:szCs w:val="18"/>
                <w:lang w:val="es-ES_tradnl"/>
              </w:rPr>
              <w:t xml:space="preserve">L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debe incluir:</w:t>
            </w:r>
          </w:p>
          <w:p w:rsidR="00EC20F9" w:rsidRPr="00D877B4" w:rsidRDefault="00EC20F9" w:rsidP="00D877B4">
            <w:pPr>
              <w:pStyle w:val="ListParagraph"/>
              <w:numPr>
                <w:ilvl w:val="0"/>
                <w:numId w:val="10"/>
              </w:numPr>
              <w:suppressAutoHyphens/>
              <w:ind w:left="200" w:hanging="142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Identificación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necesidades de infraestructura y servicios de los principales segmentos logísticos, y los flujos nacionales e internacionales derivados;</w:t>
            </w:r>
          </w:p>
          <w:p w:rsidR="00EC20F9" w:rsidRPr="00D877B4" w:rsidRDefault="00EC20F9" w:rsidP="00D877B4">
            <w:pPr>
              <w:pStyle w:val="ListParagraph"/>
              <w:numPr>
                <w:ilvl w:val="0"/>
                <w:numId w:val="10"/>
              </w:numPr>
              <w:suppressAutoHyphens/>
              <w:ind w:left="200" w:hanging="142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Integración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las iniciativas existentes en materia de infraestructura y servicios;</w:t>
            </w:r>
          </w:p>
          <w:p w:rsidR="00EC20F9" w:rsidRPr="00D877B4" w:rsidRDefault="00EC20F9" w:rsidP="00D877B4">
            <w:pPr>
              <w:pStyle w:val="ListParagraph"/>
              <w:numPr>
                <w:ilvl w:val="0"/>
                <w:numId w:val="10"/>
              </w:numPr>
              <w:suppressAutoHyphens/>
              <w:ind w:left="200" w:hanging="142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Propuesta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los proyectos de transporte e infraestructura logística relevantes; y </w:t>
            </w:r>
          </w:p>
          <w:p w:rsidR="00EC20F9" w:rsidRPr="00D877B4" w:rsidRDefault="00EC20F9" w:rsidP="00D877B4">
            <w:pPr>
              <w:pStyle w:val="ListParagraph"/>
              <w:numPr>
                <w:ilvl w:val="0"/>
                <w:numId w:val="10"/>
              </w:numPr>
              <w:suppressAutoHyphens/>
              <w:ind w:left="200" w:hanging="142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Priorización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las inversiones, y propuesta de modelos de gestión para la inversión privada en dicha infraestructura.</w:t>
            </w:r>
          </w:p>
        </w:tc>
        <w:tc>
          <w:tcPr>
            <w:tcW w:w="2953" w:type="dxa"/>
            <w:shd w:val="clear" w:color="auto" w:fill="auto"/>
          </w:tcPr>
          <w:p w:rsidR="00EC20F9" w:rsidRPr="00D877B4" w:rsidRDefault="00EC20F9" w:rsidP="00D877B4">
            <w:pPr>
              <w:jc w:val="both"/>
              <w:rPr>
                <w:rFonts w:ascii="Arial" w:hAnsi="Arial" w:cs="Arial"/>
                <w:spacing w:val="-2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8. Nota del </w:t>
            </w:r>
            <w:r w:rsidR="003728C6"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</w:t>
            </w: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Presidencia aprobando la propuesta de gobernanza y alcance técnico  para el sistema multimodal de planificación y de la elaboración del PMTL.</w:t>
            </w:r>
          </w:p>
        </w:tc>
        <w:tc>
          <w:tcPr>
            <w:tcW w:w="2209" w:type="dxa"/>
          </w:tcPr>
          <w:p w:rsidR="00EC20F9" w:rsidRPr="00D877B4" w:rsidRDefault="00EC20F9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C20F9" w:rsidRPr="00D877B4" w:rsidRDefault="00EC20F9" w:rsidP="00D877B4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bCs/>
                <w:sz w:val="18"/>
                <w:szCs w:val="18"/>
                <w:lang w:val="es-ES_tradnl"/>
              </w:rPr>
              <w:t>Ministerio de Presidencia</w:t>
            </w:r>
          </w:p>
          <w:p w:rsidR="00EC20F9" w:rsidRPr="00D877B4" w:rsidRDefault="00EC20F9" w:rsidP="00D877B4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  <w:p w:rsidR="00EC20F9" w:rsidRPr="00D877B4" w:rsidRDefault="00EC20F9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AE11BE" w:rsidRPr="00D877B4" w:rsidTr="00D877B4">
        <w:trPr>
          <w:trHeight w:val="389"/>
        </w:trPr>
        <w:tc>
          <w:tcPr>
            <w:tcW w:w="2431" w:type="dxa"/>
            <w:vMerge w:val="restart"/>
            <w:shd w:val="clear" w:color="auto" w:fill="auto"/>
          </w:tcPr>
          <w:p w:rsidR="00AE11BE" w:rsidRPr="00D877B4" w:rsidRDefault="00AE11BE" w:rsidP="00D87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Desarrollar instrumentos de ordenamiento y planificación territorial a nivel nacional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que permitan el adecuado uso de las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potencialidades productivas y logísticas del país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>. Lo que incluye: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>desarrollar una política de ordenamiento territorial a nivel nacional para fortalecer y alinear las capacidades político institucional.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modificar, simplificar y desarrollar el marco legal 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 xml:space="preserve">vigente en materia de planificación y gestión del desarrollo territorial 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>actualizar el Plan de Desarrollo Urbano de las áreas metropolitanas del Pacífico y Atlántico.</w:t>
            </w:r>
          </w:p>
        </w:tc>
        <w:tc>
          <w:tcPr>
            <w:tcW w:w="2120" w:type="dxa"/>
            <w:vMerge w:val="restart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Ministerio de Vivienda y Ordenamiento Territorial (MIVIOT)</w:t>
            </w:r>
          </w:p>
        </w:tc>
        <w:tc>
          <w:tcPr>
            <w:tcW w:w="3509" w:type="dxa"/>
            <w:vMerge w:val="restart"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9.1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Aprobación de</w:t>
            </w:r>
            <w:r w:rsidR="00132EA4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 xml:space="preserve">l Plan </w:t>
            </w:r>
            <w:r w:rsidR="005601C5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Estratégico</w:t>
            </w:r>
            <w:r w:rsidR="00132EA4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 xml:space="preserve"> del </w:t>
            </w:r>
            <w:r w:rsidR="00EC20F9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MIVIOT que contiene</w:t>
            </w:r>
            <w:r w:rsidR="00132EA4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 xml:space="preserve"> los lineamientos de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 xml:space="preserve"> la Política Nacional de Ordenamiento Territorial (PNOT)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enfocado</w:t>
            </w:r>
            <w:r w:rsidR="00762B37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en las potencialidades productivas y logísticas del país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, y aprobación </w:t>
            </w:r>
            <w:r w:rsidR="00132EA4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de </w:t>
            </w:r>
            <w:r w:rsidR="00EC20F9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reg</w:t>
            </w:r>
            <w:r w:rsidR="00762B37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lamentos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="00EC20F9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sobre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ordenamiento territorial para el desarrollo urbano.</w:t>
            </w:r>
            <w:r w:rsidR="00132EA4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9.1 Decisión Administrativa del MIVIOT aprobando el 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Plan </w:t>
            </w:r>
            <w:r w:rsidR="00580882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Quinquenal de Inversiones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</w:t>
            </w:r>
            <w:r w:rsidR="00580882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que establece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los lineamientos de la Política de Ordenamiento Territorial (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PNOT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)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enfo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cada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en el potencial productivo y logístico del país.</w:t>
            </w:r>
          </w:p>
        </w:tc>
        <w:tc>
          <w:tcPr>
            <w:tcW w:w="2209" w:type="dxa"/>
            <w:vMerge w:val="restart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MIVIOT</w:t>
            </w:r>
          </w:p>
        </w:tc>
      </w:tr>
      <w:tr w:rsidR="00AE11BE" w:rsidRPr="00A906F0" w:rsidTr="006F44BB">
        <w:trPr>
          <w:trHeight w:val="472"/>
        </w:trPr>
        <w:tc>
          <w:tcPr>
            <w:tcW w:w="2431" w:type="dxa"/>
            <w:vMerge/>
            <w:shd w:val="clear" w:color="auto" w:fill="auto"/>
          </w:tcPr>
          <w:p w:rsidR="00AE11BE" w:rsidRPr="00D877B4" w:rsidRDefault="00AE11BE" w:rsidP="00D87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509" w:type="dxa"/>
            <w:vMerge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9.2 Ley No. 14 de 2015 aprobatoria del reglamento de ordenamiento territorial para el desarrollo urbano.</w:t>
            </w:r>
          </w:p>
        </w:tc>
        <w:tc>
          <w:tcPr>
            <w:tcW w:w="2209" w:type="dxa"/>
            <w:vMerge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</w:p>
        </w:tc>
      </w:tr>
      <w:tr w:rsidR="00AE11BE" w:rsidRPr="00A906F0" w:rsidTr="006F44BB">
        <w:trPr>
          <w:trHeight w:val="847"/>
        </w:trPr>
        <w:tc>
          <w:tcPr>
            <w:tcW w:w="2431" w:type="dxa"/>
            <w:vMerge/>
            <w:shd w:val="clear" w:color="auto" w:fill="auto"/>
          </w:tcPr>
          <w:p w:rsidR="00AE11BE" w:rsidRPr="00D877B4" w:rsidRDefault="00AE11BE" w:rsidP="00D87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509" w:type="dxa"/>
            <w:vMerge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4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9.3 Resolución 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No. 732 de 2015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del MIVIOT aprobando los lineamientos 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para la tramitación de Planes y Esquemas de Ordenamiento Territorial, parte 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lastRenderedPageBreak/>
              <w:t>constitutiva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l</w:t>
            </w:r>
            <w:r w:rsidR="00132EA4"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a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PNOT.</w:t>
            </w:r>
          </w:p>
        </w:tc>
        <w:tc>
          <w:tcPr>
            <w:tcW w:w="2209" w:type="dxa"/>
            <w:vMerge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</w:p>
        </w:tc>
      </w:tr>
      <w:tr w:rsidR="00AE11BE" w:rsidRPr="00D877B4" w:rsidTr="00D877B4">
        <w:trPr>
          <w:trHeight w:val="1586"/>
        </w:trPr>
        <w:tc>
          <w:tcPr>
            <w:tcW w:w="2431" w:type="dxa"/>
            <w:vMerge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509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9.2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Actualización del Plan de Desarrollo Urbano de las áreas metropolitanas del Pacífico y el Atlántico, incorporando cambios originados en las consultas públicas,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con el objetivo de identificar áreas prioritarias para fortalecer el desarrollo logístico nacional.</w:t>
            </w: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9.4 Nota Oficial del MIVIOT que remite al Consejo de Gabinete la actualización del Plan de Desarrollo Urbano de las áreas metropolitanas del Pacífico y el Atlántico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en torno a la identificación de áreas prioritarias para fortalecer el desarrollo logístico nacional.</w:t>
            </w:r>
          </w:p>
        </w:tc>
        <w:tc>
          <w:tcPr>
            <w:tcW w:w="2209" w:type="dxa"/>
          </w:tcPr>
          <w:p w:rsidR="00AE11BE" w:rsidRPr="00D877B4" w:rsidRDefault="00AE11BE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MIVIOT</w:t>
            </w:r>
          </w:p>
        </w:tc>
      </w:tr>
      <w:tr w:rsidR="0000596D" w:rsidRPr="00A906F0" w:rsidTr="00A906F0">
        <w:trPr>
          <w:trHeight w:val="353"/>
        </w:trPr>
        <w:tc>
          <w:tcPr>
            <w:tcW w:w="13222" w:type="dxa"/>
            <w:gridSpan w:val="5"/>
            <w:shd w:val="clear" w:color="auto" w:fill="D9D9D9" w:themeFill="background1" w:themeFillShade="D9"/>
          </w:tcPr>
          <w:p w:rsidR="0000596D" w:rsidRPr="00A906F0" w:rsidRDefault="0000596D" w:rsidP="00D877B4">
            <w:pPr>
              <w:suppressAutoHyphens/>
              <w:ind w:hanging="10"/>
              <w:jc w:val="both"/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</w:pPr>
            <w:r w:rsidRPr="00A906F0">
              <w:rPr>
                <w:rFonts w:ascii="Arial" w:hAnsi="Arial" w:cs="Arial"/>
                <w:b/>
                <w:sz w:val="18"/>
                <w:szCs w:val="18"/>
                <w:lang w:val="es-ES"/>
              </w:rPr>
              <w:t>Subcomponente III.2. Modernización de los proceso de facilitación comercial</w:t>
            </w:r>
            <w:bookmarkStart w:id="0" w:name="_GoBack"/>
            <w:bookmarkEnd w:id="0"/>
          </w:p>
        </w:tc>
      </w:tr>
      <w:tr w:rsidR="00AE11BE" w:rsidRPr="00D877B4" w:rsidTr="00D877B4">
        <w:trPr>
          <w:trHeight w:val="659"/>
        </w:trPr>
        <w:tc>
          <w:tcPr>
            <w:tcW w:w="2431" w:type="dxa"/>
            <w:vMerge w:val="restart"/>
            <w:shd w:val="clear" w:color="auto" w:fill="auto"/>
          </w:tcPr>
          <w:p w:rsidR="00AE11BE" w:rsidRPr="00D877B4" w:rsidRDefault="00AE11BE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Implementar los compromisos asumidos por Panamá en torno de los acuerdos de facilitación de comercio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establecido con Organizaciones internacionales buscando modernizar los procesos de facilitación comercial, específicamente: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4"/>
              </w:numPr>
              <w:suppressAutoHyphens/>
              <w:ind w:left="284" w:hanging="28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Los compromisos del convenio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FAL 65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de Facilitación del Tráfico Marítimo de Mercancías establecido en la 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Organización Marítima Internacional (OMI).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4"/>
              </w:numPr>
              <w:suppressAutoHyphens/>
              <w:ind w:left="288" w:hanging="288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Los compromisos de Acuerdo sobre Facilitación del Comercio de la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Organización Mundial del Comercio (OMC) – Paquete de Bali</w:t>
            </w:r>
          </w:p>
          <w:p w:rsidR="00D877B4" w:rsidRPr="00D877B4" w:rsidRDefault="00D877B4" w:rsidP="00D877B4">
            <w:pPr>
              <w:pStyle w:val="ListParagraph"/>
              <w:suppressAutoHyphens/>
              <w:ind w:left="288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2120" w:type="dxa"/>
            <w:vMerge w:val="restart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pt-BR"/>
              </w:rPr>
              <w:lastRenderedPageBreak/>
              <w:t>AMP</w:t>
            </w: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pt-BR"/>
              </w:rPr>
              <w:t>ACP</w:t>
            </w: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AE11BE" w:rsidRPr="00D877B4" w:rsidRDefault="00647A45" w:rsidP="00D877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pt-BR"/>
              </w:rPr>
              <w:t>MICI</w:t>
            </w:r>
          </w:p>
        </w:tc>
        <w:tc>
          <w:tcPr>
            <w:tcW w:w="3509" w:type="dxa"/>
            <w:shd w:val="clear" w:color="auto" w:fill="auto"/>
          </w:tcPr>
          <w:p w:rsidR="00AE11BE" w:rsidRPr="00D877B4" w:rsidRDefault="00AE11BE" w:rsidP="00D877B4">
            <w:pPr>
              <w:suppressAutoHyphens/>
              <w:ind w:left="-18" w:firstLine="8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10.1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Aprobación de procesos armonizados entre los sistemas de recepción de naves de la ACP y la AMP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en el área de influencia del canal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en el marco del acuerdo FAL65.</w:t>
            </w: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10.1 Nota Oficial de AMP que aprueba avances en torno a los procesos armonizados entre los sistemas de recepción de naves de la ACP  y la AMP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en el área de influencia del canal en el marco del acuerdo FAL</w:t>
            </w:r>
            <w:r w:rsidR="000D258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65</w:t>
            </w:r>
          </w:p>
        </w:tc>
        <w:tc>
          <w:tcPr>
            <w:tcW w:w="2209" w:type="dxa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AMP</w:t>
            </w:r>
          </w:p>
        </w:tc>
      </w:tr>
      <w:tr w:rsidR="0040704B" w:rsidRPr="00D877B4" w:rsidTr="00D877B4">
        <w:trPr>
          <w:trHeight w:val="1808"/>
        </w:trPr>
        <w:tc>
          <w:tcPr>
            <w:tcW w:w="2431" w:type="dxa"/>
            <w:vMerge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D877B4">
            <w:pPr>
              <w:suppressAutoHyphens/>
              <w:ind w:left="-18" w:firstLine="8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10.2 </w:t>
            </w:r>
            <w:r w:rsidR="00AE5095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Aprobación y publicación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de</w:t>
            </w:r>
            <w:r w:rsidR="00AE5095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 la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 Ley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para </w:t>
            </w:r>
            <w:r w:rsidR="00671D6D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ratificación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del</w:t>
            </w:r>
            <w:r w:rsidR="00E476D1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AR"/>
              </w:rPr>
              <w:t xml:space="preserve">Acuerdo sobre Facilitación del Comercio de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AR"/>
              </w:rPr>
              <w:t xml:space="preserve">la OMC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AR"/>
              </w:rPr>
              <w:noBreakHyphen/>
              <w:t>Paquete de Bali.</w:t>
            </w:r>
          </w:p>
        </w:tc>
        <w:tc>
          <w:tcPr>
            <w:tcW w:w="2953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10.2 Publicación en la gaceta Oficial de la Ley No. 55 del 9 de septiembre de 2015, que adopta el Protocolo del Acuerdo de Marrakech, por el cual se establece la OMC, y el Anexo a dicho Protocolo referente al Acuerdo sobre Facilitación del Comercio. </w:t>
            </w:r>
          </w:p>
        </w:tc>
        <w:tc>
          <w:tcPr>
            <w:tcW w:w="2209" w:type="dxa"/>
          </w:tcPr>
          <w:p w:rsidR="0040704B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MICI</w:t>
            </w:r>
          </w:p>
        </w:tc>
      </w:tr>
      <w:tr w:rsidR="0040704B" w:rsidRPr="00D877B4" w:rsidTr="00D877B4">
        <w:trPr>
          <w:trHeight w:val="1095"/>
        </w:trPr>
        <w:tc>
          <w:tcPr>
            <w:tcW w:w="2431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Implementar los compromisos asumidos por Panamá en torno de los acuerdos de facilitación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de comercio acordadas por el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Consejo de Ministros de Integración y Comercio de Centroamérica (COMIECO)</w:t>
            </w:r>
          </w:p>
        </w:tc>
        <w:tc>
          <w:tcPr>
            <w:tcW w:w="2120" w:type="dxa"/>
            <w:shd w:val="clear" w:color="auto" w:fill="auto"/>
          </w:tcPr>
          <w:p w:rsidR="0040704B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Agencia Nacional de Aduanas (ANA)</w:t>
            </w: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11570A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>11.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A906F0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Definición de medidas </w:t>
            </w:r>
            <w:r w:rsidR="00AF2A4F" w:rsidRPr="00A906F0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de facilitación del comercio acordadas en el Consejo de Integración y Comercio de Centroamérica (“COMIECO”), para su implementación en el corto plazo en la República de Panamá. Dichas medidas, deberán incluir, entre otros, la </w:t>
            </w:r>
            <w:r w:rsidRPr="003D7E61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asignación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de presupuesto o recurso</w:t>
            </w:r>
            <w:r w:rsidR="0011570A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s financieros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para su implementación.</w:t>
            </w:r>
          </w:p>
        </w:tc>
        <w:tc>
          <w:tcPr>
            <w:tcW w:w="2953" w:type="dxa"/>
            <w:shd w:val="clear" w:color="auto" w:fill="auto"/>
          </w:tcPr>
          <w:p w:rsidR="0040704B" w:rsidRPr="00D877B4" w:rsidRDefault="0040704B" w:rsidP="007C5D43">
            <w:pPr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11. Nota Oficial de ANA que especifica el conjunto de medidas de corto plazo específicas en el marco de COM</w:t>
            </w:r>
            <w:r w:rsidR="007C5D43">
              <w:rPr>
                <w:rFonts w:ascii="Arial" w:hAnsi="Arial" w:cs="Arial"/>
                <w:sz w:val="18"/>
                <w:szCs w:val="18"/>
                <w:lang w:val="es-ES_tradnl"/>
              </w:rPr>
              <w:t>IE</w:t>
            </w: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CO,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incluyendo asignación de presupuesto o recurso</w:t>
            </w:r>
            <w:r w:rsidR="000D258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</w:t>
            </w:r>
            <w:r w:rsidR="007C5D43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>financieros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para su implementación.</w:t>
            </w:r>
          </w:p>
        </w:tc>
        <w:tc>
          <w:tcPr>
            <w:tcW w:w="2209" w:type="dxa"/>
          </w:tcPr>
          <w:p w:rsidR="0040704B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ANA</w:t>
            </w:r>
          </w:p>
        </w:tc>
      </w:tr>
      <w:tr w:rsidR="00AE11BE" w:rsidRPr="00D877B4" w:rsidTr="00D877B4">
        <w:trPr>
          <w:trHeight w:val="749"/>
        </w:trPr>
        <w:tc>
          <w:tcPr>
            <w:tcW w:w="2431" w:type="dxa"/>
            <w:vMerge w:val="restart"/>
            <w:shd w:val="clear" w:color="auto" w:fill="auto"/>
          </w:tcPr>
          <w:p w:rsidR="00AE11BE" w:rsidRPr="00D877B4" w:rsidRDefault="00AE11BE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AR"/>
              </w:rPr>
              <w:t>Promover la sistematización de las operaciones de control de comercio exterior,</w:t>
            </w:r>
            <w:r w:rsidRPr="00D877B4">
              <w:rPr>
                <w:rFonts w:ascii="Arial" w:hAnsi="Arial" w:cs="Arial"/>
                <w:sz w:val="18"/>
                <w:szCs w:val="18"/>
                <w:lang w:val="es-AR"/>
              </w:rPr>
              <w:t xml:space="preserve"> incluyendo, entre otros: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5"/>
              </w:numPr>
              <w:suppressAutoHyphens/>
              <w:ind w:left="176" w:hanging="142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AR"/>
              </w:rPr>
              <w:t>Modernización del Sistema de Gestión Aduanera (SIGA)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5"/>
              </w:numPr>
              <w:suppressAutoHyphens/>
              <w:ind w:left="176" w:hanging="142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AR"/>
              </w:rPr>
              <w:t xml:space="preserve">La adaptación completa del  (SIGA) a los procedimientos y prácticas panameñas y las derivadas de la integración regional centroamericano (CAUCA, RECAUCA); </w:t>
            </w:r>
          </w:p>
          <w:p w:rsidR="00AE11BE" w:rsidRPr="00D877B4" w:rsidRDefault="00AE11BE" w:rsidP="00D877B4">
            <w:pPr>
              <w:pStyle w:val="ListParagraph"/>
              <w:numPr>
                <w:ilvl w:val="0"/>
                <w:numId w:val="5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AR"/>
              </w:rPr>
              <w:lastRenderedPageBreak/>
              <w:t>El desarrollo de la Ventanilla Única de Comercio Exterior (VUCE).</w:t>
            </w:r>
          </w:p>
        </w:tc>
        <w:tc>
          <w:tcPr>
            <w:tcW w:w="2120" w:type="dxa"/>
            <w:vMerge w:val="restart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ANA</w:t>
            </w: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426B9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MICI</w:t>
            </w:r>
          </w:p>
          <w:p w:rsidR="00E426B9" w:rsidRDefault="00E426B9" w:rsidP="00E426B9">
            <w:pPr>
              <w:rPr>
                <w:rFonts w:ascii="Arial" w:hAnsi="Arial" w:cs="Arial"/>
                <w:sz w:val="18"/>
                <w:szCs w:val="18"/>
              </w:rPr>
            </w:pPr>
          </w:p>
          <w:p w:rsidR="00AE11BE" w:rsidRPr="00E426B9" w:rsidRDefault="00AE11BE" w:rsidP="00A906F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9" w:type="dxa"/>
            <w:vMerge w:val="restart"/>
            <w:shd w:val="clear" w:color="auto" w:fill="auto"/>
          </w:tcPr>
          <w:p w:rsidR="00AE11BE" w:rsidRPr="00D877B4" w:rsidRDefault="00AE11BE" w:rsidP="002E22C3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12.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Incorporación a las plataformas SIGA y VUCE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  <w:t xml:space="preserve"> de las modificaciones de los procesos aduaneros definidos en el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marco del proceso de integración regional centroamericano</w:t>
            </w:r>
            <w:r w:rsidR="002E22C3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 xml:space="preserve"> (Código Aduanero Uniforme Centroamericano- “CAUCA”- y Reglamento del Código Uniforme Aduanero “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RECAUCA</w:t>
            </w:r>
            <w:r w:rsidR="002E22C3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”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"/>
              </w:rPr>
              <w:t>).</w:t>
            </w: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12.1 </w:t>
            </w:r>
            <w:r w:rsidR="00580882" w:rsidRPr="00D877B4">
              <w:rPr>
                <w:rFonts w:ascii="Arial" w:hAnsi="Arial" w:cs="Arial"/>
                <w:sz w:val="18"/>
                <w:szCs w:val="18"/>
                <w:lang w:val="es-ES_tradnl"/>
              </w:rPr>
              <w:t>Nota oficial</w:t>
            </w: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MICI presentando los avances logrados en torno a la plataforma VUCE, en el marco del proceso de integración regional centroamericano.</w:t>
            </w:r>
          </w:p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2209" w:type="dxa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MICI</w:t>
            </w:r>
          </w:p>
        </w:tc>
      </w:tr>
      <w:tr w:rsidR="0040704B" w:rsidRPr="00D877B4" w:rsidTr="00D877B4">
        <w:trPr>
          <w:trHeight w:val="1495"/>
        </w:trPr>
        <w:tc>
          <w:tcPr>
            <w:tcW w:w="2431" w:type="dxa"/>
            <w:vMerge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  <w:lang w:val="es-AR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509" w:type="dxa"/>
            <w:vMerge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"/>
              </w:rPr>
            </w:pPr>
          </w:p>
        </w:tc>
        <w:tc>
          <w:tcPr>
            <w:tcW w:w="2953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12.2 Nota Oficial de ANA presentando los avances logrados en torno a la incorporación de acciones propias del proceso de integración regional centroamericana (CAUCA y RECAUCA), relacionados con la plataforma SIGA.</w:t>
            </w:r>
          </w:p>
        </w:tc>
        <w:tc>
          <w:tcPr>
            <w:tcW w:w="2209" w:type="dxa"/>
          </w:tcPr>
          <w:p w:rsidR="0040704B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ANA</w:t>
            </w:r>
          </w:p>
        </w:tc>
      </w:tr>
      <w:tr w:rsidR="00AE11BE" w:rsidRPr="00D877B4" w:rsidTr="00634A20">
        <w:trPr>
          <w:trHeight w:val="2151"/>
        </w:trPr>
        <w:tc>
          <w:tcPr>
            <w:tcW w:w="2431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Promover la trazabilidad integral del flujo de mercancías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 por medio de la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digitalización integral 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>de las actividades de apoyo al control de operaciones de comercio exterior.</w:t>
            </w:r>
          </w:p>
        </w:tc>
        <w:tc>
          <w:tcPr>
            <w:tcW w:w="2120" w:type="dxa"/>
            <w:shd w:val="clear" w:color="auto" w:fill="auto"/>
          </w:tcPr>
          <w:p w:rsidR="00AE11BE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Agencia de Inteligencia Gubernamental (AIG)</w:t>
            </w:r>
          </w:p>
        </w:tc>
        <w:tc>
          <w:tcPr>
            <w:tcW w:w="3509" w:type="dxa"/>
            <w:shd w:val="clear" w:color="auto" w:fill="auto"/>
          </w:tcPr>
          <w:p w:rsidR="00AE11BE" w:rsidRPr="00D877B4" w:rsidRDefault="00AE11BE" w:rsidP="00D877B4">
            <w:pPr>
              <w:suppressAutoHyphens/>
              <w:ind w:left="-18" w:firstLine="8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13.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Aprobación por </w:t>
            </w:r>
            <w:r w:rsidR="00515CA0"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la AIG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 del Plan Maestro de Digitalización Integral del Sistema Logístico Nacional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, incluyendo:</w:t>
            </w:r>
          </w:p>
          <w:p w:rsidR="00AE11BE" w:rsidRPr="00D877B4" w:rsidRDefault="00AE11BE" w:rsidP="00D877B4">
            <w:pPr>
              <w:suppressAutoHyphens/>
              <w:ind w:left="407" w:hanging="275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i) Regulación de transferencia y seguridad de datos;</w:t>
            </w:r>
          </w:p>
          <w:p w:rsidR="00AE11BE" w:rsidRPr="00D877B4" w:rsidRDefault="00AE11BE" w:rsidP="00D877B4">
            <w:pPr>
              <w:suppressAutoHyphens/>
              <w:ind w:left="407" w:hanging="275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ii)  </w:t>
            </w:r>
            <w:r w:rsidR="00000BD2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Estandarización de base de datos de entidades del Estado.</w:t>
            </w:r>
          </w:p>
        </w:tc>
        <w:tc>
          <w:tcPr>
            <w:tcW w:w="2953" w:type="dxa"/>
            <w:shd w:val="clear" w:color="auto" w:fill="auto"/>
          </w:tcPr>
          <w:p w:rsidR="00AE11BE" w:rsidRPr="00D877B4" w:rsidRDefault="00AE11BE" w:rsidP="00D877B4">
            <w:pPr>
              <w:suppressAutoHyphens/>
              <w:ind w:left="-18" w:firstLine="8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13. Nota Oficial de la AIG remitiendo al Gabinete Logístico el Plan Maestro de Digitalización Integral del Sistema Logístico Nacional,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incluyendo</w:t>
            </w:r>
            <w:r w:rsidR="002D27E3"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 diseño conceptual de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:</w:t>
            </w:r>
          </w:p>
          <w:p w:rsidR="00AE11BE" w:rsidRPr="00D877B4" w:rsidRDefault="00AE11BE" w:rsidP="00D877B4">
            <w:pPr>
              <w:suppressAutoHyphens/>
              <w:ind w:left="186" w:hanging="186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i)  Regulación de transferencia y seguridad de datos;</w:t>
            </w:r>
          </w:p>
          <w:p w:rsidR="00AE11BE" w:rsidRPr="00D877B4" w:rsidRDefault="00AE11BE" w:rsidP="00D877B4">
            <w:pPr>
              <w:ind w:left="186" w:hanging="186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ii) Estandarización de base de datos de entidades del Estado.</w:t>
            </w:r>
          </w:p>
        </w:tc>
        <w:tc>
          <w:tcPr>
            <w:tcW w:w="2209" w:type="dxa"/>
          </w:tcPr>
          <w:p w:rsidR="00AE11BE" w:rsidRPr="00D877B4" w:rsidRDefault="00AE11BE" w:rsidP="00D877B4">
            <w:pPr>
              <w:suppressAutoHyphens/>
              <w:ind w:left="-18" w:firstLine="8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AIG</w:t>
            </w:r>
          </w:p>
        </w:tc>
      </w:tr>
      <w:tr w:rsidR="0040704B" w:rsidRPr="00D877B4" w:rsidTr="00D877B4">
        <w:tc>
          <w:tcPr>
            <w:tcW w:w="2431" w:type="dxa"/>
            <w:shd w:val="clear" w:color="auto" w:fill="auto"/>
          </w:tcPr>
          <w:p w:rsidR="0040704B" w:rsidRPr="00D877B4" w:rsidRDefault="0040704B" w:rsidP="00D877B4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Promover el intercambio de información entre entidades del Estado </w:t>
            </w: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con el fin de monitorear el desempeño del sistema logístico y facilitar la toma de decisión relacionada a políticas públicas e inversiones.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AMP</w:t>
            </w: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ANA</w:t>
            </w:r>
          </w:p>
        </w:tc>
        <w:tc>
          <w:tcPr>
            <w:tcW w:w="3509" w:type="dxa"/>
            <w:shd w:val="clear" w:color="auto" w:fill="auto"/>
          </w:tcPr>
          <w:p w:rsidR="0040704B" w:rsidRPr="00D877B4" w:rsidRDefault="0040704B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14.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 xml:space="preserve">Aprobación de esquema de intercambio de información estadística entre la AMP y la ANA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para obtener información de parte de empresas individuales. </w:t>
            </w:r>
          </w:p>
        </w:tc>
        <w:tc>
          <w:tcPr>
            <w:tcW w:w="2953" w:type="dxa"/>
            <w:shd w:val="clear" w:color="auto" w:fill="auto"/>
          </w:tcPr>
          <w:p w:rsidR="0040704B" w:rsidRPr="00D877B4" w:rsidRDefault="0040704B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14. Nota oficial de ANA aprobando esquema 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de intercambio de información estadística para obtener información de parte de empresas individuales.</w:t>
            </w:r>
          </w:p>
        </w:tc>
        <w:tc>
          <w:tcPr>
            <w:tcW w:w="2209" w:type="dxa"/>
          </w:tcPr>
          <w:p w:rsidR="0040704B" w:rsidRPr="00D877B4" w:rsidRDefault="00AE11BE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ANA</w:t>
            </w:r>
          </w:p>
        </w:tc>
      </w:tr>
      <w:tr w:rsidR="007B626B" w:rsidRPr="00D877B4" w:rsidTr="00D877B4">
        <w:trPr>
          <w:trHeight w:val="2276"/>
        </w:trPr>
        <w:tc>
          <w:tcPr>
            <w:tcW w:w="2431" w:type="dxa"/>
            <w:shd w:val="clear" w:color="auto" w:fill="auto"/>
          </w:tcPr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 xml:space="preserve">Desarrollar un plan de capacitación técnica en logística 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 xml:space="preserve">con el objetivo de generar una </w:t>
            </w:r>
            <w:r w:rsidRPr="00D877B4">
              <w:rPr>
                <w:rFonts w:ascii="Arial" w:hAnsi="Arial" w:cs="Arial"/>
                <w:b/>
                <w:sz w:val="18"/>
                <w:szCs w:val="18"/>
                <w:lang w:val="es-ES"/>
              </w:rPr>
              <w:t>oferta de recursos humanos adaptada en calidad y cantidad a las necesidades de los distintos subsistemas logísticos del país</w:t>
            </w:r>
            <w:r w:rsidRPr="00D877B4">
              <w:rPr>
                <w:rFonts w:ascii="Arial" w:hAnsi="Arial" w:cs="Arial"/>
                <w:sz w:val="18"/>
                <w:szCs w:val="18"/>
                <w:lang w:val="es-ES"/>
              </w:rPr>
              <w:t>, asegurando su inserción laboral y monitoreando la evolución de las necesidades del sector privado.</w:t>
            </w:r>
          </w:p>
        </w:tc>
        <w:tc>
          <w:tcPr>
            <w:tcW w:w="2120" w:type="dxa"/>
            <w:shd w:val="clear" w:color="auto" w:fill="auto"/>
          </w:tcPr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Presidencia</w:t>
            </w:r>
          </w:p>
          <w:p w:rsidR="007B626B" w:rsidRPr="00D877B4" w:rsidRDefault="007B626B" w:rsidP="00D877B4">
            <w:pPr>
              <w:keepNext/>
              <w:widowControl w:val="0"/>
              <w:suppressAutoHyphens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>Coordinación Logística</w:t>
            </w:r>
          </w:p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9" w:type="dxa"/>
            <w:shd w:val="clear" w:color="auto" w:fill="auto"/>
          </w:tcPr>
          <w:p w:rsidR="007B626B" w:rsidRPr="00D877B4" w:rsidRDefault="007B626B" w:rsidP="00D877B4">
            <w:pPr>
              <w:suppressAutoHyphens/>
              <w:ind w:hanging="10"/>
              <w:jc w:val="both"/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15. </w:t>
            </w:r>
            <w:r w:rsidRPr="00D877B4">
              <w:rPr>
                <w:rFonts w:ascii="Arial" w:hAnsi="Arial" w:cs="Arial"/>
                <w:b/>
                <w:spacing w:val="-2"/>
                <w:sz w:val="18"/>
                <w:szCs w:val="18"/>
                <w:lang w:val="es-ES_tradnl"/>
              </w:rPr>
              <w:t>Remisión al GL del Plan Piloto de Capacitación en Logística</w:t>
            </w:r>
            <w:r w:rsidRPr="00D877B4">
              <w:rPr>
                <w:rFonts w:ascii="Arial" w:hAnsi="Arial" w:cs="Arial"/>
                <w:spacing w:val="-2"/>
                <w:sz w:val="18"/>
                <w:szCs w:val="18"/>
                <w:lang w:val="es-ES_tradnl"/>
              </w:rPr>
              <w:t xml:space="preserve">. </w:t>
            </w:r>
          </w:p>
        </w:tc>
        <w:tc>
          <w:tcPr>
            <w:tcW w:w="2953" w:type="dxa"/>
            <w:shd w:val="clear" w:color="auto" w:fill="auto"/>
          </w:tcPr>
          <w:p w:rsidR="007B626B" w:rsidRPr="00D877B4" w:rsidRDefault="007B626B" w:rsidP="00D25B26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15. Nota Oficial de</w:t>
            </w:r>
            <w:r w:rsidR="00D25B2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 Coordinación del Gabinete Logístico del</w:t>
            </w: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Ministerio de la Presidencia aprobando el Plan Piloto de Capacitación en Logística.</w:t>
            </w:r>
            <w:r w:rsidRPr="00D877B4"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209" w:type="dxa"/>
          </w:tcPr>
          <w:p w:rsidR="007B626B" w:rsidRPr="00D877B4" w:rsidRDefault="007B626B" w:rsidP="00D877B4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877B4">
              <w:rPr>
                <w:rFonts w:ascii="Arial" w:hAnsi="Arial" w:cs="Arial"/>
                <w:sz w:val="18"/>
                <w:szCs w:val="18"/>
                <w:lang w:val="es-ES_tradnl"/>
              </w:rPr>
              <w:t>Ministerio de la Presidencia</w:t>
            </w:r>
          </w:p>
        </w:tc>
      </w:tr>
    </w:tbl>
    <w:p w:rsidR="005841D8" w:rsidRPr="00D877B4" w:rsidRDefault="00A906F0">
      <w:pPr>
        <w:rPr>
          <w:rFonts w:ascii="Arial" w:hAnsi="Arial" w:cs="Arial"/>
          <w:lang w:val="es-AR"/>
        </w:rPr>
      </w:pPr>
    </w:p>
    <w:p w:rsidR="00853082" w:rsidRPr="00D877B4" w:rsidRDefault="00853082">
      <w:pPr>
        <w:rPr>
          <w:rFonts w:ascii="Arial" w:hAnsi="Arial" w:cs="Arial"/>
          <w:lang w:val="es-AR"/>
        </w:rPr>
      </w:pPr>
    </w:p>
    <w:p w:rsidR="00853082" w:rsidRPr="00D877B4" w:rsidRDefault="00853082">
      <w:pPr>
        <w:rPr>
          <w:rFonts w:ascii="Arial" w:hAnsi="Arial" w:cs="Arial"/>
          <w:lang w:val="es-AR"/>
        </w:rPr>
      </w:pPr>
    </w:p>
    <w:sectPr w:rsidR="00853082" w:rsidRPr="00D877B4" w:rsidSect="00D877B4">
      <w:headerReference w:type="default" r:id="rId8"/>
      <w:pgSz w:w="15840" w:h="12240" w:orient="landscape" w:code="1"/>
      <w:pgMar w:top="144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37" w:rsidRDefault="00962137" w:rsidP="00683634">
      <w:r>
        <w:separator/>
      </w:r>
    </w:p>
  </w:endnote>
  <w:endnote w:type="continuationSeparator" w:id="0">
    <w:p w:rsidR="00962137" w:rsidRDefault="00962137" w:rsidP="0068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37" w:rsidRDefault="00962137" w:rsidP="00683634">
      <w:r>
        <w:separator/>
      </w:r>
    </w:p>
  </w:footnote>
  <w:footnote w:type="continuationSeparator" w:id="0">
    <w:p w:rsidR="00962137" w:rsidRDefault="00962137" w:rsidP="00683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1477648756"/>
      <w:docPartObj>
        <w:docPartGallery w:val="Page Numbers (Top of Page)"/>
        <w:docPartUnique/>
      </w:docPartObj>
    </w:sdtPr>
    <w:sdtEndPr>
      <w:rPr>
        <w:sz w:val="22"/>
        <w:szCs w:val="24"/>
      </w:rPr>
    </w:sdtEndPr>
    <w:sdtContent>
      <w:p w:rsidR="00FB6AE7" w:rsidRPr="00A906F0" w:rsidRDefault="00FB6AE7" w:rsidP="00FB6AE7">
        <w:pPr>
          <w:pStyle w:val="Header"/>
          <w:rPr>
            <w:rFonts w:ascii="Arial" w:hAnsi="Arial" w:cs="Arial"/>
            <w:sz w:val="18"/>
            <w:lang w:val="es-ES_tradnl"/>
          </w:rPr>
        </w:pPr>
        <w:r w:rsidRPr="00A906F0">
          <w:rPr>
            <w:rFonts w:ascii="Arial" w:hAnsi="Arial" w:cs="Arial"/>
            <w:sz w:val="18"/>
            <w:lang w:val="es-ES_tradnl"/>
          </w:rPr>
          <w:t>Versi</w:t>
        </w:r>
        <w:r>
          <w:rPr>
            <w:rFonts w:ascii="Arial" w:hAnsi="Arial" w:cs="Arial"/>
            <w:sz w:val="18"/>
            <w:lang w:val="es-ES_tradnl"/>
          </w:rPr>
          <w:t>ón negociada. 21 de marzo de 2016</w:t>
        </w:r>
      </w:p>
      <w:p w:rsidR="00FB6AE7" w:rsidRPr="00A906F0" w:rsidRDefault="00FB6AE7" w:rsidP="00683634">
        <w:pPr>
          <w:pStyle w:val="Header"/>
          <w:jc w:val="right"/>
          <w:rPr>
            <w:rFonts w:ascii="Arial" w:hAnsi="Arial" w:cs="Arial"/>
            <w:sz w:val="22"/>
            <w:szCs w:val="24"/>
            <w:lang w:val="es-ES_tradnl"/>
          </w:rPr>
        </w:pPr>
      </w:p>
      <w:p w:rsidR="00FB6AE7" w:rsidRPr="00A906F0" w:rsidRDefault="00FB6AE7" w:rsidP="00683634">
        <w:pPr>
          <w:pStyle w:val="Header"/>
          <w:jc w:val="right"/>
          <w:rPr>
            <w:rFonts w:ascii="Arial" w:hAnsi="Arial" w:cs="Arial"/>
            <w:sz w:val="22"/>
            <w:szCs w:val="24"/>
            <w:lang w:val="es-ES_tradnl"/>
          </w:rPr>
        </w:pPr>
      </w:p>
      <w:p w:rsidR="00683634" w:rsidRPr="00D877B4" w:rsidRDefault="00683634" w:rsidP="00683634">
        <w:pPr>
          <w:pStyle w:val="Header"/>
          <w:jc w:val="right"/>
          <w:rPr>
            <w:rFonts w:ascii="Arial" w:hAnsi="Arial" w:cs="Arial"/>
            <w:sz w:val="22"/>
            <w:szCs w:val="24"/>
            <w:lang w:val="pt-BR"/>
          </w:rPr>
        </w:pPr>
        <w:r w:rsidRPr="00D877B4">
          <w:rPr>
            <w:rFonts w:ascii="Arial" w:hAnsi="Arial" w:cs="Arial"/>
            <w:sz w:val="22"/>
            <w:szCs w:val="24"/>
            <w:lang w:val="pt-BR"/>
          </w:rPr>
          <w:t>Enlace Electrónico Requerido #3 – PN-L111</w:t>
        </w:r>
        <w:r w:rsidR="00FC5E7F" w:rsidRPr="00D877B4">
          <w:rPr>
            <w:rFonts w:ascii="Arial" w:hAnsi="Arial" w:cs="Arial"/>
            <w:sz w:val="22"/>
            <w:szCs w:val="24"/>
            <w:lang w:val="pt-BR"/>
          </w:rPr>
          <w:t>9</w:t>
        </w:r>
      </w:p>
      <w:p w:rsidR="00683634" w:rsidRPr="00D877B4" w:rsidRDefault="00683634" w:rsidP="00683634">
        <w:pPr>
          <w:pStyle w:val="Header"/>
          <w:jc w:val="right"/>
          <w:rPr>
            <w:rFonts w:ascii="Arial" w:hAnsi="Arial" w:cs="Arial"/>
            <w:sz w:val="22"/>
            <w:szCs w:val="24"/>
          </w:rPr>
        </w:pPr>
        <w:r w:rsidRPr="00D877B4">
          <w:rPr>
            <w:rFonts w:ascii="Arial" w:hAnsi="Arial" w:cs="Arial"/>
            <w:sz w:val="22"/>
            <w:szCs w:val="24"/>
          </w:rPr>
          <w:t xml:space="preserve">Página </w:t>
        </w:r>
        <w:r w:rsidRPr="00D877B4">
          <w:rPr>
            <w:rFonts w:ascii="Arial" w:hAnsi="Arial" w:cs="Arial"/>
            <w:bCs/>
            <w:sz w:val="22"/>
            <w:szCs w:val="24"/>
          </w:rPr>
          <w:fldChar w:fldCharType="begin"/>
        </w:r>
        <w:r w:rsidRPr="00D877B4">
          <w:rPr>
            <w:rFonts w:ascii="Arial" w:hAnsi="Arial" w:cs="Arial"/>
            <w:bCs/>
            <w:sz w:val="22"/>
            <w:szCs w:val="24"/>
          </w:rPr>
          <w:instrText xml:space="preserve"> PAGE </w:instrText>
        </w:r>
        <w:r w:rsidRPr="00D877B4">
          <w:rPr>
            <w:rFonts w:ascii="Arial" w:hAnsi="Arial" w:cs="Arial"/>
            <w:bCs/>
            <w:sz w:val="22"/>
            <w:szCs w:val="24"/>
          </w:rPr>
          <w:fldChar w:fldCharType="separate"/>
        </w:r>
        <w:r w:rsidR="00A906F0">
          <w:rPr>
            <w:rFonts w:ascii="Arial" w:hAnsi="Arial" w:cs="Arial"/>
            <w:bCs/>
            <w:noProof/>
            <w:sz w:val="22"/>
            <w:szCs w:val="24"/>
          </w:rPr>
          <w:t>6</w:t>
        </w:r>
        <w:r w:rsidRPr="00D877B4">
          <w:rPr>
            <w:rFonts w:ascii="Arial" w:hAnsi="Arial" w:cs="Arial"/>
            <w:bCs/>
            <w:sz w:val="22"/>
            <w:szCs w:val="24"/>
          </w:rPr>
          <w:fldChar w:fldCharType="end"/>
        </w:r>
        <w:r w:rsidRPr="00D877B4">
          <w:rPr>
            <w:rFonts w:ascii="Arial" w:hAnsi="Arial" w:cs="Arial"/>
            <w:sz w:val="22"/>
            <w:szCs w:val="24"/>
          </w:rPr>
          <w:t xml:space="preserve"> de </w:t>
        </w:r>
        <w:r w:rsidRPr="00D877B4">
          <w:rPr>
            <w:rFonts w:ascii="Arial" w:hAnsi="Arial" w:cs="Arial"/>
            <w:bCs/>
            <w:sz w:val="22"/>
            <w:szCs w:val="24"/>
          </w:rPr>
          <w:fldChar w:fldCharType="begin"/>
        </w:r>
        <w:r w:rsidRPr="00D877B4">
          <w:rPr>
            <w:rFonts w:ascii="Arial" w:hAnsi="Arial" w:cs="Arial"/>
            <w:bCs/>
            <w:sz w:val="22"/>
            <w:szCs w:val="24"/>
          </w:rPr>
          <w:instrText xml:space="preserve"> NUMPAGES  </w:instrText>
        </w:r>
        <w:r w:rsidRPr="00D877B4">
          <w:rPr>
            <w:rFonts w:ascii="Arial" w:hAnsi="Arial" w:cs="Arial"/>
            <w:bCs/>
            <w:sz w:val="22"/>
            <w:szCs w:val="24"/>
          </w:rPr>
          <w:fldChar w:fldCharType="separate"/>
        </w:r>
        <w:r w:rsidR="00A906F0">
          <w:rPr>
            <w:rFonts w:ascii="Arial" w:hAnsi="Arial" w:cs="Arial"/>
            <w:bCs/>
            <w:noProof/>
            <w:sz w:val="22"/>
            <w:szCs w:val="24"/>
          </w:rPr>
          <w:t>9</w:t>
        </w:r>
        <w:r w:rsidRPr="00D877B4">
          <w:rPr>
            <w:rFonts w:ascii="Arial" w:hAnsi="Arial" w:cs="Arial"/>
            <w:bCs/>
            <w:sz w:val="22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34C"/>
    <w:multiLevelType w:val="hybridMultilevel"/>
    <w:tmpl w:val="634E2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72638"/>
    <w:multiLevelType w:val="hybridMultilevel"/>
    <w:tmpl w:val="47A05552"/>
    <w:lvl w:ilvl="0" w:tplc="98E049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673D3"/>
    <w:multiLevelType w:val="hybridMultilevel"/>
    <w:tmpl w:val="BF1E7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51233"/>
    <w:multiLevelType w:val="hybridMultilevel"/>
    <w:tmpl w:val="D732348C"/>
    <w:lvl w:ilvl="0" w:tplc="4628B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2A1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0D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8B1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1E9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F09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324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2E7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C8B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EB519C0"/>
    <w:multiLevelType w:val="hybridMultilevel"/>
    <w:tmpl w:val="18B071C4"/>
    <w:lvl w:ilvl="0" w:tplc="2C0A0019">
      <w:start w:val="1"/>
      <w:numFmt w:val="lowerLetter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2C4A1C"/>
    <w:multiLevelType w:val="hybridMultilevel"/>
    <w:tmpl w:val="975E7F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E6B86"/>
    <w:multiLevelType w:val="hybridMultilevel"/>
    <w:tmpl w:val="D4A2F39C"/>
    <w:lvl w:ilvl="0" w:tplc="2C0A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3B0F6DC1"/>
    <w:multiLevelType w:val="hybridMultilevel"/>
    <w:tmpl w:val="B7941AF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46BEF"/>
    <w:multiLevelType w:val="hybridMultilevel"/>
    <w:tmpl w:val="F2649326"/>
    <w:lvl w:ilvl="0" w:tplc="85BCF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CA3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29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B8B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9674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BA8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9EF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4AD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F6D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3472C70"/>
    <w:multiLevelType w:val="hybridMultilevel"/>
    <w:tmpl w:val="04884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E727A"/>
    <w:multiLevelType w:val="hybridMultilevel"/>
    <w:tmpl w:val="2682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D4E83"/>
    <w:multiLevelType w:val="hybridMultilevel"/>
    <w:tmpl w:val="98D2408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2">
    <w:nsid w:val="52B06250"/>
    <w:multiLevelType w:val="hybridMultilevel"/>
    <w:tmpl w:val="E6B2F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84B9C"/>
    <w:multiLevelType w:val="hybridMultilevel"/>
    <w:tmpl w:val="E5881984"/>
    <w:lvl w:ilvl="0" w:tplc="47A87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9EF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485F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C87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0D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327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B4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080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7AE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632CCB"/>
    <w:multiLevelType w:val="hybridMultilevel"/>
    <w:tmpl w:val="2E40D88A"/>
    <w:lvl w:ilvl="0" w:tplc="145C78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44EA9"/>
    <w:multiLevelType w:val="hybridMultilevel"/>
    <w:tmpl w:val="1D103D92"/>
    <w:lvl w:ilvl="0" w:tplc="5B38D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A1F6E"/>
    <w:multiLevelType w:val="hybridMultilevel"/>
    <w:tmpl w:val="FB9C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F12DDA"/>
    <w:multiLevelType w:val="hybridMultilevel"/>
    <w:tmpl w:val="AF98FBF2"/>
    <w:lvl w:ilvl="0" w:tplc="E7B83E26">
      <w:start w:val="8"/>
      <w:numFmt w:val="bullet"/>
      <w:lvlText w:val="-"/>
      <w:lvlJc w:val="left"/>
      <w:pPr>
        <w:ind w:left="367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8">
    <w:nsid w:val="75BA3A4F"/>
    <w:multiLevelType w:val="hybridMultilevel"/>
    <w:tmpl w:val="1BBE8FF6"/>
    <w:lvl w:ilvl="0" w:tplc="AD58A41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14" w:hanging="360"/>
      </w:pPr>
    </w:lvl>
    <w:lvl w:ilvl="2" w:tplc="2C0A001B" w:tentative="1">
      <w:start w:val="1"/>
      <w:numFmt w:val="lowerRoman"/>
      <w:lvlText w:val="%3."/>
      <w:lvlJc w:val="right"/>
      <w:pPr>
        <w:ind w:left="1834" w:hanging="180"/>
      </w:pPr>
    </w:lvl>
    <w:lvl w:ilvl="3" w:tplc="2C0A000F" w:tentative="1">
      <w:start w:val="1"/>
      <w:numFmt w:val="decimal"/>
      <w:lvlText w:val="%4."/>
      <w:lvlJc w:val="left"/>
      <w:pPr>
        <w:ind w:left="2554" w:hanging="360"/>
      </w:pPr>
    </w:lvl>
    <w:lvl w:ilvl="4" w:tplc="2C0A0019" w:tentative="1">
      <w:start w:val="1"/>
      <w:numFmt w:val="lowerLetter"/>
      <w:lvlText w:val="%5."/>
      <w:lvlJc w:val="left"/>
      <w:pPr>
        <w:ind w:left="3274" w:hanging="360"/>
      </w:pPr>
    </w:lvl>
    <w:lvl w:ilvl="5" w:tplc="2C0A001B" w:tentative="1">
      <w:start w:val="1"/>
      <w:numFmt w:val="lowerRoman"/>
      <w:lvlText w:val="%6."/>
      <w:lvlJc w:val="right"/>
      <w:pPr>
        <w:ind w:left="3994" w:hanging="180"/>
      </w:pPr>
    </w:lvl>
    <w:lvl w:ilvl="6" w:tplc="2C0A000F" w:tentative="1">
      <w:start w:val="1"/>
      <w:numFmt w:val="decimal"/>
      <w:lvlText w:val="%7."/>
      <w:lvlJc w:val="left"/>
      <w:pPr>
        <w:ind w:left="4714" w:hanging="360"/>
      </w:pPr>
    </w:lvl>
    <w:lvl w:ilvl="7" w:tplc="2C0A0019" w:tentative="1">
      <w:start w:val="1"/>
      <w:numFmt w:val="lowerLetter"/>
      <w:lvlText w:val="%8."/>
      <w:lvlJc w:val="left"/>
      <w:pPr>
        <w:ind w:left="5434" w:hanging="360"/>
      </w:pPr>
    </w:lvl>
    <w:lvl w:ilvl="8" w:tplc="2C0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762D007D"/>
    <w:multiLevelType w:val="hybridMultilevel"/>
    <w:tmpl w:val="C4AA2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8E73D7"/>
    <w:multiLevelType w:val="hybridMultilevel"/>
    <w:tmpl w:val="90B62976"/>
    <w:lvl w:ilvl="0" w:tplc="107829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92A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E05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E8E7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7A4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F88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8C2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26A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240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EB37850"/>
    <w:multiLevelType w:val="hybridMultilevel"/>
    <w:tmpl w:val="FA703808"/>
    <w:lvl w:ilvl="0" w:tplc="BDC02334">
      <w:start w:val="1"/>
      <w:numFmt w:val="lowerRoman"/>
      <w:lvlText w:val="%1)"/>
      <w:lvlJc w:val="left"/>
      <w:pPr>
        <w:ind w:left="851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11" w:hanging="360"/>
      </w:pPr>
    </w:lvl>
    <w:lvl w:ilvl="2" w:tplc="2C0A001B" w:tentative="1">
      <w:start w:val="1"/>
      <w:numFmt w:val="lowerRoman"/>
      <w:lvlText w:val="%3."/>
      <w:lvlJc w:val="right"/>
      <w:pPr>
        <w:ind w:left="1931" w:hanging="180"/>
      </w:pPr>
    </w:lvl>
    <w:lvl w:ilvl="3" w:tplc="2C0A000F" w:tentative="1">
      <w:start w:val="1"/>
      <w:numFmt w:val="decimal"/>
      <w:lvlText w:val="%4."/>
      <w:lvlJc w:val="left"/>
      <w:pPr>
        <w:ind w:left="2651" w:hanging="360"/>
      </w:pPr>
    </w:lvl>
    <w:lvl w:ilvl="4" w:tplc="2C0A0019" w:tentative="1">
      <w:start w:val="1"/>
      <w:numFmt w:val="lowerLetter"/>
      <w:lvlText w:val="%5."/>
      <w:lvlJc w:val="left"/>
      <w:pPr>
        <w:ind w:left="3371" w:hanging="360"/>
      </w:pPr>
    </w:lvl>
    <w:lvl w:ilvl="5" w:tplc="2C0A001B" w:tentative="1">
      <w:start w:val="1"/>
      <w:numFmt w:val="lowerRoman"/>
      <w:lvlText w:val="%6."/>
      <w:lvlJc w:val="right"/>
      <w:pPr>
        <w:ind w:left="4091" w:hanging="180"/>
      </w:pPr>
    </w:lvl>
    <w:lvl w:ilvl="6" w:tplc="2C0A000F" w:tentative="1">
      <w:start w:val="1"/>
      <w:numFmt w:val="decimal"/>
      <w:lvlText w:val="%7."/>
      <w:lvlJc w:val="left"/>
      <w:pPr>
        <w:ind w:left="4811" w:hanging="360"/>
      </w:pPr>
    </w:lvl>
    <w:lvl w:ilvl="7" w:tplc="2C0A0019" w:tentative="1">
      <w:start w:val="1"/>
      <w:numFmt w:val="lowerLetter"/>
      <w:lvlText w:val="%8."/>
      <w:lvlJc w:val="left"/>
      <w:pPr>
        <w:ind w:left="5531" w:hanging="360"/>
      </w:pPr>
    </w:lvl>
    <w:lvl w:ilvl="8" w:tplc="2C0A001B" w:tentative="1">
      <w:start w:val="1"/>
      <w:numFmt w:val="lowerRoman"/>
      <w:lvlText w:val="%9."/>
      <w:lvlJc w:val="right"/>
      <w:pPr>
        <w:ind w:left="6251" w:hanging="18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5"/>
  </w:num>
  <w:num w:numId="5">
    <w:abstractNumId w:val="2"/>
  </w:num>
  <w:num w:numId="6">
    <w:abstractNumId w:val="11"/>
  </w:num>
  <w:num w:numId="7">
    <w:abstractNumId w:val="10"/>
  </w:num>
  <w:num w:numId="8">
    <w:abstractNumId w:val="19"/>
  </w:num>
  <w:num w:numId="9">
    <w:abstractNumId w:val="9"/>
  </w:num>
  <w:num w:numId="10">
    <w:abstractNumId w:val="12"/>
  </w:num>
  <w:num w:numId="11">
    <w:abstractNumId w:val="13"/>
  </w:num>
  <w:num w:numId="12">
    <w:abstractNumId w:val="20"/>
  </w:num>
  <w:num w:numId="13">
    <w:abstractNumId w:val="8"/>
  </w:num>
  <w:num w:numId="14">
    <w:abstractNumId w:val="6"/>
  </w:num>
  <w:num w:numId="15">
    <w:abstractNumId w:val="21"/>
  </w:num>
  <w:num w:numId="16">
    <w:abstractNumId w:val="1"/>
  </w:num>
  <w:num w:numId="17">
    <w:abstractNumId w:val="14"/>
  </w:num>
  <w:num w:numId="18">
    <w:abstractNumId w:val="3"/>
  </w:num>
  <w:num w:numId="19">
    <w:abstractNumId w:val="7"/>
  </w:num>
  <w:num w:numId="20">
    <w:abstractNumId w:val="18"/>
  </w:num>
  <w:num w:numId="21">
    <w:abstractNumId w:val="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34"/>
    <w:rsid w:val="00000BD2"/>
    <w:rsid w:val="0000596D"/>
    <w:rsid w:val="00014767"/>
    <w:rsid w:val="00061938"/>
    <w:rsid w:val="00077CA7"/>
    <w:rsid w:val="0008111C"/>
    <w:rsid w:val="0009300D"/>
    <w:rsid w:val="000950DB"/>
    <w:rsid w:val="000B1686"/>
    <w:rsid w:val="000C4DA9"/>
    <w:rsid w:val="000D2584"/>
    <w:rsid w:val="000D3A5B"/>
    <w:rsid w:val="000E202D"/>
    <w:rsid w:val="0011570A"/>
    <w:rsid w:val="00132EA4"/>
    <w:rsid w:val="00136651"/>
    <w:rsid w:val="001417BF"/>
    <w:rsid w:val="001427A2"/>
    <w:rsid w:val="001A1BEE"/>
    <w:rsid w:val="001B2B35"/>
    <w:rsid w:val="001B3882"/>
    <w:rsid w:val="001C7E99"/>
    <w:rsid w:val="001E39F1"/>
    <w:rsid w:val="001E5D70"/>
    <w:rsid w:val="001F2E18"/>
    <w:rsid w:val="00204C7C"/>
    <w:rsid w:val="00212BB1"/>
    <w:rsid w:val="00232F9A"/>
    <w:rsid w:val="00266089"/>
    <w:rsid w:val="00266A31"/>
    <w:rsid w:val="002674EB"/>
    <w:rsid w:val="00296426"/>
    <w:rsid w:val="002D0AED"/>
    <w:rsid w:val="002D27E3"/>
    <w:rsid w:val="002D4DC3"/>
    <w:rsid w:val="002D6762"/>
    <w:rsid w:val="002E22C3"/>
    <w:rsid w:val="003217BA"/>
    <w:rsid w:val="003244C9"/>
    <w:rsid w:val="00351F4E"/>
    <w:rsid w:val="003723E6"/>
    <w:rsid w:val="003728C6"/>
    <w:rsid w:val="00387DA7"/>
    <w:rsid w:val="003B2040"/>
    <w:rsid w:val="003C4E70"/>
    <w:rsid w:val="003C79E5"/>
    <w:rsid w:val="003D55DE"/>
    <w:rsid w:val="003D7E61"/>
    <w:rsid w:val="0040704B"/>
    <w:rsid w:val="004115F4"/>
    <w:rsid w:val="00436685"/>
    <w:rsid w:val="004379F1"/>
    <w:rsid w:val="00442599"/>
    <w:rsid w:val="0047519B"/>
    <w:rsid w:val="00475FA2"/>
    <w:rsid w:val="00477E96"/>
    <w:rsid w:val="00490099"/>
    <w:rsid w:val="00491E1C"/>
    <w:rsid w:val="004E29F7"/>
    <w:rsid w:val="004E7F1C"/>
    <w:rsid w:val="004F52C7"/>
    <w:rsid w:val="005033C8"/>
    <w:rsid w:val="00512B41"/>
    <w:rsid w:val="00513A5D"/>
    <w:rsid w:val="00515CA0"/>
    <w:rsid w:val="00521E12"/>
    <w:rsid w:val="00525E47"/>
    <w:rsid w:val="0054309A"/>
    <w:rsid w:val="00546FF4"/>
    <w:rsid w:val="00553CE7"/>
    <w:rsid w:val="00554D15"/>
    <w:rsid w:val="00555895"/>
    <w:rsid w:val="005601C5"/>
    <w:rsid w:val="00580882"/>
    <w:rsid w:val="005A5805"/>
    <w:rsid w:val="005A5AF4"/>
    <w:rsid w:val="005B1332"/>
    <w:rsid w:val="005E1415"/>
    <w:rsid w:val="005E68B0"/>
    <w:rsid w:val="005F4954"/>
    <w:rsid w:val="006015D1"/>
    <w:rsid w:val="00620E82"/>
    <w:rsid w:val="00636740"/>
    <w:rsid w:val="00637916"/>
    <w:rsid w:val="00647A45"/>
    <w:rsid w:val="00651A73"/>
    <w:rsid w:val="00671C4C"/>
    <w:rsid w:val="00671D6D"/>
    <w:rsid w:val="00674F4A"/>
    <w:rsid w:val="00674FB1"/>
    <w:rsid w:val="00683634"/>
    <w:rsid w:val="00695998"/>
    <w:rsid w:val="006A0595"/>
    <w:rsid w:val="006B6703"/>
    <w:rsid w:val="007014A3"/>
    <w:rsid w:val="00704466"/>
    <w:rsid w:val="00720D23"/>
    <w:rsid w:val="00737B2A"/>
    <w:rsid w:val="007522BA"/>
    <w:rsid w:val="00762B37"/>
    <w:rsid w:val="007821CF"/>
    <w:rsid w:val="00791216"/>
    <w:rsid w:val="00796CF2"/>
    <w:rsid w:val="007A52C5"/>
    <w:rsid w:val="007B5312"/>
    <w:rsid w:val="007B626B"/>
    <w:rsid w:val="007C021F"/>
    <w:rsid w:val="007C5D43"/>
    <w:rsid w:val="007E2458"/>
    <w:rsid w:val="007F6457"/>
    <w:rsid w:val="008025F5"/>
    <w:rsid w:val="008028E6"/>
    <w:rsid w:val="00803520"/>
    <w:rsid w:val="008138BC"/>
    <w:rsid w:val="00815B48"/>
    <w:rsid w:val="00826BCF"/>
    <w:rsid w:val="00842EE7"/>
    <w:rsid w:val="00853082"/>
    <w:rsid w:val="00884ACC"/>
    <w:rsid w:val="00891F7D"/>
    <w:rsid w:val="008A44C7"/>
    <w:rsid w:val="008B6DF3"/>
    <w:rsid w:val="008D655E"/>
    <w:rsid w:val="008D7B1D"/>
    <w:rsid w:val="008E4763"/>
    <w:rsid w:val="008E6635"/>
    <w:rsid w:val="008F03A1"/>
    <w:rsid w:val="00905A0E"/>
    <w:rsid w:val="009071CA"/>
    <w:rsid w:val="00911C18"/>
    <w:rsid w:val="00914C55"/>
    <w:rsid w:val="009229A2"/>
    <w:rsid w:val="00935B1C"/>
    <w:rsid w:val="00946399"/>
    <w:rsid w:val="00946B1D"/>
    <w:rsid w:val="00954E91"/>
    <w:rsid w:val="00962137"/>
    <w:rsid w:val="00965DFE"/>
    <w:rsid w:val="00967BF0"/>
    <w:rsid w:val="009743A3"/>
    <w:rsid w:val="009B0D48"/>
    <w:rsid w:val="009B5FDC"/>
    <w:rsid w:val="009B6C3F"/>
    <w:rsid w:val="009C1F31"/>
    <w:rsid w:val="009D053E"/>
    <w:rsid w:val="009D518A"/>
    <w:rsid w:val="009E0422"/>
    <w:rsid w:val="009F0CCD"/>
    <w:rsid w:val="00A009E1"/>
    <w:rsid w:val="00A02E7C"/>
    <w:rsid w:val="00A10678"/>
    <w:rsid w:val="00A1643C"/>
    <w:rsid w:val="00A43D5C"/>
    <w:rsid w:val="00A84A1B"/>
    <w:rsid w:val="00A906F0"/>
    <w:rsid w:val="00AA07C6"/>
    <w:rsid w:val="00AA309C"/>
    <w:rsid w:val="00AB0921"/>
    <w:rsid w:val="00AC5109"/>
    <w:rsid w:val="00AE11BE"/>
    <w:rsid w:val="00AE5095"/>
    <w:rsid w:val="00AF2A4F"/>
    <w:rsid w:val="00AF769B"/>
    <w:rsid w:val="00B00094"/>
    <w:rsid w:val="00B062C5"/>
    <w:rsid w:val="00B334B2"/>
    <w:rsid w:val="00B40E74"/>
    <w:rsid w:val="00B51EE7"/>
    <w:rsid w:val="00B55440"/>
    <w:rsid w:val="00B57B2C"/>
    <w:rsid w:val="00B709C4"/>
    <w:rsid w:val="00BB300D"/>
    <w:rsid w:val="00BC6CD3"/>
    <w:rsid w:val="00BE03CA"/>
    <w:rsid w:val="00BE5196"/>
    <w:rsid w:val="00C022E0"/>
    <w:rsid w:val="00C02C9F"/>
    <w:rsid w:val="00C07A02"/>
    <w:rsid w:val="00C26927"/>
    <w:rsid w:val="00C34D68"/>
    <w:rsid w:val="00C51B27"/>
    <w:rsid w:val="00C6479D"/>
    <w:rsid w:val="00CB4571"/>
    <w:rsid w:val="00CB665B"/>
    <w:rsid w:val="00CE70C2"/>
    <w:rsid w:val="00CF62E5"/>
    <w:rsid w:val="00D11FDB"/>
    <w:rsid w:val="00D25B26"/>
    <w:rsid w:val="00D41B6F"/>
    <w:rsid w:val="00D626C7"/>
    <w:rsid w:val="00D63E68"/>
    <w:rsid w:val="00D701DE"/>
    <w:rsid w:val="00D80399"/>
    <w:rsid w:val="00D877B4"/>
    <w:rsid w:val="00D94115"/>
    <w:rsid w:val="00DA30A6"/>
    <w:rsid w:val="00DA5B0B"/>
    <w:rsid w:val="00DA77C0"/>
    <w:rsid w:val="00DD15B3"/>
    <w:rsid w:val="00DD1AB0"/>
    <w:rsid w:val="00E32664"/>
    <w:rsid w:val="00E363C6"/>
    <w:rsid w:val="00E426B9"/>
    <w:rsid w:val="00E476D1"/>
    <w:rsid w:val="00E5186C"/>
    <w:rsid w:val="00E54E7B"/>
    <w:rsid w:val="00E55DE1"/>
    <w:rsid w:val="00E60CD4"/>
    <w:rsid w:val="00E61960"/>
    <w:rsid w:val="00E758C8"/>
    <w:rsid w:val="00EA0690"/>
    <w:rsid w:val="00EB1025"/>
    <w:rsid w:val="00EB1A25"/>
    <w:rsid w:val="00EC20F9"/>
    <w:rsid w:val="00EC442A"/>
    <w:rsid w:val="00EC6BEC"/>
    <w:rsid w:val="00EE2D29"/>
    <w:rsid w:val="00EE5CDF"/>
    <w:rsid w:val="00EF06F2"/>
    <w:rsid w:val="00EF2A2A"/>
    <w:rsid w:val="00EF4ABF"/>
    <w:rsid w:val="00F05E95"/>
    <w:rsid w:val="00F441A5"/>
    <w:rsid w:val="00F47227"/>
    <w:rsid w:val="00F6141B"/>
    <w:rsid w:val="00F65206"/>
    <w:rsid w:val="00F72CCB"/>
    <w:rsid w:val="00F8152D"/>
    <w:rsid w:val="00F91BF1"/>
    <w:rsid w:val="00F94BC7"/>
    <w:rsid w:val="00FA5CF4"/>
    <w:rsid w:val="00FB6AE7"/>
    <w:rsid w:val="00FC3C1C"/>
    <w:rsid w:val="00FC5E7F"/>
    <w:rsid w:val="00F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63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83634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6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8363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6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D5C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30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0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08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0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08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85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"/>
    <w:basedOn w:val="Normal"/>
    <w:link w:val="FootnoteTextChar"/>
    <w:rsid w:val="002674EB"/>
    <w:pPr>
      <w:keepNext/>
      <w:keepLines/>
      <w:spacing w:after="120"/>
      <w:ind w:left="288" w:hanging="288"/>
      <w:jc w:val="both"/>
    </w:pPr>
    <w:rPr>
      <w:spacing w:val="-3"/>
      <w:lang w:val="es-ES_tradnl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rsid w:val="002674EB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styleId="Revision">
    <w:name w:val="Revision"/>
    <w:hidden/>
    <w:uiPriority w:val="99"/>
    <w:semiHidden/>
    <w:rsid w:val="0067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C34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63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83634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6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8363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6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D5C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30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0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08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0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08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85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"/>
    <w:basedOn w:val="Normal"/>
    <w:link w:val="FootnoteTextChar"/>
    <w:rsid w:val="002674EB"/>
    <w:pPr>
      <w:keepNext/>
      <w:keepLines/>
      <w:spacing w:after="120"/>
      <w:ind w:left="288" w:hanging="288"/>
      <w:jc w:val="both"/>
    </w:pPr>
    <w:rPr>
      <w:spacing w:val="-3"/>
      <w:lang w:val="es-ES_tradnl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rsid w:val="002674EB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styleId="Revision">
    <w:name w:val="Revision"/>
    <w:hidden/>
    <w:uiPriority w:val="99"/>
    <w:semiHidden/>
    <w:rsid w:val="0067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C34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83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8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8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7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E22375F22142C4DB7192B553080F3E6" ma:contentTypeVersion="18" ma:contentTypeDescription="The base project type from which other project content types inherit their information." ma:contentTypeScope="" ma:versionID="6092592f8bdb5221f4bcae0eb596e8c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INE/TSP</Division_x0020_or_x0020_Unit>
    <Other_x0020_Author xmlns="cdc7663a-08f0-4737-9e8c-148ce897a09c">RFIORAVANTI</Other_x0020_Author>
    <IDBDocs_x0020_Number xmlns="cdc7663a-08f0-4737-9e8c-148ce897a09c">40021970</IDBDocs_x0020_Number>
    <Document_x0020_Author xmlns="cdc7663a-08f0-4737-9e8c-148ce897a09c">Cafe, Eduardo Augusto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PN-L1119</Project_x0020_Number>
    <Package_x0020_Code xmlns="cdc7663a-08f0-4737-9e8c-148ce897a09c" xsi:nil="true"/>
    <Migration_x0020_Info xmlns="cdc7663a-08f0-4737-9e8c-148ce897a09c">MS WORDLPLoan Proposal0NPO-PN-L1119-CP1182056103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EZSHARE-2060128675-56</_dlc_DocId>
    <From_x003a_ xmlns="cdc7663a-08f0-4737-9e8c-148ce897a09c">RFIORAVANTI</From_x003a_>
    <To_x003a_ xmlns="cdc7663a-08f0-4737-9e8c-148ce897a09c" xsi:nil="true"/>
    <_dlc_DocIdUrl xmlns="cdc7663a-08f0-4737-9e8c-148ce897a09c">
      <Url>https://idbg.sharepoint.com/teams/EZ-PN-LON/PN-L1119/_layouts/15/DocIdRedir.aspx?ID=EZSHARE-2060128675-56</Url>
      <Description>EZSHARE-2060128675-56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0000031-6132-454D-A1EF-B7951AFB7944}"/>
</file>

<file path=customXml/itemProps2.xml><?xml version="1.0" encoding="utf-8"?>
<ds:datastoreItem xmlns:ds="http://schemas.openxmlformats.org/officeDocument/2006/customXml" ds:itemID="{1ADCE9B5-6B6A-4C59-82C1-7C97082AFD9D}"/>
</file>

<file path=customXml/itemProps3.xml><?xml version="1.0" encoding="utf-8"?>
<ds:datastoreItem xmlns:ds="http://schemas.openxmlformats.org/officeDocument/2006/customXml" ds:itemID="{E90A241E-A554-4E74-A873-4A8541BE4A4B}"/>
</file>

<file path=customXml/itemProps4.xml><?xml version="1.0" encoding="utf-8"?>
<ds:datastoreItem xmlns:ds="http://schemas.openxmlformats.org/officeDocument/2006/customXml" ds:itemID="{B403D74A-0D76-40B1-88B7-05860A00E916}"/>
</file>

<file path=customXml/itemProps5.xml><?xml version="1.0" encoding="utf-8"?>
<ds:datastoreItem xmlns:ds="http://schemas.openxmlformats.org/officeDocument/2006/customXml" ds:itemID="{564A9751-CB9E-4749-B2C5-DCEBD98F0F2B}"/>
</file>

<file path=customXml/itemProps6.xml><?xml version="1.0" encoding="utf-8"?>
<ds:datastoreItem xmlns:ds="http://schemas.openxmlformats.org/officeDocument/2006/customXml" ds:itemID="{59A89B4F-57EB-4C6E-AC2B-0A12E2C87C5E}"/>
</file>

<file path=customXml/itemProps7.xml><?xml version="1.0" encoding="utf-8"?>
<ds:datastoreItem xmlns:ds="http://schemas.openxmlformats.org/officeDocument/2006/customXml" ds:itemID="{953AD97F-7530-4E95-A3EE-9EE4BAA90E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2373</Words>
  <Characters>13528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EER3_ Matriz de Medio de Verificacion PN-L1119</dc:title>
  <dc:creator>gf Consulting Group</dc:creator>
  <cp:lastModifiedBy>Test</cp:lastModifiedBy>
  <cp:revision>2</cp:revision>
  <cp:lastPrinted>2016-03-21T19:13:00Z</cp:lastPrinted>
  <dcterms:created xsi:type="dcterms:W3CDTF">2016-03-21T21:22:00Z</dcterms:created>
  <dcterms:modified xsi:type="dcterms:W3CDTF">2016-03-21T21:22:00Z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0x010100ACF722E9F6B0B149B0CD8BE2560A667200DE22375F22142C4DB7192B553080F3E6</vt:lpwstr>
  </property>
  <property fmtid="{D5CDD505-2E9C-101B-9397-08002B2CF9AE}" pid="5" name="TaxKeywordTaxHTField">
    <vt:lpwstr/>
  </property>
  <property fmtid="{D5CDD505-2E9C-101B-9397-08002B2CF9AE}" pid="6" name="Series Operations IDB">
    <vt:lpwstr>18;#Condition Prior|dd58a837-3167-4269-b017-66d8d146ed3b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18;#Condition Prior|dd58a837-3167-4269-b017-66d8d146ed3b</vt:lpwstr>
  </property>
  <property fmtid="{D5CDD505-2E9C-101B-9397-08002B2CF9AE}" pid="11" name="To:">
    <vt:lpwstr/>
  </property>
  <property fmtid="{D5CDD505-2E9C-101B-9397-08002B2CF9AE}" pid="12" name="From:">
    <vt:lpwstr>RFIORAVANTI</vt:lpwstr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Transportation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d14ce375-4b77-4d27-92ae-a9f8eb697e42</vt:lpwstr>
  </property>
</Properties>
</file>