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mallCaps/>
          <w:szCs w:val="20"/>
          <w:lang w:val="es-ES_tradnl"/>
        </w:rPr>
      </w:pPr>
      <w:r>
        <w:rPr>
          <w:rFonts w:ascii="Arial" w:hAnsi="Arial" w:cs="Arial"/>
          <w:b/>
          <w:bCs/>
          <w:smallCaps/>
          <w:szCs w:val="20"/>
          <w:lang w:val="es-ES_tradnl"/>
        </w:rPr>
        <w:t>Matriz de Resultados</w:t>
      </w:r>
    </w:p>
    <w:tbl>
      <w:tblPr>
        <w:tblStyle w:val="TableGrid"/>
        <w:tblW w:w="13338" w:type="dxa"/>
        <w:tblLook w:val="04A0" w:firstRow="1" w:lastRow="0" w:firstColumn="1" w:lastColumn="0" w:noHBand="0" w:noVBand="1"/>
      </w:tblPr>
      <w:tblGrid>
        <w:gridCol w:w="2718"/>
        <w:gridCol w:w="10620"/>
      </w:tblGrid>
      <w:tr>
        <w:tc>
          <w:tcPr>
            <w:tcW w:w="2718" w:type="dxa"/>
          </w:tcPr>
          <w:p>
            <w:pPr>
              <w:pStyle w:val="Paragraph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</w:rPr>
              <w:t>Objetivo del Proyecto:</w:t>
            </w:r>
          </w:p>
        </w:tc>
        <w:tc>
          <w:tcPr>
            <w:tcW w:w="10620" w:type="dxa"/>
          </w:tcPr>
          <w:p>
            <w:pPr>
              <w:pStyle w:val="Paragraph"/>
              <w:numPr>
                <w:ilvl w:val="0"/>
                <w:numId w:val="0"/>
              </w:numPr>
              <w:rPr>
                <w:rFonts w:ascii="Arial" w:hAnsi="Arial" w:cs="Arial"/>
                <w:sz w:val="20"/>
                <w:lang w:val="es-CO"/>
              </w:rPr>
            </w:pPr>
            <w:r>
              <w:rPr>
                <w:rFonts w:ascii="Arial" w:hAnsi="Arial" w:cs="Arial"/>
                <w:sz w:val="20"/>
              </w:rPr>
              <w:t>El objetivo de esta serie programática y de la primera operación es fortalecer la sostenibilidad fiscal, protegiendo la inversión pública y el financiamiento de programas sociales</w:t>
            </w:r>
            <w:r>
              <w:rPr>
                <w:sz w:val="20"/>
                <w:lang w:val="es-ES_tradnl"/>
              </w:rPr>
              <w:t> </w:t>
            </w:r>
            <w:r>
              <w:rPr>
                <w:rFonts w:ascii="Arial" w:hAnsi="Arial" w:cs="Arial"/>
                <w:sz w:val="20"/>
              </w:rPr>
              <w:t xml:space="preserve">para favorecer el crecimiento inclusivo. Los objetivos específicos son mejorar la eficiencia de la gestión fiscal (con especial énfasis en la eficiencia del gasto público) y mejorar la sostenibilidad previsional. </w:t>
            </w:r>
          </w:p>
        </w:tc>
      </w:tr>
    </w:tbl>
    <w:p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szCs w:val="20"/>
          <w:lang w:val="es-ES_tradnl"/>
        </w:rPr>
      </w:pPr>
      <w:r>
        <w:rPr>
          <w:rFonts w:ascii="Arial" w:hAnsi="Arial" w:cs="Arial"/>
          <w:b/>
          <w:smallCaps/>
          <w:szCs w:val="20"/>
          <w:lang w:val="es-ES_tradnl"/>
        </w:rPr>
        <w:t>Impacto Esperado</w:t>
      </w:r>
    </w:p>
    <w:tbl>
      <w:tblPr>
        <w:tblW w:w="13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5"/>
        <w:gridCol w:w="990"/>
        <w:gridCol w:w="990"/>
        <w:gridCol w:w="1170"/>
        <w:gridCol w:w="810"/>
        <w:gridCol w:w="810"/>
        <w:gridCol w:w="2250"/>
        <w:gridCol w:w="2880"/>
      </w:tblGrid>
      <w:tr>
        <w:trPr>
          <w:trHeight w:val="20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>
            <w:pPr>
              <w:spacing w:before="20" w:after="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Indicadores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>
            <w:pPr>
              <w:spacing w:before="20" w:after="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Unidad de Medida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>
            <w:pPr>
              <w:spacing w:before="20" w:after="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Línea de Base (LB)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>
            <w:pPr>
              <w:spacing w:before="20" w:after="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Año LB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>
            <w:pPr>
              <w:spacing w:before="20" w:after="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 xml:space="preserve">Meta Final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>
            <w:pPr>
              <w:spacing w:before="20" w:after="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Año</w:t>
            </w:r>
          </w:p>
          <w:p>
            <w:pPr>
              <w:spacing w:before="20" w:after="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Final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>
            <w:pPr>
              <w:spacing w:before="20" w:after="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 xml:space="preserve">Medios de Verificación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>
            <w:pPr>
              <w:spacing w:before="20" w:after="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Comentarios</w:t>
            </w:r>
          </w:p>
        </w:tc>
      </w:tr>
      <w:tr>
        <w:trPr>
          <w:trHeight w:val="20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pStyle w:val="ListParagraph"/>
              <w:spacing w:before="20" w:after="40" w:line="240" w:lineRule="auto"/>
              <w:ind w:left="0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 xml:space="preserve">Impacto #1.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(Balance primario del SPNF / Producto Interno Bruto (PIB)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-1,2%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ind w:left="-110" w:right="-110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Promedio (2013</w:t>
            </w: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noBreakHyphen/>
              <w:t>2015)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0,3%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Ministerio de Hacienda, Informe Anual de Gestión de las Finanzas Públicas.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20"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 xml:space="preserve">Línea de base: </w:t>
            </w: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Balance primario = Ingreso totales – (gastos totales – pagos de intereses).</w:t>
            </w:r>
          </w:p>
          <w:p>
            <w:pPr>
              <w:spacing w:before="20"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Se utiliza un promedio para los años (2013-2015) como línea de base para atenuar los factores cíclicos de la variable.</w:t>
            </w:r>
          </w:p>
        </w:tc>
      </w:tr>
      <w:tr>
        <w:trPr>
          <w:trHeight w:val="20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ListParagraph"/>
              <w:spacing w:before="20" w:after="40" w:line="240" w:lineRule="auto"/>
              <w:ind w:left="0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 xml:space="preserve">Impacto #2.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Inversión pública bruta / PIB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2,4%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2,8%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2019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 xml:space="preserve">Ministerio de Hacienda, Informe Anual de Gestión de las Finanzas Públicas.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20" w:after="40" w:line="240" w:lineRule="auto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 xml:space="preserve">Línea de base: </w:t>
            </w:r>
          </w:p>
          <w:p>
            <w:pPr>
              <w:spacing w:before="20"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Inversión pública bruta = US$757,7 millones.</w:t>
            </w:r>
          </w:p>
        </w:tc>
      </w:tr>
      <w:tr>
        <w:trPr>
          <w:trHeight w:val="20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ListParagraph"/>
              <w:spacing w:before="20" w:after="40" w:line="240" w:lineRule="auto"/>
              <w:ind w:left="0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/>
              </w:rPr>
              <w:t xml:space="preserve">Impacto #3.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Tasa variación interanual PIB real</w:t>
            </w: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sz w:val="20"/>
                      <w:szCs w:val="20"/>
                      <w:lang w:val="es-ES_tradnl" w:eastAsia="zh-CN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 w:val="20"/>
                          <w:szCs w:val="20"/>
                          <w:lang w:val="es-ES_tradnl" w:eastAsia="zh-CN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  <w:lang w:val="es-ES_tradnl" w:eastAsia="zh-CN"/>
                        </w:rPr>
                        <m:t>PIB real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  <w:lang w:val="es-ES_tradnl" w:eastAsia="zh-CN"/>
                        </w:rPr>
                        <m:t>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 w:val="20"/>
                          <w:szCs w:val="20"/>
                          <w:lang w:val="es-ES_tradnl" w:eastAsia="zh-CN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  <w:lang w:val="es-ES_tradnl" w:eastAsia="zh-CN"/>
                        </w:rPr>
                        <m:t>PIBreal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  <w:lang w:val="es-ES_tradnl" w:eastAsia="zh-CN"/>
                        </w:rPr>
                        <m:t xml:space="preserve"> t-1</m:t>
                      </m:r>
                    </m:sub>
                  </m:sSub>
                </m:den>
              </m:f>
            </m:oMath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)-1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419" w:eastAsia="zh-CN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1,8%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ind w:left="-110" w:right="-110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Promedio (2013</w:t>
            </w: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noBreakHyphen/>
              <w:t>2015)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 xml:space="preserve">2,3%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Estadísticas del Sistema de cuentas Nacionales de El Salvador del Banco Central de Reserva.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before="20"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La línea de base es el promedio de las tasas de crecimiento para los años 2013-2015. El uso del promedio permite capturar de mejor forma la tendencia del crecimiento durante un período más amplio y suavizar factores positivos o negativos que hayan afectado el crecimiento en un año específico.</w:t>
            </w:r>
          </w:p>
        </w:tc>
      </w:tr>
    </w:tbl>
    <w:p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mallCaps/>
          <w:color w:val="000000"/>
          <w:sz w:val="20"/>
          <w:szCs w:val="20"/>
          <w:lang w:val="es-ES_tradnl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color w:val="000000"/>
          <w:szCs w:val="20"/>
          <w:lang w:val="es-ES_tradnl"/>
        </w:rPr>
      </w:pPr>
      <w:r>
        <w:rPr>
          <w:rFonts w:ascii="Arial" w:hAnsi="Arial" w:cs="Arial"/>
          <w:b/>
          <w:smallCaps/>
          <w:color w:val="000000"/>
          <w:szCs w:val="20"/>
          <w:lang w:val="es-ES_tradnl"/>
        </w:rPr>
        <w:t>Resultados Esperados</w:t>
      </w:r>
    </w:p>
    <w:tbl>
      <w:tblPr>
        <w:tblpPr w:leftFromText="180" w:rightFromText="180" w:vertAnchor="text" w:horzAnchor="margin" w:tblpX="-365" w:tblpY="120"/>
        <w:tblW w:w="137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080"/>
        <w:gridCol w:w="900"/>
        <w:gridCol w:w="1440"/>
        <w:gridCol w:w="900"/>
        <w:gridCol w:w="990"/>
        <w:gridCol w:w="2250"/>
        <w:gridCol w:w="2970"/>
      </w:tblGrid>
      <w:tr>
        <w:trPr>
          <w:trHeight w:val="20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4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Indicadores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4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Unidad de Medida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4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Línea de Base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4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Año</w:t>
            </w:r>
          </w:p>
          <w:p>
            <w:pPr>
              <w:spacing w:before="20" w:after="4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Línea de Base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4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Meta Final</w:t>
            </w:r>
            <w:r>
              <w:rPr>
                <w:rStyle w:val="FootnoteReference"/>
                <w:rFonts w:ascii="Arial" w:hAnsi="Arial" w:cs="Arial"/>
                <w:b/>
                <w:color w:val="D9D9D9" w:themeColor="background1" w:themeShade="D9"/>
                <w:sz w:val="20"/>
                <w:szCs w:val="20"/>
                <w:lang w:val="es-ES_tradnl" w:eastAsia="zh-CN"/>
              </w:rPr>
              <w:footnoteRef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>
            <w:pPr>
              <w:spacing w:before="20" w:after="4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Año final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4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Medios de Verificación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before="20" w:after="40" w:line="240" w:lineRule="auto"/>
              <w:ind w:left="-120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Comentarios</w:t>
            </w:r>
            <w:r>
              <w:rPr>
                <w:rStyle w:val="FootnoteReference"/>
                <w:rFonts w:ascii="Arial" w:hAnsi="Arial" w:cs="Arial"/>
                <w:b/>
                <w:sz w:val="20"/>
                <w:szCs w:val="20"/>
                <w:lang w:val="es-ES_tradnl" w:eastAsia="zh-CN"/>
              </w:rPr>
              <w:t>2</w:t>
            </w:r>
          </w:p>
        </w:tc>
      </w:tr>
      <w:tr>
        <w:trPr>
          <w:trHeight w:val="20"/>
        </w:trPr>
        <w:tc>
          <w:tcPr>
            <w:tcW w:w="13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>
            <w:pPr>
              <w:spacing w:before="20" w:after="4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419" w:eastAsia="zh-CN"/>
              </w:rPr>
              <w:t>Objetivo específico #1: Promover la eficiencia del gasto público</w:t>
            </w:r>
          </w:p>
        </w:tc>
      </w:tr>
      <w:tr>
        <w:trPr>
          <w:trHeight w:val="20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ListParagraph"/>
              <w:spacing w:before="20"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Resultado #1. Total gastos corrientes (sin gastos en pensiones) del SPNF / PIB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18,7%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Promedio (2013-2015)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18,5%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Datos Tesorería Nacional.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Se utiliza un promedio (2013</w:t>
            </w: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noBreakHyphen/>
              <w:t>2015) como línea de base para atenuar los factores cíclicos de la variable.</w:t>
            </w:r>
          </w:p>
        </w:tc>
      </w:tr>
      <w:tr>
        <w:trPr>
          <w:trHeight w:val="20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before="20"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Resultado #2. Monto total de compras a través del portal de COMPRASAL-II / Monto total de compras públicas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0,0%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7%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Estadísticas de COMPRASAL-II.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Monto inicial 2017: Total de compras públicas registradas en el presupuesto nacional: US$900 millones.</w:t>
            </w:r>
          </w:p>
        </w:tc>
      </w:tr>
      <w:tr>
        <w:trPr>
          <w:trHeight w:val="20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before="20" w:after="40" w:line="240" w:lineRule="auto"/>
              <w:ind w:left="0"/>
              <w:contextualSpacing w:val="0"/>
              <w:rPr>
                <w:rFonts w:ascii="Arial" w:eastAsia="Arial" w:hAnsi="Arial" w:cs="Arial"/>
                <w:spacing w:val="-3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  <w:t xml:space="preserve">Resultado #3. </w:t>
            </w:r>
            <w:proofErr w:type="gramStart"/>
            <w:r>
              <w:rPr>
                <w:rFonts w:ascii="Arial" w:eastAsia="Arial" w:hAnsi="Arial" w:cs="Arial"/>
                <w:spacing w:val="-3"/>
                <w:sz w:val="20"/>
                <w:szCs w:val="20"/>
                <w:lang w:val="es-ES"/>
              </w:rPr>
              <w:t>Total</w:t>
            </w:r>
            <w:proofErr w:type="gramEnd"/>
            <w:r>
              <w:rPr>
                <w:rFonts w:ascii="Arial" w:eastAsia="Arial" w:hAnsi="Arial" w:cs="Arial"/>
                <w:spacing w:val="-3"/>
                <w:sz w:val="20"/>
                <w:szCs w:val="20"/>
                <w:lang w:val="es-ES"/>
              </w:rPr>
              <w:t xml:space="preserve"> deuda tributaria recuperada en el periodo de moratoria / total deuda tributaria durante dicho periodo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  <w:t>15%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  <w:t>2019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  <w:t>Estadísticas de la Dirección de Cobranza del Ministerio de Hacienda.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rPr>
                <w:rFonts w:ascii="Arial" w:eastAsia="Arial" w:hAnsi="Arial" w:cs="Arial"/>
                <w:spacing w:val="-3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spacing w:val="-3"/>
                <w:sz w:val="20"/>
                <w:szCs w:val="20"/>
                <w:lang w:val="es-ES"/>
              </w:rPr>
              <w:t>Deuda tributaria a octubre 2016 US$560 millones.</w:t>
            </w:r>
          </w:p>
        </w:tc>
      </w:tr>
      <w:tr>
        <w:trPr>
          <w:trHeight w:val="20"/>
        </w:trPr>
        <w:tc>
          <w:tcPr>
            <w:tcW w:w="13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>
            <w:pPr>
              <w:spacing w:before="20" w:after="40" w:line="240" w:lineRule="auto"/>
              <w:rPr>
                <w:rFonts w:ascii="Arial" w:eastAsia="Arial" w:hAnsi="Arial" w:cs="Arial"/>
                <w:b/>
                <w:color w:val="000000"/>
                <w:spacing w:val="-3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b/>
                <w:color w:val="000000"/>
                <w:spacing w:val="-3"/>
                <w:sz w:val="20"/>
                <w:szCs w:val="20"/>
                <w:lang w:val="es-ES"/>
              </w:rPr>
              <w:t>Objetivo específico #2: Mejorar la sostenibilidad previsional</w:t>
            </w:r>
          </w:p>
        </w:tc>
      </w:tr>
      <w:tr>
        <w:trPr>
          <w:trHeight w:val="20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before="20"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eastAsia="Arial" w:hAnsi="Arial" w:cs="Arial"/>
                <w:spacing w:val="-3"/>
                <w:sz w:val="20"/>
                <w:szCs w:val="20"/>
                <w:lang w:val="es-ES"/>
              </w:rPr>
              <w:t xml:space="preserve">Resultado #4. </w:t>
            </w:r>
            <w:proofErr w:type="gramStart"/>
            <w:r>
              <w:rPr>
                <w:rFonts w:ascii="Arial" w:eastAsia="Arial" w:hAnsi="Arial" w:cs="Arial"/>
                <w:spacing w:val="-3"/>
                <w:sz w:val="20"/>
                <w:szCs w:val="20"/>
                <w:lang w:val="es-ES"/>
              </w:rPr>
              <w:t>Total</w:t>
            </w:r>
            <w:proofErr w:type="gramEnd"/>
            <w:r>
              <w:rPr>
                <w:rFonts w:ascii="Arial" w:eastAsia="Arial" w:hAnsi="Arial" w:cs="Arial"/>
                <w:spacing w:val="-3"/>
                <w:sz w:val="20"/>
                <w:szCs w:val="20"/>
                <w:lang w:val="es-ES"/>
              </w:rPr>
              <w:t xml:space="preserve"> gasto en pensiones financiado mediante el FOP / PIB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2,0%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  <w:t>1,6%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  <w:t>2019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  <w:t>Estadísticas Fiscales del Ministerio de Hacienda.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  <w:t xml:space="preserve">Comparación antes y después. </w:t>
            </w:r>
          </w:p>
        </w:tc>
      </w:tr>
      <w:tr>
        <w:trPr>
          <w:trHeight w:val="20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before="20"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Resultado #5. Beneficios anuales del fondo conservador / importe invertido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3,8%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  <w:t>4,8%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jc w:val="center"/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  <w:t>2019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  <w:t>Publicación de Informes de Estadísticas Previsionales por la Superintendencia del Sistema Financiero.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0" w:after="40" w:line="240" w:lineRule="auto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Rentabilidad nominal (neta de la comisión de administración) del fondo conservador.</w:t>
            </w:r>
          </w:p>
          <w:p>
            <w:pPr>
              <w:spacing w:before="20" w:after="40" w:line="240" w:lineRule="auto"/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_tradnl"/>
              </w:rPr>
            </w:pP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_tradnl"/>
              </w:rPr>
              <w:t>El fondo conservador establece un máximo de inversión en renta variable de 20% para que los cambios del mercado de valores no tengan impactos significativos en el valor del ahorro previsional.</w:t>
            </w:r>
          </w:p>
          <w:p>
            <w:pPr>
              <w:spacing w:before="20" w:after="40" w:line="240" w:lineRule="auto"/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</w:pPr>
            <w:r>
              <w:rPr>
                <w:rFonts w:ascii="Arial" w:eastAsia="Arial" w:hAnsi="Arial" w:cs="Arial"/>
                <w:color w:val="000000"/>
                <w:spacing w:val="-3"/>
                <w:sz w:val="20"/>
                <w:szCs w:val="20"/>
                <w:lang w:val="es-ES"/>
              </w:rPr>
              <w:t xml:space="preserve">La cifra del 2017 es de octubre de 2016 a octubre de 2017. Comparación antes y después. 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18"/>
          <w:szCs w:val="18"/>
          <w:lang w:val="es-419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18"/>
          <w:szCs w:val="18"/>
          <w:lang w:val="es-419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18"/>
          <w:szCs w:val="18"/>
          <w:lang w:val="es-419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18"/>
          <w:szCs w:val="18"/>
          <w:lang w:val="es-419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18"/>
          <w:szCs w:val="18"/>
          <w:lang w:val="es-419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18"/>
          <w:szCs w:val="18"/>
          <w:lang w:val="es-419"/>
        </w:rPr>
      </w:pPr>
    </w:p>
    <w:p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Cs w:val="20"/>
          <w:lang w:val="es-ES_tradnl"/>
        </w:rPr>
      </w:pPr>
      <w:r>
        <w:rPr>
          <w:rFonts w:ascii="Arial" w:hAnsi="Arial" w:cs="Arial"/>
          <w:b/>
          <w:smallCaps/>
          <w:color w:val="000000"/>
          <w:szCs w:val="20"/>
          <w:lang w:val="es-ES_tradnl"/>
        </w:rPr>
        <w:t>Productos</w:t>
      </w:r>
    </w:p>
    <w:tbl>
      <w:tblPr>
        <w:tblW w:w="13747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07"/>
        <w:gridCol w:w="1260"/>
        <w:gridCol w:w="990"/>
        <w:gridCol w:w="720"/>
        <w:gridCol w:w="630"/>
        <w:gridCol w:w="630"/>
        <w:gridCol w:w="1080"/>
        <w:gridCol w:w="2880"/>
        <w:gridCol w:w="2250"/>
      </w:tblGrid>
      <w:tr>
        <w:trPr>
          <w:trHeight w:val="20"/>
          <w:tblHeader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after="0" w:line="240" w:lineRule="auto"/>
              <w:ind w:left="-135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Productos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after="0" w:line="240" w:lineRule="auto"/>
              <w:ind w:left="-135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Unidad de Medida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after="0" w:line="240" w:lineRule="auto"/>
              <w:ind w:left="-135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Línea de Base (LB)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after="0" w:line="240" w:lineRule="auto"/>
              <w:ind w:left="-135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Año</w:t>
            </w:r>
          </w:p>
          <w:p>
            <w:pPr>
              <w:spacing w:after="0" w:line="240" w:lineRule="auto"/>
              <w:ind w:left="-135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LB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after="0" w:line="240" w:lineRule="auto"/>
              <w:ind w:left="-135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2018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after="0" w:line="240" w:lineRule="auto"/>
              <w:ind w:left="-135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2019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after="0" w:line="240" w:lineRule="auto"/>
              <w:ind w:left="-135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Meta Final (2019)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after="0" w:line="240" w:lineRule="auto"/>
              <w:ind w:left="-135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Medios de Verificación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after="0" w:line="240" w:lineRule="auto"/>
              <w:ind w:left="-135" w:right="-105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  <w:t>Comentarios</w:t>
            </w:r>
            <w:r>
              <w:rPr>
                <w:rFonts w:ascii="Arial" w:hAnsi="Arial" w:cs="Arial"/>
                <w:b/>
                <w:sz w:val="20"/>
                <w:szCs w:val="20"/>
                <w:vertAlign w:val="superscript"/>
                <w:lang w:val="es-ES_tradnl" w:eastAsia="zh-CN"/>
              </w:rPr>
              <w:t>2</w:t>
            </w:r>
          </w:p>
        </w:tc>
      </w:tr>
      <w:tr>
        <w:trPr>
          <w:trHeight w:val="20"/>
        </w:trPr>
        <w:tc>
          <w:tcPr>
            <w:tcW w:w="137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vAlign w:val="center"/>
          </w:tcPr>
          <w:p>
            <w:pPr>
              <w:spacing w:after="40" w:line="240" w:lineRule="auto"/>
              <w:ind w:left="-40" w:right="-105"/>
              <w:rPr>
                <w:rFonts w:ascii="Arial" w:hAnsi="Arial" w:cs="Arial"/>
                <w:b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419" w:eastAsia="zh-CN"/>
              </w:rPr>
              <w:t>Componente II. Reformas de políticas y gestión de gastos e ingresos.</w:t>
            </w: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Ley de Responsabilidad Fiscal aprobada y vigente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Ley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Publicación en el Diario Oficial del Decreto Legislativo No. 533. Ley de Responsabilidad Fiscal para la sostenibilidad de las finanzas.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Marco Fiscal de Mediano y Largo Plazo publicado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Documento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Publicación de documento de Marco Fiscal de Mediano y Largo Plazo en el sitio web del Ministerio de Hacienda.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El Marco Fiscal de Mediano y Largo Plazo se presenta junto a la Ley de Presupuesto Anual cada año para su aprobación por la Asamblea Legislativa y se actualiza la línea de base y metas por un período de 10 años.</w:t>
            </w: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 xml:space="preserve">Leyes de Presupuesto con cláusulas para el cumplimiento de Ley de Responsabilidad Fiscal aprobadas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Leyes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 xml:space="preserve">Publicaciones en el Diario Oficial de las Leyes de Presupuesto General para los Ejercicios fiscales de 2018 y 2019.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 xml:space="preserve">El Articulado de la Ley de Presupuesto deberá contener cláusulas para asegurar el cumplimiento de las metas fiscales contenidas en la Ley de Responsabilidad Fiscal. </w:t>
            </w: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 xml:space="preserve">Informe de la Secretaría Técnica de la Presidencia sobre los análisis de optimización de nómina con sus recomendaciones para los ministerios de Salud, Educación y la Administración Nacional de Acueductos y Alcantarillados (ANDA) realizado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Informes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Informes de la Secretaría Técnica de la Presidencia (STP) sobre las consultorías de optimización de la nómina de los Ministerios de Educación, Salud y ANDA.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lastRenderedPageBreak/>
              <w:t>Aplicativo informático de la nómina electrónica para apoyar los procesos de gestión operativa y pago electrónico de nómina (SIRH-II) para las entidades que conforman el Gobierno Central implementado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Aplicativo informático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 xml:space="preserve">Informe de la DINAFI certificando el desarrollo del aplicativo de nómina electrónica.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El aplicativo informático (</w:t>
            </w:r>
            <w:r>
              <w:rPr>
                <w:rFonts w:ascii="Arial" w:hAnsi="Arial" w:cs="Arial"/>
                <w:i/>
                <w:sz w:val="20"/>
                <w:szCs w:val="20"/>
                <w:lang w:val="es-ES_tradnl" w:eastAsia="zh-CN"/>
              </w:rPr>
              <w:t>software</w:t>
            </w: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) se refiere a un módulo que en etapas posteriores estará integrado al SAFI-II.</w:t>
            </w: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 xml:space="preserve">Reglamento de la Ley de Adquisiciones y Contrataciones de la Administración Pública estableciendo el uso obligatorio y gradual de COMPRASAL-II en toda la administración pública aprobado y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entrado en vigencia</w:t>
            </w:r>
            <w:proofErr w:type="gram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Reglamento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Decreto Ejecutivo - Reformas al reglamento de la Ley de Adquisiciones y Contrataciones de la Administración Pública.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Instructivo con las normas operativas para compras por libre gestión de forma transaccional a través de COMPRASAL-II aprobadas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Instructivo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Instructivo UNAC No.01-2017. Normas para la realización de adquisiciones y contrataciones por la libre gestión a través del módulo transaccional de COMPRASAL-II.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Módulo transaccional de libre gestión implementado y en uso en instituciones de la administración pública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Módulo transaccional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Informe de la UNAC certificando la implementación del módulo transaccional.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 xml:space="preserve">Instituciones públicas capacitadas para hacer uso del módulo de la libre gestión transaccional en COMPRASAL-II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Instituciones públicas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45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Informe de la UNAC certificando el número instituciones capacitadas para hacer uso del módulo de la libre gestión.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Ley para la eliminación de la intermediación de los puestos de bolsa para las instituciones del gobierno central en la subasta inversa administrada por la Bolsa de Productos y Servicios – BOLPROS, aprobada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Ley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Decreto Legislativo Nº 875 Reformas a la Ley de bolsas de Productos y Servicios.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lastRenderedPageBreak/>
              <w:t>Módulo de licitación pública transaccional en el portal de COMPRASAL-II desarrollado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Módulo transaccional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Informe de la UNAC certificando el desarrollo del módulo transaccional de licitación pública.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b/>
                <w:color w:val="00B050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Instructivo de normas operativas para compras por el módulo transaccional de licitación pública de COMPRASAL-II aprobadas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Instructivo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Instructivo UNAC Normas para la realización de adquisiciones y contrataciones por licitación pública a través del módulo transaccional de COMPRASAL.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Anteproyecto de reforma a la Ley de Adquisiciones y Contrataciones de la Administración Pública que incorpore mecanismos de contratación eficientes y transparentes; elaborada y presentada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Anteproyecto de Ley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Presentación del Anteproyecto de Ley a la Asamblea Legislativa.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Instituciones Públicas con funcionarios de presupuesto y planificación capacitados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Instituciones Públicas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114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114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Memorándum del Director General de Presupuesto.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Capacitación de acuerdo con lo dispuesto en el Plan de Capacitación y Asistencia Técnica para la Implementación de la Reforma del Sistema de Presupuesto.</w:t>
            </w:r>
            <w:bookmarkStart w:id="0" w:name="_GoBack"/>
            <w:bookmarkEnd w:id="0"/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Nueva Edición del Manual de Clasificación para las Transacciones Financieras del Sector Público aprobada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Manual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2016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Acuerdo Ejecutivo del Ministerio de Hacienda.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Planes piloto de un Marco Institucional de Mediano Plazo (MIMP) elaborados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Planes pilotos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2016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Informe del Ministerio de Hacienda certificando la aprobación de al menos 5 MIMP.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Instituciones públicas con diseño de sus programas presupuestarios validado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Instituciones públicas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114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Memorándum del Director General de Presupuesto.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lastRenderedPageBreak/>
              <w:t xml:space="preserve">Módulo de Formulación y Ejecución Presupuestaria del Sistema de Gestión Administrativa y Financiera del Sector Público (SAFI II) desarrollado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Módulo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Informe de la Dirección de Presupuesto y la Dirección Nacional de Administración Financiera e Innovación (DINAFI).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Instituciones del Gobierno Central con MIMP aprobado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Instituciones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Informe del Ministerio de Hacienda certificando el número de instituciones del gobierno central cuyo MIMP ha sido validado aprobado.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Anteproyecto de Enmiendas a la Ley Orgánica de Administración Financiera del Estado (AFI) presentada ante la Asamblea Legislativa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Anteproyecto de Ley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Presentación del anteproyecto de Ley de Enmiendas a la Ley Orgánica de Administración Financiera del Estado (AFI).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Planes piloto de proyectos de inversión articulados con el Nuevo Sistema de Presupuesto por Programas con Enfoque en Resultados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Planes piloto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4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Informe de la Dirección General de Inversión y Crédito Público en relación al desarrollo de Pruebas Piloto en al menos 4 instituciones ejecutoras de Proyectos de Inversión Pública.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Modelo del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macro proceso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 de gestión de la inversión pública elaborado y aprobado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Documento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Informe del Ministerio de Hacienda.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El diseño del macroproceso se hará en 2018 y su aprobación está prevista para 2019.</w:t>
            </w: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Manual de operaciones del Organismo de Mejora Regulatoria (OMR) publicado y disponible en línea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Manual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Publicación del manual de operaciones del OMR.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Establecido por el Art. 16, numeral 3 del Decreto Ejecutivo Nº 90, Creación del Organismo de Mejora Regulatoria.</w:t>
            </w: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Anteproyecto de ley de simplificación de los procedimientos de la administración pública elaborada</w:t>
            </w:r>
            <w:r>
              <w:rPr>
                <w:rFonts w:ascii="Arial" w:hAnsi="Arial" w:cs="Arial"/>
                <w:b/>
                <w:color w:val="00B05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Anteproyecto de Ley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Presentación del anteproyecto de Ley de Procedimientos Administrativos.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lastRenderedPageBreak/>
              <w:t>Planes de simplificación de trámites (“mejora regulatoria”) en Ministerios públicos suscritos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Planes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Planes de mejora regulatoria firmados por ministerios públicos.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b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Los planes de mejora regulatoria establecen acciones específicas para la simplificación de trámites que faciliten los procesos de creación y cumplimiento de obligaciones periódicas de las empresas. Los planes de mejora regulatoria han sido firmados con los ministerios siguientes: Ministerio de Gobernación, Ministerio de Hacienda, Ministerio de Economía, Ministerio de Salud, y Ministerio de Obras Públicas</w:t>
            </w:r>
            <w:r>
              <w:rPr>
                <w:rFonts w:ascii="Arial" w:hAnsi="Arial" w:cs="Arial"/>
                <w:color w:val="00B050"/>
                <w:sz w:val="20"/>
                <w:szCs w:val="20"/>
                <w:lang w:val="es-ES_tradnl" w:eastAsia="zh-CN"/>
              </w:rPr>
              <w:t xml:space="preserve">. </w:t>
            </w: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Planes de simplificación (mejora regulatoria) en 5 ministerios públicos implementados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Planes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5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Informe de evaluación de los planes del OMR.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Manuales del Fondo: Apuesta por InversionES, aprobados y publicados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Manual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 xml:space="preserve">Manual del Inversionista y manual de evaluación de proyectos publicados por </w:t>
            </w:r>
            <w:hyperlink r:id="rId11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_tradnl" w:eastAsia="zh-CN"/>
                </w:rPr>
                <w:t>FOMILENIO</w:t>
              </w:r>
            </w:hyperlink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FOMILENIO es un programa especial bajo el paragua institucional de la Secretaria Técnica de la Presidencia.</w:t>
            </w: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Acuerdos de inversión con empresas privadas en el marco Apuesta por InversionES firmados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Acuerdos de inversión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 xml:space="preserve">Acuerdos de inversión firmados y publicados por </w:t>
            </w:r>
            <w:hyperlink r:id="rId12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_tradnl" w:eastAsia="zh-CN"/>
                </w:rPr>
                <w:t>FOMILENIO</w:t>
              </w:r>
            </w:hyperlink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Dirección de Cobro de Deudas Tributarias y Aduaneras Creada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Dirección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Acuerdo Ministerial de creación de la Dirección de Cobro de Deudas Tributarias.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Acuerdo Ministerial N°1817, del 5 de diciembre de 2016.</w:t>
            </w: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lastRenderedPageBreak/>
              <w:t xml:space="preserve">Manual del sistema de gestión del riesgo de la deuda tributaria y aduanera elaborado por la Dirección de Cobro de Deudas Tributarias y Aduaneras y divulgado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Manual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Manual de Sistema de Gestión del Riesgo de la Deuda Tributaria.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Ley Transitoria para Facilitar el complimiento Voluntario de Obligaciones Tributarias y Aduaneras aprobada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Ley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Publicación en el Diario Oficial de la Ley Transitoria para Facilitar el Cumplimiento Voluntario de Obligaciones Tributarias y Aduaneras.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Se prorrogó a la ley por medio del Decreto Nº 889 el 17 de enero de 2018.</w:t>
            </w: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419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419"/>
              </w:rPr>
              <w:t xml:space="preserve">Convenios de integración de bases de datos e intercambio de información entre el MH y 4 instituciones del sector público suscritos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Convenio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4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Documentos de convenio firmados entre el Ministerio de Hacienda y las instituciones gubernamentales.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419"/>
              </w:rPr>
              <w:t>Los convenios suscritos son entre el Ministerio de Hacienda, el Registro Nacional de Personas Naturales (RNPN), el Instituto Salvadoreño de Seguridad Social (ISSS), el Instituto Salvadoreño de Fomento Cooperativo (INSAFOCCOOOP) y el Centro Nacional de Registros (CNR).</w:t>
            </w: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Informe sobre la integración de base de datos entre el Ministerio de Hacienda y el RNPN, CNR, ISSS e INSAFOCOOP integradas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Informe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 xml:space="preserve">Informe del Ministerio de Hacienda informando sobre la integración de la base de datos.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Estándar para el Intercambio de Información tributaria a Requerimiento (EOIR) implementado y aprobado por el Foro Global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Estándar</w:t>
            </w:r>
          </w:p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Internacional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Reporte Anual del Foro Global.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Aprobación por Foro Global.</w:t>
            </w: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Anteproyecto de Ley para el cumplimiento del Estándar para el conocimiento de ultimo beneficiario de la Propiedad del Foro Global Remitido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Anteproyecto de Ley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Remisión del anteproyecto aprobado por el MH a la Secretaria Técnica de la Presidencia.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137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vAlign w:val="center"/>
          </w:tcPr>
          <w:p>
            <w:pPr>
              <w:spacing w:after="40" w:line="240" w:lineRule="auto"/>
              <w:ind w:right="-105"/>
              <w:rPr>
                <w:rFonts w:ascii="Arial" w:hAnsi="Arial" w:cs="Arial"/>
                <w:b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419" w:eastAsia="zh-CN"/>
              </w:rPr>
              <w:lastRenderedPageBreak/>
              <w:t>Componente III. Reforma del sistema de pensiones</w:t>
            </w: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Ley reformada del Sistema de Ahorro de Pensiones aprobada.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Ley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Publicación en el Diario Oficial.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 xml:space="preserve">Ley reformada del Fideicomiso de Obligaciones Previsionales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Ley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Publicación en el Diario Oficial.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Comité de Riesgos conformado para establecer los límites de inversión por tipos de instrumento y los límites mínimos de calificación de riesgo para los instrumentos que se invierten en los Fondos de Pensiones</w:t>
            </w:r>
            <w:r>
              <w:rPr>
                <w:rFonts w:ascii="Arial" w:hAnsi="Arial" w:cs="Arial"/>
                <w:b/>
                <w:color w:val="00B05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Comité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Publicación en el Diario Oficial del Reglamento para la elección de los representantes del Comité de Riesgos.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Comité actuarial para determinar los montos de las pensiones mínimas, revisar las expectativas de vida para determinar las edades de jubilación y revisar la suficiencia de la Cuenta de Garantía solidaria creado</w:t>
            </w:r>
            <w:r>
              <w:rPr>
                <w:rFonts w:ascii="Arial" w:hAnsi="Arial" w:cs="Arial"/>
                <w:b/>
                <w:color w:val="00B050"/>
                <w:sz w:val="20"/>
                <w:szCs w:val="20"/>
                <w:lang w:val="es-ES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Comité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Publicación en el Diario Oficial del Reglamento para la elección de los representantes del Comité de Riesgos.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  <w:tr>
        <w:trPr>
          <w:trHeight w:val="20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spacing w:after="40" w:line="240" w:lineRule="auto"/>
              <w:ind w:left="0"/>
              <w:contextualSpacing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  <w:t>Seguro de longevidad implementado para garantizar un ingreso constante y permanente de los pensionados por vejez y los beneficiarios de pensiones por sobrevivencia</w:t>
            </w:r>
            <w:r>
              <w:rPr>
                <w:rFonts w:ascii="Arial" w:hAnsi="Arial" w:cs="Arial"/>
                <w:b/>
                <w:color w:val="00B050"/>
                <w:sz w:val="20"/>
                <w:szCs w:val="20"/>
                <w:lang w:val="es-ES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ind w:left="-135" w:right="-105"/>
              <w:jc w:val="center"/>
              <w:rPr>
                <w:rFonts w:ascii="Arial" w:hAnsi="Arial" w:cs="Arial"/>
                <w:sz w:val="20"/>
                <w:szCs w:val="20"/>
                <w:lang w:val="es-ES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" w:eastAsia="zh-CN"/>
              </w:rPr>
              <w:t>Seguro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2017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419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419" w:eastAsia="zh-CN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jc w:val="center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  <w:r>
              <w:rPr>
                <w:rFonts w:ascii="Arial" w:hAnsi="Arial" w:cs="Arial"/>
                <w:sz w:val="20"/>
                <w:szCs w:val="20"/>
                <w:lang w:val="es-ES_tradnl" w:eastAsia="zh-CN"/>
              </w:rPr>
              <w:t>Normas Técnicas para la administración y gestión de la Cuenta de Garantía Solidaria emitidas por el Comité de Normas del Banco Central de Reserva.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40" w:line="240" w:lineRule="auto"/>
              <w:rPr>
                <w:rFonts w:ascii="Arial" w:hAnsi="Arial" w:cs="Arial"/>
                <w:sz w:val="20"/>
                <w:szCs w:val="20"/>
                <w:lang w:val="es-ES_tradnl" w:eastAsia="zh-CN"/>
              </w:rPr>
            </w:pPr>
          </w:p>
        </w:tc>
      </w:tr>
    </w:tbl>
    <w:p>
      <w:pPr>
        <w:rPr>
          <w:rFonts w:ascii="Arial" w:hAnsi="Arial" w:cs="Arial"/>
          <w:sz w:val="20"/>
          <w:szCs w:val="20"/>
          <w:lang w:val="es-419"/>
        </w:rPr>
      </w:pPr>
    </w:p>
    <w:sectPr>
      <w:headerReference w:type="even" r:id="rId13"/>
      <w:headerReference w:type="default" r:id="rId14"/>
      <w:footerReference w:type="default" r:id="rId15"/>
      <w:footnotePr>
        <w:numRestart w:val="eachSect"/>
      </w:footnotePr>
      <w:type w:val="continuous"/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  <w:endnote w:type="continuationNotice" w:id="1">
    <w:p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type="continuationNotice" w:id="1">
    <w:p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rPr>
        <w:rFonts w:ascii="Arial" w:hAnsi="Arial" w:cs="Arial"/>
        <w:sz w:val="18"/>
        <w:szCs w:val="20"/>
        <w:lang w:val="pt-BR"/>
      </w:rPr>
    </w:pPr>
    <w:r>
      <w:rPr>
        <w:rFonts w:ascii="Arial" w:hAnsi="Arial" w:cs="Arial"/>
        <w:sz w:val="18"/>
        <w:szCs w:val="20"/>
        <w:lang w:val="pt-BR"/>
      </w:rPr>
      <w:t>Anexo II – XX-</w:t>
    </w:r>
    <w:proofErr w:type="spellStart"/>
    <w:r>
      <w:rPr>
        <w:rFonts w:ascii="Arial" w:hAnsi="Arial" w:cs="Arial"/>
        <w:sz w:val="18"/>
        <w:szCs w:val="20"/>
        <w:lang w:val="pt-BR"/>
      </w:rPr>
      <w:t>Lxxxx</w:t>
    </w:r>
    <w:proofErr w:type="spellEnd"/>
  </w:p>
  <w:p>
    <w:pPr>
      <w:pStyle w:val="Header"/>
      <w:spacing w:after="120"/>
      <w:rPr>
        <w:rFonts w:ascii="Arial" w:hAnsi="Arial" w:cs="Arial"/>
        <w:sz w:val="18"/>
        <w:lang w:val="pt-BR"/>
      </w:rPr>
    </w:pPr>
    <w:r>
      <w:rPr>
        <w:rFonts w:ascii="Arial" w:hAnsi="Arial" w:cs="Arial"/>
        <w:sz w:val="18"/>
        <w:szCs w:val="20"/>
        <w:lang w:val="pt-BR"/>
      </w:rPr>
      <w:t xml:space="preserve">Página </w:t>
    </w:r>
    <w:r>
      <w:rPr>
        <w:rFonts w:ascii="Arial" w:hAnsi="Arial" w:cs="Arial"/>
        <w:sz w:val="18"/>
        <w:szCs w:val="20"/>
      </w:rPr>
      <w:fldChar w:fldCharType="begin"/>
    </w:r>
    <w:r>
      <w:rPr>
        <w:rFonts w:ascii="Arial" w:hAnsi="Arial" w:cs="Arial"/>
        <w:sz w:val="18"/>
        <w:szCs w:val="20"/>
        <w:lang w:val="pt-BR"/>
      </w:rPr>
      <w:instrText xml:space="preserve"> PAGE </w:instrText>
    </w:r>
    <w:r>
      <w:rPr>
        <w:rFonts w:ascii="Arial" w:hAnsi="Arial" w:cs="Arial"/>
        <w:sz w:val="18"/>
        <w:szCs w:val="20"/>
      </w:rPr>
      <w:fldChar w:fldCharType="separate"/>
    </w:r>
    <w:r>
      <w:rPr>
        <w:rFonts w:ascii="Arial" w:hAnsi="Arial" w:cs="Arial"/>
        <w:noProof/>
        <w:sz w:val="18"/>
        <w:szCs w:val="20"/>
        <w:lang w:val="pt-BR"/>
      </w:rPr>
      <w:t>2</w:t>
    </w:r>
    <w:r>
      <w:rPr>
        <w:rFonts w:ascii="Arial" w:hAnsi="Arial" w:cs="Arial"/>
        <w:sz w:val="18"/>
        <w:szCs w:val="20"/>
      </w:rPr>
      <w:fldChar w:fldCharType="end"/>
    </w:r>
    <w:r>
      <w:rPr>
        <w:rFonts w:ascii="Arial" w:hAnsi="Arial" w:cs="Arial"/>
        <w:sz w:val="18"/>
        <w:szCs w:val="20"/>
        <w:lang w:val="pt-BR"/>
      </w:rPr>
      <w:t xml:space="preserve"> de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jc w:val="right"/>
      <w:rPr>
        <w:rFonts w:ascii="Arial" w:hAnsi="Arial" w:cs="Arial"/>
        <w:sz w:val="18"/>
        <w:szCs w:val="20"/>
        <w:lang w:val="pt-BR"/>
      </w:rPr>
    </w:pPr>
    <w:r>
      <w:rPr>
        <w:rFonts w:ascii="Arial" w:hAnsi="Arial" w:cs="Arial"/>
        <w:sz w:val="18"/>
        <w:szCs w:val="20"/>
        <w:lang w:val="pt-BR"/>
      </w:rPr>
      <w:t>ES-L1093</w:t>
    </w:r>
  </w:p>
  <w:p>
    <w:pPr>
      <w:pStyle w:val="Header"/>
      <w:spacing w:after="120"/>
      <w:jc w:val="right"/>
      <w:rPr>
        <w:rFonts w:ascii="Arial" w:hAnsi="Arial" w:cs="Arial"/>
        <w:sz w:val="18"/>
        <w:lang w:val="pt-BR"/>
      </w:rPr>
    </w:pPr>
    <w:r>
      <w:rPr>
        <w:rFonts w:ascii="Arial" w:hAnsi="Arial" w:cs="Arial"/>
        <w:sz w:val="18"/>
        <w:szCs w:val="20"/>
        <w:lang w:val="pt-BR"/>
      </w:rPr>
      <w:t xml:space="preserve">Página </w:t>
    </w:r>
    <w:r>
      <w:rPr>
        <w:rFonts w:ascii="Arial" w:hAnsi="Arial" w:cs="Arial"/>
        <w:sz w:val="18"/>
        <w:szCs w:val="20"/>
      </w:rPr>
      <w:fldChar w:fldCharType="begin"/>
    </w:r>
    <w:r>
      <w:rPr>
        <w:rFonts w:ascii="Arial" w:hAnsi="Arial" w:cs="Arial"/>
        <w:sz w:val="18"/>
        <w:szCs w:val="20"/>
        <w:lang w:val="pt-BR"/>
      </w:rPr>
      <w:instrText xml:space="preserve"> PAGE </w:instrText>
    </w:r>
    <w:r>
      <w:rPr>
        <w:rFonts w:ascii="Arial" w:hAnsi="Arial" w:cs="Arial"/>
        <w:sz w:val="18"/>
        <w:szCs w:val="20"/>
      </w:rPr>
      <w:fldChar w:fldCharType="separate"/>
    </w:r>
    <w:r>
      <w:rPr>
        <w:rFonts w:ascii="Arial" w:hAnsi="Arial" w:cs="Arial"/>
        <w:noProof/>
        <w:sz w:val="18"/>
        <w:szCs w:val="20"/>
        <w:lang w:val="pt-BR"/>
      </w:rPr>
      <w:t>3</w:t>
    </w:r>
    <w:r>
      <w:rPr>
        <w:rFonts w:ascii="Arial" w:hAnsi="Arial" w:cs="Arial"/>
        <w:sz w:val="18"/>
        <w:szCs w:val="20"/>
      </w:rPr>
      <w:fldChar w:fldCharType="end"/>
    </w:r>
    <w:r>
      <w:rPr>
        <w:rFonts w:ascii="Arial" w:hAnsi="Arial" w:cs="Arial"/>
        <w:sz w:val="18"/>
        <w:szCs w:val="20"/>
        <w:lang w:val="pt-BR"/>
      </w:rPr>
      <w:t xml:space="preserve"> de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C3391"/>
    <w:multiLevelType w:val="hybridMultilevel"/>
    <w:tmpl w:val="D9449F7C"/>
    <w:lvl w:ilvl="0" w:tplc="E516FBD8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827BD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275D3"/>
    <w:multiLevelType w:val="hybridMultilevel"/>
    <w:tmpl w:val="5F22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65AEA"/>
    <w:multiLevelType w:val="hybridMultilevel"/>
    <w:tmpl w:val="2ED62A6A"/>
    <w:lvl w:ilvl="0" w:tplc="C21883B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B317F"/>
    <w:multiLevelType w:val="hybridMultilevel"/>
    <w:tmpl w:val="435C7E62"/>
    <w:lvl w:ilvl="0" w:tplc="1848065C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832F7"/>
    <w:multiLevelType w:val="hybridMultilevel"/>
    <w:tmpl w:val="DE001ED0"/>
    <w:lvl w:ilvl="0" w:tplc="8DD2164C">
      <w:start w:val="1"/>
      <w:numFmt w:val="decimal"/>
      <w:lvlText w:val="4.%1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F4769D2"/>
    <w:multiLevelType w:val="hybridMultilevel"/>
    <w:tmpl w:val="F716D126"/>
    <w:lvl w:ilvl="0" w:tplc="14820AB0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E168C"/>
    <w:multiLevelType w:val="hybridMultilevel"/>
    <w:tmpl w:val="64C8B162"/>
    <w:lvl w:ilvl="0" w:tplc="F87EACA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D564D"/>
    <w:multiLevelType w:val="hybridMultilevel"/>
    <w:tmpl w:val="881070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0" w15:restartNumberingAfterBreak="0">
    <w:nsid w:val="540F0548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530A9C"/>
    <w:multiLevelType w:val="multilevel"/>
    <w:tmpl w:val="7A4C2E3A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2" w15:restartNumberingAfterBreak="0">
    <w:nsid w:val="63435F38"/>
    <w:multiLevelType w:val="hybridMultilevel"/>
    <w:tmpl w:val="8390A242"/>
    <w:lvl w:ilvl="0" w:tplc="445A9A44">
      <w:start w:val="1"/>
      <w:numFmt w:val="decimal"/>
      <w:lvlText w:val="%1."/>
      <w:lvlJc w:val="left"/>
      <w:pPr>
        <w:ind w:left="792" w:hanging="360"/>
      </w:pPr>
      <w:rPr>
        <w:rFonts w:ascii="Cambria" w:eastAsia="Times New Roman" w:hAnsi="Cambria" w:cs="Times New Roman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6C0E1AE9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4E65DE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2"/>
  </w:num>
  <w:num w:numId="12">
    <w:abstractNumId w:val="1"/>
  </w:num>
  <w:num w:numId="13">
    <w:abstractNumId w:val="13"/>
  </w:num>
  <w:num w:numId="14">
    <w:abstractNumId w:val="10"/>
  </w:num>
  <w:num w:numId="1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23E373D-B960-4F3F-B0C4-F386A9D3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link w:val="FootnoteText"/>
    <w:semiHidden/>
    <w:rPr>
      <w:rFonts w:ascii="Times New Roman" w:eastAsia="Times New Roman" w:hAnsi="Times New Roman"/>
      <w:lang w:val="es-E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Pr>
      <w:sz w:val="22"/>
      <w:szCs w:val="22"/>
      <w:lang w:val="es-CO"/>
    </w:rPr>
  </w:style>
  <w:style w:type="character" w:styleId="FootnoteReference">
    <w:name w:val="footnote reference"/>
    <w:uiPriority w:val="99"/>
    <w:unhideWhenUsed/>
    <w:rPr>
      <w:vertAlign w:val="superscript"/>
    </w:rPr>
  </w:style>
  <w:style w:type="paragraph" w:customStyle="1" w:styleId="Chapter">
    <w:name w:val="Chapter"/>
    <w:basedOn w:val="Normal"/>
    <w:next w:val="Normal"/>
    <w:pPr>
      <w:keepNext/>
      <w:numPr>
        <w:numId w:val="16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pPr>
      <w:numPr>
        <w:ilvl w:val="1"/>
        <w:numId w:val="16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pPr>
      <w:numPr>
        <w:ilvl w:val="2"/>
        <w:numId w:val="16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Pr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omilenioii.gob.sv/apuestaporinversione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milenioii.gob.sv/apuestaporinversion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79662-C45A-45E1-9371-E1E997C648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F7F721-A946-4019-B0FC-1430FAEB81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66294B-6BE2-4A9A-897B-1AAB20DF32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802C38-4751-463F-A380-25A6AA277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2329</Words>
  <Characters>12812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Canillas Gomez, Mariana Belen</cp:lastModifiedBy>
  <cp:revision>2</cp:revision>
  <cp:lastPrinted>2013-12-02T21:23:00Z</cp:lastPrinted>
  <dcterms:created xsi:type="dcterms:W3CDTF">2018-04-25T20:31:00Z</dcterms:created>
  <dcterms:modified xsi:type="dcterms:W3CDTF">2018-04-27T21:10:00Z</dcterms:modified>
</cp:coreProperties>
</file>