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C0A36" w14:textId="77777777" w:rsidR="0061705B" w:rsidRDefault="004E2916">
      <w:pPr>
        <w:spacing w:after="120"/>
        <w:jc w:val="center"/>
        <w:rPr>
          <w:rFonts w:ascii="Arial" w:hAnsi="Arial" w:cs="Arial"/>
          <w:b/>
          <w:bCs/>
          <w:smallCaps/>
          <w:szCs w:val="24"/>
          <w:lang w:val="es-ES_tradnl"/>
        </w:rPr>
      </w:pPr>
      <w:r>
        <w:rPr>
          <w:rFonts w:ascii="Arial" w:hAnsi="Arial" w:cs="Arial"/>
          <w:b/>
          <w:bCs/>
          <w:smallCaps/>
          <w:szCs w:val="24"/>
          <w:lang w:val="es-ES_tradnl"/>
        </w:rPr>
        <w:t>Matriz de Medios de Verificación</w:t>
      </w:r>
    </w:p>
    <w:tbl>
      <w:tblPr>
        <w:tblStyle w:val="TableGrid"/>
        <w:tblW w:w="13230" w:type="dxa"/>
        <w:tblInd w:w="-162" w:type="dxa"/>
        <w:tblLayout w:type="fixed"/>
        <w:tblLook w:val="04A0" w:firstRow="1" w:lastRow="0" w:firstColumn="1" w:lastColumn="0" w:noHBand="0" w:noVBand="1"/>
      </w:tblPr>
      <w:tblGrid>
        <w:gridCol w:w="6547"/>
        <w:gridCol w:w="4410"/>
        <w:gridCol w:w="2273"/>
      </w:tblGrid>
      <w:tr w:rsidR="0061705B" w14:paraId="01A9B4A4" w14:textId="77777777" w:rsidTr="53572D26">
        <w:trPr>
          <w:trHeight w:val="20"/>
          <w:tblHeader/>
        </w:trPr>
        <w:tc>
          <w:tcPr>
            <w:tcW w:w="6547" w:type="dxa"/>
            <w:shd w:val="clear" w:color="auto" w:fill="C6D9F1"/>
            <w:vAlign w:val="center"/>
          </w:tcPr>
          <w:p w14:paraId="59951E85" w14:textId="77777777" w:rsidR="0061705B" w:rsidRDefault="004E2916">
            <w:pPr>
              <w:jc w:val="center"/>
              <w:rPr>
                <w:rFonts w:ascii="Arial" w:hAnsi="Arial" w:cs="Arial"/>
                <w:b/>
                <w:sz w:val="20"/>
                <w:lang w:val="es-ES"/>
              </w:rPr>
            </w:pPr>
            <w:r>
              <w:rPr>
                <w:rFonts w:ascii="Arial" w:hAnsi="Arial" w:cs="Arial"/>
                <w:b/>
                <w:sz w:val="20"/>
                <w:lang w:val="es-ES"/>
              </w:rPr>
              <w:t xml:space="preserve">Condiciones de política </w:t>
            </w:r>
          </w:p>
          <w:p w14:paraId="5002566E" w14:textId="77777777" w:rsidR="0061705B" w:rsidRDefault="004E2916">
            <w:pPr>
              <w:jc w:val="center"/>
              <w:rPr>
                <w:rFonts w:ascii="Arial" w:hAnsi="Arial" w:cs="Arial"/>
                <w:b/>
                <w:smallCaps/>
                <w:sz w:val="20"/>
                <w:lang w:val="es-ES"/>
              </w:rPr>
            </w:pPr>
            <w:r>
              <w:rPr>
                <w:rFonts w:ascii="Arial" w:hAnsi="Arial" w:cs="Arial"/>
                <w:b/>
                <w:sz w:val="20"/>
                <w:lang w:val="es-ES"/>
              </w:rPr>
              <w:t>Primera operación programática</w:t>
            </w:r>
          </w:p>
        </w:tc>
        <w:tc>
          <w:tcPr>
            <w:tcW w:w="4410" w:type="dxa"/>
            <w:shd w:val="clear" w:color="auto" w:fill="C6D9F1"/>
            <w:vAlign w:val="center"/>
          </w:tcPr>
          <w:p w14:paraId="503A29C7" w14:textId="77777777" w:rsidR="0061705B" w:rsidRDefault="004E2916">
            <w:pPr>
              <w:jc w:val="center"/>
              <w:rPr>
                <w:rFonts w:ascii="Arial" w:hAnsi="Arial" w:cs="Arial"/>
                <w:b/>
                <w:sz w:val="20"/>
                <w:lang w:val="es-ES"/>
              </w:rPr>
            </w:pPr>
            <w:r>
              <w:rPr>
                <w:rFonts w:ascii="Arial" w:hAnsi="Arial" w:cs="Arial"/>
                <w:b/>
                <w:sz w:val="20"/>
                <w:lang w:val="es-ES"/>
              </w:rPr>
              <w:t xml:space="preserve">Medios de Verificación </w:t>
            </w:r>
          </w:p>
          <w:p w14:paraId="23387E32" w14:textId="77777777" w:rsidR="0061705B" w:rsidRDefault="004E2916">
            <w:pPr>
              <w:jc w:val="center"/>
              <w:rPr>
                <w:rFonts w:ascii="Arial" w:hAnsi="Arial" w:cs="Arial"/>
                <w:b/>
                <w:sz w:val="20"/>
                <w:lang w:val="es-ES"/>
              </w:rPr>
            </w:pPr>
            <w:r>
              <w:rPr>
                <w:rFonts w:ascii="Arial" w:hAnsi="Arial" w:cs="Arial"/>
                <w:b/>
                <w:sz w:val="20"/>
                <w:lang w:val="es-ES"/>
              </w:rPr>
              <w:t>Primera operación programática</w:t>
            </w:r>
          </w:p>
        </w:tc>
        <w:tc>
          <w:tcPr>
            <w:tcW w:w="2273" w:type="dxa"/>
            <w:shd w:val="clear" w:color="auto" w:fill="C6D9F1"/>
            <w:vAlign w:val="center"/>
          </w:tcPr>
          <w:p w14:paraId="399F6A14" w14:textId="77777777" w:rsidR="0061705B" w:rsidRDefault="004E2916">
            <w:pPr>
              <w:jc w:val="center"/>
              <w:rPr>
                <w:rFonts w:ascii="Arial" w:hAnsi="Arial" w:cs="Arial"/>
                <w:b/>
                <w:sz w:val="20"/>
                <w:lang w:val="es-ES"/>
              </w:rPr>
            </w:pPr>
            <w:r>
              <w:rPr>
                <w:rFonts w:ascii="Arial" w:hAnsi="Arial" w:cs="Arial"/>
                <w:b/>
                <w:sz w:val="20"/>
                <w:lang w:val="es-ES"/>
              </w:rPr>
              <w:t>Responsable</w:t>
            </w:r>
          </w:p>
        </w:tc>
      </w:tr>
      <w:tr w:rsidR="0061705B" w14:paraId="494EDC82" w14:textId="77777777" w:rsidTr="53572D26">
        <w:trPr>
          <w:trHeight w:val="20"/>
        </w:trPr>
        <w:tc>
          <w:tcPr>
            <w:tcW w:w="10957" w:type="dxa"/>
            <w:gridSpan w:val="2"/>
            <w:shd w:val="clear" w:color="auto" w:fill="C6D9F1"/>
            <w:vAlign w:val="center"/>
          </w:tcPr>
          <w:p w14:paraId="737A65AD" w14:textId="77777777" w:rsidR="0061705B" w:rsidRDefault="004E2916">
            <w:pPr>
              <w:rPr>
                <w:rFonts w:ascii="Arial" w:hAnsi="Arial" w:cs="Arial"/>
                <w:sz w:val="20"/>
                <w:lang w:val="es-ES"/>
              </w:rPr>
            </w:pPr>
            <w:r>
              <w:rPr>
                <w:rFonts w:ascii="Arial" w:hAnsi="Arial" w:cs="Arial"/>
                <w:b/>
                <w:sz w:val="20"/>
                <w:lang w:val="es-ES"/>
              </w:rPr>
              <w:t xml:space="preserve">Componente I - Estabilidad </w:t>
            </w:r>
            <w:r>
              <w:rPr>
                <w:rFonts w:ascii="Arial" w:hAnsi="Arial" w:cs="Arial"/>
                <w:b/>
                <w:sz w:val="20"/>
                <w:lang w:val="es-ES"/>
              </w:rPr>
              <w:t>Macroeconómica</w:t>
            </w:r>
          </w:p>
        </w:tc>
        <w:tc>
          <w:tcPr>
            <w:tcW w:w="2273" w:type="dxa"/>
            <w:shd w:val="clear" w:color="auto" w:fill="C6D9F1"/>
            <w:vAlign w:val="center"/>
          </w:tcPr>
          <w:p w14:paraId="672A6659" w14:textId="77777777" w:rsidR="0061705B" w:rsidRDefault="0061705B">
            <w:pPr>
              <w:rPr>
                <w:rFonts w:ascii="Arial" w:hAnsi="Arial" w:cs="Arial"/>
                <w:b/>
                <w:sz w:val="20"/>
                <w:lang w:val="es-ES"/>
              </w:rPr>
            </w:pPr>
          </w:p>
        </w:tc>
      </w:tr>
      <w:tr w:rsidR="0061705B" w14:paraId="2008ED34" w14:textId="77777777" w:rsidTr="53572D26">
        <w:trPr>
          <w:trHeight w:val="20"/>
        </w:trPr>
        <w:tc>
          <w:tcPr>
            <w:tcW w:w="6547" w:type="dxa"/>
          </w:tcPr>
          <w:p w14:paraId="7F8B8DDD" w14:textId="77777777" w:rsidR="0061705B" w:rsidRDefault="004E2916">
            <w:pPr>
              <w:pStyle w:val="ListParagraph"/>
              <w:numPr>
                <w:ilvl w:val="1"/>
                <w:numId w:val="2"/>
              </w:numPr>
              <w:tabs>
                <w:tab w:val="center" w:pos="4320"/>
                <w:tab w:val="right" w:pos="8640"/>
              </w:tabs>
              <w:contextualSpacing w:val="0"/>
              <w:jc w:val="both"/>
              <w:rPr>
                <w:rFonts w:ascii="Arial" w:hAnsi="Arial" w:cs="Arial"/>
                <w:color w:val="000000"/>
                <w:sz w:val="20"/>
                <w:lang w:val="es-ES"/>
              </w:rPr>
            </w:pPr>
            <w:r>
              <w:rPr>
                <w:rFonts w:ascii="Arial" w:hAnsi="Arial" w:cs="Arial"/>
                <w:color w:val="000000"/>
                <w:sz w:val="20"/>
                <w:lang w:val="es-ES"/>
              </w:rPr>
              <w:t>Mantenimiento de un marco de políticas macroeconómicas apropiado y consistente con los objetivos del Programa según establecido en la matriz de políticas.</w:t>
            </w:r>
          </w:p>
        </w:tc>
        <w:tc>
          <w:tcPr>
            <w:tcW w:w="4410" w:type="dxa"/>
          </w:tcPr>
          <w:p w14:paraId="2E06D5BE" w14:textId="77777777" w:rsidR="0061705B" w:rsidRDefault="004E2916">
            <w:pPr>
              <w:pStyle w:val="ListParagraph"/>
              <w:numPr>
                <w:ilvl w:val="0"/>
                <w:numId w:val="32"/>
              </w:numPr>
              <w:ind w:left="348"/>
              <w:contextualSpacing w:val="0"/>
              <w:jc w:val="both"/>
              <w:rPr>
                <w:rFonts w:ascii="Arial" w:hAnsi="Arial" w:cs="Arial"/>
                <w:sz w:val="20"/>
                <w:lang w:val="es-ES"/>
              </w:rPr>
            </w:pPr>
            <w:r>
              <w:rPr>
                <w:rFonts w:ascii="Arial" w:hAnsi="Arial" w:cs="Arial"/>
                <w:color w:val="000000"/>
                <w:sz w:val="20"/>
                <w:lang w:val="es-ES"/>
              </w:rPr>
              <w:t>Informe de Evaluación Independiente de Condiciones Macroeconómicas (IAMC).</w:t>
            </w:r>
          </w:p>
        </w:tc>
        <w:tc>
          <w:tcPr>
            <w:tcW w:w="2273" w:type="dxa"/>
          </w:tcPr>
          <w:p w14:paraId="6DD57BD2" w14:textId="77777777" w:rsidR="0061705B" w:rsidRDefault="004E2916">
            <w:pPr>
              <w:rPr>
                <w:rFonts w:ascii="Arial" w:hAnsi="Arial" w:cs="Arial"/>
                <w:sz w:val="20"/>
                <w:lang w:val="es-ES"/>
              </w:rPr>
            </w:pPr>
            <w:r>
              <w:rPr>
                <w:rFonts w:ascii="Arial" w:hAnsi="Arial" w:cs="Arial"/>
                <w:sz w:val="20"/>
                <w:lang w:val="es-ES"/>
              </w:rPr>
              <w:t>BID</w:t>
            </w:r>
          </w:p>
        </w:tc>
      </w:tr>
      <w:tr w:rsidR="0061705B" w14:paraId="701A5C6E" w14:textId="77777777" w:rsidTr="53572D26">
        <w:trPr>
          <w:trHeight w:val="20"/>
        </w:trPr>
        <w:tc>
          <w:tcPr>
            <w:tcW w:w="10957" w:type="dxa"/>
            <w:gridSpan w:val="2"/>
            <w:shd w:val="clear" w:color="auto" w:fill="C6D9F1"/>
            <w:vAlign w:val="center"/>
          </w:tcPr>
          <w:p w14:paraId="3D0A4B88" w14:textId="77777777" w:rsidR="0061705B" w:rsidRDefault="004E2916">
            <w:pPr>
              <w:rPr>
                <w:rFonts w:ascii="Arial" w:hAnsi="Arial" w:cs="Arial"/>
                <w:sz w:val="20"/>
                <w:lang w:val="es-ES"/>
              </w:rPr>
            </w:pPr>
            <w:r>
              <w:rPr>
                <w:rFonts w:ascii="Arial" w:hAnsi="Arial" w:cs="Arial"/>
                <w:b/>
                <w:sz w:val="20"/>
                <w:lang w:val="es-ES"/>
              </w:rPr>
              <w:t>Componente II – Reformas de políticas y Gestión de Gastos e Ingresos Públicos</w:t>
            </w:r>
          </w:p>
        </w:tc>
        <w:tc>
          <w:tcPr>
            <w:tcW w:w="2273" w:type="dxa"/>
            <w:shd w:val="clear" w:color="auto" w:fill="C6D9F1"/>
            <w:vAlign w:val="center"/>
          </w:tcPr>
          <w:p w14:paraId="0A37501D" w14:textId="77777777" w:rsidR="0061705B" w:rsidRDefault="0061705B">
            <w:pPr>
              <w:rPr>
                <w:rFonts w:ascii="Arial" w:hAnsi="Arial" w:cs="Arial"/>
                <w:b/>
                <w:sz w:val="20"/>
                <w:lang w:val="es-ES"/>
              </w:rPr>
            </w:pPr>
          </w:p>
        </w:tc>
      </w:tr>
      <w:tr w:rsidR="0061705B" w14:paraId="7F929D04" w14:textId="77777777" w:rsidTr="53572D26">
        <w:trPr>
          <w:trHeight w:val="20"/>
        </w:trPr>
        <w:tc>
          <w:tcPr>
            <w:tcW w:w="10957" w:type="dxa"/>
            <w:gridSpan w:val="2"/>
            <w:shd w:val="clear" w:color="auto" w:fill="auto"/>
          </w:tcPr>
          <w:p w14:paraId="790510EA" w14:textId="77777777" w:rsidR="0061705B" w:rsidRDefault="004E2916">
            <w:pPr>
              <w:rPr>
                <w:rFonts w:ascii="Arial" w:hAnsi="Arial" w:cs="Arial"/>
                <w:b/>
                <w:sz w:val="20"/>
                <w:lang w:val="es-ES"/>
              </w:rPr>
            </w:pPr>
            <w:r>
              <w:rPr>
                <w:rFonts w:ascii="Arial" w:hAnsi="Arial" w:cs="Arial"/>
                <w:b/>
                <w:sz w:val="20"/>
                <w:lang w:val="es-ES"/>
              </w:rPr>
              <w:t>Gestión Macrofiscal</w:t>
            </w:r>
          </w:p>
        </w:tc>
        <w:tc>
          <w:tcPr>
            <w:tcW w:w="2273" w:type="dxa"/>
            <w:shd w:val="clear" w:color="auto" w:fill="auto"/>
            <w:vAlign w:val="center"/>
          </w:tcPr>
          <w:p w14:paraId="5DAB6C7B" w14:textId="77777777" w:rsidR="0061705B" w:rsidRDefault="0061705B">
            <w:pPr>
              <w:rPr>
                <w:rFonts w:ascii="Arial" w:hAnsi="Arial" w:cs="Arial"/>
                <w:b/>
                <w:sz w:val="20"/>
                <w:lang w:val="es-ES"/>
              </w:rPr>
            </w:pPr>
          </w:p>
        </w:tc>
      </w:tr>
      <w:tr w:rsidR="0061705B" w14:paraId="7E5535AA" w14:textId="77777777" w:rsidTr="53572D26">
        <w:trPr>
          <w:trHeight w:val="20"/>
        </w:trPr>
        <w:tc>
          <w:tcPr>
            <w:tcW w:w="6547" w:type="dxa"/>
          </w:tcPr>
          <w:p w14:paraId="1ADF9685" w14:textId="1028657B" w:rsidR="0061705B" w:rsidRDefault="53572D26" w:rsidP="53572D26">
            <w:pPr>
              <w:pStyle w:val="ListParagraph"/>
              <w:numPr>
                <w:ilvl w:val="1"/>
                <w:numId w:val="3"/>
              </w:numPr>
              <w:tabs>
                <w:tab w:val="center" w:pos="4320"/>
                <w:tab w:val="right" w:pos="8640"/>
              </w:tabs>
              <w:spacing w:after="60"/>
              <w:contextualSpacing w:val="0"/>
              <w:jc w:val="both"/>
              <w:rPr>
                <w:rFonts w:ascii="Arial" w:hAnsi="Arial" w:cs="Arial"/>
                <w:sz w:val="20"/>
                <w:lang w:val="es-MX"/>
              </w:rPr>
            </w:pPr>
            <w:r w:rsidRPr="53572D26">
              <w:rPr>
                <w:rFonts w:ascii="Arial" w:hAnsi="Arial" w:cs="Arial"/>
                <w:sz w:val="20"/>
                <w:lang w:val="es-MX"/>
              </w:rPr>
              <w:t xml:space="preserve">Aprobación y </w:t>
            </w:r>
            <w:proofErr w:type="gramStart"/>
            <w:r w:rsidRPr="53572D26">
              <w:rPr>
                <w:rFonts w:ascii="Arial" w:hAnsi="Arial" w:cs="Arial"/>
                <w:sz w:val="20"/>
                <w:lang w:val="es-MX"/>
              </w:rPr>
              <w:t>entrada en vigencia</w:t>
            </w:r>
            <w:proofErr w:type="gramEnd"/>
            <w:r w:rsidRPr="53572D26">
              <w:rPr>
                <w:rFonts w:ascii="Arial" w:hAnsi="Arial" w:cs="Arial"/>
                <w:sz w:val="20"/>
                <w:lang w:val="es-MX"/>
              </w:rPr>
              <w:t xml:space="preserve"> de la LRF, conteniendo al menos las siguientes medidas para el SPNF: </w:t>
            </w:r>
          </w:p>
          <w:p w14:paraId="42B46B52" w14:textId="77777777" w:rsidR="0061705B" w:rsidRDefault="004E2916">
            <w:pPr>
              <w:pStyle w:val="ListParagraph"/>
              <w:numPr>
                <w:ilvl w:val="0"/>
                <w:numId w:val="4"/>
              </w:numPr>
              <w:tabs>
                <w:tab w:val="center" w:pos="4320"/>
                <w:tab w:val="right" w:pos="8640"/>
              </w:tabs>
              <w:spacing w:before="60" w:after="60"/>
              <w:ind w:left="678" w:hanging="360"/>
              <w:contextualSpacing w:val="0"/>
              <w:jc w:val="both"/>
              <w:rPr>
                <w:rFonts w:ascii="Arial" w:hAnsi="Arial" w:cs="Arial"/>
                <w:sz w:val="20"/>
                <w:lang w:val="es-MX"/>
              </w:rPr>
            </w:pPr>
            <w:r>
              <w:rPr>
                <w:rFonts w:ascii="Arial" w:hAnsi="Arial" w:cs="Arial"/>
                <w:sz w:val="20"/>
                <w:lang w:val="es-MX"/>
              </w:rPr>
              <w:t>Reglas fiscales que establezcan límites al déficit y endeudamiento público; y</w:t>
            </w:r>
          </w:p>
          <w:p w14:paraId="6E74414B" w14:textId="72CA9126" w:rsidR="0061705B" w:rsidRDefault="004E2916">
            <w:pPr>
              <w:pStyle w:val="ListParagraph"/>
              <w:numPr>
                <w:ilvl w:val="0"/>
                <w:numId w:val="4"/>
              </w:numPr>
              <w:tabs>
                <w:tab w:val="center" w:pos="4320"/>
                <w:tab w:val="right" w:pos="8640"/>
              </w:tabs>
              <w:spacing w:before="60" w:after="60"/>
              <w:ind w:left="678" w:hanging="360"/>
              <w:contextualSpacing w:val="0"/>
              <w:jc w:val="both"/>
              <w:rPr>
                <w:rFonts w:ascii="Arial" w:hAnsi="Arial" w:cs="Arial"/>
                <w:sz w:val="20"/>
                <w:lang w:val="es-MX"/>
              </w:rPr>
            </w:pPr>
            <w:r>
              <w:rPr>
                <w:rFonts w:ascii="Arial" w:hAnsi="Arial" w:cs="Arial"/>
                <w:sz w:val="20"/>
                <w:lang w:val="es-MX"/>
              </w:rPr>
              <w:t xml:space="preserve">Creación del </w:t>
            </w:r>
            <w:r>
              <w:rPr>
                <w:rFonts w:ascii="Arial" w:hAnsi="Arial" w:cs="Arial"/>
                <w:sz w:val="20"/>
                <w:lang w:val="es-MX"/>
              </w:rPr>
              <w:t>MFMLP</w:t>
            </w:r>
            <w:r>
              <w:rPr>
                <w:rFonts w:ascii="Arial" w:hAnsi="Arial" w:cs="Arial"/>
                <w:sz w:val="20"/>
                <w:lang w:val="es-MX"/>
              </w:rPr>
              <w:t>.</w:t>
            </w:r>
          </w:p>
        </w:tc>
        <w:tc>
          <w:tcPr>
            <w:tcW w:w="4410" w:type="dxa"/>
          </w:tcPr>
          <w:p w14:paraId="128A3482" w14:textId="7F5D3AA2" w:rsidR="0061705B" w:rsidRDefault="004E2916">
            <w:pPr>
              <w:pStyle w:val="ListParagraph"/>
              <w:numPr>
                <w:ilvl w:val="0"/>
                <w:numId w:val="31"/>
              </w:numPr>
              <w:spacing w:after="60"/>
              <w:ind w:left="360"/>
              <w:contextualSpacing w:val="0"/>
              <w:jc w:val="both"/>
              <w:rPr>
                <w:rFonts w:ascii="Arial" w:hAnsi="Arial" w:cs="Arial"/>
                <w:sz w:val="20"/>
                <w:lang w:val="es-ES"/>
              </w:rPr>
            </w:pPr>
            <w:r>
              <w:rPr>
                <w:rFonts w:ascii="Arial" w:hAnsi="Arial" w:cs="Arial"/>
                <w:sz w:val="20"/>
                <w:lang w:val="es-MX"/>
              </w:rPr>
              <w:t>Publicación en el Dia</w:t>
            </w:r>
            <w:r>
              <w:rPr>
                <w:rFonts w:ascii="Arial" w:hAnsi="Arial" w:cs="Arial"/>
                <w:sz w:val="20"/>
                <w:lang w:val="es-MX"/>
              </w:rPr>
              <w:t>rio Oficial de la Ley de Responsabilidad Fiscal</w:t>
            </w:r>
            <w:r w:rsidR="00031989">
              <w:rPr>
                <w:rFonts w:ascii="Arial" w:hAnsi="Arial" w:cs="Arial"/>
                <w:sz w:val="20"/>
                <w:lang w:val="es-MX"/>
              </w:rPr>
              <w:t xml:space="preserve"> para la Sostenibilidad de las Finanzas Públicas y Desarrollo </w:t>
            </w:r>
            <w:r w:rsidR="00D53370">
              <w:rPr>
                <w:rFonts w:ascii="Arial" w:hAnsi="Arial" w:cs="Arial"/>
                <w:sz w:val="20"/>
                <w:lang w:val="es-MX"/>
              </w:rPr>
              <w:t>Social</w:t>
            </w:r>
            <w:r>
              <w:rPr>
                <w:rFonts w:ascii="Arial" w:hAnsi="Arial" w:cs="Arial"/>
                <w:sz w:val="20"/>
                <w:lang w:val="es-MX"/>
              </w:rPr>
              <w:t>.</w:t>
            </w:r>
          </w:p>
          <w:p w14:paraId="02EB378F" w14:textId="77777777" w:rsidR="0061705B" w:rsidRDefault="0061705B">
            <w:pPr>
              <w:spacing w:before="60" w:after="60"/>
              <w:jc w:val="both"/>
              <w:rPr>
                <w:rFonts w:ascii="Arial" w:hAnsi="Arial" w:cs="Arial"/>
                <w:sz w:val="20"/>
                <w:lang w:val="es-ES"/>
              </w:rPr>
            </w:pPr>
          </w:p>
        </w:tc>
        <w:tc>
          <w:tcPr>
            <w:tcW w:w="2273" w:type="dxa"/>
          </w:tcPr>
          <w:p w14:paraId="2DED6AD8" w14:textId="77777777" w:rsidR="0061705B" w:rsidRDefault="004E2916">
            <w:pPr>
              <w:spacing w:after="60"/>
              <w:ind w:left="360" w:hanging="360"/>
              <w:jc w:val="both"/>
              <w:rPr>
                <w:rFonts w:ascii="Arial" w:hAnsi="Arial" w:cs="Arial"/>
                <w:sz w:val="20"/>
                <w:lang w:val="es-ES"/>
              </w:rPr>
            </w:pPr>
            <w:r>
              <w:rPr>
                <w:rFonts w:ascii="Arial" w:hAnsi="Arial" w:cs="Arial"/>
                <w:sz w:val="20"/>
                <w:lang w:val="es-ES"/>
              </w:rPr>
              <w:t>Asamblea Legislativa</w:t>
            </w:r>
          </w:p>
        </w:tc>
      </w:tr>
      <w:tr w:rsidR="0061705B" w14:paraId="7FAE3E89" w14:textId="77777777" w:rsidTr="53572D26">
        <w:trPr>
          <w:trHeight w:val="20"/>
        </w:trPr>
        <w:tc>
          <w:tcPr>
            <w:tcW w:w="6547" w:type="dxa"/>
          </w:tcPr>
          <w:p w14:paraId="08E53784" w14:textId="77777777" w:rsidR="0061705B" w:rsidRDefault="004E2916">
            <w:pPr>
              <w:pStyle w:val="ListParagraph"/>
              <w:numPr>
                <w:ilvl w:val="1"/>
                <w:numId w:val="3"/>
              </w:numPr>
              <w:tabs>
                <w:tab w:val="center" w:pos="4320"/>
                <w:tab w:val="right" w:pos="8640"/>
              </w:tabs>
              <w:contextualSpacing w:val="0"/>
              <w:jc w:val="both"/>
              <w:rPr>
                <w:rFonts w:ascii="Arial" w:hAnsi="Arial" w:cs="Arial"/>
                <w:sz w:val="20"/>
                <w:lang w:val="es-MX"/>
              </w:rPr>
            </w:pPr>
            <w:r>
              <w:rPr>
                <w:rFonts w:ascii="Arial" w:hAnsi="Arial" w:cs="Arial"/>
                <w:sz w:val="20"/>
                <w:lang w:val="es-MX"/>
              </w:rPr>
              <w:t>Publicación del MFMLP (2017-2027) que contenga proyecciones agregadas de las principales variables fiscales que orienten la política fiscal.</w:t>
            </w:r>
          </w:p>
        </w:tc>
        <w:tc>
          <w:tcPr>
            <w:tcW w:w="4410" w:type="dxa"/>
          </w:tcPr>
          <w:p w14:paraId="6A85EA4E" w14:textId="77777777" w:rsidR="0061705B" w:rsidRDefault="004E2916">
            <w:pPr>
              <w:pStyle w:val="ListParagraph"/>
              <w:numPr>
                <w:ilvl w:val="0"/>
                <w:numId w:val="31"/>
              </w:numPr>
              <w:ind w:left="348"/>
              <w:contextualSpacing w:val="0"/>
              <w:jc w:val="both"/>
              <w:rPr>
                <w:rFonts w:ascii="Arial" w:hAnsi="Arial" w:cs="Arial"/>
                <w:sz w:val="20"/>
                <w:lang w:val="es-MX"/>
              </w:rPr>
            </w:pPr>
            <w:r>
              <w:rPr>
                <w:rFonts w:ascii="Arial" w:hAnsi="Arial" w:cs="Arial"/>
                <w:sz w:val="20"/>
                <w:lang w:val="es-MX"/>
              </w:rPr>
              <w:t xml:space="preserve">Publicación del Marco Fiscal de Mediano y </w:t>
            </w:r>
            <w:r>
              <w:rPr>
                <w:rFonts w:ascii="Arial" w:hAnsi="Arial" w:cs="Arial"/>
                <w:sz w:val="20"/>
                <w:lang w:val="es-MX"/>
              </w:rPr>
              <w:t>Largo Plazo (2017-2027) en el portal del MH.</w:t>
            </w:r>
          </w:p>
        </w:tc>
        <w:tc>
          <w:tcPr>
            <w:tcW w:w="2273" w:type="dxa"/>
          </w:tcPr>
          <w:p w14:paraId="23B56B10" w14:textId="77777777" w:rsidR="0061705B" w:rsidRDefault="004E2916">
            <w:pPr>
              <w:rPr>
                <w:rFonts w:ascii="Arial" w:hAnsi="Arial" w:cs="Arial"/>
                <w:sz w:val="20"/>
                <w:lang w:val="es-ES"/>
              </w:rPr>
            </w:pPr>
            <w:r>
              <w:rPr>
                <w:rFonts w:ascii="Arial" w:hAnsi="Arial" w:cs="Arial"/>
                <w:sz w:val="20"/>
                <w:lang w:val="es-ES"/>
              </w:rPr>
              <w:t>Ministerio de Hacienda</w:t>
            </w:r>
          </w:p>
        </w:tc>
      </w:tr>
      <w:tr w:rsidR="0061705B" w14:paraId="4FC27E14" w14:textId="77777777" w:rsidTr="53572D26">
        <w:trPr>
          <w:trHeight w:val="20"/>
        </w:trPr>
        <w:tc>
          <w:tcPr>
            <w:tcW w:w="6547" w:type="dxa"/>
          </w:tcPr>
          <w:p w14:paraId="2AB39540" w14:textId="77777777" w:rsidR="0061705B" w:rsidRDefault="004E2916">
            <w:pPr>
              <w:pStyle w:val="ListParagraph"/>
              <w:numPr>
                <w:ilvl w:val="1"/>
                <w:numId w:val="3"/>
              </w:numPr>
              <w:tabs>
                <w:tab w:val="center" w:pos="4320"/>
                <w:tab w:val="right" w:pos="8640"/>
              </w:tabs>
              <w:spacing w:after="60"/>
              <w:contextualSpacing w:val="0"/>
              <w:jc w:val="both"/>
              <w:rPr>
                <w:rFonts w:ascii="Arial" w:hAnsi="Arial" w:cs="Arial"/>
                <w:sz w:val="20"/>
                <w:lang w:val="es-MX"/>
              </w:rPr>
            </w:pPr>
            <w:r>
              <w:rPr>
                <w:rFonts w:ascii="Arial" w:hAnsi="Arial" w:cs="Arial"/>
                <w:sz w:val="20"/>
                <w:lang w:val="es-MX"/>
              </w:rPr>
              <w:t>Incorporación en la Ley de Presupuesto 2018 de medidas para cumplir con la LRF mediante:</w:t>
            </w:r>
          </w:p>
          <w:p w14:paraId="2040EC86" w14:textId="77777777" w:rsidR="0061705B" w:rsidRDefault="004E2916">
            <w:pPr>
              <w:pStyle w:val="ListParagraph"/>
              <w:numPr>
                <w:ilvl w:val="0"/>
                <w:numId w:val="5"/>
              </w:numPr>
              <w:tabs>
                <w:tab w:val="center" w:pos="4320"/>
                <w:tab w:val="right" w:pos="8640"/>
              </w:tabs>
              <w:spacing w:before="60" w:after="60"/>
              <w:ind w:left="678" w:hanging="360"/>
              <w:contextualSpacing w:val="0"/>
              <w:jc w:val="both"/>
              <w:rPr>
                <w:rFonts w:ascii="Arial" w:hAnsi="Arial" w:cs="Arial"/>
                <w:sz w:val="20"/>
                <w:lang w:val="es-MX"/>
              </w:rPr>
            </w:pPr>
            <w:r>
              <w:rPr>
                <w:rFonts w:ascii="Arial" w:hAnsi="Arial" w:cs="Arial"/>
                <w:sz w:val="20"/>
                <w:lang w:val="es-MX"/>
              </w:rPr>
              <w:t>Prohibición de: creación de plazas no previstas en el presupuesto; dar nuevas prestaciones económi</w:t>
            </w:r>
            <w:r>
              <w:rPr>
                <w:rFonts w:ascii="Arial" w:hAnsi="Arial" w:cs="Arial"/>
                <w:sz w:val="20"/>
                <w:lang w:val="es-MX"/>
              </w:rPr>
              <w:t>cas a funcionarios públicos; y compra de bienes y equipos suntuarios.</w:t>
            </w:r>
          </w:p>
          <w:p w14:paraId="650F7AA1" w14:textId="77777777" w:rsidR="0061705B" w:rsidRDefault="004E2916">
            <w:pPr>
              <w:pStyle w:val="ListParagraph"/>
              <w:numPr>
                <w:ilvl w:val="0"/>
                <w:numId w:val="5"/>
              </w:numPr>
              <w:tabs>
                <w:tab w:val="center" w:pos="4320"/>
                <w:tab w:val="right" w:pos="8640"/>
              </w:tabs>
              <w:spacing w:before="60" w:after="60"/>
              <w:ind w:left="678" w:hanging="360"/>
              <w:contextualSpacing w:val="0"/>
              <w:jc w:val="both"/>
              <w:rPr>
                <w:rFonts w:ascii="Arial" w:hAnsi="Arial" w:cs="Arial"/>
                <w:sz w:val="20"/>
                <w:lang w:val="es-ES"/>
              </w:rPr>
            </w:pPr>
            <w:bookmarkStart w:id="0" w:name="_Hlk510456227"/>
            <w:r>
              <w:rPr>
                <w:rFonts w:ascii="Arial" w:hAnsi="Arial" w:cs="Arial"/>
                <w:sz w:val="20"/>
                <w:lang w:val="es-MX"/>
              </w:rPr>
              <w:t>Declaración de intransferibles las asignaciones presupuestales destinadas a financiar programas sociales en beneficio de la mujer, ni</w:t>
            </w:r>
            <w:proofErr w:type="spellStart"/>
            <w:r>
              <w:rPr>
                <w:rFonts w:ascii="Arial" w:hAnsi="Arial" w:cs="Arial"/>
                <w:sz w:val="20"/>
                <w:lang w:val="es-419"/>
              </w:rPr>
              <w:t>ñez</w:t>
            </w:r>
            <w:proofErr w:type="spellEnd"/>
            <w:r>
              <w:rPr>
                <w:rFonts w:ascii="Arial" w:hAnsi="Arial" w:cs="Arial"/>
                <w:sz w:val="20"/>
                <w:lang w:val="es-419"/>
              </w:rPr>
              <w:t>, adulto mayor, agricultura familiar y demás pobla</w:t>
            </w:r>
            <w:r>
              <w:rPr>
                <w:rFonts w:ascii="Arial" w:hAnsi="Arial" w:cs="Arial"/>
                <w:sz w:val="20"/>
                <w:lang w:val="es-419"/>
              </w:rPr>
              <w:t>ción vulnerable y en situación de pobreza</w:t>
            </w:r>
            <w:bookmarkEnd w:id="0"/>
            <w:r>
              <w:rPr>
                <w:rFonts w:ascii="Arial" w:hAnsi="Arial" w:cs="Arial"/>
                <w:sz w:val="20"/>
                <w:lang w:val="es-419"/>
              </w:rPr>
              <w:t>.</w:t>
            </w:r>
            <w:r>
              <w:rPr>
                <w:rFonts w:ascii="Arial" w:hAnsi="Arial" w:cs="Arial"/>
                <w:sz w:val="20"/>
                <w:lang w:val="es-ES"/>
              </w:rPr>
              <w:t xml:space="preserve"> </w:t>
            </w:r>
          </w:p>
        </w:tc>
        <w:tc>
          <w:tcPr>
            <w:tcW w:w="4410" w:type="dxa"/>
          </w:tcPr>
          <w:p w14:paraId="715345F5" w14:textId="77777777" w:rsidR="0061705B" w:rsidRDefault="004E2916">
            <w:pPr>
              <w:pStyle w:val="ListParagraph"/>
              <w:numPr>
                <w:ilvl w:val="0"/>
                <w:numId w:val="31"/>
              </w:numPr>
              <w:spacing w:after="60"/>
              <w:ind w:left="360"/>
              <w:contextualSpacing w:val="0"/>
              <w:jc w:val="both"/>
              <w:rPr>
                <w:rFonts w:ascii="Arial" w:hAnsi="Arial" w:cs="Arial"/>
                <w:sz w:val="20"/>
                <w:lang w:val="es-MX"/>
              </w:rPr>
            </w:pPr>
            <w:r>
              <w:rPr>
                <w:rFonts w:ascii="Arial" w:hAnsi="Arial" w:cs="Arial"/>
                <w:sz w:val="20"/>
                <w:lang w:val="es-MX"/>
              </w:rPr>
              <w:t>Publicación de la Ley de Presupuesto 2018 en el Diario Oficial que incorpore dichas medidas.</w:t>
            </w:r>
          </w:p>
        </w:tc>
        <w:tc>
          <w:tcPr>
            <w:tcW w:w="2273" w:type="dxa"/>
          </w:tcPr>
          <w:p w14:paraId="1D4E15D4" w14:textId="77777777" w:rsidR="0061705B" w:rsidRDefault="004E2916">
            <w:pPr>
              <w:spacing w:after="60"/>
              <w:ind w:left="360" w:hanging="360"/>
              <w:jc w:val="both"/>
              <w:rPr>
                <w:rFonts w:ascii="Arial" w:hAnsi="Arial" w:cs="Arial"/>
                <w:sz w:val="20"/>
                <w:lang w:val="es-ES"/>
              </w:rPr>
            </w:pPr>
            <w:r>
              <w:rPr>
                <w:rFonts w:ascii="Arial" w:hAnsi="Arial" w:cs="Arial"/>
                <w:sz w:val="20"/>
                <w:lang w:val="es-ES"/>
              </w:rPr>
              <w:t>Asamblea Legislativa</w:t>
            </w:r>
          </w:p>
        </w:tc>
      </w:tr>
      <w:tr w:rsidR="0061705B" w:rsidRPr="00542D15" w14:paraId="68B97790" w14:textId="77777777" w:rsidTr="53572D26">
        <w:trPr>
          <w:trHeight w:val="20"/>
        </w:trPr>
        <w:tc>
          <w:tcPr>
            <w:tcW w:w="6547" w:type="dxa"/>
          </w:tcPr>
          <w:p w14:paraId="58CB36D7" w14:textId="77777777" w:rsidR="0061705B" w:rsidRDefault="004E2916">
            <w:pPr>
              <w:pStyle w:val="ListParagraph"/>
              <w:numPr>
                <w:ilvl w:val="1"/>
                <w:numId w:val="3"/>
              </w:numPr>
              <w:tabs>
                <w:tab w:val="center" w:pos="4320"/>
                <w:tab w:val="right" w:pos="8640"/>
              </w:tabs>
              <w:spacing w:after="60"/>
              <w:contextualSpacing w:val="0"/>
              <w:jc w:val="both"/>
              <w:rPr>
                <w:rFonts w:ascii="Arial" w:hAnsi="Arial" w:cs="Arial"/>
                <w:sz w:val="20"/>
                <w:lang w:val="es-MX"/>
              </w:rPr>
            </w:pPr>
            <w:r>
              <w:rPr>
                <w:rFonts w:ascii="Arial" w:hAnsi="Arial" w:cs="Arial"/>
                <w:sz w:val="20"/>
                <w:lang w:val="es-MX"/>
              </w:rPr>
              <w:t xml:space="preserve">Fortalecimiento de los procesos y controles internos del Gasto en Nómina de personal en los </w:t>
            </w:r>
            <w:r>
              <w:rPr>
                <w:rFonts w:ascii="Arial" w:hAnsi="Arial" w:cs="Arial"/>
                <w:sz w:val="20"/>
                <w:lang w:val="es-MX"/>
              </w:rPr>
              <w:t xml:space="preserve">Ministerios de Educación, Salud y la Administración Nacional de Acueductos y Alcantarillados </w:t>
            </w:r>
            <w:r>
              <w:rPr>
                <w:rFonts w:ascii="Arial" w:hAnsi="Arial" w:cs="Arial"/>
                <w:sz w:val="20"/>
                <w:lang w:val="es-MX"/>
              </w:rPr>
              <w:t>(</w:t>
            </w:r>
            <w:r>
              <w:rPr>
                <w:rFonts w:ascii="Arial" w:hAnsi="Arial" w:cs="Arial"/>
                <w:sz w:val="20"/>
                <w:lang w:val="es-MX"/>
              </w:rPr>
              <w:t>A</w:t>
            </w:r>
            <w:r>
              <w:rPr>
                <w:rFonts w:ascii="Arial" w:hAnsi="Arial" w:cs="Arial"/>
                <w:sz w:val="20"/>
                <w:lang w:val="es-MX"/>
              </w:rPr>
              <w:t>N</w:t>
            </w:r>
            <w:r>
              <w:rPr>
                <w:rFonts w:ascii="Arial" w:hAnsi="Arial" w:cs="Arial"/>
                <w:sz w:val="20"/>
                <w:lang w:val="es-MX"/>
              </w:rPr>
              <w:t>D</w:t>
            </w:r>
            <w:r>
              <w:rPr>
                <w:rFonts w:ascii="Arial" w:hAnsi="Arial" w:cs="Arial"/>
                <w:sz w:val="20"/>
                <w:lang w:val="es-MX"/>
              </w:rPr>
              <w:t>A</w:t>
            </w:r>
            <w:r>
              <w:rPr>
                <w:rFonts w:ascii="Arial" w:hAnsi="Arial" w:cs="Arial"/>
                <w:sz w:val="20"/>
                <w:lang w:val="es-MX"/>
              </w:rPr>
              <w:t>)</w:t>
            </w:r>
            <w:r>
              <w:rPr>
                <w:rFonts w:ascii="Arial" w:hAnsi="Arial" w:cs="Arial"/>
                <w:sz w:val="20"/>
                <w:lang w:val="es-MX"/>
              </w:rPr>
              <w:t xml:space="preserve"> </w:t>
            </w:r>
            <w:r>
              <w:rPr>
                <w:rFonts w:ascii="Arial" w:hAnsi="Arial" w:cs="Arial"/>
                <w:sz w:val="20"/>
                <w:lang w:val="es-MX"/>
              </w:rPr>
              <w:t>mediante la finalización de los análisis de optimización de nómina con recomendaciones para mejorar la eficiencia en su gestión.</w:t>
            </w:r>
          </w:p>
        </w:tc>
        <w:tc>
          <w:tcPr>
            <w:tcW w:w="4410" w:type="dxa"/>
          </w:tcPr>
          <w:p w14:paraId="00DA4539" w14:textId="77777777" w:rsidR="0061705B" w:rsidRDefault="004E2916">
            <w:pPr>
              <w:pStyle w:val="ListParagraph"/>
              <w:numPr>
                <w:ilvl w:val="0"/>
                <w:numId w:val="31"/>
              </w:numPr>
              <w:spacing w:after="60"/>
              <w:ind w:left="360"/>
              <w:contextualSpacing w:val="0"/>
              <w:jc w:val="both"/>
              <w:rPr>
                <w:rFonts w:ascii="Arial" w:hAnsi="Arial" w:cs="Arial"/>
                <w:sz w:val="20"/>
                <w:lang w:val="es-ES"/>
              </w:rPr>
            </w:pPr>
            <w:r>
              <w:rPr>
                <w:rFonts w:ascii="Arial" w:hAnsi="Arial" w:cs="Arial"/>
                <w:sz w:val="20"/>
                <w:lang w:val="es-MX"/>
              </w:rPr>
              <w:t>Informes de la Secretaría T</w:t>
            </w:r>
            <w:r>
              <w:rPr>
                <w:rFonts w:ascii="Arial" w:hAnsi="Arial" w:cs="Arial"/>
                <w:sz w:val="20"/>
                <w:lang w:val="es-MX"/>
              </w:rPr>
              <w:t>écnica de la Presidencia (STP) confirmando la realización de las consultorías de optimización de la nómina de los Ministerios de Educación, Salud y ANDA.</w:t>
            </w:r>
          </w:p>
        </w:tc>
        <w:tc>
          <w:tcPr>
            <w:tcW w:w="2273" w:type="dxa"/>
          </w:tcPr>
          <w:p w14:paraId="363ED58C" w14:textId="77777777" w:rsidR="0061705B" w:rsidRDefault="004E2916">
            <w:pPr>
              <w:spacing w:after="60"/>
              <w:jc w:val="both"/>
              <w:rPr>
                <w:rFonts w:ascii="Arial" w:hAnsi="Arial" w:cs="Arial"/>
                <w:sz w:val="20"/>
                <w:lang w:val="es-ES"/>
              </w:rPr>
            </w:pPr>
            <w:r>
              <w:rPr>
                <w:rFonts w:ascii="Arial" w:hAnsi="Arial" w:cs="Arial"/>
                <w:sz w:val="20"/>
                <w:lang w:val="es-ES"/>
              </w:rPr>
              <w:t xml:space="preserve">Secretaría Técnica y de Planificación de la Presidencia </w:t>
            </w:r>
          </w:p>
        </w:tc>
      </w:tr>
      <w:tr w:rsidR="0061705B" w:rsidRPr="00542D15" w14:paraId="1A1D62F0" w14:textId="77777777" w:rsidTr="53572D26">
        <w:trPr>
          <w:trHeight w:val="20"/>
        </w:trPr>
        <w:tc>
          <w:tcPr>
            <w:tcW w:w="10957" w:type="dxa"/>
            <w:gridSpan w:val="2"/>
            <w:shd w:val="clear" w:color="auto" w:fill="auto"/>
            <w:vAlign w:val="center"/>
          </w:tcPr>
          <w:p w14:paraId="6694AE2B" w14:textId="77777777" w:rsidR="0061705B" w:rsidRDefault="004E2916">
            <w:pPr>
              <w:rPr>
                <w:rFonts w:ascii="Arial" w:hAnsi="Arial" w:cs="Arial"/>
                <w:sz w:val="20"/>
                <w:lang w:val="es-ES"/>
              </w:rPr>
            </w:pPr>
            <w:r>
              <w:rPr>
                <w:rFonts w:ascii="Arial" w:hAnsi="Arial" w:cs="Arial"/>
                <w:b/>
                <w:sz w:val="20"/>
                <w:lang w:val="es-ES"/>
              </w:rPr>
              <w:t>Gestión de las compras públicas</w:t>
            </w:r>
          </w:p>
        </w:tc>
        <w:tc>
          <w:tcPr>
            <w:tcW w:w="2273" w:type="dxa"/>
            <w:shd w:val="clear" w:color="auto" w:fill="auto"/>
            <w:vAlign w:val="center"/>
          </w:tcPr>
          <w:p w14:paraId="6A05A809" w14:textId="77777777" w:rsidR="0061705B" w:rsidRDefault="0061705B">
            <w:pPr>
              <w:rPr>
                <w:rFonts w:ascii="Arial" w:hAnsi="Arial" w:cs="Arial"/>
                <w:b/>
                <w:sz w:val="20"/>
                <w:lang w:val="es-ES"/>
              </w:rPr>
            </w:pPr>
          </w:p>
        </w:tc>
      </w:tr>
      <w:tr w:rsidR="0061705B" w:rsidRPr="00542D15" w14:paraId="5D341B39" w14:textId="77777777" w:rsidTr="53572D26">
        <w:trPr>
          <w:trHeight w:val="20"/>
        </w:trPr>
        <w:tc>
          <w:tcPr>
            <w:tcW w:w="6547" w:type="dxa"/>
          </w:tcPr>
          <w:p w14:paraId="5035BB32" w14:textId="77777777" w:rsidR="0061705B" w:rsidRDefault="004E2916">
            <w:pPr>
              <w:pStyle w:val="ListParagraph"/>
              <w:widowControl w:val="0"/>
              <w:numPr>
                <w:ilvl w:val="1"/>
                <w:numId w:val="7"/>
              </w:numPr>
              <w:tabs>
                <w:tab w:val="center" w:pos="4320"/>
                <w:tab w:val="right" w:pos="8640"/>
              </w:tabs>
              <w:spacing w:after="60"/>
              <w:contextualSpacing w:val="0"/>
              <w:jc w:val="both"/>
              <w:rPr>
                <w:rFonts w:ascii="Arial" w:hAnsi="Arial" w:cs="Arial"/>
                <w:color w:val="000000"/>
                <w:sz w:val="20"/>
                <w:lang w:val="es-ES"/>
              </w:rPr>
            </w:pPr>
            <w:r>
              <w:rPr>
                <w:rFonts w:ascii="Arial" w:hAnsi="Arial" w:cs="Arial"/>
                <w:color w:val="000000"/>
                <w:sz w:val="20"/>
                <w:lang w:val="es-ES"/>
              </w:rPr>
              <w:t>Implementación del portal electrónico de compras, COMPRASAL-II, comenzando con el módulo de libre gestión incluyendo (1ª fase):</w:t>
            </w:r>
          </w:p>
          <w:p w14:paraId="3C1E1ABB" w14:textId="77777777" w:rsidR="0061705B" w:rsidRDefault="004E2916">
            <w:pPr>
              <w:pStyle w:val="ListParagraph"/>
              <w:numPr>
                <w:ilvl w:val="0"/>
                <w:numId w:val="6"/>
              </w:numPr>
              <w:tabs>
                <w:tab w:val="center" w:pos="4320"/>
                <w:tab w:val="right" w:pos="8640"/>
              </w:tabs>
              <w:spacing w:before="60" w:after="120"/>
              <w:ind w:left="678"/>
              <w:contextualSpacing w:val="0"/>
              <w:jc w:val="both"/>
              <w:rPr>
                <w:rFonts w:ascii="Arial" w:hAnsi="Arial" w:cs="Arial"/>
                <w:color w:val="000000"/>
                <w:sz w:val="20"/>
                <w:lang w:val="es-ES"/>
              </w:rPr>
            </w:pPr>
            <w:r>
              <w:rPr>
                <w:rFonts w:ascii="Arial" w:hAnsi="Arial" w:cs="Arial"/>
                <w:color w:val="000000"/>
                <w:sz w:val="20"/>
                <w:lang w:val="es-ES"/>
              </w:rPr>
              <w:lastRenderedPageBreak/>
              <w:t xml:space="preserve">Aprobación y </w:t>
            </w:r>
            <w:proofErr w:type="gramStart"/>
            <w:r>
              <w:rPr>
                <w:rFonts w:ascii="Arial" w:hAnsi="Arial" w:cs="Arial"/>
                <w:color w:val="000000"/>
                <w:sz w:val="20"/>
                <w:lang w:val="es-ES"/>
              </w:rPr>
              <w:t>entrada en vigencia</w:t>
            </w:r>
            <w:proofErr w:type="gramEnd"/>
            <w:r>
              <w:rPr>
                <w:rFonts w:ascii="Arial" w:hAnsi="Arial" w:cs="Arial"/>
                <w:color w:val="000000"/>
                <w:sz w:val="20"/>
                <w:lang w:val="es-ES"/>
              </w:rPr>
              <w:t xml:space="preserve"> de una norma que establezca el uso obligatorio y gradual en toda la administración pública del COMPRASAL-II;</w:t>
            </w:r>
          </w:p>
          <w:p w14:paraId="05CCA4D7" w14:textId="77777777" w:rsidR="0061705B" w:rsidRDefault="004E2916">
            <w:pPr>
              <w:pStyle w:val="ListParagraph"/>
              <w:numPr>
                <w:ilvl w:val="0"/>
                <w:numId w:val="6"/>
              </w:numPr>
              <w:tabs>
                <w:tab w:val="center" w:pos="4320"/>
                <w:tab w:val="right" w:pos="8640"/>
              </w:tabs>
              <w:spacing w:before="60" w:after="240"/>
              <w:ind w:left="678"/>
              <w:contextualSpacing w:val="0"/>
              <w:jc w:val="both"/>
              <w:rPr>
                <w:rFonts w:ascii="Arial" w:hAnsi="Arial" w:cs="Arial"/>
                <w:color w:val="000000"/>
                <w:sz w:val="20"/>
                <w:lang w:val="es-ES"/>
              </w:rPr>
            </w:pPr>
            <w:r>
              <w:rPr>
                <w:rFonts w:ascii="Arial" w:hAnsi="Arial" w:cs="Arial"/>
                <w:color w:val="000000"/>
                <w:sz w:val="20"/>
                <w:lang w:val="es-ES"/>
              </w:rPr>
              <w:t>Aprobación de normas operativas para compras por el módulo transaccional de libre gestión del COMPRASAL-II; y</w:t>
            </w:r>
          </w:p>
          <w:p w14:paraId="319B61E3" w14:textId="77777777" w:rsidR="0061705B" w:rsidRDefault="004E2916">
            <w:pPr>
              <w:pStyle w:val="ListParagraph"/>
              <w:numPr>
                <w:ilvl w:val="0"/>
                <w:numId w:val="6"/>
              </w:numPr>
              <w:tabs>
                <w:tab w:val="center" w:pos="4320"/>
                <w:tab w:val="right" w:pos="8640"/>
              </w:tabs>
              <w:spacing w:before="60"/>
              <w:ind w:left="678"/>
              <w:contextualSpacing w:val="0"/>
              <w:jc w:val="both"/>
              <w:rPr>
                <w:rFonts w:ascii="Arial" w:hAnsi="Arial" w:cs="Arial"/>
                <w:color w:val="000000"/>
                <w:sz w:val="20"/>
                <w:lang w:val="es-ES"/>
              </w:rPr>
            </w:pPr>
            <w:r>
              <w:rPr>
                <w:rFonts w:ascii="Arial" w:hAnsi="Arial" w:cs="Arial"/>
                <w:color w:val="000000"/>
                <w:sz w:val="20"/>
                <w:lang w:val="es-ES"/>
              </w:rPr>
              <w:t>Capacitación e implementación del us</w:t>
            </w:r>
            <w:r>
              <w:rPr>
                <w:rFonts w:ascii="Arial" w:hAnsi="Arial" w:cs="Arial"/>
                <w:color w:val="000000"/>
                <w:sz w:val="20"/>
                <w:lang w:val="es-ES"/>
              </w:rPr>
              <w:t>o del módulo transaccional de libre gestión en al menos 15 instituciones del sector público</w:t>
            </w:r>
            <w:r>
              <w:rPr>
                <w:rFonts w:ascii="Arial" w:hAnsi="Arial" w:cs="Arial"/>
                <w:sz w:val="20"/>
                <w:lang w:val="es-ES"/>
              </w:rPr>
              <w:t>.</w:t>
            </w:r>
          </w:p>
        </w:tc>
        <w:tc>
          <w:tcPr>
            <w:tcW w:w="4410" w:type="dxa"/>
          </w:tcPr>
          <w:p w14:paraId="166DDDFB" w14:textId="77777777" w:rsidR="0061705B" w:rsidRDefault="004E2916">
            <w:pPr>
              <w:pStyle w:val="ListParagraph"/>
              <w:widowControl w:val="0"/>
              <w:numPr>
                <w:ilvl w:val="0"/>
                <w:numId w:val="33"/>
              </w:numPr>
              <w:spacing w:after="60"/>
              <w:ind w:left="348"/>
              <w:contextualSpacing w:val="0"/>
              <w:jc w:val="both"/>
              <w:rPr>
                <w:rFonts w:ascii="Arial" w:hAnsi="Arial" w:cs="Arial"/>
                <w:sz w:val="20"/>
                <w:lang w:val="es-ES"/>
              </w:rPr>
            </w:pPr>
            <w:r>
              <w:rPr>
                <w:rFonts w:ascii="Arial" w:hAnsi="Arial" w:cs="Arial"/>
                <w:sz w:val="20"/>
                <w:lang w:val="es-ES"/>
              </w:rPr>
              <w:lastRenderedPageBreak/>
              <w:t>Medios de verificación:</w:t>
            </w:r>
          </w:p>
          <w:p w14:paraId="3BA936D5" w14:textId="77777777" w:rsidR="0061705B" w:rsidRDefault="004E2916">
            <w:pPr>
              <w:pStyle w:val="ListParagraph"/>
              <w:numPr>
                <w:ilvl w:val="0"/>
                <w:numId w:val="8"/>
              </w:numPr>
              <w:tabs>
                <w:tab w:val="center" w:pos="4320"/>
                <w:tab w:val="right" w:pos="8640"/>
              </w:tabs>
              <w:spacing w:before="60" w:after="60"/>
              <w:ind w:left="678" w:hanging="360"/>
              <w:contextualSpacing w:val="0"/>
              <w:jc w:val="both"/>
              <w:rPr>
                <w:rFonts w:ascii="Arial" w:hAnsi="Arial" w:cs="Arial"/>
                <w:bCs/>
                <w:color w:val="000000"/>
                <w:sz w:val="20"/>
                <w:lang w:val="es-ES"/>
              </w:rPr>
            </w:pPr>
            <w:r>
              <w:rPr>
                <w:rFonts w:ascii="Arial" w:hAnsi="Arial" w:cs="Arial"/>
                <w:bCs/>
                <w:color w:val="000000"/>
                <w:sz w:val="20"/>
                <w:lang w:val="es-ES"/>
              </w:rPr>
              <w:t>Publicación del Decreto Ejecutivo en el Diario Oficial que reforma el reglamento de la LACAP (el RELACAP);</w:t>
            </w:r>
          </w:p>
          <w:p w14:paraId="26062CCF" w14:textId="77777777" w:rsidR="0061705B" w:rsidRDefault="004E2916">
            <w:pPr>
              <w:pStyle w:val="ListParagraph"/>
              <w:numPr>
                <w:ilvl w:val="0"/>
                <w:numId w:val="8"/>
              </w:numPr>
              <w:tabs>
                <w:tab w:val="center" w:pos="4320"/>
                <w:tab w:val="right" w:pos="8640"/>
              </w:tabs>
              <w:spacing w:before="60" w:after="60"/>
              <w:ind w:left="678" w:hanging="360"/>
              <w:contextualSpacing w:val="0"/>
              <w:jc w:val="both"/>
              <w:rPr>
                <w:rFonts w:ascii="Arial" w:hAnsi="Arial" w:cs="Arial"/>
                <w:bCs/>
                <w:color w:val="000000"/>
                <w:sz w:val="20"/>
                <w:lang w:val="es-ES"/>
              </w:rPr>
            </w:pPr>
            <w:r>
              <w:rPr>
                <w:rFonts w:ascii="Arial" w:hAnsi="Arial" w:cs="Arial"/>
                <w:bCs/>
                <w:color w:val="000000"/>
                <w:sz w:val="20"/>
                <w:lang w:val="es-ES"/>
              </w:rPr>
              <w:lastRenderedPageBreak/>
              <w:t xml:space="preserve">Publicación por la Unidad </w:t>
            </w:r>
            <w:r>
              <w:rPr>
                <w:rFonts w:ascii="Arial" w:hAnsi="Arial" w:cs="Arial"/>
                <w:bCs/>
                <w:color w:val="000000"/>
                <w:sz w:val="20"/>
                <w:lang w:val="es-ES"/>
              </w:rPr>
              <w:t>Normativa de Adquisiciones y Contrataciones (UNAC) del instructivo con las normas; y</w:t>
            </w:r>
          </w:p>
          <w:p w14:paraId="5B22FF02" w14:textId="77777777" w:rsidR="0061705B" w:rsidRDefault="004E2916">
            <w:pPr>
              <w:pStyle w:val="ListParagraph"/>
              <w:numPr>
                <w:ilvl w:val="0"/>
                <w:numId w:val="8"/>
              </w:numPr>
              <w:tabs>
                <w:tab w:val="center" w:pos="4320"/>
                <w:tab w:val="right" w:pos="8640"/>
              </w:tabs>
              <w:spacing w:before="60"/>
              <w:ind w:left="678" w:hanging="360"/>
              <w:contextualSpacing w:val="0"/>
              <w:jc w:val="both"/>
              <w:rPr>
                <w:rFonts w:ascii="Arial" w:hAnsi="Arial" w:cs="Arial"/>
                <w:sz w:val="20"/>
                <w:lang w:val="es-ES"/>
              </w:rPr>
            </w:pPr>
            <w:r>
              <w:rPr>
                <w:rFonts w:ascii="Arial" w:hAnsi="Arial" w:cs="Arial"/>
                <w:bCs/>
                <w:color w:val="000000"/>
                <w:sz w:val="20"/>
                <w:lang w:val="es-ES"/>
              </w:rPr>
              <w:t>Informe de la UNAC sobre la capacitación e implementación del módulo de libre gestión de COMPRASAL.</w:t>
            </w:r>
          </w:p>
        </w:tc>
        <w:tc>
          <w:tcPr>
            <w:tcW w:w="2273" w:type="dxa"/>
          </w:tcPr>
          <w:p w14:paraId="36A2A424" w14:textId="77777777" w:rsidR="0061705B" w:rsidRDefault="004E2916">
            <w:pPr>
              <w:spacing w:after="60"/>
              <w:rPr>
                <w:rFonts w:ascii="Arial" w:hAnsi="Arial" w:cs="Arial"/>
                <w:sz w:val="20"/>
                <w:lang w:val="es-ES"/>
              </w:rPr>
            </w:pPr>
            <w:r>
              <w:rPr>
                <w:rFonts w:ascii="Arial" w:hAnsi="Arial" w:cs="Arial"/>
                <w:sz w:val="20"/>
                <w:lang w:val="es-ES"/>
              </w:rPr>
              <w:lastRenderedPageBreak/>
              <w:t>Poder ejecutivo y la Unidad Normativa de Adquisiciones y Contrataciones</w:t>
            </w:r>
            <w:r>
              <w:rPr>
                <w:rFonts w:ascii="Arial" w:hAnsi="Arial" w:cs="Arial"/>
                <w:sz w:val="20"/>
                <w:lang w:val="es-ES"/>
              </w:rPr>
              <w:t xml:space="preserve"> (UNAC)</w:t>
            </w:r>
          </w:p>
          <w:p w14:paraId="5A39BBE3" w14:textId="77777777" w:rsidR="0061705B" w:rsidRDefault="0061705B">
            <w:pPr>
              <w:pStyle w:val="ListParagraph"/>
              <w:spacing w:before="60" w:after="60"/>
              <w:ind w:left="316"/>
              <w:contextualSpacing w:val="0"/>
              <w:rPr>
                <w:rFonts w:ascii="Arial" w:hAnsi="Arial" w:cs="Arial"/>
                <w:sz w:val="20"/>
                <w:lang w:val="es-ES"/>
              </w:rPr>
            </w:pPr>
          </w:p>
        </w:tc>
      </w:tr>
      <w:tr w:rsidR="0061705B" w14:paraId="4D9C0FF6" w14:textId="77777777" w:rsidTr="53572D26">
        <w:trPr>
          <w:trHeight w:val="20"/>
        </w:trPr>
        <w:tc>
          <w:tcPr>
            <w:tcW w:w="6547" w:type="dxa"/>
          </w:tcPr>
          <w:p w14:paraId="6D739374" w14:textId="27197671" w:rsidR="0061705B" w:rsidRDefault="004E2916">
            <w:pPr>
              <w:pStyle w:val="ListParagraph"/>
              <w:widowControl w:val="0"/>
              <w:numPr>
                <w:ilvl w:val="1"/>
                <w:numId w:val="7"/>
              </w:numPr>
              <w:tabs>
                <w:tab w:val="center" w:pos="4320"/>
                <w:tab w:val="right" w:pos="8640"/>
              </w:tabs>
              <w:spacing w:before="20" w:after="20"/>
              <w:contextualSpacing w:val="0"/>
              <w:jc w:val="both"/>
              <w:rPr>
                <w:rFonts w:ascii="Arial" w:hAnsi="Arial" w:cs="Arial"/>
                <w:sz w:val="20"/>
                <w:lang w:val="es-ES"/>
              </w:rPr>
            </w:pPr>
            <w:r>
              <w:rPr>
                <w:rFonts w:ascii="Arial" w:hAnsi="Arial" w:cs="Arial"/>
                <w:color w:val="000000"/>
                <w:sz w:val="20"/>
                <w:lang w:val="es-ES"/>
              </w:rPr>
              <w:lastRenderedPageBreak/>
              <w:t>Eliminación de la intermediación de los puestos de bolsa para las instituciones del G</w:t>
            </w:r>
            <w:r w:rsidR="009C70BE">
              <w:rPr>
                <w:rFonts w:ascii="Arial" w:hAnsi="Arial" w:cs="Arial"/>
                <w:color w:val="000000"/>
                <w:sz w:val="20"/>
                <w:lang w:val="es-ES"/>
              </w:rPr>
              <w:t>C</w:t>
            </w:r>
            <w:r>
              <w:rPr>
                <w:rFonts w:ascii="Arial" w:hAnsi="Arial" w:cs="Arial"/>
                <w:color w:val="000000"/>
                <w:sz w:val="20"/>
                <w:lang w:val="es-ES"/>
              </w:rPr>
              <w:t xml:space="preserve"> en la subasta inversa administrada por la</w:t>
            </w:r>
            <w:r>
              <w:rPr>
                <w:rFonts w:ascii="Arial" w:hAnsi="Arial" w:cs="Arial"/>
                <w:color w:val="000000"/>
                <w:sz w:val="20"/>
                <w:lang w:val="es-ES"/>
              </w:rPr>
              <w:t xml:space="preserve"> BOLPROS</w:t>
            </w:r>
            <w:r>
              <w:rPr>
                <w:rFonts w:ascii="Arial" w:hAnsi="Arial" w:cs="Arial"/>
                <w:sz w:val="20"/>
                <w:lang w:val="es-ES"/>
              </w:rPr>
              <w:t xml:space="preserve">. </w:t>
            </w:r>
          </w:p>
        </w:tc>
        <w:tc>
          <w:tcPr>
            <w:tcW w:w="4410" w:type="dxa"/>
          </w:tcPr>
          <w:p w14:paraId="1A1206E2" w14:textId="77777777" w:rsidR="0061705B" w:rsidRDefault="004E2916">
            <w:pPr>
              <w:pStyle w:val="ListParagraph"/>
              <w:widowControl w:val="0"/>
              <w:numPr>
                <w:ilvl w:val="0"/>
                <w:numId w:val="33"/>
              </w:numPr>
              <w:spacing w:before="20" w:after="20"/>
              <w:ind w:left="348"/>
              <w:contextualSpacing w:val="0"/>
              <w:jc w:val="both"/>
              <w:rPr>
                <w:rFonts w:ascii="Arial" w:hAnsi="Arial" w:cs="Arial"/>
                <w:sz w:val="20"/>
                <w:lang w:val="es-ES"/>
              </w:rPr>
            </w:pPr>
            <w:r>
              <w:rPr>
                <w:rFonts w:ascii="Arial" w:hAnsi="Arial" w:cs="Arial"/>
                <w:sz w:val="20"/>
                <w:lang w:val="es-ES"/>
              </w:rPr>
              <w:t>Publicación</w:t>
            </w:r>
            <w:r>
              <w:rPr>
                <w:rFonts w:ascii="Arial" w:hAnsi="Arial" w:cs="Arial"/>
                <w:color w:val="000000"/>
                <w:sz w:val="20"/>
                <w:lang w:val="es-ES"/>
              </w:rPr>
              <w:t xml:space="preserve"> del decreto legislativo que reforma la Ley de Bolsa de Productos y Servicios (BOLPROS)</w:t>
            </w:r>
            <w:r>
              <w:rPr>
                <w:rFonts w:ascii="Arial" w:hAnsi="Arial" w:cs="Arial"/>
                <w:sz w:val="20"/>
                <w:lang w:val="es-ES"/>
              </w:rPr>
              <w:t xml:space="preserve"> en el Diario Oficial.</w:t>
            </w:r>
          </w:p>
        </w:tc>
        <w:tc>
          <w:tcPr>
            <w:tcW w:w="2273" w:type="dxa"/>
          </w:tcPr>
          <w:p w14:paraId="7B85B95E" w14:textId="77777777" w:rsidR="0061705B" w:rsidRDefault="004E2916">
            <w:pPr>
              <w:spacing w:before="20" w:after="20"/>
              <w:rPr>
                <w:rFonts w:ascii="Arial" w:hAnsi="Arial" w:cs="Arial"/>
                <w:sz w:val="20"/>
                <w:lang w:val="es-ES"/>
              </w:rPr>
            </w:pPr>
            <w:r>
              <w:rPr>
                <w:rFonts w:ascii="Arial" w:hAnsi="Arial" w:cs="Arial"/>
                <w:sz w:val="20"/>
                <w:lang w:val="es-ES"/>
              </w:rPr>
              <w:t>Asamblea Legislativa</w:t>
            </w:r>
          </w:p>
        </w:tc>
      </w:tr>
      <w:tr w:rsidR="0061705B" w:rsidRPr="00542D15" w14:paraId="51EAADD3" w14:textId="77777777" w:rsidTr="53572D26">
        <w:trPr>
          <w:trHeight w:val="20"/>
        </w:trPr>
        <w:tc>
          <w:tcPr>
            <w:tcW w:w="10957" w:type="dxa"/>
            <w:gridSpan w:val="2"/>
            <w:vAlign w:val="center"/>
          </w:tcPr>
          <w:p w14:paraId="7D87B83F" w14:textId="77777777" w:rsidR="0061705B" w:rsidRDefault="004E2916">
            <w:pPr>
              <w:rPr>
                <w:rFonts w:ascii="Arial" w:hAnsi="Arial" w:cs="Arial"/>
                <w:b/>
                <w:sz w:val="20"/>
                <w:lang w:val="es-ES"/>
              </w:rPr>
            </w:pPr>
            <w:r>
              <w:rPr>
                <w:rFonts w:ascii="Arial" w:hAnsi="Arial" w:cs="Arial"/>
                <w:b/>
                <w:sz w:val="20"/>
                <w:lang w:val="es-ES"/>
              </w:rPr>
              <w:t>Gestión del Presupuesto por resultados y del Marco de Gasto de Mediano Plazo</w:t>
            </w:r>
          </w:p>
        </w:tc>
        <w:tc>
          <w:tcPr>
            <w:tcW w:w="2273" w:type="dxa"/>
            <w:vAlign w:val="center"/>
          </w:tcPr>
          <w:p w14:paraId="41C8F396" w14:textId="77777777" w:rsidR="0061705B" w:rsidRDefault="0061705B">
            <w:pPr>
              <w:rPr>
                <w:rFonts w:ascii="Arial" w:hAnsi="Arial" w:cs="Arial"/>
                <w:sz w:val="20"/>
                <w:lang w:val="es-ES"/>
              </w:rPr>
            </w:pPr>
          </w:p>
        </w:tc>
      </w:tr>
      <w:tr w:rsidR="0061705B" w:rsidRPr="00542D15" w14:paraId="644FA764" w14:textId="77777777" w:rsidTr="53572D26">
        <w:trPr>
          <w:trHeight w:val="3797"/>
        </w:trPr>
        <w:tc>
          <w:tcPr>
            <w:tcW w:w="6547" w:type="dxa"/>
          </w:tcPr>
          <w:p w14:paraId="7510E2CA" w14:textId="77777777" w:rsidR="0061705B" w:rsidRDefault="004E2916">
            <w:pPr>
              <w:pStyle w:val="ListParagraph"/>
              <w:numPr>
                <w:ilvl w:val="1"/>
                <w:numId w:val="11"/>
              </w:numPr>
              <w:tabs>
                <w:tab w:val="center" w:pos="4320"/>
                <w:tab w:val="right" w:pos="8640"/>
              </w:tabs>
              <w:spacing w:after="60"/>
              <w:contextualSpacing w:val="0"/>
              <w:jc w:val="both"/>
              <w:rPr>
                <w:rFonts w:ascii="Arial" w:hAnsi="Arial" w:cs="Arial"/>
                <w:sz w:val="20"/>
                <w:lang w:val="es-ES"/>
              </w:rPr>
            </w:pPr>
            <w:r>
              <w:rPr>
                <w:rFonts w:ascii="Arial" w:hAnsi="Arial" w:cs="Arial"/>
                <w:sz w:val="20"/>
                <w:lang w:val="es-ES"/>
              </w:rPr>
              <w:t xml:space="preserve">Sustitución del Sistema de Presupuesto por Áreas de Gestión por un nuevo Sistema de Presupuesto por Programas con Enfoque de Resultados; 1ª Fase: </w:t>
            </w:r>
          </w:p>
          <w:p w14:paraId="2657E09E" w14:textId="77777777" w:rsidR="0061705B" w:rsidRDefault="004E2916">
            <w:pPr>
              <w:pStyle w:val="ListParagraph"/>
              <w:numPr>
                <w:ilvl w:val="0"/>
                <w:numId w:val="10"/>
              </w:numPr>
              <w:tabs>
                <w:tab w:val="center" w:pos="4320"/>
                <w:tab w:val="right" w:pos="8640"/>
              </w:tabs>
              <w:spacing w:before="60" w:after="60"/>
              <w:ind w:left="678"/>
              <w:contextualSpacing w:val="0"/>
              <w:jc w:val="both"/>
              <w:rPr>
                <w:rFonts w:ascii="Arial" w:hAnsi="Arial" w:cs="Arial"/>
                <w:color w:val="000000"/>
                <w:sz w:val="20"/>
                <w:lang w:val="es-ES"/>
              </w:rPr>
            </w:pPr>
            <w:r>
              <w:rPr>
                <w:rFonts w:ascii="Arial" w:hAnsi="Arial" w:cs="Arial"/>
                <w:sz w:val="20"/>
                <w:lang w:val="es-ES"/>
              </w:rPr>
              <w:t>Capacitación</w:t>
            </w:r>
            <w:r>
              <w:rPr>
                <w:rFonts w:ascii="Arial" w:hAnsi="Arial" w:cs="Arial"/>
                <w:color w:val="000000"/>
                <w:sz w:val="20"/>
                <w:lang w:val="es-ES"/>
              </w:rPr>
              <w:t xml:space="preserve"> de los funcionarios responsables de presupuesto y planificación del 100% de las Instituciones de</w:t>
            </w:r>
            <w:r>
              <w:rPr>
                <w:rFonts w:ascii="Arial" w:hAnsi="Arial" w:cs="Arial"/>
                <w:color w:val="000000"/>
                <w:sz w:val="20"/>
                <w:lang w:val="es-ES"/>
              </w:rPr>
              <w:t>l sector público de acuerdo con lo dispuesto en el Plan de Capacitación y Asistencia Técnica para la Implementación de la Reforma del Sistema de Presupuesto;</w:t>
            </w:r>
          </w:p>
          <w:p w14:paraId="459FB67E" w14:textId="07DD8D96" w:rsidR="0061705B" w:rsidRDefault="004E2916">
            <w:pPr>
              <w:pStyle w:val="ListParagraph"/>
              <w:numPr>
                <w:ilvl w:val="0"/>
                <w:numId w:val="10"/>
              </w:numPr>
              <w:tabs>
                <w:tab w:val="center" w:pos="4320"/>
                <w:tab w:val="right" w:pos="8640"/>
              </w:tabs>
              <w:spacing w:before="60" w:after="240"/>
              <w:ind w:left="678"/>
              <w:contextualSpacing w:val="0"/>
              <w:jc w:val="both"/>
              <w:rPr>
                <w:rFonts w:ascii="Arial" w:hAnsi="Arial" w:cs="Arial"/>
                <w:sz w:val="20"/>
                <w:lang w:val="es-ES"/>
              </w:rPr>
            </w:pPr>
            <w:r>
              <w:rPr>
                <w:rFonts w:ascii="Arial" w:hAnsi="Arial" w:cs="Arial"/>
                <w:sz w:val="20"/>
                <w:lang w:val="es-ES"/>
              </w:rPr>
              <w:t xml:space="preserve">Desarrollo de al menos 95% de los módulos de Formulación y Ejecución Presupuestaria del </w:t>
            </w:r>
            <w:r w:rsidR="00707EBC">
              <w:rPr>
                <w:rFonts w:ascii="Arial" w:hAnsi="Arial" w:cs="Arial"/>
                <w:sz w:val="20"/>
                <w:lang w:val="es-ES"/>
              </w:rPr>
              <w:t>n</w:t>
            </w:r>
            <w:bookmarkStart w:id="1" w:name="_GoBack"/>
            <w:bookmarkEnd w:id="1"/>
            <w:r>
              <w:rPr>
                <w:rFonts w:ascii="Arial" w:hAnsi="Arial" w:cs="Arial"/>
                <w:sz w:val="20"/>
                <w:lang w:val="es-ES"/>
              </w:rPr>
              <w:t xml:space="preserve">uevo </w:t>
            </w:r>
            <w:r>
              <w:rPr>
                <w:rFonts w:ascii="Arial" w:hAnsi="Arial" w:cs="Arial"/>
                <w:sz w:val="20"/>
                <w:lang w:val="es-ES"/>
              </w:rPr>
              <w:t>SAFI</w:t>
            </w:r>
            <w:r>
              <w:rPr>
                <w:rFonts w:ascii="Arial" w:hAnsi="Arial" w:cs="Arial"/>
                <w:sz w:val="20"/>
                <w:lang w:val="es-ES"/>
              </w:rPr>
              <w:noBreakHyphen/>
              <w:t xml:space="preserve">II; </w:t>
            </w:r>
          </w:p>
          <w:p w14:paraId="548472FC" w14:textId="716CE4F7" w:rsidR="0061705B" w:rsidRDefault="004E2916">
            <w:pPr>
              <w:pStyle w:val="ListParagraph"/>
              <w:numPr>
                <w:ilvl w:val="0"/>
                <w:numId w:val="10"/>
              </w:numPr>
              <w:tabs>
                <w:tab w:val="center" w:pos="4320"/>
                <w:tab w:val="right" w:pos="8640"/>
              </w:tabs>
              <w:spacing w:before="60" w:after="60"/>
              <w:ind w:left="678"/>
              <w:contextualSpacing w:val="0"/>
              <w:jc w:val="both"/>
              <w:rPr>
                <w:rFonts w:ascii="Arial" w:hAnsi="Arial" w:cs="Arial"/>
                <w:sz w:val="20"/>
                <w:lang w:val="es-ES"/>
              </w:rPr>
            </w:pPr>
            <w:r>
              <w:rPr>
                <w:rFonts w:ascii="Arial" w:hAnsi="Arial" w:cs="Arial"/>
                <w:sz w:val="20"/>
                <w:lang w:val="es-ES"/>
              </w:rPr>
              <w:t xml:space="preserve">Elaboración de planes piloto de </w:t>
            </w:r>
            <w:r w:rsidR="001C593C">
              <w:rPr>
                <w:rFonts w:ascii="Arial" w:hAnsi="Arial" w:cs="Arial"/>
                <w:sz w:val="20"/>
                <w:lang w:val="es-ES"/>
              </w:rPr>
              <w:t xml:space="preserve">un </w:t>
            </w:r>
            <w:r>
              <w:rPr>
                <w:rFonts w:ascii="Arial" w:hAnsi="Arial" w:cs="Arial"/>
                <w:sz w:val="20"/>
                <w:lang w:val="es-ES"/>
              </w:rPr>
              <w:t>MIMP</w:t>
            </w:r>
            <w:r>
              <w:rPr>
                <w:rFonts w:ascii="Arial" w:hAnsi="Arial" w:cs="Arial"/>
                <w:sz w:val="20"/>
                <w:lang w:val="es-ES"/>
              </w:rPr>
              <w:t xml:space="preserve"> en al menos cinco instituciones que sirva como insumo para el </w:t>
            </w:r>
            <w:r>
              <w:rPr>
                <w:rFonts w:ascii="Arial" w:hAnsi="Arial" w:cs="Arial"/>
                <w:sz w:val="20"/>
                <w:lang w:val="es-ES"/>
              </w:rPr>
              <w:t>MGMP</w:t>
            </w:r>
            <w:r>
              <w:rPr>
                <w:rFonts w:ascii="Arial" w:hAnsi="Arial" w:cs="Arial"/>
                <w:sz w:val="20"/>
                <w:lang w:val="es-ES"/>
              </w:rPr>
              <w:t>; y</w:t>
            </w:r>
          </w:p>
          <w:p w14:paraId="6A9B3D6D" w14:textId="77777777" w:rsidR="0061705B" w:rsidRDefault="004E2916">
            <w:pPr>
              <w:pStyle w:val="ListParagraph"/>
              <w:numPr>
                <w:ilvl w:val="0"/>
                <w:numId w:val="10"/>
              </w:numPr>
              <w:tabs>
                <w:tab w:val="center" w:pos="4320"/>
                <w:tab w:val="right" w:pos="8640"/>
              </w:tabs>
              <w:spacing w:before="60"/>
              <w:ind w:left="678"/>
              <w:contextualSpacing w:val="0"/>
              <w:jc w:val="both"/>
              <w:rPr>
                <w:rFonts w:ascii="Arial" w:hAnsi="Arial" w:cs="Arial"/>
                <w:sz w:val="20"/>
                <w:lang w:val="es-ES"/>
              </w:rPr>
            </w:pPr>
            <w:r>
              <w:rPr>
                <w:rFonts w:ascii="Arial" w:hAnsi="Arial" w:cs="Arial"/>
                <w:sz w:val="20"/>
                <w:lang w:val="es-ES"/>
              </w:rPr>
              <w:t>Aprobación</w:t>
            </w:r>
            <w:r>
              <w:rPr>
                <w:rFonts w:ascii="Arial" w:hAnsi="Arial" w:cs="Arial"/>
                <w:sz w:val="20"/>
                <w:lang w:val="es-ES"/>
              </w:rPr>
              <w:t xml:space="preserve"> de la Nueva Edición del Manual de Clasificación para las Transacciones Financieras del Sector Público para la implementación del proceso de Formulación del Presupuesto con Enfoque en Resultados.</w:t>
            </w:r>
          </w:p>
        </w:tc>
        <w:tc>
          <w:tcPr>
            <w:tcW w:w="4410" w:type="dxa"/>
          </w:tcPr>
          <w:p w14:paraId="48FC26FD" w14:textId="77777777" w:rsidR="0061705B" w:rsidRDefault="004E2916">
            <w:pPr>
              <w:pStyle w:val="ListParagraph"/>
              <w:numPr>
                <w:ilvl w:val="0"/>
                <w:numId w:val="34"/>
              </w:numPr>
              <w:spacing w:after="60"/>
              <w:ind w:left="348"/>
              <w:contextualSpacing w:val="0"/>
              <w:jc w:val="both"/>
              <w:rPr>
                <w:rFonts w:ascii="Arial" w:hAnsi="Arial" w:cs="Arial"/>
                <w:color w:val="000000"/>
                <w:sz w:val="20"/>
                <w:lang w:val="es-ES"/>
              </w:rPr>
            </w:pPr>
            <w:r>
              <w:rPr>
                <w:rFonts w:ascii="Arial" w:hAnsi="Arial" w:cs="Arial"/>
                <w:color w:val="000000"/>
                <w:sz w:val="20"/>
                <w:lang w:val="es-ES"/>
              </w:rPr>
              <w:t>Medios de verificación:</w:t>
            </w:r>
          </w:p>
          <w:p w14:paraId="72A3D3EC" w14:textId="77777777" w:rsidR="0061705B" w:rsidRDefault="0061705B">
            <w:pPr>
              <w:spacing w:before="60"/>
              <w:jc w:val="both"/>
              <w:rPr>
                <w:rFonts w:ascii="Arial" w:hAnsi="Arial" w:cs="Arial"/>
                <w:color w:val="000000"/>
                <w:sz w:val="20"/>
                <w:lang w:val="es-ES"/>
              </w:rPr>
            </w:pPr>
          </w:p>
          <w:p w14:paraId="0D0B940D" w14:textId="77777777" w:rsidR="0061705B" w:rsidRDefault="0061705B">
            <w:pPr>
              <w:jc w:val="both"/>
              <w:rPr>
                <w:rFonts w:ascii="Arial" w:hAnsi="Arial" w:cs="Arial"/>
                <w:color w:val="000000"/>
                <w:sz w:val="20"/>
                <w:lang w:val="es-ES"/>
              </w:rPr>
            </w:pPr>
          </w:p>
          <w:p w14:paraId="53BCE76E" w14:textId="77777777" w:rsidR="0061705B" w:rsidRDefault="004E2916">
            <w:pPr>
              <w:pStyle w:val="ListParagraph"/>
              <w:numPr>
                <w:ilvl w:val="0"/>
                <w:numId w:val="12"/>
              </w:numPr>
              <w:spacing w:after="240"/>
              <w:ind w:left="678" w:hanging="360"/>
              <w:contextualSpacing w:val="0"/>
              <w:jc w:val="both"/>
              <w:rPr>
                <w:rFonts w:ascii="Arial" w:hAnsi="Arial" w:cs="Arial"/>
                <w:color w:val="000000"/>
                <w:sz w:val="20"/>
                <w:lang w:val="es-ES"/>
              </w:rPr>
            </w:pPr>
            <w:r>
              <w:rPr>
                <w:rFonts w:ascii="Arial" w:hAnsi="Arial" w:cs="Arial"/>
                <w:color w:val="000000"/>
                <w:sz w:val="20"/>
                <w:lang w:val="es-ES"/>
              </w:rPr>
              <w:t>Informe del Ministerio de Hacienda</w:t>
            </w:r>
            <w:r>
              <w:rPr>
                <w:rFonts w:ascii="Arial" w:hAnsi="Arial" w:cs="Arial"/>
                <w:color w:val="000000"/>
                <w:sz w:val="20"/>
                <w:lang w:val="es-ES"/>
              </w:rPr>
              <w:t xml:space="preserve"> incluyendo el listado de instituciones capacitadas sobre la reforma del Presupuesto Público;</w:t>
            </w:r>
          </w:p>
          <w:p w14:paraId="386255D8" w14:textId="77777777" w:rsidR="0061705B" w:rsidRDefault="004E2916">
            <w:pPr>
              <w:pStyle w:val="ListParagraph"/>
              <w:numPr>
                <w:ilvl w:val="0"/>
                <w:numId w:val="12"/>
              </w:numPr>
              <w:spacing w:before="60" w:after="60"/>
              <w:ind w:left="678" w:hanging="360"/>
              <w:contextualSpacing w:val="0"/>
              <w:jc w:val="both"/>
              <w:rPr>
                <w:rFonts w:ascii="Arial" w:hAnsi="Arial" w:cs="Arial"/>
                <w:color w:val="000000"/>
                <w:sz w:val="20"/>
                <w:lang w:val="es-ES"/>
              </w:rPr>
            </w:pPr>
            <w:r>
              <w:rPr>
                <w:rFonts w:ascii="Arial" w:hAnsi="Arial" w:cs="Arial"/>
                <w:color w:val="000000"/>
                <w:sz w:val="20"/>
                <w:lang w:val="es-ES"/>
              </w:rPr>
              <w:t xml:space="preserve">Informe de la Dirección de Presupuesto y la Dirección Nacional de Administración Financiera e Innovación (DINAFI); </w:t>
            </w:r>
          </w:p>
          <w:p w14:paraId="72D5162F" w14:textId="02ABB603" w:rsidR="0061705B" w:rsidRDefault="53572D26" w:rsidP="53572D26">
            <w:pPr>
              <w:pStyle w:val="ListParagraph"/>
              <w:numPr>
                <w:ilvl w:val="0"/>
                <w:numId w:val="12"/>
              </w:numPr>
              <w:spacing w:before="60" w:after="60"/>
              <w:ind w:left="678" w:hanging="360"/>
              <w:contextualSpacing w:val="0"/>
              <w:jc w:val="both"/>
              <w:rPr>
                <w:rFonts w:ascii="Arial" w:hAnsi="Arial" w:cs="Arial"/>
                <w:color w:val="000000" w:themeColor="text1"/>
                <w:sz w:val="20"/>
                <w:lang w:val="es-ES"/>
              </w:rPr>
            </w:pPr>
            <w:r w:rsidRPr="53572D26">
              <w:rPr>
                <w:rFonts w:ascii="Arial" w:hAnsi="Arial" w:cs="Arial"/>
                <w:color w:val="000000" w:themeColor="text1"/>
                <w:sz w:val="20"/>
                <w:lang w:val="es-ES"/>
              </w:rPr>
              <w:t>Informe del MH sobre la elaboración de al menos 5 planes piloto MIMP; y</w:t>
            </w:r>
          </w:p>
          <w:p w14:paraId="0E27B00A" w14:textId="77777777" w:rsidR="0061705B" w:rsidRDefault="0061705B">
            <w:pPr>
              <w:pStyle w:val="ListParagraph"/>
              <w:spacing w:before="60" w:after="240"/>
              <w:ind w:left="678" w:hanging="360"/>
              <w:contextualSpacing w:val="0"/>
              <w:jc w:val="both"/>
              <w:rPr>
                <w:rFonts w:ascii="Arial" w:hAnsi="Arial" w:cs="Arial"/>
                <w:color w:val="000000"/>
                <w:sz w:val="20"/>
                <w:lang w:val="es-ES"/>
              </w:rPr>
            </w:pPr>
          </w:p>
          <w:p w14:paraId="6BCEE057" w14:textId="77777777" w:rsidR="0061705B" w:rsidRDefault="004E2916">
            <w:pPr>
              <w:pStyle w:val="ListParagraph"/>
              <w:numPr>
                <w:ilvl w:val="0"/>
                <w:numId w:val="12"/>
              </w:numPr>
              <w:spacing w:before="60" w:after="60"/>
              <w:ind w:left="678" w:hanging="360"/>
              <w:contextualSpacing w:val="0"/>
              <w:jc w:val="both"/>
              <w:rPr>
                <w:rFonts w:ascii="Arial" w:hAnsi="Arial" w:cs="Arial"/>
                <w:color w:val="000000"/>
                <w:sz w:val="20"/>
                <w:lang w:val="es-ES"/>
              </w:rPr>
            </w:pPr>
            <w:r>
              <w:rPr>
                <w:rFonts w:ascii="Arial" w:hAnsi="Arial" w:cs="Arial"/>
                <w:color w:val="000000"/>
                <w:sz w:val="20"/>
                <w:lang w:val="es-ES"/>
              </w:rPr>
              <w:t>Acuerdo Ejecutivo del MH conteniendo el manual de clasificación aprobado.</w:t>
            </w:r>
          </w:p>
        </w:tc>
        <w:tc>
          <w:tcPr>
            <w:tcW w:w="2273" w:type="dxa"/>
          </w:tcPr>
          <w:p w14:paraId="54FCD7AF" w14:textId="77777777" w:rsidR="0061705B" w:rsidRDefault="004E2916">
            <w:pPr>
              <w:spacing w:after="60"/>
              <w:rPr>
                <w:rFonts w:ascii="Arial" w:hAnsi="Arial" w:cs="Arial"/>
                <w:sz w:val="20"/>
                <w:lang w:val="es-ES"/>
              </w:rPr>
            </w:pPr>
            <w:r>
              <w:rPr>
                <w:rFonts w:ascii="Arial" w:hAnsi="Arial" w:cs="Arial"/>
                <w:sz w:val="20"/>
                <w:lang w:val="es-ES"/>
              </w:rPr>
              <w:t>Ministerio de Hacienda, la Dirección de Presupuesto y la Dirección Nacional de Administración Financiera e Innovación (DINAFI)</w:t>
            </w:r>
          </w:p>
          <w:p w14:paraId="60061E4C" w14:textId="77777777" w:rsidR="0061705B" w:rsidRDefault="0061705B">
            <w:pPr>
              <w:spacing w:before="60" w:after="60"/>
              <w:rPr>
                <w:rFonts w:ascii="Arial" w:hAnsi="Arial" w:cs="Arial"/>
                <w:sz w:val="20"/>
                <w:lang w:val="es-ES"/>
              </w:rPr>
            </w:pPr>
          </w:p>
        </w:tc>
      </w:tr>
      <w:tr w:rsidR="0061705B" w:rsidRPr="00542D15" w14:paraId="77020EB3" w14:textId="77777777" w:rsidTr="53572D26">
        <w:trPr>
          <w:trHeight w:val="20"/>
        </w:trPr>
        <w:tc>
          <w:tcPr>
            <w:tcW w:w="10957" w:type="dxa"/>
            <w:gridSpan w:val="2"/>
            <w:vAlign w:val="center"/>
          </w:tcPr>
          <w:p w14:paraId="385AE4F9" w14:textId="77777777" w:rsidR="0061705B" w:rsidRDefault="004E2916">
            <w:pPr>
              <w:rPr>
                <w:rFonts w:ascii="Arial" w:hAnsi="Arial" w:cs="Arial"/>
                <w:b/>
                <w:sz w:val="20"/>
                <w:lang w:val="es-ES"/>
              </w:rPr>
            </w:pPr>
            <w:r>
              <w:rPr>
                <w:rFonts w:ascii="Arial" w:hAnsi="Arial" w:cs="Arial"/>
                <w:b/>
                <w:sz w:val="20"/>
                <w:lang w:val="es-ES"/>
              </w:rPr>
              <w:t xml:space="preserve">Gestión de la inversión </w:t>
            </w:r>
            <w:r>
              <w:rPr>
                <w:rFonts w:ascii="Arial" w:hAnsi="Arial" w:cs="Arial"/>
                <w:b/>
                <w:sz w:val="20"/>
                <w:lang w:val="es-ES"/>
              </w:rPr>
              <w:t>pública y facilitación de la privada</w:t>
            </w:r>
          </w:p>
        </w:tc>
        <w:tc>
          <w:tcPr>
            <w:tcW w:w="2273" w:type="dxa"/>
            <w:vAlign w:val="center"/>
          </w:tcPr>
          <w:p w14:paraId="44EAFD9C" w14:textId="77777777" w:rsidR="0061705B" w:rsidRDefault="0061705B">
            <w:pPr>
              <w:rPr>
                <w:rFonts w:ascii="Arial" w:hAnsi="Arial" w:cs="Arial"/>
                <w:sz w:val="20"/>
                <w:lang w:val="es-ES"/>
              </w:rPr>
            </w:pPr>
          </w:p>
        </w:tc>
      </w:tr>
      <w:tr w:rsidR="0061705B" w:rsidRPr="00542D15" w14:paraId="4E557BC3" w14:textId="77777777" w:rsidTr="53572D26">
        <w:trPr>
          <w:trHeight w:val="20"/>
        </w:trPr>
        <w:tc>
          <w:tcPr>
            <w:tcW w:w="6547" w:type="dxa"/>
          </w:tcPr>
          <w:p w14:paraId="69E491D2" w14:textId="7689EA30" w:rsidR="0061705B" w:rsidRDefault="004E2916">
            <w:pPr>
              <w:pStyle w:val="ListParagraph"/>
              <w:numPr>
                <w:ilvl w:val="1"/>
                <w:numId w:val="14"/>
              </w:numPr>
              <w:tabs>
                <w:tab w:val="right" w:pos="8640"/>
              </w:tabs>
              <w:autoSpaceDE w:val="0"/>
              <w:autoSpaceDN w:val="0"/>
              <w:adjustRightInd w:val="0"/>
              <w:spacing w:after="60"/>
              <w:contextualSpacing w:val="0"/>
              <w:jc w:val="both"/>
              <w:rPr>
                <w:rFonts w:ascii="Arial" w:hAnsi="Arial" w:cs="Arial"/>
                <w:color w:val="000000"/>
                <w:sz w:val="20"/>
                <w:lang w:val="es-ES"/>
              </w:rPr>
            </w:pPr>
            <w:r>
              <w:rPr>
                <w:rFonts w:ascii="Arial" w:hAnsi="Arial" w:cs="Arial"/>
                <w:color w:val="000000"/>
                <w:sz w:val="20"/>
                <w:lang w:val="es-ES"/>
              </w:rPr>
              <w:tab/>
              <w:t>Mejora del Sistema para la Gestión de la Inversión Pública mediante la articulación de proyectos de Inversión con el Nuevo Sistema de Presupuesto por Programas con Enfoque en Resultados, lo que comprende pruebas pilo</w:t>
            </w:r>
            <w:r>
              <w:rPr>
                <w:rFonts w:ascii="Arial" w:hAnsi="Arial" w:cs="Arial"/>
                <w:color w:val="000000"/>
                <w:sz w:val="20"/>
                <w:lang w:val="es-ES"/>
              </w:rPr>
              <w:t>tos con al menos 4 instituciones del G</w:t>
            </w:r>
            <w:r w:rsidR="00C67A0A">
              <w:rPr>
                <w:rFonts w:ascii="Arial" w:hAnsi="Arial" w:cs="Arial"/>
                <w:color w:val="000000"/>
                <w:sz w:val="20"/>
                <w:lang w:val="es-ES"/>
              </w:rPr>
              <w:t>C</w:t>
            </w:r>
            <w:r>
              <w:rPr>
                <w:rFonts w:ascii="Arial" w:hAnsi="Arial" w:cs="Arial"/>
                <w:color w:val="000000"/>
                <w:sz w:val="20"/>
                <w:lang w:val="es-ES"/>
              </w:rPr>
              <w:t xml:space="preserve">, </w:t>
            </w:r>
            <w:r>
              <w:rPr>
                <w:rFonts w:ascii="Arial" w:hAnsi="Arial" w:cs="Arial"/>
                <w:color w:val="000000"/>
                <w:sz w:val="20"/>
                <w:lang w:val="es-ES"/>
              </w:rPr>
              <w:lastRenderedPageBreak/>
              <w:t>avanzando además en la Elaboración del Modelo Conceptual y Funcional del Sistema de Inversión Pública.</w:t>
            </w:r>
          </w:p>
        </w:tc>
        <w:tc>
          <w:tcPr>
            <w:tcW w:w="4410" w:type="dxa"/>
          </w:tcPr>
          <w:p w14:paraId="6BF01B03" w14:textId="77777777" w:rsidR="0061705B" w:rsidRDefault="004E2916">
            <w:pPr>
              <w:pStyle w:val="ListParagraph"/>
              <w:numPr>
                <w:ilvl w:val="0"/>
                <w:numId w:val="36"/>
              </w:numPr>
              <w:autoSpaceDE w:val="0"/>
              <w:autoSpaceDN w:val="0"/>
              <w:adjustRightInd w:val="0"/>
              <w:ind w:left="360"/>
              <w:contextualSpacing w:val="0"/>
              <w:jc w:val="both"/>
              <w:rPr>
                <w:rFonts w:ascii="Arial" w:hAnsi="Arial" w:cs="Arial"/>
                <w:sz w:val="20"/>
                <w:lang w:val="es-ES"/>
              </w:rPr>
            </w:pPr>
            <w:r>
              <w:rPr>
                <w:rFonts w:ascii="Arial" w:hAnsi="Arial" w:cs="Arial"/>
                <w:color w:val="000000"/>
                <w:sz w:val="20"/>
                <w:lang w:val="es-ES"/>
              </w:rPr>
              <w:lastRenderedPageBreak/>
              <w:t xml:space="preserve">Informe de la Dirección General de Inversión y Crédito Público </w:t>
            </w:r>
            <w:proofErr w:type="gramStart"/>
            <w:r>
              <w:rPr>
                <w:rFonts w:ascii="Arial" w:hAnsi="Arial" w:cs="Arial"/>
                <w:color w:val="000000"/>
                <w:sz w:val="20"/>
                <w:lang w:val="es-ES"/>
              </w:rPr>
              <w:t>en relación al</w:t>
            </w:r>
            <w:proofErr w:type="gramEnd"/>
            <w:r>
              <w:rPr>
                <w:rFonts w:ascii="Arial" w:hAnsi="Arial" w:cs="Arial"/>
                <w:color w:val="000000"/>
                <w:sz w:val="20"/>
                <w:lang w:val="es-ES"/>
              </w:rPr>
              <w:t xml:space="preserve"> desarrollo de Prueba</w:t>
            </w:r>
            <w:r>
              <w:rPr>
                <w:rFonts w:ascii="Arial" w:hAnsi="Arial" w:cs="Arial"/>
                <w:color w:val="000000"/>
                <w:sz w:val="20"/>
                <w:lang w:val="es-ES"/>
              </w:rPr>
              <w:t xml:space="preserve">s Piloto en al menos 4 instituciones ejecutoras de Proyectos de Inversión Pública; e Informe de la DGICP </w:t>
            </w:r>
            <w:r>
              <w:rPr>
                <w:rFonts w:ascii="Arial" w:hAnsi="Arial" w:cs="Arial"/>
                <w:color w:val="000000"/>
                <w:sz w:val="20"/>
                <w:lang w:val="es-ES"/>
              </w:rPr>
              <w:lastRenderedPageBreak/>
              <w:t>ratificando el avance de la consultoría sobre el diseño conceptual y funcional del macroproceso de gestión de la inversión pública.</w:t>
            </w:r>
          </w:p>
        </w:tc>
        <w:tc>
          <w:tcPr>
            <w:tcW w:w="2273" w:type="dxa"/>
          </w:tcPr>
          <w:p w14:paraId="3E969EC8" w14:textId="77777777" w:rsidR="0061705B" w:rsidRDefault="004E2916">
            <w:pPr>
              <w:autoSpaceDE w:val="0"/>
              <w:autoSpaceDN w:val="0"/>
              <w:adjustRightInd w:val="0"/>
              <w:spacing w:after="60"/>
              <w:ind w:hanging="18"/>
              <w:jc w:val="both"/>
              <w:rPr>
                <w:rFonts w:ascii="Arial" w:hAnsi="Arial" w:cs="Arial"/>
                <w:sz w:val="20"/>
                <w:lang w:val="es-ES"/>
              </w:rPr>
            </w:pPr>
            <w:r>
              <w:rPr>
                <w:rFonts w:ascii="Arial" w:hAnsi="Arial" w:cs="Arial"/>
                <w:sz w:val="20"/>
                <w:lang w:val="es-ES"/>
              </w:rPr>
              <w:lastRenderedPageBreak/>
              <w:t>Dirección General d</w:t>
            </w:r>
            <w:r>
              <w:rPr>
                <w:rFonts w:ascii="Arial" w:hAnsi="Arial" w:cs="Arial"/>
                <w:sz w:val="20"/>
                <w:lang w:val="es-ES"/>
              </w:rPr>
              <w:t>e Inversión y Crédito Público (DGICP)</w:t>
            </w:r>
          </w:p>
        </w:tc>
      </w:tr>
      <w:tr w:rsidR="0061705B" w14:paraId="52F14F13" w14:textId="77777777" w:rsidTr="53572D26">
        <w:trPr>
          <w:trHeight w:val="20"/>
        </w:trPr>
        <w:tc>
          <w:tcPr>
            <w:tcW w:w="6547" w:type="dxa"/>
          </w:tcPr>
          <w:p w14:paraId="2C9101F7" w14:textId="77777777" w:rsidR="0061705B" w:rsidRDefault="004E2916">
            <w:pPr>
              <w:pStyle w:val="ListParagraph"/>
              <w:numPr>
                <w:ilvl w:val="1"/>
                <w:numId w:val="14"/>
              </w:numPr>
              <w:tabs>
                <w:tab w:val="right" w:pos="8640"/>
              </w:tabs>
              <w:autoSpaceDE w:val="0"/>
              <w:autoSpaceDN w:val="0"/>
              <w:adjustRightInd w:val="0"/>
              <w:spacing w:before="60" w:after="60"/>
              <w:contextualSpacing w:val="0"/>
              <w:jc w:val="both"/>
              <w:rPr>
                <w:rFonts w:ascii="Arial" w:hAnsi="Arial" w:cs="Arial"/>
                <w:color w:val="000000"/>
                <w:sz w:val="20"/>
                <w:lang w:val="es-ES"/>
              </w:rPr>
            </w:pPr>
            <w:r>
              <w:rPr>
                <w:rFonts w:ascii="Arial" w:hAnsi="Arial" w:cs="Arial"/>
                <w:color w:val="000000"/>
                <w:sz w:val="20"/>
                <w:lang w:val="es-ES"/>
              </w:rPr>
              <w:t xml:space="preserve">Simplificación de trámites administrativos para empresas: </w:t>
            </w:r>
          </w:p>
          <w:p w14:paraId="1ED44778" w14:textId="57CC9C3E" w:rsidR="0061705B" w:rsidRDefault="004E2916">
            <w:pPr>
              <w:pStyle w:val="ListParagraph"/>
              <w:numPr>
                <w:ilvl w:val="0"/>
                <w:numId w:val="15"/>
              </w:numPr>
              <w:tabs>
                <w:tab w:val="right" w:pos="8640"/>
              </w:tabs>
              <w:spacing w:before="60" w:after="60"/>
              <w:ind w:left="678"/>
              <w:contextualSpacing w:val="0"/>
              <w:jc w:val="both"/>
              <w:rPr>
                <w:rFonts w:ascii="Arial" w:hAnsi="Arial" w:cs="Arial"/>
                <w:color w:val="000000"/>
                <w:sz w:val="20"/>
                <w:lang w:val="es-ES"/>
              </w:rPr>
            </w:pPr>
            <w:r>
              <w:rPr>
                <w:rFonts w:ascii="Arial" w:hAnsi="Arial" w:cs="Arial"/>
                <w:color w:val="000000"/>
                <w:sz w:val="20"/>
                <w:lang w:val="es-ES"/>
              </w:rPr>
              <w:t xml:space="preserve">Publicación del manual de operaciones del </w:t>
            </w:r>
            <w:r>
              <w:rPr>
                <w:rFonts w:ascii="Arial" w:hAnsi="Arial" w:cs="Arial"/>
                <w:color w:val="000000"/>
                <w:sz w:val="20"/>
                <w:lang w:val="es-ES"/>
              </w:rPr>
              <w:t>OMR</w:t>
            </w:r>
            <w:r>
              <w:rPr>
                <w:rFonts w:ascii="Arial" w:hAnsi="Arial" w:cs="Arial"/>
                <w:color w:val="000000"/>
                <w:sz w:val="20"/>
                <w:lang w:val="es-ES"/>
              </w:rPr>
              <w:t xml:space="preserve"> para determinar la estructura organizativa y funcional de las áreas que </w:t>
            </w:r>
            <w:r>
              <w:rPr>
                <w:rFonts w:ascii="Arial" w:hAnsi="Arial" w:cs="Arial"/>
                <w:color w:val="000000"/>
                <w:sz w:val="20"/>
                <w:lang w:val="es-ES"/>
              </w:rPr>
              <w:t>componen el OMR; y</w:t>
            </w:r>
          </w:p>
          <w:p w14:paraId="07EE453E" w14:textId="77777777" w:rsidR="0061705B" w:rsidRDefault="004E2916">
            <w:pPr>
              <w:pStyle w:val="ListParagraph"/>
              <w:numPr>
                <w:ilvl w:val="0"/>
                <w:numId w:val="15"/>
              </w:numPr>
              <w:tabs>
                <w:tab w:val="right" w:pos="8640"/>
              </w:tabs>
              <w:spacing w:before="60"/>
              <w:ind w:left="678"/>
              <w:contextualSpacing w:val="0"/>
              <w:jc w:val="both"/>
              <w:rPr>
                <w:rFonts w:ascii="Arial" w:hAnsi="Arial" w:cs="Arial"/>
                <w:color w:val="000000"/>
                <w:sz w:val="20"/>
                <w:lang w:val="es-ES"/>
              </w:rPr>
            </w:pPr>
            <w:r>
              <w:rPr>
                <w:rFonts w:ascii="Arial" w:hAnsi="Arial" w:cs="Arial"/>
                <w:color w:val="000000"/>
                <w:sz w:val="20"/>
                <w:lang w:val="es-ES"/>
              </w:rPr>
              <w:t>Suscripción de planes de simplificación de trámites (de mejora regulatoria) para empresas en al menos 5 instituciones públicas.</w:t>
            </w:r>
          </w:p>
        </w:tc>
        <w:tc>
          <w:tcPr>
            <w:tcW w:w="4410" w:type="dxa"/>
          </w:tcPr>
          <w:p w14:paraId="597E5E1D" w14:textId="77777777" w:rsidR="0061705B" w:rsidRDefault="004E2916">
            <w:pPr>
              <w:pStyle w:val="ListParagraph"/>
              <w:numPr>
                <w:ilvl w:val="0"/>
                <w:numId w:val="36"/>
              </w:numPr>
              <w:spacing w:before="60" w:after="60"/>
              <w:ind w:left="348"/>
              <w:contextualSpacing w:val="0"/>
              <w:rPr>
                <w:rFonts w:ascii="Arial" w:hAnsi="Arial" w:cs="Arial"/>
                <w:sz w:val="20"/>
                <w:lang w:val="es-ES"/>
              </w:rPr>
            </w:pPr>
            <w:r>
              <w:rPr>
                <w:rFonts w:ascii="Arial" w:hAnsi="Arial" w:cs="Arial"/>
                <w:sz w:val="20"/>
                <w:lang w:val="es-ES"/>
              </w:rPr>
              <w:t>Medios de verificación:</w:t>
            </w:r>
          </w:p>
          <w:p w14:paraId="5D380552" w14:textId="49F6036F" w:rsidR="0061705B" w:rsidRDefault="53572D26" w:rsidP="53572D26">
            <w:pPr>
              <w:pStyle w:val="ListParagraph"/>
              <w:numPr>
                <w:ilvl w:val="0"/>
                <w:numId w:val="27"/>
              </w:numPr>
              <w:tabs>
                <w:tab w:val="right" w:pos="8640"/>
              </w:tabs>
              <w:spacing w:before="60" w:after="60"/>
              <w:ind w:left="678" w:hanging="360"/>
              <w:contextualSpacing w:val="0"/>
              <w:jc w:val="both"/>
              <w:rPr>
                <w:rFonts w:ascii="Arial" w:hAnsi="Arial" w:cs="Arial"/>
                <w:color w:val="000000" w:themeColor="text1"/>
                <w:sz w:val="20"/>
                <w:lang w:val="es-ES"/>
              </w:rPr>
            </w:pPr>
            <w:r w:rsidRPr="53572D26">
              <w:rPr>
                <w:rFonts w:ascii="Arial" w:hAnsi="Arial" w:cs="Arial"/>
                <w:color w:val="000000" w:themeColor="text1"/>
                <w:sz w:val="20"/>
                <w:lang w:val="es-ES"/>
              </w:rPr>
              <w:t>Publicación del manual de operaciones del Organismo de Mejora Regulatoria (OMR); y</w:t>
            </w:r>
          </w:p>
          <w:p w14:paraId="5CA18E5F" w14:textId="01D11DA5" w:rsidR="0061705B" w:rsidRDefault="53572D26" w:rsidP="53572D26">
            <w:pPr>
              <w:pStyle w:val="ListParagraph"/>
              <w:numPr>
                <w:ilvl w:val="0"/>
                <w:numId w:val="27"/>
              </w:numPr>
              <w:tabs>
                <w:tab w:val="right" w:pos="8640"/>
              </w:tabs>
              <w:spacing w:before="60" w:after="60"/>
              <w:ind w:left="678" w:hanging="360"/>
              <w:contextualSpacing w:val="0"/>
              <w:jc w:val="both"/>
              <w:rPr>
                <w:rFonts w:ascii="Arial" w:hAnsi="Arial" w:cs="Arial"/>
                <w:color w:val="000000" w:themeColor="text1"/>
                <w:sz w:val="20"/>
                <w:lang w:val="es-ES"/>
              </w:rPr>
            </w:pPr>
            <w:r w:rsidRPr="53572D26">
              <w:rPr>
                <w:rFonts w:ascii="Arial" w:hAnsi="Arial" w:cs="Arial"/>
                <w:color w:val="000000" w:themeColor="text1"/>
                <w:sz w:val="20"/>
                <w:lang w:val="es-ES"/>
              </w:rPr>
              <w:t>Planes de mejora regulatoria de 5 ministerios y el OMR suscritos: Ministerio de Gobernación y Desarrollo Territorial; Ministerio de Hacienda; Ministerio de Economía; Ministerio de Salud y Ministerio de Obras Públicas.</w:t>
            </w:r>
          </w:p>
        </w:tc>
        <w:tc>
          <w:tcPr>
            <w:tcW w:w="2273" w:type="dxa"/>
          </w:tcPr>
          <w:p w14:paraId="2EE95448" w14:textId="77777777" w:rsidR="0061705B" w:rsidRDefault="004E2916">
            <w:pPr>
              <w:spacing w:before="60" w:after="60"/>
              <w:rPr>
                <w:rFonts w:ascii="Arial" w:hAnsi="Arial" w:cs="Arial"/>
                <w:sz w:val="20"/>
                <w:lang w:val="es-ES"/>
              </w:rPr>
            </w:pPr>
            <w:r>
              <w:rPr>
                <w:rFonts w:ascii="Arial" w:hAnsi="Arial" w:cs="Arial"/>
                <w:sz w:val="20"/>
                <w:lang w:val="es-ES"/>
              </w:rPr>
              <w:t>Organismo de Mejora Regulatoria</w:t>
            </w:r>
          </w:p>
        </w:tc>
      </w:tr>
      <w:tr w:rsidR="0061705B" w14:paraId="277B5712" w14:textId="77777777" w:rsidTr="53572D26">
        <w:trPr>
          <w:trHeight w:val="20"/>
        </w:trPr>
        <w:tc>
          <w:tcPr>
            <w:tcW w:w="6547" w:type="dxa"/>
          </w:tcPr>
          <w:p w14:paraId="055A8423" w14:textId="171F0AB1" w:rsidR="0061705B" w:rsidRDefault="004E2916">
            <w:pPr>
              <w:pStyle w:val="ListParagraph"/>
              <w:numPr>
                <w:ilvl w:val="1"/>
                <w:numId w:val="14"/>
              </w:numPr>
              <w:tabs>
                <w:tab w:val="right" w:pos="8640"/>
              </w:tabs>
              <w:autoSpaceDE w:val="0"/>
              <w:autoSpaceDN w:val="0"/>
              <w:adjustRightInd w:val="0"/>
              <w:spacing w:before="60" w:after="60"/>
              <w:contextualSpacing w:val="0"/>
              <w:jc w:val="both"/>
              <w:rPr>
                <w:rFonts w:ascii="Arial" w:hAnsi="Arial" w:cs="Arial"/>
                <w:color w:val="000000"/>
                <w:sz w:val="20"/>
                <w:lang w:val="es-ES"/>
              </w:rPr>
            </w:pPr>
            <w:r>
              <w:rPr>
                <w:rFonts w:ascii="Arial" w:hAnsi="Arial" w:cs="Arial"/>
                <w:color w:val="000000"/>
                <w:sz w:val="20"/>
                <w:lang w:val="es-ES"/>
              </w:rPr>
              <w:t>Imple</w:t>
            </w:r>
            <w:r>
              <w:rPr>
                <w:rFonts w:ascii="Arial" w:hAnsi="Arial" w:cs="Arial"/>
                <w:color w:val="000000"/>
                <w:sz w:val="20"/>
                <w:lang w:val="es-ES"/>
              </w:rPr>
              <w:t xml:space="preserve">mentación </w:t>
            </w:r>
            <w:r>
              <w:rPr>
                <w:rFonts w:ascii="Arial" w:hAnsi="Arial" w:cs="Arial"/>
                <w:color w:val="000000"/>
                <w:sz w:val="20"/>
                <w:lang w:val="es-ES"/>
              </w:rPr>
              <w:t>API</w:t>
            </w:r>
            <w:r>
              <w:rPr>
                <w:rFonts w:ascii="Arial" w:hAnsi="Arial" w:cs="Arial"/>
                <w:color w:val="000000"/>
                <w:sz w:val="20"/>
                <w:lang w:val="es-ES"/>
              </w:rPr>
              <w:t>, a través de las siguientes medidas:</w:t>
            </w:r>
          </w:p>
          <w:p w14:paraId="66ABA1B5" w14:textId="77777777" w:rsidR="0061705B" w:rsidRDefault="004E2916">
            <w:pPr>
              <w:pStyle w:val="ListParagraph"/>
              <w:numPr>
                <w:ilvl w:val="0"/>
                <w:numId w:val="17"/>
              </w:numPr>
              <w:tabs>
                <w:tab w:val="right" w:pos="8640"/>
              </w:tabs>
              <w:spacing w:before="60" w:after="60"/>
              <w:ind w:left="678"/>
              <w:contextualSpacing w:val="0"/>
              <w:jc w:val="both"/>
              <w:rPr>
                <w:rFonts w:ascii="Arial" w:hAnsi="Arial" w:cs="Arial"/>
                <w:color w:val="000000"/>
                <w:sz w:val="20"/>
                <w:lang w:val="es-ES"/>
              </w:rPr>
            </w:pPr>
            <w:r>
              <w:rPr>
                <w:rFonts w:ascii="Arial" w:hAnsi="Arial" w:cs="Arial"/>
                <w:color w:val="000000"/>
                <w:sz w:val="20"/>
                <w:lang w:val="es-ES"/>
              </w:rPr>
              <w:t>Aprobación y publicación de los instrumentos normativos del API; y</w:t>
            </w:r>
          </w:p>
          <w:p w14:paraId="2D8B1324" w14:textId="77777777" w:rsidR="0061705B" w:rsidRDefault="004E2916">
            <w:pPr>
              <w:pStyle w:val="ListParagraph"/>
              <w:numPr>
                <w:ilvl w:val="0"/>
                <w:numId w:val="17"/>
              </w:numPr>
              <w:tabs>
                <w:tab w:val="right" w:pos="8640"/>
              </w:tabs>
              <w:spacing w:before="60" w:after="60"/>
              <w:ind w:left="678"/>
              <w:contextualSpacing w:val="0"/>
              <w:jc w:val="both"/>
              <w:rPr>
                <w:rFonts w:ascii="Arial" w:hAnsi="Arial" w:cs="Arial"/>
                <w:color w:val="000000"/>
                <w:sz w:val="20"/>
                <w:lang w:val="es-ES"/>
              </w:rPr>
            </w:pPr>
            <w:r>
              <w:rPr>
                <w:rFonts w:ascii="Arial" w:hAnsi="Arial" w:cs="Arial"/>
                <w:color w:val="000000"/>
                <w:sz w:val="20"/>
                <w:lang w:val="es-ES"/>
              </w:rPr>
              <w:t>Suscripción de al menos dos acuerdos con empresas del sector privado.</w:t>
            </w:r>
          </w:p>
        </w:tc>
        <w:tc>
          <w:tcPr>
            <w:tcW w:w="4410" w:type="dxa"/>
          </w:tcPr>
          <w:p w14:paraId="5976B915" w14:textId="77777777" w:rsidR="0061705B" w:rsidRDefault="004E2916">
            <w:pPr>
              <w:pStyle w:val="ListParagraph"/>
              <w:numPr>
                <w:ilvl w:val="0"/>
                <w:numId w:val="36"/>
              </w:numPr>
              <w:spacing w:before="60" w:after="60"/>
              <w:ind w:left="348"/>
              <w:contextualSpacing w:val="0"/>
              <w:rPr>
                <w:rFonts w:ascii="Arial" w:hAnsi="Arial" w:cs="Arial"/>
                <w:color w:val="000000"/>
                <w:sz w:val="20"/>
                <w:lang w:val="es-ES"/>
              </w:rPr>
            </w:pPr>
            <w:r>
              <w:rPr>
                <w:rFonts w:ascii="Arial" w:hAnsi="Arial" w:cs="Arial"/>
                <w:color w:val="000000"/>
                <w:sz w:val="20"/>
                <w:lang w:val="es-ES"/>
              </w:rPr>
              <w:t>Medios de verificación</w:t>
            </w:r>
          </w:p>
          <w:p w14:paraId="45C7DE36" w14:textId="77777777" w:rsidR="0061705B" w:rsidRDefault="004E2916">
            <w:pPr>
              <w:pStyle w:val="ListParagraph"/>
              <w:numPr>
                <w:ilvl w:val="0"/>
                <w:numId w:val="21"/>
              </w:numPr>
              <w:tabs>
                <w:tab w:val="right" w:pos="8640"/>
              </w:tabs>
              <w:spacing w:before="60" w:after="60"/>
              <w:ind w:left="678" w:hanging="360"/>
              <w:contextualSpacing w:val="0"/>
              <w:jc w:val="both"/>
              <w:rPr>
                <w:rFonts w:ascii="Arial" w:hAnsi="Arial" w:cs="Arial"/>
                <w:color w:val="000000"/>
                <w:sz w:val="20"/>
                <w:lang w:val="es-ES"/>
              </w:rPr>
            </w:pPr>
            <w:r>
              <w:rPr>
                <w:rFonts w:ascii="Arial" w:hAnsi="Arial" w:cs="Arial"/>
                <w:color w:val="000000"/>
                <w:sz w:val="20"/>
                <w:lang w:val="es-ES"/>
              </w:rPr>
              <w:t>Manual de</w:t>
            </w:r>
            <w:r>
              <w:rPr>
                <w:rFonts w:ascii="Arial" w:hAnsi="Arial" w:cs="Arial"/>
                <w:color w:val="000000"/>
                <w:sz w:val="20"/>
                <w:lang w:val="es-ES"/>
              </w:rPr>
              <w:t xml:space="preserve"> Inversionista de API y Manual de Evaluación de proyectos de API aprobados y publicados por Fomilenio; y</w:t>
            </w:r>
          </w:p>
          <w:p w14:paraId="23B05500" w14:textId="77777777" w:rsidR="0061705B" w:rsidRDefault="004E2916">
            <w:pPr>
              <w:pStyle w:val="ListParagraph"/>
              <w:numPr>
                <w:ilvl w:val="0"/>
                <w:numId w:val="21"/>
              </w:numPr>
              <w:tabs>
                <w:tab w:val="right" w:pos="8640"/>
              </w:tabs>
              <w:spacing w:before="60"/>
              <w:ind w:left="678" w:hanging="360"/>
              <w:contextualSpacing w:val="0"/>
              <w:jc w:val="both"/>
              <w:rPr>
                <w:rFonts w:ascii="Arial" w:hAnsi="Arial" w:cs="Arial"/>
                <w:color w:val="000000"/>
                <w:sz w:val="20"/>
                <w:lang w:val="es-ES"/>
              </w:rPr>
            </w:pPr>
            <w:r>
              <w:rPr>
                <w:rFonts w:ascii="Arial" w:hAnsi="Arial" w:cs="Arial"/>
                <w:color w:val="000000"/>
                <w:sz w:val="20"/>
                <w:lang w:val="es-ES"/>
              </w:rPr>
              <w:t>Acuerdos de inversión firmados con inversionistas privados en el marco del programa Apuesta por InversionES.</w:t>
            </w:r>
          </w:p>
        </w:tc>
        <w:tc>
          <w:tcPr>
            <w:tcW w:w="2273" w:type="dxa"/>
          </w:tcPr>
          <w:p w14:paraId="22F9B4D0" w14:textId="77777777" w:rsidR="0061705B" w:rsidRDefault="004E2916">
            <w:pPr>
              <w:spacing w:before="60" w:after="60"/>
              <w:rPr>
                <w:rFonts w:ascii="Arial" w:hAnsi="Arial" w:cs="Arial"/>
                <w:sz w:val="20"/>
                <w:lang w:val="es-ES"/>
              </w:rPr>
            </w:pPr>
            <w:r>
              <w:rPr>
                <w:rFonts w:ascii="Arial" w:hAnsi="Arial" w:cs="Arial"/>
                <w:sz w:val="20"/>
                <w:lang w:val="es-ES"/>
              </w:rPr>
              <w:t>FOMILENIO</w:t>
            </w:r>
          </w:p>
          <w:p w14:paraId="4B94D5A5" w14:textId="77777777" w:rsidR="0061705B" w:rsidRDefault="0061705B">
            <w:pPr>
              <w:spacing w:before="60" w:after="60"/>
              <w:rPr>
                <w:rFonts w:ascii="Arial" w:hAnsi="Arial" w:cs="Arial"/>
                <w:sz w:val="20"/>
                <w:lang w:val="es-ES"/>
              </w:rPr>
            </w:pPr>
          </w:p>
        </w:tc>
      </w:tr>
      <w:tr w:rsidR="0061705B" w:rsidRPr="00542D15" w14:paraId="171100FC" w14:textId="77777777" w:rsidTr="53572D26">
        <w:trPr>
          <w:trHeight w:val="20"/>
        </w:trPr>
        <w:tc>
          <w:tcPr>
            <w:tcW w:w="10957" w:type="dxa"/>
            <w:gridSpan w:val="2"/>
            <w:vAlign w:val="center"/>
          </w:tcPr>
          <w:p w14:paraId="7556075B" w14:textId="77777777" w:rsidR="0061705B" w:rsidRDefault="004E2916">
            <w:pPr>
              <w:rPr>
                <w:rFonts w:ascii="Arial" w:hAnsi="Arial" w:cs="Arial"/>
                <w:b/>
                <w:sz w:val="20"/>
                <w:lang w:val="es-ES"/>
              </w:rPr>
            </w:pPr>
            <w:r>
              <w:rPr>
                <w:rFonts w:ascii="Arial" w:hAnsi="Arial" w:cs="Arial"/>
                <w:b/>
                <w:sz w:val="20"/>
                <w:lang w:val="es-ES"/>
              </w:rPr>
              <w:t>Gestión de la cobranza y la tr</w:t>
            </w:r>
            <w:r>
              <w:rPr>
                <w:rFonts w:ascii="Arial" w:hAnsi="Arial" w:cs="Arial"/>
                <w:b/>
                <w:sz w:val="20"/>
                <w:lang w:val="es-ES"/>
              </w:rPr>
              <w:t>ansparencia tributaria</w:t>
            </w:r>
          </w:p>
        </w:tc>
        <w:tc>
          <w:tcPr>
            <w:tcW w:w="2273" w:type="dxa"/>
            <w:vAlign w:val="center"/>
          </w:tcPr>
          <w:p w14:paraId="3DEEC669" w14:textId="77777777" w:rsidR="0061705B" w:rsidRDefault="0061705B">
            <w:pPr>
              <w:rPr>
                <w:rFonts w:ascii="Arial" w:hAnsi="Arial" w:cs="Arial"/>
                <w:sz w:val="20"/>
                <w:lang w:val="es-ES"/>
              </w:rPr>
            </w:pPr>
          </w:p>
        </w:tc>
      </w:tr>
      <w:tr w:rsidR="0061705B" w:rsidRPr="00542D15" w14:paraId="3B26707D" w14:textId="77777777" w:rsidTr="53572D26">
        <w:trPr>
          <w:trHeight w:val="20"/>
        </w:trPr>
        <w:tc>
          <w:tcPr>
            <w:tcW w:w="6547" w:type="dxa"/>
          </w:tcPr>
          <w:p w14:paraId="5DEB2FEE" w14:textId="77777777" w:rsidR="0061705B" w:rsidRDefault="004E2916">
            <w:pPr>
              <w:pStyle w:val="ListParagraph"/>
              <w:numPr>
                <w:ilvl w:val="1"/>
                <w:numId w:val="24"/>
              </w:numPr>
              <w:spacing w:after="60"/>
              <w:contextualSpacing w:val="0"/>
              <w:jc w:val="both"/>
              <w:rPr>
                <w:rFonts w:ascii="Arial" w:hAnsi="Arial" w:cs="Arial"/>
                <w:color w:val="000000"/>
                <w:sz w:val="20"/>
                <w:lang w:val="es-ES"/>
              </w:rPr>
            </w:pPr>
            <w:r>
              <w:rPr>
                <w:rFonts w:ascii="Arial" w:hAnsi="Arial" w:cs="Arial"/>
                <w:color w:val="000000"/>
                <w:sz w:val="20"/>
                <w:lang w:val="es-ES"/>
              </w:rPr>
              <w:t>Implementación de un programa de fortalecimiento de la gestión de cobranza y el sistema de información y control tributario del Ministerio de Hacienda a través de las siguientes medidas:</w:t>
            </w:r>
          </w:p>
          <w:p w14:paraId="1270AE34" w14:textId="4C00176F" w:rsidR="0061705B" w:rsidRDefault="53572D26" w:rsidP="53572D26">
            <w:pPr>
              <w:pStyle w:val="ListParagraph"/>
              <w:numPr>
                <w:ilvl w:val="0"/>
                <w:numId w:val="23"/>
              </w:numPr>
              <w:spacing w:before="60" w:after="240"/>
              <w:ind w:left="678"/>
              <w:contextualSpacing w:val="0"/>
              <w:jc w:val="both"/>
              <w:rPr>
                <w:rFonts w:ascii="Arial" w:hAnsi="Arial" w:cs="Arial"/>
                <w:color w:val="000000" w:themeColor="text1"/>
                <w:sz w:val="20"/>
                <w:lang w:val="es-ES"/>
              </w:rPr>
            </w:pPr>
            <w:r w:rsidRPr="53572D26">
              <w:rPr>
                <w:rFonts w:ascii="Arial" w:hAnsi="Arial" w:cs="Arial"/>
                <w:color w:val="000000" w:themeColor="text1"/>
                <w:sz w:val="20"/>
                <w:lang w:val="es-ES"/>
              </w:rPr>
              <w:t xml:space="preserve">Creación de una </w:t>
            </w:r>
            <w:r w:rsidR="00AF478A">
              <w:rPr>
                <w:rFonts w:ascii="Arial" w:hAnsi="Arial" w:cs="Arial"/>
                <w:color w:val="000000" w:themeColor="text1"/>
                <w:sz w:val="20"/>
                <w:lang w:val="es-ES"/>
              </w:rPr>
              <w:t>DTCA</w:t>
            </w:r>
            <w:r w:rsidRPr="53572D26">
              <w:rPr>
                <w:rFonts w:ascii="Arial" w:hAnsi="Arial" w:cs="Arial"/>
                <w:color w:val="000000" w:themeColor="text1"/>
                <w:sz w:val="20"/>
                <w:lang w:val="es-ES"/>
              </w:rPr>
              <w:t xml:space="preserve"> para la mejora en la gestión de la cobranza;</w:t>
            </w:r>
          </w:p>
          <w:p w14:paraId="57D0B542" w14:textId="64862B8E" w:rsidR="0061705B" w:rsidRDefault="004E2916">
            <w:pPr>
              <w:pStyle w:val="ListParagraph"/>
              <w:numPr>
                <w:ilvl w:val="0"/>
                <w:numId w:val="23"/>
              </w:numPr>
              <w:spacing w:before="60" w:after="60"/>
              <w:ind w:left="678"/>
              <w:contextualSpacing w:val="0"/>
              <w:jc w:val="both"/>
              <w:rPr>
                <w:rFonts w:ascii="Arial" w:hAnsi="Arial" w:cs="Arial"/>
                <w:color w:val="000000"/>
                <w:sz w:val="20"/>
                <w:lang w:val="es-ES"/>
              </w:rPr>
            </w:pPr>
            <w:r>
              <w:rPr>
                <w:rFonts w:ascii="Arial" w:hAnsi="Arial" w:cs="Arial"/>
                <w:color w:val="000000"/>
                <w:sz w:val="20"/>
                <w:lang w:val="es-ES"/>
              </w:rPr>
              <w:t xml:space="preserve">Suscripción de convenios para la integración de bases de datos de organismos públicos con el Ministerio de Hacienda incluyendo el </w:t>
            </w:r>
            <w:r>
              <w:rPr>
                <w:rFonts w:ascii="Arial" w:hAnsi="Arial" w:cs="Arial"/>
                <w:color w:val="000000"/>
                <w:sz w:val="20"/>
                <w:lang w:val="es-ES"/>
              </w:rPr>
              <w:t>RNPN</w:t>
            </w:r>
            <w:r>
              <w:rPr>
                <w:rFonts w:ascii="Arial" w:hAnsi="Arial" w:cs="Arial"/>
                <w:color w:val="000000"/>
                <w:sz w:val="20"/>
                <w:lang w:val="es-ES"/>
              </w:rPr>
              <w:t xml:space="preserve">, </w:t>
            </w:r>
            <w:r>
              <w:rPr>
                <w:rFonts w:ascii="Arial" w:hAnsi="Arial" w:cs="Arial"/>
                <w:color w:val="000000"/>
                <w:sz w:val="20"/>
                <w:lang w:val="es-ES"/>
              </w:rPr>
              <w:t>ISS</w:t>
            </w:r>
            <w:r w:rsidR="00BC65B6">
              <w:rPr>
                <w:rFonts w:ascii="Arial" w:hAnsi="Arial" w:cs="Arial"/>
                <w:color w:val="000000"/>
                <w:sz w:val="20"/>
                <w:lang w:val="es-ES"/>
              </w:rPr>
              <w:t>S</w:t>
            </w:r>
            <w:r>
              <w:rPr>
                <w:rFonts w:ascii="Arial" w:hAnsi="Arial" w:cs="Arial"/>
                <w:color w:val="000000"/>
                <w:sz w:val="20"/>
                <w:lang w:val="es-ES"/>
              </w:rPr>
              <w:t xml:space="preserve"> y el </w:t>
            </w:r>
            <w:r>
              <w:rPr>
                <w:rFonts w:ascii="Arial" w:hAnsi="Arial" w:cs="Arial"/>
                <w:color w:val="000000"/>
                <w:sz w:val="20"/>
                <w:lang w:val="es-ES"/>
              </w:rPr>
              <w:t>INSAFOCOOP</w:t>
            </w:r>
            <w:r>
              <w:rPr>
                <w:rFonts w:ascii="Arial" w:hAnsi="Arial" w:cs="Arial"/>
                <w:color w:val="000000"/>
                <w:sz w:val="20"/>
                <w:lang w:val="es-ES"/>
              </w:rPr>
              <w:t>; y</w:t>
            </w:r>
          </w:p>
          <w:p w14:paraId="318F0677" w14:textId="77777777" w:rsidR="0061705B" w:rsidRDefault="004E2916">
            <w:pPr>
              <w:pStyle w:val="ListParagraph"/>
              <w:numPr>
                <w:ilvl w:val="0"/>
                <w:numId w:val="23"/>
              </w:numPr>
              <w:spacing w:before="60" w:after="60"/>
              <w:ind w:left="678"/>
              <w:contextualSpacing w:val="0"/>
              <w:jc w:val="both"/>
              <w:rPr>
                <w:rFonts w:ascii="Arial" w:hAnsi="Arial" w:cs="Arial"/>
                <w:color w:val="000000"/>
                <w:sz w:val="20"/>
                <w:lang w:val="es-ES"/>
              </w:rPr>
            </w:pPr>
            <w:r>
              <w:rPr>
                <w:rFonts w:ascii="Arial" w:hAnsi="Arial" w:cs="Arial"/>
                <w:color w:val="000000"/>
                <w:sz w:val="20"/>
                <w:lang w:val="es-ES"/>
              </w:rPr>
              <w:t xml:space="preserve">Aprobación y </w:t>
            </w:r>
            <w:proofErr w:type="gramStart"/>
            <w:r>
              <w:rPr>
                <w:rFonts w:ascii="Arial" w:hAnsi="Arial" w:cs="Arial"/>
                <w:color w:val="000000"/>
                <w:sz w:val="20"/>
                <w:lang w:val="es-ES"/>
              </w:rPr>
              <w:t>entrada en vigencia</w:t>
            </w:r>
            <w:proofErr w:type="gramEnd"/>
            <w:r>
              <w:rPr>
                <w:rFonts w:ascii="Arial" w:hAnsi="Arial" w:cs="Arial"/>
                <w:color w:val="000000"/>
                <w:sz w:val="20"/>
                <w:lang w:val="es-ES"/>
              </w:rPr>
              <w:t xml:space="preserve"> de la Ley Transitoria para facilitar el Cumplimiento Voluntario de Obligaciones Tributarias y Aduaneras.</w:t>
            </w:r>
          </w:p>
        </w:tc>
        <w:tc>
          <w:tcPr>
            <w:tcW w:w="4410" w:type="dxa"/>
          </w:tcPr>
          <w:p w14:paraId="75B0F863" w14:textId="77777777" w:rsidR="0061705B" w:rsidRDefault="004E2916">
            <w:pPr>
              <w:pStyle w:val="ListParagraph"/>
              <w:numPr>
                <w:ilvl w:val="0"/>
                <w:numId w:val="38"/>
              </w:numPr>
              <w:spacing w:after="60"/>
              <w:ind w:left="348"/>
              <w:contextualSpacing w:val="0"/>
              <w:jc w:val="both"/>
              <w:rPr>
                <w:rFonts w:ascii="Arial" w:hAnsi="Arial" w:cs="Arial"/>
                <w:color w:val="000000"/>
                <w:sz w:val="20"/>
                <w:lang w:val="es-ES"/>
              </w:rPr>
            </w:pPr>
            <w:r>
              <w:rPr>
                <w:rFonts w:ascii="Arial" w:hAnsi="Arial" w:cs="Arial"/>
                <w:color w:val="000000"/>
                <w:sz w:val="20"/>
                <w:lang w:val="es-ES"/>
              </w:rPr>
              <w:t>Medios de</w:t>
            </w:r>
            <w:r>
              <w:rPr>
                <w:rFonts w:ascii="Arial" w:hAnsi="Arial" w:cs="Arial"/>
                <w:color w:val="000000"/>
                <w:sz w:val="20"/>
                <w:lang w:val="es-ES"/>
              </w:rPr>
              <w:t xml:space="preserve"> verificación:</w:t>
            </w:r>
          </w:p>
          <w:p w14:paraId="3656B9AB" w14:textId="77777777" w:rsidR="0061705B" w:rsidRDefault="0061705B">
            <w:pPr>
              <w:spacing w:before="60"/>
              <w:jc w:val="both"/>
              <w:rPr>
                <w:rFonts w:ascii="Arial" w:hAnsi="Arial" w:cs="Arial"/>
                <w:color w:val="000000"/>
                <w:sz w:val="20"/>
                <w:lang w:val="es-ES"/>
              </w:rPr>
            </w:pPr>
          </w:p>
          <w:p w14:paraId="3621673C" w14:textId="77777777" w:rsidR="0061705B" w:rsidRDefault="004E2916">
            <w:pPr>
              <w:pStyle w:val="ListParagraph"/>
              <w:numPr>
                <w:ilvl w:val="0"/>
                <w:numId w:val="26"/>
              </w:numPr>
              <w:spacing w:before="200" w:after="60"/>
              <w:ind w:left="678" w:hanging="360"/>
              <w:contextualSpacing w:val="0"/>
              <w:jc w:val="both"/>
              <w:rPr>
                <w:rFonts w:ascii="Arial" w:hAnsi="Arial" w:cs="Arial"/>
                <w:color w:val="000000"/>
                <w:sz w:val="20"/>
                <w:lang w:val="es-ES"/>
              </w:rPr>
            </w:pPr>
            <w:r>
              <w:rPr>
                <w:rFonts w:ascii="Arial" w:hAnsi="Arial" w:cs="Arial"/>
                <w:color w:val="000000"/>
                <w:sz w:val="20"/>
                <w:lang w:val="es-ES"/>
              </w:rPr>
              <w:t>Acuerdo Ministerial creando la Dirección de Cobro de Deudas Tributarias y Aduaneras; y</w:t>
            </w:r>
          </w:p>
          <w:p w14:paraId="3FF74B26" w14:textId="77777777" w:rsidR="0061705B" w:rsidRDefault="004E2916">
            <w:pPr>
              <w:pStyle w:val="ListParagraph"/>
              <w:numPr>
                <w:ilvl w:val="0"/>
                <w:numId w:val="26"/>
              </w:numPr>
              <w:spacing w:before="60"/>
              <w:ind w:left="678" w:hanging="360"/>
              <w:contextualSpacing w:val="0"/>
              <w:jc w:val="both"/>
              <w:rPr>
                <w:rFonts w:ascii="Arial" w:hAnsi="Arial" w:cs="Arial"/>
                <w:color w:val="000000"/>
                <w:sz w:val="20"/>
                <w:lang w:val="es-ES"/>
              </w:rPr>
            </w:pPr>
            <w:r>
              <w:rPr>
                <w:rFonts w:ascii="Arial" w:hAnsi="Arial" w:cs="Arial"/>
                <w:color w:val="000000"/>
                <w:sz w:val="20"/>
                <w:lang w:val="es-ES"/>
              </w:rPr>
              <w:t>Convenios firmados con organismos públicos para el intercambio de información.</w:t>
            </w:r>
          </w:p>
          <w:p w14:paraId="45FB0818" w14:textId="77777777" w:rsidR="0061705B" w:rsidRDefault="0061705B">
            <w:pPr>
              <w:pStyle w:val="ListParagraph"/>
              <w:ind w:left="678" w:hanging="360"/>
              <w:contextualSpacing w:val="0"/>
              <w:jc w:val="both"/>
              <w:rPr>
                <w:rFonts w:ascii="Arial" w:hAnsi="Arial" w:cs="Arial"/>
                <w:color w:val="000000"/>
                <w:sz w:val="20"/>
                <w:lang w:val="es-ES"/>
              </w:rPr>
            </w:pPr>
          </w:p>
          <w:p w14:paraId="626B68F9" w14:textId="77777777" w:rsidR="0061705B" w:rsidRDefault="004E2916">
            <w:pPr>
              <w:pStyle w:val="ListParagraph"/>
              <w:numPr>
                <w:ilvl w:val="0"/>
                <w:numId w:val="26"/>
              </w:numPr>
              <w:spacing w:before="240"/>
              <w:ind w:left="678" w:hanging="360"/>
              <w:contextualSpacing w:val="0"/>
              <w:jc w:val="both"/>
              <w:rPr>
                <w:rFonts w:ascii="Arial" w:hAnsi="Arial" w:cs="Arial"/>
                <w:sz w:val="20"/>
                <w:lang w:val="es-ES"/>
              </w:rPr>
            </w:pPr>
            <w:r>
              <w:rPr>
                <w:rFonts w:ascii="Arial" w:hAnsi="Arial" w:cs="Arial"/>
                <w:color w:val="000000"/>
                <w:sz w:val="20"/>
                <w:lang w:val="es-ES"/>
              </w:rPr>
              <w:t xml:space="preserve">Publicación en el Diario Oficial de la Ley Transitoria para Facilitar el </w:t>
            </w:r>
            <w:r>
              <w:rPr>
                <w:rFonts w:ascii="Arial" w:hAnsi="Arial" w:cs="Arial"/>
                <w:color w:val="000000"/>
                <w:sz w:val="20"/>
                <w:lang w:val="es-ES"/>
              </w:rPr>
              <w:lastRenderedPageBreak/>
              <w:t>Cumplimiento Voluntario de las Obligaciones Tributarias y Aduaneras.</w:t>
            </w:r>
          </w:p>
        </w:tc>
        <w:tc>
          <w:tcPr>
            <w:tcW w:w="2273" w:type="dxa"/>
          </w:tcPr>
          <w:p w14:paraId="143CD3E3" w14:textId="77777777" w:rsidR="0061705B" w:rsidRDefault="004E2916">
            <w:pPr>
              <w:spacing w:after="60"/>
              <w:rPr>
                <w:rFonts w:ascii="Arial" w:hAnsi="Arial" w:cs="Arial"/>
                <w:sz w:val="20"/>
                <w:lang w:val="es-ES"/>
              </w:rPr>
            </w:pPr>
            <w:r>
              <w:rPr>
                <w:rFonts w:ascii="Arial" w:hAnsi="Arial" w:cs="Arial"/>
                <w:sz w:val="20"/>
                <w:lang w:val="es-ES"/>
              </w:rPr>
              <w:lastRenderedPageBreak/>
              <w:t>Ministerio de Hacienda y la Asamblea Legislativa</w:t>
            </w:r>
          </w:p>
        </w:tc>
      </w:tr>
      <w:tr w:rsidR="0061705B" w:rsidRPr="00542D15" w14:paraId="51621320" w14:textId="77777777" w:rsidTr="53572D26">
        <w:trPr>
          <w:trHeight w:val="20"/>
        </w:trPr>
        <w:tc>
          <w:tcPr>
            <w:tcW w:w="6547" w:type="dxa"/>
          </w:tcPr>
          <w:p w14:paraId="5E767CD3" w14:textId="17138D31" w:rsidR="0061705B" w:rsidRDefault="004E2916">
            <w:pPr>
              <w:pStyle w:val="ListParagraph"/>
              <w:numPr>
                <w:ilvl w:val="1"/>
                <w:numId w:val="24"/>
              </w:numPr>
              <w:spacing w:before="20" w:after="20"/>
              <w:contextualSpacing w:val="0"/>
              <w:jc w:val="both"/>
              <w:rPr>
                <w:rFonts w:ascii="Arial" w:hAnsi="Arial" w:cs="Arial"/>
                <w:sz w:val="20"/>
                <w:lang w:val="es-ES"/>
              </w:rPr>
            </w:pPr>
            <w:r>
              <w:rPr>
                <w:rFonts w:ascii="Arial" w:hAnsi="Arial" w:cs="Arial"/>
                <w:color w:val="000000"/>
                <w:sz w:val="20"/>
                <w:lang w:val="es-ES"/>
              </w:rPr>
              <w:t xml:space="preserve">Inclusión de la República de El Salvador como miembro pleno del </w:t>
            </w:r>
            <w:r w:rsidR="00735E9B">
              <w:rPr>
                <w:rFonts w:ascii="Arial" w:hAnsi="Arial" w:cs="Arial"/>
                <w:color w:val="000000"/>
                <w:sz w:val="20"/>
                <w:lang w:val="es-ES"/>
              </w:rPr>
              <w:t>FG</w:t>
            </w:r>
            <w:r>
              <w:rPr>
                <w:rFonts w:ascii="Arial" w:hAnsi="Arial" w:cs="Arial"/>
                <w:color w:val="000000"/>
                <w:sz w:val="20"/>
                <w:lang w:val="es-ES"/>
              </w:rPr>
              <w:t xml:space="preserve"> y cumplimiento satisfactorio con el Estándar para el Intercambio de Información Tributaria a Requerimiento de las otras jurisdicciones miembro.</w:t>
            </w:r>
          </w:p>
        </w:tc>
        <w:tc>
          <w:tcPr>
            <w:tcW w:w="4410" w:type="dxa"/>
          </w:tcPr>
          <w:p w14:paraId="5BAB019F" w14:textId="77777777" w:rsidR="0061705B" w:rsidRDefault="004E2916">
            <w:pPr>
              <w:pStyle w:val="ListParagraph"/>
              <w:numPr>
                <w:ilvl w:val="0"/>
                <w:numId w:val="38"/>
              </w:numPr>
              <w:spacing w:before="20" w:after="20"/>
              <w:ind w:left="348"/>
              <w:contextualSpacing w:val="0"/>
              <w:jc w:val="both"/>
              <w:rPr>
                <w:rFonts w:ascii="Arial" w:hAnsi="Arial" w:cs="Arial"/>
                <w:sz w:val="20"/>
                <w:lang w:val="es-ES"/>
              </w:rPr>
            </w:pPr>
            <w:r>
              <w:rPr>
                <w:rFonts w:ascii="Arial" w:hAnsi="Arial" w:cs="Arial"/>
                <w:bCs/>
                <w:color w:val="000000"/>
                <w:sz w:val="20"/>
                <w:lang w:val="es-ES"/>
              </w:rPr>
              <w:t>Publicación del informe anual 2017 del Foro Global.</w:t>
            </w:r>
          </w:p>
        </w:tc>
        <w:tc>
          <w:tcPr>
            <w:tcW w:w="2273" w:type="dxa"/>
          </w:tcPr>
          <w:p w14:paraId="0D8FBACE" w14:textId="77777777" w:rsidR="0061705B" w:rsidRDefault="004E2916">
            <w:pPr>
              <w:spacing w:before="20" w:after="20"/>
              <w:rPr>
                <w:rFonts w:ascii="Arial" w:hAnsi="Arial" w:cs="Arial"/>
                <w:sz w:val="20"/>
                <w:lang w:val="es-ES"/>
              </w:rPr>
            </w:pPr>
            <w:r>
              <w:rPr>
                <w:rFonts w:ascii="Arial" w:hAnsi="Arial" w:cs="Arial"/>
                <w:sz w:val="20"/>
                <w:lang w:val="es-ES"/>
              </w:rPr>
              <w:t>Foro Global en Transparencia e Intercambio de Información c</w:t>
            </w:r>
            <w:r>
              <w:rPr>
                <w:rFonts w:ascii="Arial" w:hAnsi="Arial" w:cs="Arial"/>
                <w:sz w:val="20"/>
                <w:lang w:val="es-ES"/>
              </w:rPr>
              <w:t>on fines tributarios de la OCDE</w:t>
            </w:r>
          </w:p>
        </w:tc>
      </w:tr>
      <w:tr w:rsidR="0061705B" w:rsidRPr="00542D15" w14:paraId="3D38743D" w14:textId="77777777" w:rsidTr="53572D26">
        <w:trPr>
          <w:trHeight w:val="20"/>
        </w:trPr>
        <w:tc>
          <w:tcPr>
            <w:tcW w:w="10957" w:type="dxa"/>
            <w:gridSpan w:val="2"/>
            <w:shd w:val="clear" w:color="auto" w:fill="C6D9F1"/>
            <w:vAlign w:val="center"/>
          </w:tcPr>
          <w:p w14:paraId="7739C9A1" w14:textId="77777777" w:rsidR="0061705B" w:rsidRDefault="004E2916">
            <w:pPr>
              <w:rPr>
                <w:rFonts w:ascii="Arial" w:hAnsi="Arial" w:cs="Arial"/>
                <w:b/>
                <w:sz w:val="20"/>
                <w:lang w:val="es-ES"/>
              </w:rPr>
            </w:pPr>
            <w:r>
              <w:rPr>
                <w:rFonts w:ascii="Arial" w:hAnsi="Arial" w:cs="Arial"/>
                <w:b/>
                <w:sz w:val="20"/>
                <w:lang w:val="es-ES"/>
              </w:rPr>
              <w:t>Componente III – Reforma del sistema de pensiones</w:t>
            </w:r>
          </w:p>
        </w:tc>
        <w:tc>
          <w:tcPr>
            <w:tcW w:w="2273" w:type="dxa"/>
            <w:shd w:val="clear" w:color="auto" w:fill="C6D9F1"/>
            <w:vAlign w:val="center"/>
          </w:tcPr>
          <w:p w14:paraId="049F31CB" w14:textId="77777777" w:rsidR="0061705B" w:rsidRDefault="0061705B">
            <w:pPr>
              <w:rPr>
                <w:rFonts w:ascii="Arial" w:hAnsi="Arial" w:cs="Arial"/>
                <w:sz w:val="20"/>
                <w:lang w:val="es-ES"/>
              </w:rPr>
            </w:pPr>
          </w:p>
        </w:tc>
      </w:tr>
      <w:tr w:rsidR="0061705B" w14:paraId="3EB6D6A5" w14:textId="77777777" w:rsidTr="53572D26">
        <w:trPr>
          <w:trHeight w:val="20"/>
        </w:trPr>
        <w:tc>
          <w:tcPr>
            <w:tcW w:w="6547" w:type="dxa"/>
          </w:tcPr>
          <w:p w14:paraId="0600C300" w14:textId="76972618" w:rsidR="0061705B" w:rsidRDefault="004E2916">
            <w:pPr>
              <w:pStyle w:val="ListParagraph"/>
              <w:numPr>
                <w:ilvl w:val="1"/>
                <w:numId w:val="29"/>
              </w:numPr>
              <w:spacing w:after="60"/>
              <w:contextualSpacing w:val="0"/>
              <w:jc w:val="both"/>
              <w:rPr>
                <w:rFonts w:ascii="Arial" w:hAnsi="Arial" w:cs="Arial"/>
                <w:color w:val="000000"/>
                <w:sz w:val="20"/>
                <w:lang w:val="es-ES"/>
              </w:rPr>
            </w:pPr>
            <w:r>
              <w:rPr>
                <w:rFonts w:ascii="Arial" w:hAnsi="Arial" w:cs="Arial"/>
                <w:color w:val="000000"/>
                <w:sz w:val="20"/>
                <w:lang w:val="es-ES"/>
              </w:rPr>
              <w:t xml:space="preserve">Aprobación y </w:t>
            </w:r>
            <w:proofErr w:type="gramStart"/>
            <w:r>
              <w:rPr>
                <w:rFonts w:ascii="Arial" w:hAnsi="Arial" w:cs="Arial"/>
                <w:color w:val="000000"/>
                <w:sz w:val="20"/>
                <w:lang w:val="es-ES"/>
              </w:rPr>
              <w:t>entrada en vigencia</w:t>
            </w:r>
            <w:proofErr w:type="gramEnd"/>
            <w:r>
              <w:rPr>
                <w:rFonts w:ascii="Arial" w:hAnsi="Arial" w:cs="Arial"/>
                <w:color w:val="000000"/>
                <w:sz w:val="20"/>
                <w:lang w:val="es-ES"/>
              </w:rPr>
              <w:t xml:space="preserve"> de la Ley </w:t>
            </w:r>
            <w:r>
              <w:rPr>
                <w:rFonts w:ascii="Arial" w:hAnsi="Arial" w:cs="Arial"/>
                <w:color w:val="000000"/>
                <w:sz w:val="20"/>
                <w:lang w:val="es-ES"/>
              </w:rPr>
              <w:t>SAP</w:t>
            </w:r>
            <w:r>
              <w:rPr>
                <w:rFonts w:ascii="Arial" w:hAnsi="Arial" w:cs="Arial"/>
                <w:color w:val="000000"/>
                <w:sz w:val="20"/>
                <w:lang w:val="es-ES"/>
              </w:rPr>
              <w:t xml:space="preserve"> para Pensiones y la Ley </w:t>
            </w:r>
            <w:r w:rsidR="00735E9B">
              <w:rPr>
                <w:rFonts w:ascii="Arial" w:hAnsi="Arial" w:cs="Arial"/>
                <w:color w:val="000000"/>
                <w:sz w:val="20"/>
                <w:lang w:val="es-ES"/>
              </w:rPr>
              <w:t xml:space="preserve">FOP </w:t>
            </w:r>
            <w:r>
              <w:rPr>
                <w:rFonts w:ascii="Arial" w:hAnsi="Arial" w:cs="Arial"/>
                <w:color w:val="000000"/>
                <w:sz w:val="20"/>
                <w:lang w:val="es-ES"/>
              </w:rPr>
              <w:t>que contemplen, por lo menos, las siguientes medidas:</w:t>
            </w:r>
          </w:p>
          <w:p w14:paraId="6218754D" w14:textId="77777777" w:rsidR="0061705B" w:rsidRDefault="004E2916">
            <w:pPr>
              <w:pStyle w:val="ListParagraph"/>
              <w:numPr>
                <w:ilvl w:val="0"/>
                <w:numId w:val="28"/>
              </w:numPr>
              <w:tabs>
                <w:tab w:val="center" w:pos="4320"/>
                <w:tab w:val="right" w:pos="8640"/>
              </w:tabs>
              <w:spacing w:before="60" w:after="60"/>
              <w:ind w:left="678"/>
              <w:contextualSpacing w:val="0"/>
              <w:jc w:val="both"/>
              <w:rPr>
                <w:rFonts w:ascii="Arial" w:hAnsi="Arial" w:cs="Arial"/>
                <w:color w:val="000000"/>
                <w:sz w:val="20"/>
                <w:lang w:val="es-ES"/>
              </w:rPr>
            </w:pPr>
            <w:r>
              <w:rPr>
                <w:rFonts w:ascii="Arial" w:hAnsi="Arial" w:cs="Arial"/>
                <w:color w:val="000000"/>
                <w:sz w:val="20"/>
                <w:lang w:val="es-ES"/>
              </w:rPr>
              <w:t xml:space="preserve">Modificación de la tasa de contribución al SAP de 13% a 15%. Reducción del pago del contrato </w:t>
            </w:r>
            <w:r>
              <w:rPr>
                <w:rFonts w:ascii="Arial" w:hAnsi="Arial" w:cs="Arial"/>
                <w:color w:val="000000"/>
                <w:sz w:val="20"/>
                <w:lang w:val="es-ES"/>
              </w:rPr>
              <w:t>del seguro de invalidez y sobrevivencia y de la comisión de administración de las cuentas individuales a las AFP de 2,2% a 1,9% en 2022. Modificación de la tasa de interés de los Certificados de Inversión Previsional de 2,6% a 6%;</w:t>
            </w:r>
          </w:p>
          <w:p w14:paraId="10C3A2A9" w14:textId="77777777" w:rsidR="0061705B" w:rsidRDefault="004E2916">
            <w:pPr>
              <w:pStyle w:val="ListParagraph"/>
              <w:numPr>
                <w:ilvl w:val="0"/>
                <w:numId w:val="28"/>
              </w:numPr>
              <w:tabs>
                <w:tab w:val="center" w:pos="4320"/>
                <w:tab w:val="right" w:pos="8640"/>
              </w:tabs>
              <w:spacing w:before="60" w:after="60"/>
              <w:ind w:left="678"/>
              <w:contextualSpacing w:val="0"/>
              <w:jc w:val="both"/>
              <w:rPr>
                <w:rFonts w:ascii="Arial" w:hAnsi="Arial" w:cs="Arial"/>
                <w:color w:val="000000"/>
                <w:sz w:val="20"/>
                <w:lang w:val="es-ES"/>
              </w:rPr>
            </w:pPr>
            <w:r>
              <w:rPr>
                <w:rFonts w:ascii="Arial" w:hAnsi="Arial" w:cs="Arial"/>
                <w:color w:val="000000"/>
                <w:sz w:val="20"/>
                <w:lang w:val="es-ES"/>
              </w:rPr>
              <w:t xml:space="preserve">Creación de un seguro de </w:t>
            </w:r>
            <w:r>
              <w:rPr>
                <w:rFonts w:ascii="Arial" w:hAnsi="Arial" w:cs="Arial"/>
                <w:color w:val="000000"/>
                <w:sz w:val="20"/>
                <w:lang w:val="es-ES"/>
              </w:rPr>
              <w:t>longevidad para garantizar un ingreso constante y permanente de los pensionados por vejez y los beneficiarios de pensiones por sobrevivencia. Creación de una Cuenta de Garantía Solidaria para financiar el seguro de longevidad;</w:t>
            </w:r>
          </w:p>
          <w:p w14:paraId="26EADC74" w14:textId="77777777" w:rsidR="0061705B" w:rsidRDefault="004E2916">
            <w:pPr>
              <w:pStyle w:val="ListParagraph"/>
              <w:numPr>
                <w:ilvl w:val="0"/>
                <w:numId w:val="28"/>
              </w:numPr>
              <w:tabs>
                <w:tab w:val="center" w:pos="4320"/>
                <w:tab w:val="right" w:pos="8640"/>
              </w:tabs>
              <w:spacing w:before="60" w:after="60"/>
              <w:ind w:left="678"/>
              <w:contextualSpacing w:val="0"/>
              <w:jc w:val="both"/>
              <w:rPr>
                <w:rFonts w:ascii="Arial" w:hAnsi="Arial" w:cs="Arial"/>
                <w:color w:val="000000"/>
                <w:sz w:val="20"/>
                <w:lang w:val="es-ES"/>
              </w:rPr>
            </w:pPr>
            <w:r>
              <w:rPr>
                <w:rFonts w:ascii="Arial" w:hAnsi="Arial" w:cs="Arial"/>
                <w:sz w:val="20"/>
                <w:lang w:val="es-ES"/>
              </w:rPr>
              <w:t>Creación de un Comité de Ries</w:t>
            </w:r>
            <w:r>
              <w:rPr>
                <w:rFonts w:ascii="Arial" w:hAnsi="Arial" w:cs="Arial"/>
                <w:sz w:val="20"/>
                <w:lang w:val="es-ES"/>
              </w:rPr>
              <w:t>gos para establecer los límites de inversión por tipos de instrumento y los límites mínimos de calificación de riesgo para los instrumentos que se invierten en los Fondos de Pensiones. Creación de un Comité Actuarial para determinar los montos de las pensi</w:t>
            </w:r>
            <w:r>
              <w:rPr>
                <w:rFonts w:ascii="Arial" w:hAnsi="Arial" w:cs="Arial"/>
                <w:sz w:val="20"/>
                <w:lang w:val="es-ES"/>
              </w:rPr>
              <w:t>ones mínimas, revisar las expectativas de vida para determinar las edades de jubilación, y revisar la suficiencia de la Cuenta de Garantía Solidaría; y</w:t>
            </w:r>
          </w:p>
          <w:p w14:paraId="6E69DC61" w14:textId="2FACF8D7" w:rsidR="0061705B" w:rsidRDefault="004E2916">
            <w:pPr>
              <w:pStyle w:val="ListParagraph"/>
              <w:numPr>
                <w:ilvl w:val="0"/>
                <w:numId w:val="28"/>
              </w:numPr>
              <w:tabs>
                <w:tab w:val="center" w:pos="4320"/>
                <w:tab w:val="right" w:pos="8640"/>
              </w:tabs>
              <w:spacing w:before="60"/>
              <w:ind w:left="678"/>
              <w:contextualSpacing w:val="0"/>
              <w:jc w:val="both"/>
              <w:rPr>
                <w:rFonts w:ascii="Arial" w:hAnsi="Arial" w:cs="Arial"/>
                <w:color w:val="000000"/>
                <w:sz w:val="20"/>
                <w:lang w:val="es-ES"/>
              </w:rPr>
            </w:pPr>
            <w:r>
              <w:rPr>
                <w:rFonts w:ascii="Arial" w:hAnsi="Arial" w:cs="Arial"/>
                <w:color w:val="000000"/>
                <w:sz w:val="20"/>
                <w:lang w:val="es-ES"/>
              </w:rPr>
              <w:t>Modificación de los beneficios de las pensiones a través de las siguientes medidas: (i) limitación del b</w:t>
            </w:r>
            <w:r>
              <w:rPr>
                <w:rFonts w:ascii="Arial" w:hAnsi="Arial" w:cs="Arial"/>
                <w:color w:val="000000"/>
                <w:sz w:val="20"/>
                <w:lang w:val="es-ES"/>
              </w:rPr>
              <w:t xml:space="preserve">eneficio mensual máximo de </w:t>
            </w:r>
            <w:r w:rsidR="00735E9B">
              <w:rPr>
                <w:rFonts w:ascii="Arial" w:hAnsi="Arial" w:cs="Arial"/>
                <w:color w:val="000000"/>
                <w:sz w:val="20"/>
                <w:lang w:val="es-ES"/>
              </w:rPr>
              <w:t>US</w:t>
            </w:r>
            <w:r>
              <w:rPr>
                <w:rFonts w:ascii="Arial" w:hAnsi="Arial" w:cs="Arial"/>
                <w:color w:val="000000"/>
                <w:sz w:val="20"/>
                <w:lang w:val="es-ES"/>
              </w:rPr>
              <w:t>$2.000 para pensionados del Sistema Público</w:t>
            </w:r>
            <w:r>
              <w:rPr>
                <w:rFonts w:ascii="Arial" w:hAnsi="Arial" w:cs="Arial"/>
                <w:color w:val="000000"/>
                <w:sz w:val="20"/>
                <w:lang w:val="es-419"/>
              </w:rPr>
              <w:t xml:space="preserve"> de </w:t>
            </w:r>
            <w:r>
              <w:rPr>
                <w:rFonts w:ascii="Arial" w:hAnsi="Arial" w:cs="Arial"/>
                <w:color w:val="000000"/>
                <w:sz w:val="20"/>
                <w:lang w:val="es-ES"/>
              </w:rPr>
              <w:t xml:space="preserve">Pensiones (SPP); (ii) incorporación de una pensión máxima de 55% del salario a la fórmula de la pensión para los optados B del SAP; y (iii) reducción de las pensiones de invalidez y </w:t>
            </w:r>
            <w:r>
              <w:rPr>
                <w:rFonts w:ascii="Arial" w:hAnsi="Arial" w:cs="Arial"/>
                <w:color w:val="000000"/>
                <w:sz w:val="20"/>
                <w:lang w:val="es-ES"/>
              </w:rPr>
              <w:t>sobrevivencia de 70% a 50% del salario.</w:t>
            </w:r>
          </w:p>
        </w:tc>
        <w:tc>
          <w:tcPr>
            <w:tcW w:w="4410" w:type="dxa"/>
          </w:tcPr>
          <w:p w14:paraId="3DF83BD1" w14:textId="77777777" w:rsidR="0061705B" w:rsidRDefault="004E2916">
            <w:pPr>
              <w:pStyle w:val="ListParagraph"/>
              <w:spacing w:after="60"/>
              <w:ind w:left="342" w:hanging="342"/>
              <w:contextualSpacing w:val="0"/>
              <w:rPr>
                <w:rFonts w:ascii="Arial" w:hAnsi="Arial" w:cs="Arial"/>
                <w:sz w:val="20"/>
                <w:lang w:val="es-ES"/>
              </w:rPr>
            </w:pPr>
            <w:r>
              <w:rPr>
                <w:rFonts w:ascii="Arial" w:hAnsi="Arial" w:cs="Arial"/>
                <w:sz w:val="20"/>
                <w:lang w:val="es-ES"/>
              </w:rPr>
              <w:t xml:space="preserve">7.1 (i), (ii), (iii) y (iv) </w:t>
            </w:r>
            <w:r>
              <w:rPr>
                <w:rFonts w:ascii="Arial" w:hAnsi="Arial" w:cs="Arial"/>
                <w:color w:val="000000"/>
                <w:sz w:val="20"/>
                <w:lang w:val="es-ES"/>
              </w:rPr>
              <w:t>Ley de las Reformas a la Ley del Sistema de Ahorro para Pensiones, aprobada y publicada en el Diario Oficial y Ley del Fideicomiso de Obligaciones Previsionales, aprobada y publicada el Di</w:t>
            </w:r>
            <w:r>
              <w:rPr>
                <w:rFonts w:ascii="Arial" w:hAnsi="Arial" w:cs="Arial"/>
                <w:color w:val="000000"/>
                <w:sz w:val="20"/>
                <w:lang w:val="es-ES"/>
              </w:rPr>
              <w:t>ario Oficial.</w:t>
            </w:r>
          </w:p>
        </w:tc>
        <w:tc>
          <w:tcPr>
            <w:tcW w:w="2273" w:type="dxa"/>
          </w:tcPr>
          <w:p w14:paraId="15B68DDB" w14:textId="77777777" w:rsidR="0061705B" w:rsidRDefault="004E2916">
            <w:pPr>
              <w:spacing w:after="60"/>
              <w:rPr>
                <w:rFonts w:ascii="Arial" w:hAnsi="Arial" w:cs="Arial"/>
                <w:sz w:val="20"/>
                <w:lang w:val="es-ES"/>
              </w:rPr>
            </w:pPr>
            <w:r>
              <w:rPr>
                <w:rFonts w:ascii="Arial" w:hAnsi="Arial" w:cs="Arial"/>
                <w:sz w:val="20"/>
                <w:lang w:val="es-ES"/>
              </w:rPr>
              <w:t>Asamblea Legislativa</w:t>
            </w:r>
          </w:p>
        </w:tc>
      </w:tr>
    </w:tbl>
    <w:p w14:paraId="53128261" w14:textId="77777777" w:rsidR="0061705B" w:rsidRDefault="0061705B">
      <w:pPr>
        <w:rPr>
          <w:rFonts w:ascii="Arial" w:hAnsi="Arial" w:cs="Arial"/>
          <w:lang w:val="es-419"/>
        </w:rPr>
      </w:pPr>
    </w:p>
    <w:sectPr w:rsidR="0061705B">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D32EB" w14:textId="77777777" w:rsidR="004E2916" w:rsidRDefault="004E2916">
      <w:r>
        <w:separator/>
      </w:r>
    </w:p>
  </w:endnote>
  <w:endnote w:type="continuationSeparator" w:id="0">
    <w:p w14:paraId="455B87F0" w14:textId="77777777" w:rsidR="004E2916" w:rsidRDefault="004E2916">
      <w:r>
        <w:continuationSeparator/>
      </w:r>
    </w:p>
  </w:endnote>
  <w:endnote w:type="continuationNotice" w:id="1">
    <w:p w14:paraId="7B43AB1E" w14:textId="77777777" w:rsidR="004E2916" w:rsidRDefault="004E2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2D574" w14:textId="77777777" w:rsidR="004E2916" w:rsidRDefault="004E2916">
      <w:r>
        <w:separator/>
      </w:r>
    </w:p>
  </w:footnote>
  <w:footnote w:type="continuationSeparator" w:id="0">
    <w:p w14:paraId="4CE58F19" w14:textId="77777777" w:rsidR="004E2916" w:rsidRDefault="004E2916">
      <w:r>
        <w:continuationSeparator/>
      </w:r>
    </w:p>
  </w:footnote>
  <w:footnote w:type="continuationNotice" w:id="1">
    <w:p w14:paraId="733B8708" w14:textId="77777777" w:rsidR="004E2916" w:rsidRDefault="004E29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7EACF" w14:textId="77777777" w:rsidR="0061705B" w:rsidRDefault="004E2916">
    <w:pPr>
      <w:pStyle w:val="Header"/>
      <w:jc w:val="right"/>
      <w:rPr>
        <w:rFonts w:ascii="Arial" w:hAnsi="Arial" w:cs="Arial"/>
        <w:sz w:val="18"/>
        <w:szCs w:val="18"/>
      </w:rPr>
    </w:pPr>
    <w:r>
      <w:rPr>
        <w:rFonts w:ascii="Arial" w:hAnsi="Arial" w:cs="Arial"/>
        <w:sz w:val="18"/>
        <w:szCs w:val="18"/>
      </w:rPr>
      <w:t>ES-L1093</w:t>
    </w:r>
  </w:p>
  <w:p w14:paraId="03C89381" w14:textId="77777777" w:rsidR="0061705B" w:rsidRDefault="004E2916">
    <w:pPr>
      <w:pStyle w:val="Header"/>
      <w:jc w:val="right"/>
      <w:rPr>
        <w:rFonts w:ascii="Arial" w:hAnsi="Arial" w:cs="Arial"/>
        <w:sz w:val="18"/>
        <w:szCs w:val="18"/>
        <w:lang w:val="es-ES_tradnl"/>
      </w:rPr>
    </w:pPr>
    <w:r>
      <w:rPr>
        <w:rFonts w:ascii="Arial" w:hAnsi="Arial" w:cs="Arial"/>
        <w:sz w:val="18"/>
        <w:szCs w:val="18"/>
        <w:lang w:val="es-ES_tradnl"/>
      </w:rPr>
      <w:t xml:space="preserve">Página </w:t>
    </w:r>
    <w:r>
      <w:rPr>
        <w:rFonts w:ascii="Arial" w:hAnsi="Arial" w:cs="Arial"/>
        <w:sz w:val="18"/>
        <w:szCs w:val="18"/>
        <w:lang w:val="es-ES_tradnl"/>
      </w:rPr>
      <w:fldChar w:fldCharType="begin"/>
    </w:r>
    <w:r>
      <w:rPr>
        <w:rFonts w:ascii="Arial" w:hAnsi="Arial" w:cs="Arial"/>
        <w:sz w:val="18"/>
        <w:szCs w:val="18"/>
        <w:lang w:val="es-ES_tradnl"/>
      </w:rPr>
      <w:instrText xml:space="preserve"> PAGE   \* MERGEFORMAT </w:instrText>
    </w:r>
    <w:r>
      <w:rPr>
        <w:rFonts w:ascii="Arial" w:hAnsi="Arial" w:cs="Arial"/>
        <w:sz w:val="18"/>
        <w:szCs w:val="18"/>
        <w:lang w:val="es-ES_tradnl"/>
      </w:rPr>
      <w:fldChar w:fldCharType="separate"/>
    </w:r>
    <w:r>
      <w:rPr>
        <w:rFonts w:ascii="Arial" w:hAnsi="Arial" w:cs="Arial"/>
        <w:noProof/>
        <w:sz w:val="18"/>
        <w:szCs w:val="18"/>
        <w:lang w:val="es-ES_tradnl"/>
      </w:rPr>
      <w:t>1</w:t>
    </w:r>
    <w:r>
      <w:rPr>
        <w:rFonts w:ascii="Arial" w:hAnsi="Arial" w:cs="Arial"/>
        <w:noProof/>
        <w:sz w:val="18"/>
        <w:szCs w:val="18"/>
        <w:lang w:val="es-ES_tradnl"/>
      </w:rPr>
      <w:fldChar w:fldCharType="end"/>
    </w:r>
    <w:r>
      <w:rPr>
        <w:rFonts w:ascii="Arial" w:hAnsi="Arial" w:cs="Arial"/>
        <w:noProof/>
        <w:sz w:val="18"/>
        <w:szCs w:val="18"/>
        <w:lang w:val="es-ES_tradnl"/>
      </w:rPr>
      <w:t xml:space="preserve"> de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7181"/>
    <w:multiLevelType w:val="hybridMultilevel"/>
    <w:tmpl w:val="EC5E6FF8"/>
    <w:lvl w:ilvl="0" w:tplc="EA14AF66">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5A159F"/>
    <w:multiLevelType w:val="hybridMultilevel"/>
    <w:tmpl w:val="22B62976"/>
    <w:lvl w:ilvl="0" w:tplc="52C0E5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831EE9"/>
    <w:multiLevelType w:val="hybridMultilevel"/>
    <w:tmpl w:val="10C0EFC6"/>
    <w:lvl w:ilvl="0" w:tplc="2442832C">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6319F"/>
    <w:multiLevelType w:val="multilevel"/>
    <w:tmpl w:val="41BE67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A827C3"/>
    <w:multiLevelType w:val="hybridMultilevel"/>
    <w:tmpl w:val="CE7027EC"/>
    <w:lvl w:ilvl="0" w:tplc="FC1A2612">
      <w:start w:val="1"/>
      <w:numFmt w:val="lowerRoman"/>
      <w:lvlText w:val="(%1)"/>
      <w:lvlJc w:val="left"/>
      <w:pPr>
        <w:ind w:left="1068" w:hanging="72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5" w15:restartNumberingAfterBreak="0">
    <w:nsid w:val="0E7F62D5"/>
    <w:multiLevelType w:val="hybridMultilevel"/>
    <w:tmpl w:val="83F4A5B0"/>
    <w:lvl w:ilvl="0" w:tplc="7E527D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82B3F"/>
    <w:multiLevelType w:val="hybridMultilevel"/>
    <w:tmpl w:val="690677E6"/>
    <w:lvl w:ilvl="0" w:tplc="6F5824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DE1FE4"/>
    <w:multiLevelType w:val="multilevel"/>
    <w:tmpl w:val="F8AC8D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2EA4174"/>
    <w:multiLevelType w:val="hybridMultilevel"/>
    <w:tmpl w:val="DF62477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E5D04"/>
    <w:multiLevelType w:val="hybridMultilevel"/>
    <w:tmpl w:val="B9F8E9A4"/>
    <w:lvl w:ilvl="0" w:tplc="C3C6FF3C">
      <w:start w:val="1"/>
      <w:numFmt w:val="decimal"/>
      <w:lvlText w:val="3.%1"/>
      <w:lvlJc w:val="left"/>
      <w:pPr>
        <w:ind w:left="702" w:hanging="360"/>
      </w:pPr>
      <w:rPr>
        <w:rFonts w:ascii="Arial" w:hAnsi="Arial" w:cs="Arial" w:hint="default"/>
        <w:sz w:val="20"/>
      </w:rPr>
    </w:lvl>
    <w:lvl w:ilvl="1" w:tplc="040A0019" w:tentative="1">
      <w:start w:val="1"/>
      <w:numFmt w:val="lowerLetter"/>
      <w:lvlText w:val="%2."/>
      <w:lvlJc w:val="left"/>
      <w:pPr>
        <w:ind w:left="1422" w:hanging="360"/>
      </w:pPr>
    </w:lvl>
    <w:lvl w:ilvl="2" w:tplc="040A001B" w:tentative="1">
      <w:start w:val="1"/>
      <w:numFmt w:val="lowerRoman"/>
      <w:lvlText w:val="%3."/>
      <w:lvlJc w:val="right"/>
      <w:pPr>
        <w:ind w:left="2142" w:hanging="180"/>
      </w:pPr>
    </w:lvl>
    <w:lvl w:ilvl="3" w:tplc="040A000F" w:tentative="1">
      <w:start w:val="1"/>
      <w:numFmt w:val="decimal"/>
      <w:lvlText w:val="%4."/>
      <w:lvlJc w:val="left"/>
      <w:pPr>
        <w:ind w:left="2862" w:hanging="360"/>
      </w:pPr>
    </w:lvl>
    <w:lvl w:ilvl="4" w:tplc="040A0019" w:tentative="1">
      <w:start w:val="1"/>
      <w:numFmt w:val="lowerLetter"/>
      <w:lvlText w:val="%5."/>
      <w:lvlJc w:val="left"/>
      <w:pPr>
        <w:ind w:left="3582" w:hanging="360"/>
      </w:pPr>
    </w:lvl>
    <w:lvl w:ilvl="5" w:tplc="040A001B" w:tentative="1">
      <w:start w:val="1"/>
      <w:numFmt w:val="lowerRoman"/>
      <w:lvlText w:val="%6."/>
      <w:lvlJc w:val="right"/>
      <w:pPr>
        <w:ind w:left="4302" w:hanging="180"/>
      </w:pPr>
    </w:lvl>
    <w:lvl w:ilvl="6" w:tplc="040A000F" w:tentative="1">
      <w:start w:val="1"/>
      <w:numFmt w:val="decimal"/>
      <w:lvlText w:val="%7."/>
      <w:lvlJc w:val="left"/>
      <w:pPr>
        <w:ind w:left="5022" w:hanging="360"/>
      </w:pPr>
    </w:lvl>
    <w:lvl w:ilvl="7" w:tplc="040A0019" w:tentative="1">
      <w:start w:val="1"/>
      <w:numFmt w:val="lowerLetter"/>
      <w:lvlText w:val="%8."/>
      <w:lvlJc w:val="left"/>
      <w:pPr>
        <w:ind w:left="5742" w:hanging="360"/>
      </w:pPr>
    </w:lvl>
    <w:lvl w:ilvl="8" w:tplc="040A001B" w:tentative="1">
      <w:start w:val="1"/>
      <w:numFmt w:val="lowerRoman"/>
      <w:lvlText w:val="%9."/>
      <w:lvlJc w:val="right"/>
      <w:pPr>
        <w:ind w:left="6462" w:hanging="180"/>
      </w:pPr>
    </w:lvl>
  </w:abstractNum>
  <w:abstractNum w:abstractNumId="10" w15:restartNumberingAfterBreak="0">
    <w:nsid w:val="200B05EA"/>
    <w:multiLevelType w:val="hybridMultilevel"/>
    <w:tmpl w:val="DE282860"/>
    <w:lvl w:ilvl="0" w:tplc="5DCCD39A">
      <w:start w:val="1"/>
      <w:numFmt w:val="decimal"/>
      <w:lvlText w:val="1.%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06E4184"/>
    <w:multiLevelType w:val="multilevel"/>
    <w:tmpl w:val="F4E827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614D3F"/>
    <w:multiLevelType w:val="hybridMultilevel"/>
    <w:tmpl w:val="1D78EDFE"/>
    <w:lvl w:ilvl="0" w:tplc="CB9A6C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50562B"/>
    <w:multiLevelType w:val="multilevel"/>
    <w:tmpl w:val="D5B28508"/>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4" w15:restartNumberingAfterBreak="0">
    <w:nsid w:val="273275EC"/>
    <w:multiLevelType w:val="hybridMultilevel"/>
    <w:tmpl w:val="E4D2E812"/>
    <w:lvl w:ilvl="0" w:tplc="8EAA8C5A">
      <w:start w:val="1"/>
      <w:numFmt w:val="decimal"/>
      <w:lvlText w:val="4.%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9B37E53"/>
    <w:multiLevelType w:val="hybridMultilevel"/>
    <w:tmpl w:val="36E43AA6"/>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0C6277"/>
    <w:multiLevelType w:val="hybridMultilevel"/>
    <w:tmpl w:val="7DACB3EC"/>
    <w:lvl w:ilvl="0" w:tplc="20E439CC">
      <w:start w:val="1"/>
      <w:numFmt w:val="decimal"/>
      <w:lvlText w:val="2.%1"/>
      <w:lvlJc w:val="left"/>
      <w:pPr>
        <w:ind w:left="720" w:hanging="360"/>
      </w:pPr>
      <w:rPr>
        <w:rFonts w:ascii="Arial" w:hAnsi="Arial" w:hint="default"/>
        <w:b w:val="0"/>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D2A59D6"/>
    <w:multiLevelType w:val="hybridMultilevel"/>
    <w:tmpl w:val="05608A92"/>
    <w:lvl w:ilvl="0" w:tplc="F27C2B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C1A72"/>
    <w:multiLevelType w:val="hybridMultilevel"/>
    <w:tmpl w:val="30082D3A"/>
    <w:lvl w:ilvl="0" w:tplc="D21C11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812F93"/>
    <w:multiLevelType w:val="hybridMultilevel"/>
    <w:tmpl w:val="7996E0E4"/>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FE3111"/>
    <w:multiLevelType w:val="hybridMultilevel"/>
    <w:tmpl w:val="EE66589A"/>
    <w:lvl w:ilvl="0" w:tplc="FC54F0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326B60"/>
    <w:multiLevelType w:val="hybridMultilevel"/>
    <w:tmpl w:val="2B60661E"/>
    <w:lvl w:ilvl="0" w:tplc="2EAE4886">
      <w:start w:val="1"/>
      <w:numFmt w:val="decimal"/>
      <w:lvlText w:val="6.%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15:restartNumberingAfterBreak="0">
    <w:nsid w:val="381B2D3B"/>
    <w:multiLevelType w:val="hybridMultilevel"/>
    <w:tmpl w:val="0B4E1174"/>
    <w:lvl w:ilvl="0" w:tplc="27F8DB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6C54FB"/>
    <w:multiLevelType w:val="multilevel"/>
    <w:tmpl w:val="34420F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55059CC"/>
    <w:multiLevelType w:val="hybridMultilevel"/>
    <w:tmpl w:val="C8D2DE9A"/>
    <w:lvl w:ilvl="0" w:tplc="519649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2310E8"/>
    <w:multiLevelType w:val="hybridMultilevel"/>
    <w:tmpl w:val="1DD86C9E"/>
    <w:lvl w:ilvl="0" w:tplc="57D883EE">
      <w:start w:val="1"/>
      <w:numFmt w:val="decimal"/>
      <w:lvlText w:val="4.%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4F454F3F"/>
    <w:multiLevelType w:val="hybridMultilevel"/>
    <w:tmpl w:val="3AC4F63C"/>
    <w:lvl w:ilvl="0" w:tplc="F33AA6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04DE1"/>
    <w:multiLevelType w:val="multilevel"/>
    <w:tmpl w:val="E2B28B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AE82F40"/>
    <w:multiLevelType w:val="multilevel"/>
    <w:tmpl w:val="64FEF30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B1508A4"/>
    <w:multiLevelType w:val="hybridMultilevel"/>
    <w:tmpl w:val="5330E85A"/>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5555B8"/>
    <w:multiLevelType w:val="hybridMultilevel"/>
    <w:tmpl w:val="5C9C37E0"/>
    <w:lvl w:ilvl="0" w:tplc="435C9EE2">
      <w:start w:val="1"/>
      <w:numFmt w:val="decimal"/>
      <w:lvlText w:val="5.%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6C780FB1"/>
    <w:multiLevelType w:val="hybridMultilevel"/>
    <w:tmpl w:val="C66248E4"/>
    <w:lvl w:ilvl="0" w:tplc="A5F883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C73544"/>
    <w:multiLevelType w:val="hybridMultilevel"/>
    <w:tmpl w:val="07B8A090"/>
    <w:lvl w:ilvl="0" w:tplc="28CC7672">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F46EB9"/>
    <w:multiLevelType w:val="hybridMultilevel"/>
    <w:tmpl w:val="D4C082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B15C46"/>
    <w:multiLevelType w:val="hybridMultilevel"/>
    <w:tmpl w:val="61349A18"/>
    <w:lvl w:ilvl="0" w:tplc="F6E44D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4376C7"/>
    <w:multiLevelType w:val="multilevel"/>
    <w:tmpl w:val="EF88B3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F397087"/>
    <w:multiLevelType w:val="hybridMultilevel"/>
    <w:tmpl w:val="76D68E2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
  </w:num>
  <w:num w:numId="3">
    <w:abstractNumId w:val="13"/>
  </w:num>
  <w:num w:numId="4">
    <w:abstractNumId w:val="26"/>
  </w:num>
  <w:num w:numId="5">
    <w:abstractNumId w:val="4"/>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0"/>
  </w:num>
  <w:num w:numId="9">
    <w:abstractNumId w:val="1"/>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
  </w:num>
  <w:num w:numId="13">
    <w:abstractNumId w:val="20"/>
  </w:num>
  <w:num w:numId="14">
    <w:abstractNumId w:val="35"/>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6"/>
  </w:num>
  <w:num w:numId="20">
    <w:abstractNumId w:val="5"/>
  </w:num>
  <w:num w:numId="21">
    <w:abstractNumId w:val="24"/>
  </w:num>
  <w:num w:numId="22">
    <w:abstractNumId w:val="17"/>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8"/>
  </w:num>
  <w:num w:numId="26">
    <w:abstractNumId w:val="31"/>
  </w:num>
  <w:num w:numId="27">
    <w:abstractNumId w:val="34"/>
  </w:num>
  <w:num w:numId="28">
    <w:abstractNumId w:val="29"/>
  </w:num>
  <w:num w:numId="29">
    <w:abstractNumId w:val="28"/>
  </w:num>
  <w:num w:numId="30">
    <w:abstractNumId w:val="22"/>
  </w:num>
  <w:num w:numId="31">
    <w:abstractNumId w:val="16"/>
  </w:num>
  <w:num w:numId="32">
    <w:abstractNumId w:val="10"/>
  </w:num>
  <w:num w:numId="33">
    <w:abstractNumId w:val="9"/>
  </w:num>
  <w:num w:numId="34">
    <w:abstractNumId w:val="14"/>
  </w:num>
  <w:num w:numId="35">
    <w:abstractNumId w:val="25"/>
  </w:num>
  <w:num w:numId="36">
    <w:abstractNumId w:val="30"/>
  </w:num>
  <w:num w:numId="37">
    <w:abstractNumId w:val="8"/>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3572D26"/>
    <w:rsid w:val="00031989"/>
    <w:rsid w:val="001C593C"/>
    <w:rsid w:val="004E2916"/>
    <w:rsid w:val="004E642A"/>
    <w:rsid w:val="00542D15"/>
    <w:rsid w:val="0061705B"/>
    <w:rsid w:val="00707EBC"/>
    <w:rsid w:val="00735E9B"/>
    <w:rsid w:val="007A39BB"/>
    <w:rsid w:val="009C70BE"/>
    <w:rsid w:val="00AF478A"/>
    <w:rsid w:val="00AF71CD"/>
    <w:rsid w:val="00B258C6"/>
    <w:rsid w:val="00BC65B6"/>
    <w:rsid w:val="00C67A0A"/>
    <w:rsid w:val="00D53370"/>
    <w:rsid w:val="53572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A9CC7"/>
  <w15:chartTrackingRefBased/>
  <w15:docId w15:val="{A0EA9170-1012-4A7B-A455-94CF3DB67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basedOn w:val="DefaultParagraphFont"/>
    <w:link w:val="ListParagraph"/>
    <w:uiPriority w:val="34"/>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semiHidden/>
    <w:unhideWhenUsed/>
    <w:rPr>
      <w:vertAlign w:val="superscript"/>
    </w:rPr>
  </w:style>
  <w:style w:type="paragraph" w:styleId="BalloonText">
    <w:name w:val="Balloon Text"/>
    <w:basedOn w:val="Normal"/>
    <w:link w:val="BalloonTextChar"/>
    <w:uiPriority w:val="99"/>
    <w:semiHidden/>
    <w:unhideWhenUse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1517</Words>
  <Characters>8648</Characters>
  <Application>Microsoft Office Word</Application>
  <DocSecurity>0</DocSecurity>
  <Lines>72</Lines>
  <Paragraphs>20</Paragraphs>
  <ScaleCrop>false</ScaleCrop>
  <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Benitez Molina, Juan Carlos</dc:creator>
  <cp:keywords/>
  <dc:description/>
  <cp:lastModifiedBy>Benitez Molina, Juan Carlos</cp:lastModifiedBy>
  <cp:revision>19</cp:revision>
  <dcterms:created xsi:type="dcterms:W3CDTF">2018-05-07T19:15:00Z</dcterms:created>
  <dcterms:modified xsi:type="dcterms:W3CDTF">2018-05-17T22:06:00Z</dcterms:modified>
</cp:coreProperties>
</file>