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BF16C9" w:rsidRDefault="00232DCD" w:rsidP="00232DCD">
      <w:pPr>
        <w:jc w:val="center"/>
        <w:rPr>
          <w:lang w:val="es-ES"/>
        </w:rPr>
      </w:pPr>
    </w:p>
    <w:p w14:paraId="3D694B3E"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0B785BB9" w14:textId="77777777" w:rsidR="00232DCD" w:rsidRPr="00BF16C9" w:rsidRDefault="00232DCD" w:rsidP="00232DCD">
      <w:pPr>
        <w:rPr>
          <w:rFonts w:ascii="Arial" w:hAnsi="Arial" w:cs="Arial"/>
          <w:smallCaps/>
          <w:lang w:val="es-ES"/>
        </w:rPr>
      </w:pPr>
    </w:p>
    <w:p w14:paraId="236385A6" w14:textId="77777777" w:rsidR="00232DCD" w:rsidRPr="00BF16C9" w:rsidRDefault="00232DCD" w:rsidP="00232DCD">
      <w:pPr>
        <w:rPr>
          <w:rFonts w:ascii="Arial" w:hAnsi="Arial" w:cs="Arial"/>
          <w:smallCaps/>
          <w:lang w:val="es-ES"/>
        </w:rPr>
      </w:pPr>
    </w:p>
    <w:p w14:paraId="3C0B090C" w14:textId="77777777" w:rsidR="00232DCD" w:rsidRPr="00BF16C9" w:rsidRDefault="00232DCD" w:rsidP="00232DCD">
      <w:pPr>
        <w:rPr>
          <w:rFonts w:ascii="Arial" w:hAnsi="Arial" w:cs="Arial"/>
          <w:smallCaps/>
          <w:lang w:val="es-ES"/>
        </w:rPr>
      </w:pPr>
    </w:p>
    <w:p w14:paraId="0E66DFBD" w14:textId="77777777" w:rsidR="00232DCD" w:rsidRPr="00BF16C9" w:rsidRDefault="00232DCD" w:rsidP="00232DCD">
      <w:pPr>
        <w:rPr>
          <w:rFonts w:ascii="Arial" w:hAnsi="Arial" w:cs="Arial"/>
          <w:smallCaps/>
          <w:lang w:val="es-ES"/>
        </w:rPr>
      </w:pPr>
    </w:p>
    <w:p w14:paraId="1BA208FD" w14:textId="614AF389"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BF16C9" w:rsidRDefault="00232DCD" w:rsidP="00232DCD">
      <w:pPr>
        <w:rPr>
          <w:rFonts w:ascii="Arial" w:hAnsi="Arial" w:cs="Arial"/>
          <w:smallCaps/>
          <w:lang w:val="es-ES"/>
        </w:rPr>
      </w:pPr>
    </w:p>
    <w:p w14:paraId="4C5CBC93" w14:textId="77777777" w:rsidR="00232DCD" w:rsidRPr="00BF16C9" w:rsidRDefault="00232DCD" w:rsidP="00232DCD">
      <w:pPr>
        <w:rPr>
          <w:rFonts w:ascii="Arial" w:hAnsi="Arial" w:cs="Arial"/>
          <w:smallCaps/>
          <w:lang w:val="es-ES"/>
        </w:rPr>
      </w:pPr>
    </w:p>
    <w:p w14:paraId="7C551E39" w14:textId="39B6F1D5" w:rsidR="003E7EAB" w:rsidRDefault="003E7EAB" w:rsidP="003E7EAB">
      <w:pPr>
        <w:jc w:val="center"/>
        <w:rPr>
          <w:rFonts w:ascii="Arial" w:hAnsi="Arial" w:cs="Arial"/>
          <w:b/>
          <w:smallCaps/>
          <w:lang w:val="es-ES_tradnl"/>
        </w:rPr>
      </w:pPr>
      <w:r>
        <w:rPr>
          <w:rFonts w:ascii="Arial" w:hAnsi="Arial" w:cs="Arial"/>
          <w:b/>
          <w:smallCaps/>
          <w:lang w:val="es-ES_tradnl"/>
        </w:rPr>
        <w:t>MÉXICO</w:t>
      </w:r>
    </w:p>
    <w:p w14:paraId="3A684A20" w14:textId="77777777" w:rsidR="003E7EAB" w:rsidRPr="007A41EA" w:rsidRDefault="003E7EAB" w:rsidP="003E7EAB">
      <w:pPr>
        <w:jc w:val="center"/>
        <w:rPr>
          <w:rFonts w:ascii="Arial" w:hAnsi="Arial" w:cs="Arial"/>
          <w:b/>
          <w:smallCaps/>
          <w:lang w:val="es-ES_tradnl"/>
        </w:rPr>
      </w:pPr>
    </w:p>
    <w:p w14:paraId="6B5C5107" w14:textId="77777777" w:rsidR="00AD5350" w:rsidRDefault="00AD5350" w:rsidP="003E7EAB">
      <w:pPr>
        <w:jc w:val="center"/>
        <w:rPr>
          <w:rFonts w:ascii="Arial" w:hAnsi="Arial" w:cs="Arial"/>
          <w:b/>
          <w:lang w:val="es-ES_tradnl"/>
        </w:rPr>
      </w:pPr>
      <w:r>
        <w:rPr>
          <w:rFonts w:ascii="Arial" w:hAnsi="Arial" w:cs="Arial"/>
          <w:b/>
          <w:lang w:val="es-ES_tradnl"/>
        </w:rPr>
        <w:t xml:space="preserve">Gestión Territorial para el Logro de Resultados de la </w:t>
      </w:r>
    </w:p>
    <w:p w14:paraId="68757195" w14:textId="377DACD6" w:rsidR="003E7EAB" w:rsidRDefault="00AD5350" w:rsidP="003E7EAB">
      <w:pPr>
        <w:jc w:val="center"/>
        <w:rPr>
          <w:rFonts w:ascii="Arial" w:hAnsi="Arial" w:cs="Arial"/>
          <w:b/>
          <w:lang w:val="es-ES_tradnl"/>
        </w:rPr>
      </w:pPr>
      <w:r>
        <w:rPr>
          <w:rFonts w:ascii="Arial" w:hAnsi="Arial" w:cs="Arial"/>
          <w:b/>
          <w:lang w:val="es-ES_tradnl"/>
        </w:rPr>
        <w:t xml:space="preserve">Agenda </w:t>
      </w:r>
      <w:r w:rsidR="0038191A">
        <w:rPr>
          <w:rFonts w:ascii="Arial" w:hAnsi="Arial" w:cs="Arial"/>
          <w:b/>
          <w:lang w:val="es-ES_tradnl"/>
        </w:rPr>
        <w:t>de Cambio Climático</w:t>
      </w:r>
      <w:r w:rsidR="003E7EAB" w:rsidRPr="00BF052A">
        <w:rPr>
          <w:rFonts w:ascii="Arial" w:hAnsi="Arial" w:cs="Arial"/>
          <w:b/>
          <w:lang w:val="es-ES_tradnl"/>
        </w:rPr>
        <w:t xml:space="preserve"> </w:t>
      </w:r>
    </w:p>
    <w:p w14:paraId="1FDE405E" w14:textId="77777777" w:rsidR="0038191A" w:rsidRDefault="0038191A" w:rsidP="003E7EAB">
      <w:pPr>
        <w:jc w:val="center"/>
        <w:rPr>
          <w:rFonts w:ascii="Arial" w:hAnsi="Arial" w:cs="Arial"/>
          <w:b/>
          <w:lang w:val="es-ES_tradnl"/>
        </w:rPr>
      </w:pPr>
    </w:p>
    <w:p w14:paraId="7C934B26" w14:textId="77777777" w:rsidR="003E7EAB" w:rsidRPr="0038191A" w:rsidRDefault="003E7EAB" w:rsidP="003E7EAB">
      <w:pPr>
        <w:jc w:val="center"/>
        <w:rPr>
          <w:rFonts w:ascii="Arial" w:hAnsi="Arial" w:cs="Arial"/>
          <w:b/>
          <w:smallCaps/>
          <w:sz w:val="28"/>
          <w:szCs w:val="28"/>
          <w:lang w:val="es-ES_tradnl"/>
        </w:rPr>
      </w:pPr>
      <w:r w:rsidRPr="0038191A">
        <w:rPr>
          <w:rFonts w:ascii="Arial" w:hAnsi="Arial" w:cs="Arial"/>
          <w:b/>
          <w:smallCaps/>
          <w:sz w:val="28"/>
          <w:szCs w:val="28"/>
          <w:lang w:val="es-ES_tradnl"/>
        </w:rPr>
        <w:t>ME-L1268</w:t>
      </w:r>
    </w:p>
    <w:p w14:paraId="356D6082" w14:textId="77777777" w:rsidR="00232DCD" w:rsidRPr="003E7EAB" w:rsidRDefault="00232DCD" w:rsidP="00232DCD">
      <w:pPr>
        <w:jc w:val="center"/>
        <w:rPr>
          <w:rFonts w:ascii="Arial" w:hAnsi="Arial" w:cs="Arial"/>
          <w:smallCaps/>
          <w:lang w:val="es-ES_tradnl"/>
        </w:rPr>
      </w:pPr>
    </w:p>
    <w:p w14:paraId="401C1FB6" w14:textId="77777777" w:rsidR="00232DCD" w:rsidRPr="00BF16C9" w:rsidRDefault="00232DCD" w:rsidP="00232DCD">
      <w:pPr>
        <w:jc w:val="center"/>
        <w:rPr>
          <w:rFonts w:ascii="Arial" w:hAnsi="Arial" w:cs="Arial"/>
          <w:smallCaps/>
          <w:lang w:val="es-ES"/>
        </w:rPr>
      </w:pPr>
    </w:p>
    <w:p w14:paraId="11F963B5" w14:textId="77777777" w:rsidR="00232DCD" w:rsidRPr="00BF16C9" w:rsidRDefault="00232DCD" w:rsidP="00232DCD">
      <w:pPr>
        <w:jc w:val="center"/>
        <w:rPr>
          <w:rFonts w:ascii="Arial" w:hAnsi="Arial" w:cs="Arial"/>
          <w:smallCaps/>
          <w:lang w:val="es-ES"/>
        </w:rPr>
      </w:pPr>
    </w:p>
    <w:p w14:paraId="2772E162" w14:textId="77777777" w:rsidR="00232DCD" w:rsidRPr="00BF16C9" w:rsidRDefault="00C21376" w:rsidP="00232DCD">
      <w:pPr>
        <w:jc w:val="center"/>
        <w:rPr>
          <w:rFonts w:ascii="Arial" w:hAnsi="Arial" w:cs="Arial"/>
          <w:b/>
          <w:bCs/>
          <w:caps/>
          <w:lang w:val="es-ES"/>
        </w:rPr>
      </w:pPr>
      <w:r w:rsidRPr="00BF16C9">
        <w:rPr>
          <w:rFonts w:ascii="Arial" w:hAnsi="Arial" w:cs="Arial"/>
          <w:b/>
          <w:bCs/>
          <w:caps/>
          <w:lang w:val="es-ES"/>
        </w:rPr>
        <w:t>Informe de gestion ambiental y social</w:t>
      </w:r>
    </w:p>
    <w:p w14:paraId="7D3D4324" w14:textId="765D0D2C" w:rsidR="00232DCD"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6ACF3AC8" w14:textId="2B0EF6C8" w:rsidR="009D0787" w:rsidRDefault="009D0787" w:rsidP="00232DCD">
      <w:pPr>
        <w:jc w:val="center"/>
        <w:rPr>
          <w:rFonts w:ascii="Arial" w:hAnsi="Arial" w:cs="Arial"/>
          <w:b/>
          <w:smallCaps/>
          <w:lang w:val="es-ES"/>
        </w:rPr>
      </w:pPr>
    </w:p>
    <w:p w14:paraId="781E0E53" w14:textId="341884C8" w:rsidR="009D0787" w:rsidRDefault="009D0787" w:rsidP="00232DCD">
      <w:pPr>
        <w:jc w:val="center"/>
        <w:rPr>
          <w:rFonts w:ascii="Arial" w:hAnsi="Arial" w:cs="Arial"/>
          <w:b/>
          <w:smallCaps/>
          <w:lang w:val="es-ES"/>
        </w:rPr>
      </w:pPr>
    </w:p>
    <w:p w14:paraId="2BAAC599" w14:textId="516B495C" w:rsidR="009D0787" w:rsidRDefault="009D0787" w:rsidP="00232DCD">
      <w:pPr>
        <w:jc w:val="center"/>
        <w:rPr>
          <w:rFonts w:ascii="Arial" w:hAnsi="Arial" w:cs="Arial"/>
          <w:b/>
          <w:smallCaps/>
          <w:lang w:val="es-ES"/>
        </w:rPr>
      </w:pPr>
    </w:p>
    <w:p w14:paraId="1BEA32E7" w14:textId="02AF91A7" w:rsidR="009D0787" w:rsidRDefault="009D0787" w:rsidP="00232DCD">
      <w:pPr>
        <w:jc w:val="center"/>
        <w:rPr>
          <w:rFonts w:ascii="Arial" w:hAnsi="Arial" w:cs="Arial"/>
          <w:b/>
          <w:smallCaps/>
          <w:lang w:val="es-ES"/>
        </w:rPr>
      </w:pPr>
    </w:p>
    <w:p w14:paraId="24735CF5" w14:textId="78C1D9B3" w:rsidR="009D0787" w:rsidRDefault="009D0787" w:rsidP="00232DCD">
      <w:pPr>
        <w:jc w:val="center"/>
        <w:rPr>
          <w:rFonts w:ascii="Arial" w:hAnsi="Arial" w:cs="Arial"/>
          <w:b/>
          <w:smallCaps/>
          <w:lang w:val="es-ES"/>
        </w:rPr>
      </w:pPr>
    </w:p>
    <w:p w14:paraId="3FC9AFCC" w14:textId="376A040B" w:rsidR="009D0787" w:rsidRDefault="009D0787" w:rsidP="00232DCD">
      <w:pPr>
        <w:jc w:val="center"/>
        <w:rPr>
          <w:rFonts w:ascii="Arial" w:hAnsi="Arial" w:cs="Arial"/>
          <w:b/>
          <w:smallCaps/>
          <w:lang w:val="es-ES"/>
        </w:rPr>
      </w:pPr>
    </w:p>
    <w:p w14:paraId="7929F927" w14:textId="5A48413B" w:rsidR="009D0787" w:rsidRDefault="009D0787" w:rsidP="00232DCD">
      <w:pPr>
        <w:jc w:val="center"/>
        <w:rPr>
          <w:rFonts w:ascii="Arial" w:hAnsi="Arial" w:cs="Arial"/>
          <w:b/>
          <w:smallCaps/>
          <w:lang w:val="es-ES"/>
        </w:rPr>
      </w:pPr>
    </w:p>
    <w:p w14:paraId="27519F80" w14:textId="0160B8B0" w:rsidR="009D0787" w:rsidRPr="00BF16C9" w:rsidRDefault="009D0787" w:rsidP="00232DCD">
      <w:pPr>
        <w:jc w:val="center"/>
        <w:rPr>
          <w:rFonts w:ascii="Arial" w:hAnsi="Arial" w:cs="Arial"/>
          <w:b/>
          <w:smallCaps/>
          <w:lang w:val="es-ES"/>
        </w:rPr>
      </w:pPr>
    </w:p>
    <w:p w14:paraId="3245B46A" w14:textId="6FFE7ADC" w:rsidR="00232DCD" w:rsidRPr="006026B5" w:rsidRDefault="00AD5350" w:rsidP="00232DCD">
      <w:pPr>
        <w:jc w:val="center"/>
        <w:rPr>
          <w:rFonts w:ascii="Arial" w:hAnsi="Arial" w:cs="Arial"/>
          <w:b/>
          <w:smallCaps/>
          <w:lang w:val="es-ES"/>
        </w:rPr>
      </w:pPr>
      <w:r>
        <w:rPr>
          <w:rFonts w:ascii="Arial" w:hAnsi="Arial" w:cs="Arial"/>
          <w:b/>
          <w:smallCaps/>
          <w:lang w:val="es-ES"/>
        </w:rPr>
        <w:t>Octu</w:t>
      </w:r>
      <w:r w:rsidR="0038191A">
        <w:rPr>
          <w:rFonts w:ascii="Arial" w:hAnsi="Arial" w:cs="Arial"/>
          <w:b/>
          <w:smallCaps/>
          <w:lang w:val="es-ES"/>
        </w:rPr>
        <w:t>bre</w:t>
      </w:r>
      <w:r w:rsidR="006026B5" w:rsidRPr="006026B5">
        <w:rPr>
          <w:rFonts w:ascii="Arial" w:hAnsi="Arial" w:cs="Arial"/>
          <w:b/>
          <w:smallCaps/>
          <w:lang w:val="es-ES"/>
        </w:rPr>
        <w:t xml:space="preserve"> 2017</w:t>
      </w:r>
    </w:p>
    <w:p w14:paraId="3727158F" w14:textId="77777777" w:rsidR="00232DCD" w:rsidRPr="00BF16C9" w:rsidRDefault="00232DCD" w:rsidP="00232DCD">
      <w:pPr>
        <w:jc w:val="center"/>
        <w:rPr>
          <w:rFonts w:ascii="Arial" w:hAnsi="Arial" w:cs="Arial"/>
          <w:smallCaps/>
          <w:sz w:val="22"/>
          <w:szCs w:val="22"/>
          <w:lang w:val="es-ES"/>
        </w:rPr>
      </w:pPr>
    </w:p>
    <w:p w14:paraId="7172DAA0" w14:textId="77777777" w:rsidR="00232DCD" w:rsidRPr="00BF16C9" w:rsidRDefault="00232DCD" w:rsidP="00232DCD">
      <w:pPr>
        <w:jc w:val="center"/>
        <w:rPr>
          <w:rFonts w:ascii="Arial" w:hAnsi="Arial" w:cs="Arial"/>
          <w:smallCaps/>
          <w:lang w:val="es-ES"/>
        </w:rPr>
      </w:pPr>
    </w:p>
    <w:p w14:paraId="5E3A177F" w14:textId="77777777" w:rsidR="00232DCD" w:rsidRPr="00BF16C9" w:rsidRDefault="00232DCD" w:rsidP="00232DCD">
      <w:pPr>
        <w:jc w:val="center"/>
        <w:rPr>
          <w:rFonts w:ascii="Arial" w:hAnsi="Arial" w:cs="Arial"/>
          <w:smallCaps/>
          <w:lang w:val="es-ES"/>
        </w:rPr>
      </w:pPr>
    </w:p>
    <w:p w14:paraId="3A734118" w14:textId="10BC4BED" w:rsidR="00232DCD" w:rsidRPr="00BF16C9" w:rsidRDefault="00232DCD" w:rsidP="00AD5350">
      <w:pPr>
        <w:rPr>
          <w:rFonts w:ascii="Arial" w:hAnsi="Arial" w:cs="Arial"/>
          <w:smallCaps/>
          <w:lang w:val="es-ES"/>
        </w:rPr>
      </w:pPr>
    </w:p>
    <w:p w14:paraId="72950AC2" w14:textId="77777777" w:rsidR="00232DCD" w:rsidRPr="00BF16C9" w:rsidRDefault="00232DCD" w:rsidP="00232DCD">
      <w:pPr>
        <w:jc w:val="center"/>
        <w:rPr>
          <w:rFonts w:ascii="Arial" w:hAnsi="Arial" w:cs="Arial"/>
          <w:smallCaps/>
          <w:lang w:val="es-ES"/>
        </w:rPr>
      </w:pPr>
    </w:p>
    <w:p w14:paraId="5ACABAE6" w14:textId="77777777" w:rsidR="00232DCD" w:rsidRPr="00BF16C9" w:rsidRDefault="00232DCD" w:rsidP="00232DCD">
      <w:pPr>
        <w:jc w:val="center"/>
        <w:rPr>
          <w:rFonts w:ascii="Arial" w:hAnsi="Arial" w:cs="Arial"/>
          <w:smallCaps/>
          <w:lang w:val="es-ES"/>
        </w:rPr>
      </w:pPr>
    </w:p>
    <w:p w14:paraId="2E70DE4D" w14:textId="77777777" w:rsidR="00232DCD" w:rsidRPr="00BF16C9" w:rsidRDefault="00232DCD" w:rsidP="00232DCD">
      <w:pPr>
        <w:jc w:val="center"/>
        <w:rPr>
          <w:rFonts w:ascii="Arial" w:hAnsi="Arial" w:cs="Arial"/>
          <w:smallCaps/>
          <w:lang w:val="es-ES"/>
        </w:rPr>
      </w:pPr>
    </w:p>
    <w:p w14:paraId="3B0CF428" w14:textId="77777777"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14:paraId="3356F4B1" w14:textId="4A13014D" w:rsidR="00DA7CA4" w:rsidRDefault="0038191A" w:rsidP="009D0787">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Pr>
          <w:rFonts w:ascii="Arial" w:hAnsi="Arial" w:cs="Arial"/>
          <w:sz w:val="18"/>
          <w:szCs w:val="18"/>
          <w:lang w:val="es-ES"/>
        </w:rPr>
        <w:t>Oscar Camé</w:t>
      </w:r>
      <w:r w:rsidR="00C53ABB" w:rsidRPr="00BF16C9">
        <w:rPr>
          <w:rFonts w:ascii="Arial" w:hAnsi="Arial" w:cs="Arial"/>
          <w:sz w:val="18"/>
          <w:szCs w:val="18"/>
          <w:lang w:val="es-ES"/>
        </w:rPr>
        <w:t xml:space="preserve"> (</w:t>
      </w:r>
      <w:r w:rsidR="006026B5">
        <w:rPr>
          <w:rFonts w:ascii="Arial" w:hAnsi="Arial" w:cs="Arial"/>
          <w:sz w:val="18"/>
          <w:szCs w:val="18"/>
          <w:lang w:val="es-ES"/>
        </w:rPr>
        <w:t>VPS</w:t>
      </w:r>
      <w:r w:rsidR="00C53ABB" w:rsidRPr="00BF16C9">
        <w:rPr>
          <w:rFonts w:ascii="Arial" w:hAnsi="Arial" w:cs="Arial"/>
          <w:sz w:val="18"/>
          <w:szCs w:val="18"/>
          <w:lang w:val="es-ES"/>
        </w:rPr>
        <w:t>/</w:t>
      </w:r>
      <w:r w:rsidR="006026B5">
        <w:rPr>
          <w:rFonts w:ascii="Arial" w:hAnsi="Arial" w:cs="Arial"/>
          <w:sz w:val="18"/>
          <w:szCs w:val="18"/>
          <w:lang w:val="es-ES"/>
        </w:rPr>
        <w:t>ESG</w:t>
      </w:r>
      <w:r w:rsidR="00C53ABB" w:rsidRPr="00BF16C9">
        <w:rPr>
          <w:rFonts w:ascii="Arial" w:hAnsi="Arial" w:cs="Arial"/>
          <w:sz w:val="18"/>
          <w:szCs w:val="18"/>
          <w:lang w:val="es-ES"/>
        </w:rPr>
        <w:t>)</w:t>
      </w:r>
    </w:p>
    <w:p w14:paraId="38214438" w14:textId="77777777" w:rsidR="00DA7CA4" w:rsidRDefault="00DA7CA4" w:rsidP="00DA7CA4">
      <w:pPr>
        <w:jc w:val="center"/>
        <w:rPr>
          <w:rFonts w:ascii="Arial" w:hAnsi="Arial" w:cs="Arial"/>
          <w:sz w:val="18"/>
          <w:szCs w:val="18"/>
          <w:lang w:val="es-ES"/>
        </w:rPr>
        <w:sectPr w:rsidR="00DA7CA4" w:rsidSect="00086A4E">
          <w:headerReference w:type="default" r:id="rId12"/>
          <w:pgSz w:w="12240" w:h="15840"/>
          <w:pgMar w:top="1440" w:right="1800" w:bottom="1440" w:left="1800" w:header="720" w:footer="720" w:gutter="0"/>
          <w:pgNumType w:fmt="numberInDash" w:start="0"/>
          <w:cols w:space="720"/>
          <w:titlePg/>
          <w:docGrid w:linePitch="360"/>
        </w:sectPr>
      </w:pPr>
    </w:p>
    <w:tbl>
      <w:tblPr>
        <w:tblW w:w="879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97"/>
        <w:gridCol w:w="4500"/>
      </w:tblGrid>
      <w:tr w:rsidR="00B01F04" w:rsidRPr="009A2899" w14:paraId="5E20A9B7" w14:textId="77777777" w:rsidTr="009A2899">
        <w:trPr>
          <w:trHeight w:val="150"/>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597EF3A9" w:rsidR="00B01F04" w:rsidRPr="009A2899" w:rsidRDefault="00C21376" w:rsidP="00232DCD">
            <w:pPr>
              <w:jc w:val="center"/>
              <w:rPr>
                <w:rFonts w:ascii="Arial" w:eastAsia="Times New Roman" w:hAnsi="Arial" w:cs="Arial"/>
                <w:b/>
                <w:bCs/>
                <w:szCs w:val="27"/>
                <w:lang w:val="es-ES"/>
              </w:rPr>
            </w:pPr>
            <w:r w:rsidRPr="009A2899">
              <w:rPr>
                <w:rFonts w:ascii="Arial" w:eastAsia="Times New Roman" w:hAnsi="Arial" w:cs="Arial"/>
                <w:b/>
                <w:bCs/>
                <w:szCs w:val="27"/>
                <w:lang w:val="es-ES"/>
              </w:rPr>
              <w:lastRenderedPageBreak/>
              <w:t xml:space="preserve">INFORME DE GESTION AMBIENTAL Y SOCIAL </w:t>
            </w:r>
            <w:r w:rsidR="00232DCD" w:rsidRPr="009A2899">
              <w:rPr>
                <w:rFonts w:ascii="Arial" w:eastAsia="Times New Roman" w:hAnsi="Arial" w:cs="Arial"/>
                <w:b/>
                <w:bCs/>
                <w:szCs w:val="27"/>
                <w:lang w:val="es-ES"/>
              </w:rPr>
              <w:t>(</w:t>
            </w:r>
            <w:r w:rsidR="001C6E58" w:rsidRPr="009A2899">
              <w:rPr>
                <w:rFonts w:ascii="Arial" w:eastAsia="Times New Roman" w:hAnsi="Arial" w:cs="Arial"/>
                <w:b/>
                <w:bCs/>
                <w:szCs w:val="27"/>
                <w:lang w:val="es-ES"/>
              </w:rPr>
              <w:t>IGAS</w:t>
            </w:r>
            <w:r w:rsidR="00232DCD" w:rsidRPr="009A2899">
              <w:rPr>
                <w:rFonts w:ascii="Arial" w:eastAsia="Times New Roman" w:hAnsi="Arial" w:cs="Arial"/>
                <w:b/>
                <w:bCs/>
                <w:szCs w:val="27"/>
                <w:lang w:val="es-ES"/>
              </w:rPr>
              <w:t>)</w:t>
            </w:r>
          </w:p>
        </w:tc>
      </w:tr>
      <w:tr w:rsidR="00C21376" w:rsidRPr="00E17722" w14:paraId="095EE70B" w14:textId="77777777" w:rsidTr="002949FF">
        <w:trPr>
          <w:trHeight w:val="23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C21376" w:rsidRPr="009A2899" w:rsidRDefault="00C21376" w:rsidP="00C21376">
            <w:pPr>
              <w:rPr>
                <w:rFonts w:ascii="Arial" w:eastAsia="Times New Roman" w:hAnsi="Arial" w:cs="Arial"/>
                <w:b/>
                <w:bCs/>
                <w:sz w:val="22"/>
                <w:szCs w:val="22"/>
                <w:lang w:val="es-ES"/>
              </w:rPr>
            </w:pPr>
            <w:r w:rsidRPr="009A2899">
              <w:rPr>
                <w:rFonts w:ascii="Arial" w:eastAsia="Times New Roman" w:hAnsi="Arial" w:cs="Arial"/>
                <w:b/>
                <w:bCs/>
                <w:sz w:val="22"/>
                <w:szCs w:val="22"/>
                <w:lang w:val="es-ES"/>
              </w:rPr>
              <w:t>Nombre de la Operación</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45F1EE" w14:textId="41D8606E" w:rsidR="00C21376" w:rsidRPr="009A2899" w:rsidRDefault="00AD5350" w:rsidP="00844A93">
            <w:pPr>
              <w:rPr>
                <w:rFonts w:ascii="Arial" w:eastAsia="Times New Roman" w:hAnsi="Arial" w:cs="Arial"/>
                <w:sz w:val="22"/>
                <w:szCs w:val="22"/>
                <w:lang w:val="es-ES"/>
              </w:rPr>
            </w:pPr>
            <w:r w:rsidRPr="009A2899">
              <w:rPr>
                <w:rFonts w:ascii="Arial" w:eastAsia="Times New Roman" w:hAnsi="Arial" w:cs="Arial"/>
                <w:sz w:val="22"/>
                <w:szCs w:val="22"/>
                <w:lang w:val="es-ES"/>
              </w:rPr>
              <w:t>Gestión Territorial para el Logro de Resultados de la Agenda de Cambio Climático</w:t>
            </w:r>
          </w:p>
        </w:tc>
      </w:tr>
      <w:tr w:rsidR="00C21376" w:rsidRPr="009A2899" w14:paraId="64E307BE" w14:textId="77777777" w:rsidTr="002949FF">
        <w:trPr>
          <w:trHeight w:val="23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D25196" w14:textId="77777777" w:rsidR="00C21376" w:rsidRPr="009A2899" w:rsidRDefault="00C21376" w:rsidP="00844A93">
            <w:pPr>
              <w:rPr>
                <w:rFonts w:ascii="Arial" w:eastAsia="Times New Roman" w:hAnsi="Arial" w:cs="Arial"/>
                <w:b/>
                <w:bCs/>
                <w:sz w:val="22"/>
                <w:szCs w:val="22"/>
                <w:lang w:val="es-ES"/>
              </w:rPr>
            </w:pPr>
            <w:r w:rsidRPr="009A2899">
              <w:rPr>
                <w:rFonts w:ascii="Arial" w:eastAsia="Times New Roman" w:hAnsi="Arial" w:cs="Arial"/>
                <w:b/>
                <w:bCs/>
                <w:sz w:val="22"/>
                <w:szCs w:val="22"/>
                <w:lang w:val="es-ES"/>
              </w:rPr>
              <w:t>Número de la Operación</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5CDC3651" w:rsidR="00C21376" w:rsidRPr="009A2899" w:rsidRDefault="00992568" w:rsidP="00844A93">
            <w:pPr>
              <w:rPr>
                <w:rFonts w:ascii="Arial" w:eastAsia="Times New Roman" w:hAnsi="Arial" w:cs="Arial"/>
                <w:sz w:val="22"/>
                <w:szCs w:val="22"/>
                <w:lang w:val="es-ES"/>
              </w:rPr>
            </w:pPr>
            <w:r w:rsidRPr="009A2899">
              <w:rPr>
                <w:rFonts w:ascii="Arial" w:eastAsia="Times New Roman" w:hAnsi="Arial" w:cs="Arial"/>
                <w:sz w:val="22"/>
                <w:szCs w:val="22"/>
                <w:lang w:val="es-ES"/>
              </w:rPr>
              <w:t>ME-L1268</w:t>
            </w:r>
          </w:p>
        </w:tc>
      </w:tr>
      <w:tr w:rsidR="00C21376" w:rsidRPr="009A2899" w14:paraId="291E1E0F" w14:textId="77777777" w:rsidTr="009A2899">
        <w:trPr>
          <w:trHeight w:val="357"/>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74ACED72" w14:textId="09A968CC" w:rsidR="00C21376" w:rsidRPr="009A2899" w:rsidRDefault="00C21376" w:rsidP="009A2899">
            <w:pPr>
              <w:pStyle w:val="ListParagraph"/>
              <w:numPr>
                <w:ilvl w:val="0"/>
                <w:numId w:val="16"/>
              </w:numPr>
              <w:ind w:left="410"/>
              <w:rPr>
                <w:rFonts w:ascii="Arial" w:eastAsia="Times New Roman" w:hAnsi="Arial" w:cs="Arial"/>
                <w:szCs w:val="20"/>
                <w:lang w:val="es-ES"/>
              </w:rPr>
            </w:pPr>
            <w:r w:rsidRPr="009A2899">
              <w:rPr>
                <w:rFonts w:ascii="Arial" w:eastAsia="Times New Roman" w:hAnsi="Arial" w:cs="Arial"/>
                <w:b/>
                <w:bCs/>
                <w:szCs w:val="27"/>
                <w:lang w:val="es-ES"/>
              </w:rPr>
              <w:t>Detalles de la Operación</w:t>
            </w:r>
          </w:p>
        </w:tc>
      </w:tr>
      <w:tr w:rsidR="00C21376" w:rsidRPr="00BF16C9" w14:paraId="10152BA9" w14:textId="77777777" w:rsidTr="002949FF">
        <w:trPr>
          <w:trHeight w:val="23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6CC1BBB0" w:rsidR="00C21376" w:rsidRPr="00BF16C9" w:rsidRDefault="0038191A" w:rsidP="00844A93">
            <w:pPr>
              <w:rPr>
                <w:rFonts w:ascii="Arial" w:eastAsia="Times New Roman" w:hAnsi="Arial" w:cs="Arial"/>
                <w:sz w:val="20"/>
                <w:szCs w:val="20"/>
                <w:lang w:val="es-ES"/>
              </w:rPr>
            </w:pPr>
            <w:r>
              <w:rPr>
                <w:rFonts w:ascii="Arial" w:eastAsia="Times New Roman" w:hAnsi="Arial" w:cs="Arial"/>
                <w:sz w:val="20"/>
                <w:szCs w:val="20"/>
                <w:lang w:val="es-ES"/>
              </w:rPr>
              <w:t>Cambio Climático (CCS</w:t>
            </w:r>
            <w:r w:rsidR="006026B5">
              <w:rPr>
                <w:rFonts w:ascii="Arial" w:eastAsia="Times New Roman" w:hAnsi="Arial" w:cs="Arial"/>
                <w:sz w:val="20"/>
                <w:szCs w:val="20"/>
                <w:lang w:val="es-ES"/>
              </w:rPr>
              <w:t>)</w:t>
            </w:r>
          </w:p>
        </w:tc>
      </w:tr>
      <w:tr w:rsidR="00C21376" w:rsidRPr="00E17722" w14:paraId="259E995B" w14:textId="77777777" w:rsidTr="002949FF">
        <w:trPr>
          <w:trHeight w:val="23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C21376" w:rsidRPr="00BF16C9" w:rsidRDefault="00C21376" w:rsidP="001D3040">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72E711B1" w14:textId="5AAD4A4A" w:rsidR="00C21376" w:rsidRPr="00BF16C9" w:rsidRDefault="0038191A" w:rsidP="00844A93">
            <w:pPr>
              <w:rPr>
                <w:rFonts w:ascii="Arial" w:eastAsia="Times New Roman" w:hAnsi="Arial" w:cs="Arial"/>
                <w:sz w:val="20"/>
                <w:szCs w:val="20"/>
                <w:lang w:val="es-ES"/>
              </w:rPr>
            </w:pPr>
            <w:r>
              <w:rPr>
                <w:rFonts w:ascii="Arial" w:eastAsia="Times New Roman" w:hAnsi="Arial" w:cs="Arial"/>
                <w:sz w:val="20"/>
                <w:szCs w:val="20"/>
                <w:lang w:val="es-ES"/>
              </w:rPr>
              <w:t>PBR (Préstamo Basado en Resultados</w:t>
            </w:r>
            <w:r w:rsidR="006026B5">
              <w:rPr>
                <w:rFonts w:ascii="Arial" w:eastAsia="Times New Roman" w:hAnsi="Arial" w:cs="Arial"/>
                <w:sz w:val="20"/>
                <w:szCs w:val="20"/>
                <w:lang w:val="es-ES"/>
              </w:rPr>
              <w:t>)</w:t>
            </w:r>
          </w:p>
        </w:tc>
      </w:tr>
      <w:tr w:rsidR="00C21376" w:rsidRPr="00BF16C9" w14:paraId="6B5A0222" w14:textId="77777777" w:rsidTr="002949FF">
        <w:trPr>
          <w:trHeight w:val="21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6DFAD2" w14:textId="3A1A41D2"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3C1E10" w14:textId="6E4F3604" w:rsidR="00C21376" w:rsidRPr="00BF16C9" w:rsidRDefault="0038191A" w:rsidP="00844A93">
            <w:pPr>
              <w:rPr>
                <w:rFonts w:ascii="Arial" w:eastAsia="Times New Roman" w:hAnsi="Arial" w:cs="Arial"/>
                <w:sz w:val="20"/>
                <w:szCs w:val="20"/>
                <w:lang w:val="es-ES"/>
              </w:rPr>
            </w:pPr>
            <w:r>
              <w:rPr>
                <w:rFonts w:ascii="Arial" w:eastAsia="Times New Roman" w:hAnsi="Arial" w:cs="Arial"/>
                <w:sz w:val="20"/>
                <w:szCs w:val="20"/>
                <w:lang w:val="es-ES"/>
              </w:rPr>
              <w:t>B13</w:t>
            </w:r>
          </w:p>
        </w:tc>
      </w:tr>
      <w:tr w:rsidR="00992568" w:rsidRPr="00992568" w14:paraId="2EA770BD" w14:textId="77777777" w:rsidTr="002949FF">
        <w:trPr>
          <w:trHeight w:val="21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D943D3C" w14:textId="4ACAB811" w:rsidR="00992568" w:rsidRPr="00BF16C9" w:rsidRDefault="00992568" w:rsidP="009A2899">
            <w:pPr>
              <w:ind w:right="-86"/>
              <w:rPr>
                <w:rFonts w:ascii="Arial" w:eastAsia="Times New Roman" w:hAnsi="Arial" w:cs="Arial"/>
                <w:b/>
                <w:bCs/>
                <w:sz w:val="22"/>
                <w:szCs w:val="22"/>
                <w:lang w:val="es-ES"/>
              </w:rPr>
            </w:pPr>
            <w:r>
              <w:rPr>
                <w:rFonts w:ascii="Arial" w:eastAsia="Times New Roman" w:hAnsi="Arial" w:cs="Arial"/>
                <w:b/>
                <w:bCs/>
                <w:sz w:val="22"/>
                <w:szCs w:val="22"/>
                <w:lang w:val="es-ES"/>
              </w:rPr>
              <w:t>Indicador de Riesgo Ambiental y Social</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FE08E0" w14:textId="68EB2B21" w:rsidR="00992568" w:rsidRDefault="00992568" w:rsidP="00844A93">
            <w:pPr>
              <w:rPr>
                <w:rFonts w:ascii="Arial" w:eastAsia="Times New Roman" w:hAnsi="Arial" w:cs="Arial"/>
                <w:sz w:val="20"/>
                <w:szCs w:val="20"/>
                <w:lang w:val="es-ES"/>
              </w:rPr>
            </w:pPr>
            <w:r>
              <w:rPr>
                <w:rFonts w:ascii="Arial" w:eastAsia="Times New Roman" w:hAnsi="Arial" w:cs="Arial"/>
                <w:sz w:val="20"/>
                <w:szCs w:val="20"/>
                <w:lang w:val="es-ES"/>
              </w:rPr>
              <w:t>Bajo</w:t>
            </w:r>
          </w:p>
        </w:tc>
      </w:tr>
      <w:tr w:rsidR="00C21376" w:rsidRPr="006026B5" w14:paraId="1DB2EFD4" w14:textId="77777777" w:rsidTr="002949FF">
        <w:trPr>
          <w:trHeight w:val="21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710C6A3" w14:textId="4CC7DE2E" w:rsidR="00C21376" w:rsidRPr="00BF16C9" w:rsidDel="007813EB"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Indicadores de</w:t>
            </w:r>
            <w:r w:rsidR="00A872A5">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9A157D2" w14:textId="3F9B0074" w:rsidR="00C21376" w:rsidRPr="00BF16C9" w:rsidRDefault="00992568" w:rsidP="00844A93">
            <w:pPr>
              <w:rPr>
                <w:rFonts w:ascii="Arial" w:eastAsia="Times New Roman" w:hAnsi="Arial" w:cs="Arial"/>
                <w:sz w:val="20"/>
                <w:szCs w:val="20"/>
                <w:lang w:val="es-ES"/>
              </w:rPr>
            </w:pPr>
            <w:r>
              <w:rPr>
                <w:rFonts w:ascii="Arial" w:eastAsia="Times New Roman" w:hAnsi="Arial" w:cs="Arial"/>
                <w:sz w:val="20"/>
                <w:szCs w:val="20"/>
                <w:lang w:val="es-ES"/>
              </w:rPr>
              <w:t>Moderado</w:t>
            </w:r>
          </w:p>
        </w:tc>
      </w:tr>
      <w:tr w:rsidR="00C21376" w:rsidRPr="0038191A" w14:paraId="28DBEC9F" w14:textId="77777777" w:rsidTr="002949FF">
        <w:trPr>
          <w:trHeight w:val="21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A75800"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1F34D1DE" w:rsidR="00C21376" w:rsidRPr="0038191A" w:rsidRDefault="0038191A" w:rsidP="00844A93">
            <w:pPr>
              <w:rPr>
                <w:rFonts w:ascii="Arial" w:eastAsia="Times New Roman" w:hAnsi="Arial" w:cs="Arial"/>
                <w:sz w:val="20"/>
                <w:szCs w:val="20"/>
                <w:lang w:val="es-ES"/>
              </w:rPr>
            </w:pPr>
            <w:r>
              <w:rPr>
                <w:rFonts w:ascii="Arial" w:eastAsia="Times New Roman" w:hAnsi="Arial" w:cs="Arial"/>
                <w:sz w:val="20"/>
                <w:szCs w:val="20"/>
                <w:lang w:val="es-ES"/>
              </w:rPr>
              <w:t>Estados Unidos Mexicanos</w:t>
            </w:r>
          </w:p>
        </w:tc>
      </w:tr>
      <w:tr w:rsidR="00C21376" w:rsidRPr="00E17722" w14:paraId="4353563B" w14:textId="77777777" w:rsidTr="002949FF">
        <w:trPr>
          <w:trHeight w:val="21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1156CC" w14:textId="77777777" w:rsidR="00C21376" w:rsidRPr="00BF16C9" w:rsidRDefault="00C21376" w:rsidP="00844A93">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0A0B99FB" w:rsidR="00C21376" w:rsidRPr="000C5860" w:rsidRDefault="0038191A" w:rsidP="00844A93">
            <w:pPr>
              <w:rPr>
                <w:rFonts w:ascii="Arial" w:eastAsia="Times New Roman" w:hAnsi="Arial" w:cs="Arial"/>
                <w:sz w:val="20"/>
                <w:szCs w:val="20"/>
                <w:lang w:val="es-ES"/>
              </w:rPr>
            </w:pPr>
            <w:r w:rsidRPr="000C5860">
              <w:rPr>
                <w:rFonts w:ascii="Arial" w:hAnsi="Arial" w:cs="Arial"/>
                <w:sz w:val="20"/>
                <w:szCs w:val="20"/>
                <w:lang w:val="es-ES_tradnl"/>
              </w:rPr>
              <w:t>Secretaría de Medio Ambiente y Recursos Naturales (SEMARNAT)</w:t>
            </w:r>
            <w:r w:rsidR="000C5860" w:rsidRPr="000C5860">
              <w:rPr>
                <w:rFonts w:ascii="Arial" w:hAnsi="Arial" w:cs="Arial"/>
                <w:sz w:val="20"/>
                <w:szCs w:val="20"/>
                <w:lang w:val="es-ES_tradnl"/>
              </w:rPr>
              <w:t xml:space="preserve">, </w:t>
            </w:r>
            <w:r w:rsidR="000C5860" w:rsidRPr="000C5860">
              <w:rPr>
                <w:rFonts w:ascii="Arial" w:eastAsia="Arial Unicode MS" w:hAnsi="Arial" w:cs="Arial"/>
                <w:sz w:val="20"/>
                <w:szCs w:val="20"/>
                <w:lang w:val="es-ES"/>
              </w:rPr>
              <w:t>con la participación de la Comisión Nacional Forestal (CONAFOR) y la Comisió</w:t>
            </w:r>
            <w:r w:rsidR="007670D3">
              <w:rPr>
                <w:rFonts w:ascii="Arial" w:eastAsia="Arial Unicode MS" w:hAnsi="Arial" w:cs="Arial"/>
                <w:sz w:val="20"/>
                <w:szCs w:val="20"/>
                <w:lang w:val="es-ES"/>
              </w:rPr>
              <w:t>n Nacional de Vivienda (CONAVI)</w:t>
            </w:r>
          </w:p>
        </w:tc>
      </w:tr>
      <w:tr w:rsidR="00C21376" w:rsidRPr="00E17722" w14:paraId="2FFD0AFE" w14:textId="77777777" w:rsidTr="002949FF">
        <w:trPr>
          <w:trHeight w:val="23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F1FF8DC" w14:textId="77777777" w:rsidR="00C21376" w:rsidRPr="00BF16C9" w:rsidRDefault="00C21376" w:rsidP="00C21376">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C53F169" w14:textId="69D023D7" w:rsidR="00C21376" w:rsidRDefault="006026B5" w:rsidP="00844A93">
            <w:pPr>
              <w:rPr>
                <w:rFonts w:ascii="Arial" w:eastAsia="Times New Roman" w:hAnsi="Arial" w:cs="Arial"/>
                <w:sz w:val="20"/>
                <w:szCs w:val="20"/>
                <w:lang w:val="es-ES"/>
              </w:rPr>
            </w:pPr>
            <w:r>
              <w:rPr>
                <w:rFonts w:ascii="Arial" w:eastAsia="Times New Roman" w:hAnsi="Arial" w:cs="Arial"/>
                <w:sz w:val="20"/>
                <w:szCs w:val="20"/>
                <w:lang w:val="es-ES"/>
              </w:rPr>
              <w:t xml:space="preserve">BID: </w:t>
            </w:r>
            <w:r w:rsidR="00AD5350">
              <w:rPr>
                <w:rFonts w:ascii="Arial" w:eastAsia="Times New Roman" w:hAnsi="Arial" w:cs="Arial"/>
                <w:sz w:val="20"/>
                <w:szCs w:val="20"/>
                <w:lang w:val="es-ES"/>
              </w:rPr>
              <w:t xml:space="preserve">Hasta </w:t>
            </w:r>
            <w:r w:rsidR="00E17722">
              <w:rPr>
                <w:rFonts w:ascii="Arial" w:eastAsia="Times New Roman" w:hAnsi="Arial" w:cs="Arial"/>
                <w:sz w:val="20"/>
                <w:szCs w:val="20"/>
                <w:lang w:val="es-ES"/>
              </w:rPr>
              <w:t>US$ 600</w:t>
            </w:r>
            <w:r w:rsidR="0045003A">
              <w:rPr>
                <w:rFonts w:ascii="Arial" w:eastAsia="Times New Roman" w:hAnsi="Arial" w:cs="Arial"/>
                <w:sz w:val="20"/>
                <w:szCs w:val="20"/>
                <w:lang w:val="es-ES"/>
              </w:rPr>
              <w:t>.0</w:t>
            </w:r>
            <w:r>
              <w:rPr>
                <w:rFonts w:ascii="Arial" w:eastAsia="Times New Roman" w:hAnsi="Arial" w:cs="Arial"/>
                <w:sz w:val="20"/>
                <w:szCs w:val="20"/>
                <w:lang w:val="es-ES"/>
              </w:rPr>
              <w:t>00.000</w:t>
            </w:r>
          </w:p>
          <w:p w14:paraId="389B118C" w14:textId="139EE2D2" w:rsidR="006026B5" w:rsidRPr="00BF16C9" w:rsidRDefault="000C5860" w:rsidP="00844A93">
            <w:pPr>
              <w:rPr>
                <w:rFonts w:ascii="Arial" w:eastAsia="Times New Roman" w:hAnsi="Arial" w:cs="Arial"/>
                <w:sz w:val="20"/>
                <w:szCs w:val="20"/>
                <w:lang w:val="es-ES"/>
              </w:rPr>
            </w:pPr>
            <w:r>
              <w:rPr>
                <w:rFonts w:ascii="Arial" w:eastAsia="Times New Roman" w:hAnsi="Arial" w:cs="Arial"/>
                <w:sz w:val="20"/>
                <w:szCs w:val="20"/>
                <w:lang w:val="es-ES"/>
              </w:rPr>
              <w:t>Total del Proyecto: US$ 60</w:t>
            </w:r>
            <w:r w:rsidR="00E17722">
              <w:rPr>
                <w:rFonts w:ascii="Arial" w:eastAsia="Times New Roman" w:hAnsi="Arial" w:cs="Arial"/>
                <w:sz w:val="20"/>
                <w:szCs w:val="20"/>
                <w:lang w:val="es-ES"/>
              </w:rPr>
              <w:t>0</w:t>
            </w:r>
            <w:r w:rsidR="006026B5">
              <w:rPr>
                <w:rFonts w:ascii="Arial" w:eastAsia="Times New Roman" w:hAnsi="Arial" w:cs="Arial"/>
                <w:sz w:val="20"/>
                <w:szCs w:val="20"/>
                <w:lang w:val="es-ES"/>
              </w:rPr>
              <w:t>.000.000</w:t>
            </w:r>
          </w:p>
        </w:tc>
      </w:tr>
      <w:tr w:rsidR="0045003A" w:rsidRPr="00BF16C9" w14:paraId="52F1F53D" w14:textId="77777777" w:rsidTr="002949FF">
        <w:trPr>
          <w:trHeight w:val="236"/>
        </w:trPr>
        <w:tc>
          <w:tcPr>
            <w:tcW w:w="429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99B71AA" w14:textId="71D7C3E0" w:rsidR="0045003A" w:rsidRPr="00BF16C9" w:rsidRDefault="0045003A" w:rsidP="0045003A">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45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6453DB" w14:textId="2F27014B" w:rsidR="0045003A" w:rsidRPr="006026B5" w:rsidRDefault="0045003A" w:rsidP="0045003A">
            <w:pPr>
              <w:rPr>
                <w:rFonts w:ascii="Arial" w:eastAsia="Times New Roman" w:hAnsi="Arial" w:cs="Arial"/>
                <w:sz w:val="20"/>
                <w:szCs w:val="20"/>
              </w:rPr>
            </w:pPr>
            <w:r w:rsidRPr="00BF052A">
              <w:rPr>
                <w:rFonts w:ascii="Arial" w:hAnsi="Arial" w:cs="Arial"/>
                <w:i/>
                <w:sz w:val="22"/>
                <w:szCs w:val="22"/>
              </w:rPr>
              <w:t xml:space="preserve">OP-102; </w:t>
            </w:r>
            <w:r>
              <w:rPr>
                <w:rFonts w:ascii="Arial" w:hAnsi="Arial" w:cs="Arial"/>
                <w:i/>
                <w:sz w:val="22"/>
                <w:szCs w:val="22"/>
              </w:rPr>
              <w:t>OP-704</w:t>
            </w:r>
            <w:r w:rsidRPr="00BF052A">
              <w:rPr>
                <w:rFonts w:ascii="Arial" w:hAnsi="Arial" w:cs="Arial"/>
                <w:i/>
                <w:sz w:val="22"/>
                <w:szCs w:val="22"/>
              </w:rPr>
              <w:t xml:space="preserve">; </w:t>
            </w:r>
            <w:r>
              <w:rPr>
                <w:rFonts w:ascii="Arial" w:hAnsi="Arial" w:cs="Arial"/>
                <w:i/>
                <w:sz w:val="22"/>
                <w:szCs w:val="22"/>
              </w:rPr>
              <w:t xml:space="preserve">OP-761; </w:t>
            </w:r>
            <w:r w:rsidRPr="00BF052A">
              <w:rPr>
                <w:rFonts w:ascii="Arial" w:hAnsi="Arial" w:cs="Arial"/>
                <w:i/>
                <w:sz w:val="22"/>
                <w:szCs w:val="22"/>
              </w:rPr>
              <w:t xml:space="preserve">OP-703 (B.1, B.2, B.3, B.4; B.5; B.6; B.7; </w:t>
            </w:r>
            <w:r>
              <w:rPr>
                <w:rFonts w:ascii="Arial" w:hAnsi="Arial" w:cs="Arial"/>
                <w:i/>
                <w:sz w:val="22"/>
                <w:szCs w:val="22"/>
              </w:rPr>
              <w:t xml:space="preserve">B.9; </w:t>
            </w:r>
            <w:r w:rsidRPr="00BF052A">
              <w:rPr>
                <w:rFonts w:ascii="Arial" w:hAnsi="Arial" w:cs="Arial"/>
                <w:i/>
                <w:sz w:val="22"/>
                <w:szCs w:val="22"/>
              </w:rPr>
              <w:t xml:space="preserve">B.13; </w:t>
            </w:r>
            <w:r>
              <w:rPr>
                <w:rFonts w:ascii="Arial" w:hAnsi="Arial" w:cs="Arial"/>
                <w:i/>
                <w:sz w:val="22"/>
                <w:szCs w:val="22"/>
              </w:rPr>
              <w:t>B.16</w:t>
            </w:r>
            <w:r w:rsidRPr="00BF052A">
              <w:rPr>
                <w:rFonts w:ascii="Arial" w:hAnsi="Arial" w:cs="Arial"/>
                <w:i/>
                <w:sz w:val="22"/>
                <w:szCs w:val="22"/>
              </w:rPr>
              <w:t>)</w:t>
            </w:r>
          </w:p>
        </w:tc>
      </w:tr>
      <w:tr w:rsidR="0045003A" w:rsidRPr="009A2899" w14:paraId="68127C07" w14:textId="77777777" w:rsidTr="009A2899">
        <w:trPr>
          <w:trHeight w:val="411"/>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197966E1" w:rsidR="0045003A" w:rsidRPr="009A2899" w:rsidRDefault="0045003A" w:rsidP="009A2899">
            <w:pPr>
              <w:pStyle w:val="ListParagraph"/>
              <w:numPr>
                <w:ilvl w:val="0"/>
                <w:numId w:val="16"/>
              </w:numPr>
              <w:ind w:left="500"/>
              <w:rPr>
                <w:rFonts w:ascii="Arial" w:eastAsia="Times New Roman" w:hAnsi="Arial" w:cs="Arial"/>
                <w:b/>
                <w:bCs/>
                <w:szCs w:val="27"/>
                <w:lang w:val="es-ES"/>
              </w:rPr>
            </w:pPr>
            <w:r w:rsidRPr="009A2899">
              <w:rPr>
                <w:rFonts w:ascii="Arial" w:eastAsia="Times New Roman" w:hAnsi="Arial" w:cs="Arial"/>
                <w:b/>
                <w:bCs/>
                <w:szCs w:val="27"/>
                <w:lang w:val="es-ES"/>
              </w:rPr>
              <w:t>Descripción de la Operación</w:t>
            </w:r>
          </w:p>
        </w:tc>
      </w:tr>
      <w:tr w:rsidR="0045003A" w:rsidRPr="00E17722" w14:paraId="6F4662C5"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99A09FE" w14:textId="2E420F43" w:rsidR="00AA2E8B" w:rsidRPr="00086A4E" w:rsidRDefault="0045003A" w:rsidP="00F55316">
            <w:pPr>
              <w:jc w:val="both"/>
              <w:rPr>
                <w:rFonts w:ascii="Arial" w:hAnsi="Arial" w:cs="Arial"/>
                <w:sz w:val="22"/>
                <w:szCs w:val="22"/>
                <w:lang w:val="es-ES_tradnl"/>
              </w:rPr>
            </w:pPr>
            <w:r w:rsidRPr="00086A4E">
              <w:rPr>
                <w:rFonts w:ascii="Arial" w:hAnsi="Arial" w:cs="Arial"/>
                <w:sz w:val="22"/>
                <w:szCs w:val="22"/>
                <w:lang w:val="es-ES_tradnl"/>
              </w:rPr>
              <w:t xml:space="preserve">El objetivo de esta operación de tipo PBR (Préstamo Basado en Resultados) es </w:t>
            </w:r>
            <w:r w:rsidR="00992568" w:rsidRPr="00086A4E">
              <w:rPr>
                <w:rFonts w:ascii="Arial" w:hAnsi="Arial" w:cs="Arial"/>
                <w:sz w:val="22"/>
                <w:szCs w:val="22"/>
                <w:lang w:val="es-ES_tradnl"/>
              </w:rPr>
              <w:t xml:space="preserve">apoyar al Gobierno de los Estados Unidos Mexicanos (GdM) </w:t>
            </w:r>
            <w:r w:rsidR="00AD5350" w:rsidRPr="00086A4E">
              <w:rPr>
                <w:rFonts w:ascii="Arial" w:hAnsi="Arial" w:cs="Arial"/>
                <w:sz w:val="22"/>
                <w:szCs w:val="22"/>
                <w:lang w:val="es-ES_tradnl"/>
              </w:rPr>
              <w:t>en la mejora de la gestión territorial para la reducción de emisiones y vulnerabilidad ante el Cambio Climático (CC)</w:t>
            </w:r>
            <w:r w:rsidR="00AA2E8B" w:rsidRPr="00086A4E">
              <w:rPr>
                <w:rFonts w:ascii="Arial" w:hAnsi="Arial" w:cs="Arial"/>
                <w:sz w:val="22"/>
                <w:szCs w:val="22"/>
                <w:lang w:val="es-ES_tradnl"/>
              </w:rPr>
              <w:t xml:space="preserve">. </w:t>
            </w:r>
            <w:r w:rsidR="00F55316" w:rsidRPr="00086A4E">
              <w:rPr>
                <w:rFonts w:ascii="Arial" w:hAnsi="Arial" w:cs="Arial"/>
                <w:bCs/>
                <w:sz w:val="22"/>
                <w:szCs w:val="22"/>
                <w:lang w:val="es-ES_tradnl"/>
              </w:rPr>
              <w:t xml:space="preserve">Una gestión efectiva del territorio es clave en un país con las dimensiones de México para superar los principales desafíos de la agenda de CC, en tanto que puede contribuir al logro de los objetivos de mitigación, disminuir la vulnerabilidad de comunidades, ecosistemas e infraestructuras y hacer más eficiente el gasto público. </w:t>
            </w:r>
            <w:r w:rsidR="00AA2E8B" w:rsidRPr="00086A4E">
              <w:rPr>
                <w:rFonts w:ascii="Arial" w:hAnsi="Arial" w:cs="Arial"/>
                <w:sz w:val="22"/>
                <w:szCs w:val="22"/>
                <w:lang w:val="es-ES_tradnl"/>
              </w:rPr>
              <w:t xml:space="preserve">El Ejecutor será </w:t>
            </w:r>
            <w:r w:rsidRPr="00086A4E">
              <w:rPr>
                <w:rFonts w:ascii="Arial" w:hAnsi="Arial" w:cs="Arial"/>
                <w:sz w:val="22"/>
                <w:szCs w:val="22"/>
                <w:lang w:val="es-ES_tradnl"/>
              </w:rPr>
              <w:t>la Secretaría de Medio Ambiente y Recursos Naturales (SEMARNAT)</w:t>
            </w:r>
            <w:r w:rsidR="004A671F" w:rsidRPr="00086A4E">
              <w:rPr>
                <w:rFonts w:ascii="Arial" w:hAnsi="Arial" w:cs="Arial"/>
                <w:sz w:val="22"/>
                <w:szCs w:val="22"/>
                <w:lang w:val="es-ES_tradnl"/>
              </w:rPr>
              <w:t xml:space="preserve">, </w:t>
            </w:r>
            <w:r w:rsidR="004A671F" w:rsidRPr="00086A4E">
              <w:rPr>
                <w:rFonts w:ascii="Arial" w:eastAsia="Arial Unicode MS" w:hAnsi="Arial" w:cs="Arial"/>
                <w:noProof/>
                <w:sz w:val="22"/>
                <w:szCs w:val="22"/>
                <w:lang w:val="es-ES"/>
              </w:rPr>
              <w:t>con la participación de la Comisión Nacional Forestal (CONAFOR) y la Comisión Nacional de Vivienda (CONAVI) como agencias implementadoras de acciones prioritarias de cambio climático.</w:t>
            </w:r>
            <w:r w:rsidR="004A671F" w:rsidRPr="00086A4E">
              <w:rPr>
                <w:rFonts w:ascii="Arial" w:hAnsi="Arial" w:cs="Arial"/>
                <w:sz w:val="22"/>
                <w:szCs w:val="22"/>
                <w:lang w:val="es-ES_tradnl"/>
              </w:rPr>
              <w:t xml:space="preserve"> E</w:t>
            </w:r>
            <w:r w:rsidR="00AD5350" w:rsidRPr="00086A4E">
              <w:rPr>
                <w:rFonts w:ascii="Arial" w:hAnsi="Arial" w:cs="Arial"/>
                <w:sz w:val="22"/>
                <w:szCs w:val="22"/>
                <w:lang w:val="es-ES_tradnl"/>
              </w:rPr>
              <w:t>l proyecto tendrá tre</w:t>
            </w:r>
            <w:r w:rsidR="00AA2E8B" w:rsidRPr="00086A4E">
              <w:rPr>
                <w:rFonts w:ascii="Arial" w:hAnsi="Arial" w:cs="Arial"/>
                <w:sz w:val="22"/>
                <w:szCs w:val="22"/>
                <w:lang w:val="es-ES_tradnl"/>
              </w:rPr>
              <w:t>s componentes:</w:t>
            </w:r>
          </w:p>
          <w:p w14:paraId="3BC9659F" w14:textId="00058BFB" w:rsidR="00AA2E8B" w:rsidRPr="00086A4E" w:rsidRDefault="00AA2E8B" w:rsidP="00AA2E8B">
            <w:pPr>
              <w:pStyle w:val="Paragraph"/>
              <w:rPr>
                <w:rFonts w:cs="Arial"/>
                <w:szCs w:val="22"/>
              </w:rPr>
            </w:pPr>
            <w:r w:rsidRPr="00086A4E">
              <w:rPr>
                <w:rFonts w:cs="Arial"/>
                <w:b/>
                <w:szCs w:val="22"/>
              </w:rPr>
              <w:t xml:space="preserve">Componente 1. </w:t>
            </w:r>
            <w:r w:rsidR="00AD5350" w:rsidRPr="00086A4E">
              <w:rPr>
                <w:rFonts w:cs="Arial"/>
                <w:b/>
                <w:szCs w:val="22"/>
              </w:rPr>
              <w:t xml:space="preserve">Gestión territorial en el sector vivienda. </w:t>
            </w:r>
            <w:r w:rsidR="00AD5350" w:rsidRPr="00086A4E">
              <w:rPr>
                <w:rFonts w:cs="Arial"/>
                <w:szCs w:val="22"/>
              </w:rPr>
              <w:t xml:space="preserve">Este componente busca </w:t>
            </w:r>
            <w:r w:rsidR="000C5860" w:rsidRPr="004E3598">
              <w:rPr>
                <w:lang w:val="es-MX"/>
              </w:rPr>
              <w:t>incentivar que el crecimiento poblacional esté directamente relacionado con un incremento en la densidad de las ciudades donde ocurre</w:t>
            </w:r>
            <w:r w:rsidR="000C5860">
              <w:rPr>
                <w:rFonts w:cs="Arial"/>
                <w:szCs w:val="22"/>
                <w:lang w:val="es-MX"/>
              </w:rPr>
              <w:t>,</w:t>
            </w:r>
            <w:r w:rsidR="000C5860" w:rsidRPr="004E3598">
              <w:rPr>
                <w:lang w:val="es-MX"/>
              </w:rPr>
              <w:t xml:space="preserve"> reduciendo así </w:t>
            </w:r>
            <w:r w:rsidR="000C5860">
              <w:rPr>
                <w:rFonts w:cs="Arial"/>
                <w:szCs w:val="22"/>
                <w:lang w:val="es-MX"/>
              </w:rPr>
              <w:t xml:space="preserve">las </w:t>
            </w:r>
            <w:r w:rsidR="000C5860" w:rsidRPr="004E3598">
              <w:rPr>
                <w:lang w:val="es-MX"/>
              </w:rPr>
              <w:t>emisiones</w:t>
            </w:r>
            <w:r w:rsidR="000C5860">
              <w:rPr>
                <w:rFonts w:cs="Arial"/>
                <w:szCs w:val="22"/>
                <w:lang w:val="es-MX"/>
              </w:rPr>
              <w:t>. El aumento en</w:t>
            </w:r>
            <w:r w:rsidR="000C5860" w:rsidRPr="00F53A77">
              <w:rPr>
                <w:lang w:val="es-MX"/>
              </w:rPr>
              <w:t xml:space="preserve"> </w:t>
            </w:r>
            <w:r w:rsidR="000C5860" w:rsidRPr="00C860C2">
              <w:t>el número de subsidios de vivienda en áreas centrales</w:t>
            </w:r>
            <w:r w:rsidR="000C5860">
              <w:rPr>
                <w:rFonts w:cs="Arial"/>
                <w:szCs w:val="22"/>
              </w:rPr>
              <w:t xml:space="preserve"> es el</w:t>
            </w:r>
            <w:r w:rsidR="000C5860">
              <w:t xml:space="preserve"> </w:t>
            </w:r>
            <w:r w:rsidR="000C5860" w:rsidRPr="00C860C2">
              <w:t>resultado intermedio. Para medir esto se utilizará</w:t>
            </w:r>
            <w:r w:rsidR="000C5860">
              <w:t>n</w:t>
            </w:r>
            <w:r w:rsidR="000C5860" w:rsidRPr="00C860C2">
              <w:t xml:space="preserve"> como indicador</w:t>
            </w:r>
            <w:r w:rsidR="000C5860">
              <w:t>es</w:t>
            </w:r>
            <w:r w:rsidR="000C5860" w:rsidRPr="00C860C2">
              <w:t xml:space="preserve"> el número de subsidios de vivienda nueva y usada</w:t>
            </w:r>
            <w:r w:rsidR="000C5860">
              <w:t>,</w:t>
            </w:r>
            <w:r w:rsidR="000C5860" w:rsidRPr="00C860C2">
              <w:t xml:space="preserve"> y </w:t>
            </w:r>
            <w:r w:rsidR="000C5860">
              <w:t xml:space="preserve">el número </w:t>
            </w:r>
            <w:r w:rsidR="000C5860" w:rsidRPr="00C860C2">
              <w:t>de subsidios de adquisición de lotes con servicios que se locali</w:t>
            </w:r>
            <w:r w:rsidR="000C5860">
              <w:t>cen en los perímetros U1 (intra</w:t>
            </w:r>
            <w:r w:rsidR="000C5860">
              <w:noBreakHyphen/>
            </w:r>
            <w:r w:rsidR="000C5860" w:rsidRPr="00C860C2">
              <w:t>urbano) y U2 (primer contorno)</w:t>
            </w:r>
            <w:r w:rsidR="000C5860" w:rsidRPr="009E7E69">
              <w:rPr>
                <w:vertAlign w:val="superscript"/>
              </w:rPr>
              <w:footnoteReference w:id="1"/>
            </w:r>
            <w:r w:rsidR="000C5860" w:rsidRPr="00C860C2">
              <w:t>.</w:t>
            </w:r>
            <w:r w:rsidR="00AD5350" w:rsidRPr="00086A4E">
              <w:rPr>
                <w:rFonts w:cs="Arial"/>
                <w:szCs w:val="22"/>
              </w:rPr>
              <w:t>. El PBR apoyará a</w:t>
            </w:r>
            <w:r w:rsidR="004A671F" w:rsidRPr="00086A4E">
              <w:rPr>
                <w:rFonts w:cs="Arial"/>
                <w:szCs w:val="22"/>
              </w:rPr>
              <w:t xml:space="preserve"> la </w:t>
            </w:r>
            <w:r w:rsidR="00AD5350" w:rsidRPr="00086A4E">
              <w:rPr>
                <w:rFonts w:cs="Arial"/>
                <w:szCs w:val="22"/>
              </w:rPr>
              <w:t xml:space="preserve">CONAVI a fortalecer un esquema de incentivos que premie la aplicación de subsidios en áreas centrales. Este resultado busca disminuir el crecimiento de las </w:t>
            </w:r>
            <w:r w:rsidR="00AD5350" w:rsidRPr="00086A4E">
              <w:rPr>
                <w:rFonts w:cs="Arial"/>
                <w:szCs w:val="22"/>
              </w:rPr>
              <w:lastRenderedPageBreak/>
              <w:t>manchas urbanas y así contribuir a mitigar el consumo de energía y la emisión de Gases de Efecto Invernadero (GEI).</w:t>
            </w:r>
          </w:p>
          <w:p w14:paraId="7547EFF9" w14:textId="7B2A8787" w:rsidR="00AD5350" w:rsidRPr="003215A1" w:rsidRDefault="00AD5350" w:rsidP="004171C2">
            <w:pPr>
              <w:spacing w:after="80"/>
              <w:jc w:val="both"/>
              <w:rPr>
                <w:rFonts w:ascii="Arial" w:hAnsi="Arial" w:cs="Arial"/>
                <w:sz w:val="22"/>
                <w:szCs w:val="22"/>
                <w:lang w:val="es-ES_tradnl"/>
              </w:rPr>
            </w:pPr>
            <w:r w:rsidRPr="000C5860">
              <w:rPr>
                <w:rFonts w:ascii="Arial" w:hAnsi="Arial" w:cs="Arial"/>
                <w:b/>
                <w:sz w:val="22"/>
                <w:szCs w:val="22"/>
                <w:lang w:val="es-ES_tradnl"/>
              </w:rPr>
              <w:t>Componente 2. Gestión territorial en el sector forestal.</w:t>
            </w:r>
            <w:r w:rsidRPr="000C5860">
              <w:rPr>
                <w:rFonts w:ascii="Arial" w:hAnsi="Arial" w:cs="Arial"/>
                <w:sz w:val="22"/>
                <w:szCs w:val="22"/>
                <w:lang w:val="es-ES_tradnl"/>
              </w:rPr>
              <w:t xml:space="preserve"> Este componente busca </w:t>
            </w:r>
            <w:r w:rsidR="000C5860" w:rsidRPr="000C5860">
              <w:rPr>
                <w:rFonts w:ascii="Arial" w:hAnsi="Arial" w:cs="Arial"/>
                <w:sz w:val="22"/>
                <w:szCs w:val="22"/>
                <w:lang w:val="es-MX"/>
              </w:rPr>
              <w:t>aumentar la capacidad de los bosques para la mitigación de emisiones y la adaptación al CC,</w:t>
            </w:r>
            <w:r w:rsidR="000C5860" w:rsidRPr="000C5860">
              <w:rPr>
                <w:rFonts w:ascii="Arial" w:hAnsi="Arial" w:cs="Arial"/>
                <w:sz w:val="22"/>
                <w:szCs w:val="22"/>
                <w:lang w:val="es-ES_tradnl"/>
              </w:rPr>
              <w:t xml:space="preserve"> incrementando los beneficios climáticos de los subsidios forestales a partir de una mejora en su localización, abarcando tres actividades: (i) reforestación y restauración; (ii) incorporación de superficie al manejo forestal sostenible; y (iii) pago por servicios ambientales (PSA). Los beneficios climáticos están asociados tanto a las emisiones evitadas como a la adaptación al cambio climático. El PBR contribuirá a una mayor efectividad climática, por medio de una mejor focalización, ya sea hacia zonas con un mayor riesgo de deforestación o hacia áreas críticas en cuanto a los servicios ecosistémicos. Se tomarán como resultados intermedios las áreas apoyadas para implementar PSA, para manejo y para reforestación, en concordancia con sus respectivos criterios de focalización. Estos resultados intermedios están directamente asociados a la reducción de la deforestación y de la vulnerabilidad en cuencas y ecosistemas prioritarios</w:t>
            </w:r>
            <w:r w:rsidR="003215A1">
              <w:rPr>
                <w:rFonts w:ascii="Arial" w:hAnsi="Arial" w:cs="Arial"/>
                <w:sz w:val="22"/>
                <w:szCs w:val="22"/>
                <w:lang w:val="es-ES_tradnl"/>
              </w:rPr>
              <w:t>.</w:t>
            </w:r>
          </w:p>
          <w:p w14:paraId="164A1FCE" w14:textId="6E0D5AF9" w:rsidR="0045003A" w:rsidRPr="004171C2" w:rsidRDefault="00AD5350" w:rsidP="004171C2">
            <w:pPr>
              <w:spacing w:after="80"/>
              <w:jc w:val="both"/>
              <w:rPr>
                <w:rFonts w:ascii="Arial" w:hAnsi="Arial" w:cs="Arial"/>
                <w:b/>
                <w:sz w:val="22"/>
                <w:szCs w:val="22"/>
                <w:lang w:val="es-ES_tradnl"/>
              </w:rPr>
            </w:pPr>
            <w:r w:rsidRPr="003215A1">
              <w:rPr>
                <w:rFonts w:ascii="Arial" w:hAnsi="Arial" w:cs="Arial"/>
                <w:b/>
                <w:sz w:val="22"/>
                <w:szCs w:val="22"/>
                <w:lang w:val="es-ES_tradnl"/>
              </w:rPr>
              <w:t xml:space="preserve">Componente 3. Coordinación interinstitucional. </w:t>
            </w:r>
            <w:r w:rsidRPr="003215A1">
              <w:rPr>
                <w:rFonts w:ascii="Arial" w:hAnsi="Arial" w:cs="Arial"/>
                <w:sz w:val="22"/>
                <w:szCs w:val="22"/>
                <w:lang w:val="es-ES_tradnl"/>
              </w:rPr>
              <w:t xml:space="preserve">Este componente </w:t>
            </w:r>
            <w:r w:rsidR="003215A1" w:rsidRPr="003215A1">
              <w:rPr>
                <w:rFonts w:ascii="Arial" w:hAnsi="Arial" w:cs="Arial"/>
                <w:sz w:val="22"/>
                <w:szCs w:val="22"/>
                <w:lang w:val="es-ES_tradnl"/>
              </w:rPr>
              <w:t xml:space="preserve">está </w:t>
            </w:r>
            <w:r w:rsidR="003215A1" w:rsidRPr="003215A1">
              <w:rPr>
                <w:rFonts w:ascii="Arial" w:hAnsi="Arial" w:cs="Arial"/>
                <w:sz w:val="22"/>
                <w:szCs w:val="22"/>
                <w:lang w:val="es-MX"/>
              </w:rPr>
              <w:t>orientado a fortalecer las capacidades del GdM para el monitoreo y la adecuada gestión territorial vinculada con la agenda de CC,</w:t>
            </w:r>
            <w:r w:rsidR="003215A1" w:rsidRPr="003215A1">
              <w:rPr>
                <w:rFonts w:ascii="Arial" w:hAnsi="Arial" w:cs="Arial"/>
                <w:sz w:val="22"/>
                <w:szCs w:val="22"/>
                <w:lang w:val="es-ES_tradnl"/>
              </w:rPr>
              <w:t xml:space="preserve"> consolidando el papel de liderazgo de SEMARNAT en la agenda, y enfrentando la debilidad del actual arreglo institucional para el monito</w:t>
            </w:r>
            <w:r w:rsidR="003215A1">
              <w:rPr>
                <w:rFonts w:ascii="Arial" w:hAnsi="Arial" w:cs="Arial"/>
                <w:sz w:val="22"/>
                <w:szCs w:val="22"/>
                <w:lang w:val="es-ES_tradnl"/>
              </w:rPr>
              <w:t>reo de acciones y de resultados</w:t>
            </w:r>
            <w:r w:rsidRPr="003215A1">
              <w:rPr>
                <w:rFonts w:ascii="Arial" w:hAnsi="Arial" w:cs="Arial"/>
                <w:sz w:val="22"/>
                <w:szCs w:val="22"/>
                <w:lang w:val="es-ES_tradnl"/>
              </w:rPr>
              <w:t>. Para la consecución de este objetivo se está preparando actualmente un programa de Cooperación Técnica (CT).</w:t>
            </w:r>
          </w:p>
          <w:p w14:paraId="01683FD4" w14:textId="565257E0" w:rsidR="009D1330" w:rsidRDefault="00F55316" w:rsidP="004171C2">
            <w:pPr>
              <w:pStyle w:val="Default"/>
              <w:spacing w:after="80"/>
              <w:jc w:val="both"/>
              <w:rPr>
                <w:rFonts w:ascii="Arial" w:hAnsi="Arial" w:cs="Arial"/>
                <w:sz w:val="22"/>
                <w:szCs w:val="22"/>
                <w:lang w:val="es-ES_tradnl"/>
              </w:rPr>
            </w:pPr>
            <w:r w:rsidRPr="00086A4E">
              <w:rPr>
                <w:rFonts w:ascii="Arial" w:hAnsi="Arial" w:cs="Arial"/>
                <w:b/>
                <w:i/>
                <w:sz w:val="22"/>
                <w:szCs w:val="22"/>
                <w:lang w:val="es-ES_tradnl"/>
              </w:rPr>
              <w:t xml:space="preserve">Indicadores de </w:t>
            </w:r>
            <w:r w:rsidRPr="00086A4E">
              <w:rPr>
                <w:rFonts w:ascii="Arial" w:hAnsi="Arial" w:cs="Arial"/>
                <w:b/>
                <w:i/>
                <w:color w:val="auto"/>
                <w:sz w:val="22"/>
                <w:szCs w:val="22"/>
                <w:lang w:val="es-ES_tradnl"/>
              </w:rPr>
              <w:t>resultados</w:t>
            </w:r>
            <w:r w:rsidR="0045003A" w:rsidRPr="00086A4E">
              <w:rPr>
                <w:rFonts w:ascii="Arial" w:hAnsi="Arial" w:cs="Arial"/>
                <w:b/>
                <w:i/>
                <w:color w:val="auto"/>
                <w:sz w:val="22"/>
                <w:szCs w:val="22"/>
                <w:lang w:val="es-ES_tradnl"/>
              </w:rPr>
              <w:t>.</w:t>
            </w:r>
            <w:r w:rsidR="0045003A" w:rsidRPr="00086A4E">
              <w:rPr>
                <w:rFonts w:ascii="Arial" w:hAnsi="Arial" w:cs="Arial"/>
                <w:b/>
                <w:color w:val="auto"/>
                <w:sz w:val="22"/>
                <w:szCs w:val="22"/>
                <w:lang w:val="es-ES_tradnl"/>
              </w:rPr>
              <w:t xml:space="preserve"> </w:t>
            </w:r>
            <w:r w:rsidR="005850AF" w:rsidRPr="005850AF">
              <w:rPr>
                <w:rFonts w:ascii="Arial" w:hAnsi="Arial" w:cs="Arial"/>
                <w:color w:val="auto"/>
                <w:sz w:val="22"/>
                <w:szCs w:val="22"/>
                <w:lang w:val="es-ES_tradnl"/>
              </w:rPr>
              <w:t xml:space="preserve">Los principales </w:t>
            </w:r>
            <w:r w:rsidR="005850AF" w:rsidRPr="005850AF">
              <w:rPr>
                <w:rFonts w:ascii="Arial" w:hAnsi="Arial" w:cs="Arial"/>
                <w:sz w:val="22"/>
                <w:szCs w:val="22"/>
                <w:lang w:val="es-ES_tradnl"/>
              </w:rPr>
              <w:t>resultados del programa se relacionan con: (i) un incremento en la densificación urbana medido por un mayor número de viviendas en zonas centrales y la cantidad de subsidios para viviendas nuevas en dichas zonas; y (ii) menores emisiones por deforestación y degradación forestal medidos por una serie de factores: (a) reducción de emisiones por uso de suelo, cambio de uso del suelo y silvicultura (USCUSS); (b) superficies restauradas y reforestadas en áreas prioritarias para la adaptación; (c) superficie incorporada a un manejo activo del bosque; y (d) superficie incorporada a esquemas de conservación (pago por servicios ambientales), que se encuentre en zonas de alta prioridad para detener la deforestación y reducir la vulnerabilid</w:t>
            </w:r>
            <w:r w:rsidR="009D1330">
              <w:rPr>
                <w:rFonts w:ascii="Arial" w:hAnsi="Arial" w:cs="Arial"/>
                <w:sz w:val="22"/>
                <w:szCs w:val="22"/>
                <w:lang w:val="es-ES_tradnl"/>
              </w:rPr>
              <w:t>ad</w:t>
            </w:r>
            <w:r w:rsidR="005850AF" w:rsidRPr="005850AF">
              <w:rPr>
                <w:rFonts w:ascii="Arial" w:hAnsi="Arial" w:cs="Arial"/>
                <w:sz w:val="22"/>
                <w:szCs w:val="22"/>
                <w:lang w:val="es-ES_tradnl"/>
              </w:rPr>
              <w:t xml:space="preserve">. Dichos resultados estarían asociados a una mejora en la gestión territorial, </w:t>
            </w:r>
            <w:r w:rsidR="009D1330">
              <w:rPr>
                <w:rFonts w:ascii="Arial" w:hAnsi="Arial" w:cs="Arial"/>
                <w:sz w:val="22"/>
                <w:szCs w:val="22"/>
                <w:lang w:val="es-ES_tradnl"/>
              </w:rPr>
              <w:t xml:space="preserve">que es el principal objetivo del proyecto. </w:t>
            </w:r>
          </w:p>
          <w:p w14:paraId="6A1C3AEF" w14:textId="473D88E8" w:rsidR="00F55316" w:rsidRPr="00086A4E" w:rsidRDefault="009D1330" w:rsidP="004171C2">
            <w:pPr>
              <w:pStyle w:val="Default"/>
              <w:spacing w:after="80"/>
              <w:jc w:val="both"/>
              <w:rPr>
                <w:rFonts w:ascii="Arial" w:hAnsi="Arial" w:cs="Arial"/>
                <w:sz w:val="22"/>
                <w:szCs w:val="22"/>
                <w:lang w:val="es-ES_tradnl"/>
              </w:rPr>
            </w:pPr>
            <w:r w:rsidRPr="009D1330">
              <w:rPr>
                <w:rFonts w:ascii="Arial" w:hAnsi="Arial" w:cs="Arial"/>
                <w:sz w:val="22"/>
                <w:szCs w:val="22"/>
                <w:lang w:val="es-ES_tradnl"/>
              </w:rPr>
              <w:t>Los indicadores de resultados que se utilizarán para desembolsos son: (i) </w:t>
            </w:r>
            <w:r w:rsidRPr="009D1330">
              <w:rPr>
                <w:rFonts w:ascii="Arial" w:hAnsi="Arial" w:cs="Arial"/>
                <w:sz w:val="22"/>
                <w:szCs w:val="22"/>
                <w:lang w:val="es-MX"/>
              </w:rPr>
              <w:t>número de subsidios para vivienda nueva en zonas central</w:t>
            </w:r>
            <w:r w:rsidRPr="009D1330">
              <w:rPr>
                <w:rFonts w:ascii="Arial" w:hAnsi="Arial" w:cs="Arial"/>
                <w:sz w:val="22"/>
                <w:szCs w:val="22"/>
                <w:lang w:val="es-ES_tradnl"/>
              </w:rPr>
              <w:t xml:space="preserve">es; (ii) superficie restaurada y reforestada en áreas prioritarias para la adaptación; (iii) superficie incorporada a un manejo activo del bosque; y (iv) superficie incorporada a esquemas de conservación (pago por servicios ambientales) que se encuentre en zonas de alta prioridad para detener la deforestación y reducir la vulnerabilidad. </w:t>
            </w:r>
          </w:p>
          <w:p w14:paraId="533ED712" w14:textId="7069BD14" w:rsidR="009D1330" w:rsidRDefault="00F55316" w:rsidP="004171C2">
            <w:pPr>
              <w:pStyle w:val="Default"/>
              <w:spacing w:after="80"/>
              <w:jc w:val="both"/>
              <w:rPr>
                <w:rFonts w:ascii="Arial" w:hAnsi="Arial" w:cs="Arial"/>
                <w:sz w:val="22"/>
                <w:szCs w:val="22"/>
                <w:lang w:val="es-ES_tradnl"/>
              </w:rPr>
            </w:pPr>
            <w:r w:rsidRPr="00086A4E">
              <w:rPr>
                <w:rFonts w:ascii="Arial" w:hAnsi="Arial" w:cs="Arial"/>
                <w:b/>
                <w:i/>
                <w:sz w:val="22"/>
                <w:szCs w:val="22"/>
                <w:lang w:val="es-ES_tradnl"/>
              </w:rPr>
              <w:t>Mecanismo de Ejecución.</w:t>
            </w:r>
            <w:r w:rsidRPr="00086A4E">
              <w:rPr>
                <w:rFonts w:ascii="Arial" w:hAnsi="Arial" w:cs="Arial"/>
                <w:b/>
                <w:sz w:val="22"/>
                <w:szCs w:val="22"/>
                <w:lang w:val="es-ES_tradnl"/>
              </w:rPr>
              <w:t xml:space="preserve"> </w:t>
            </w:r>
            <w:r w:rsidR="00947149" w:rsidRPr="00086A4E">
              <w:rPr>
                <w:rFonts w:ascii="Arial" w:hAnsi="Arial" w:cs="Arial"/>
                <w:sz w:val="22"/>
                <w:szCs w:val="22"/>
                <w:lang w:val="es-ES_tradnl"/>
              </w:rPr>
              <w:t xml:space="preserve">Acorde con los procedimientos establecidos por el Banco, no se financiarán actividades </w:t>
            </w:r>
            <w:r w:rsidRPr="00086A4E">
              <w:rPr>
                <w:rFonts w:ascii="Arial" w:hAnsi="Arial" w:cs="Arial"/>
                <w:sz w:val="22"/>
                <w:szCs w:val="22"/>
                <w:lang w:val="es-ES_tradnl"/>
              </w:rPr>
              <w:t xml:space="preserve">clasificadas como </w:t>
            </w:r>
            <w:r w:rsidR="00947149" w:rsidRPr="00086A4E">
              <w:rPr>
                <w:rFonts w:ascii="Arial" w:hAnsi="Arial" w:cs="Arial"/>
                <w:sz w:val="22"/>
                <w:szCs w:val="22"/>
                <w:lang w:val="es-ES_tradnl"/>
              </w:rPr>
              <w:t>de Categoría A</w:t>
            </w:r>
            <w:r w:rsidRPr="00086A4E">
              <w:rPr>
                <w:rFonts w:ascii="Arial" w:hAnsi="Arial" w:cs="Arial"/>
                <w:sz w:val="22"/>
                <w:szCs w:val="22"/>
                <w:lang w:val="es-ES_tradnl"/>
              </w:rPr>
              <w:t xml:space="preserve"> de acuerdo a la Política de Medio Ambiente y Cumplimiento de Salvaguardas (OP-703)</w:t>
            </w:r>
            <w:r w:rsidR="00947149" w:rsidRPr="00086A4E">
              <w:rPr>
                <w:rFonts w:ascii="Arial" w:hAnsi="Arial" w:cs="Arial"/>
                <w:sz w:val="22"/>
                <w:szCs w:val="22"/>
                <w:lang w:val="es-ES_tradnl"/>
              </w:rPr>
              <w:t xml:space="preserve">. </w:t>
            </w:r>
            <w:r w:rsidR="0045003A" w:rsidRPr="00086A4E">
              <w:rPr>
                <w:rFonts w:ascii="Arial" w:hAnsi="Arial" w:cs="Arial"/>
                <w:sz w:val="22"/>
                <w:szCs w:val="22"/>
                <w:lang w:val="es-ES_tradnl"/>
              </w:rPr>
              <w:t xml:space="preserve">Dado el carácter transversal de la agenda de CC, la coordinación de la ejecución </w:t>
            </w:r>
            <w:r w:rsidR="00E73C5D">
              <w:rPr>
                <w:rFonts w:ascii="Arial" w:hAnsi="Arial" w:cs="Arial"/>
                <w:sz w:val="22"/>
                <w:szCs w:val="22"/>
                <w:lang w:val="es-ES_tradnl"/>
              </w:rPr>
              <w:t xml:space="preserve">del PBR se centrará en SEMARNAT, la cual </w:t>
            </w:r>
            <w:r w:rsidR="009D1330" w:rsidRPr="009D1330">
              <w:rPr>
                <w:rFonts w:ascii="Arial" w:hAnsi="Arial" w:cs="Arial"/>
                <w:sz w:val="22"/>
                <w:szCs w:val="22"/>
                <w:lang w:val="es-ES_tradnl"/>
              </w:rPr>
              <w:t xml:space="preserve">estará encargada de la coordinación con las agencias implementadoras. De acuerdo al procedimiento existente, SEMARNAT recibirá semestralmente un informe de avance de la consecución de los resultados planificados de cada una de las </w:t>
            </w:r>
            <w:r w:rsidR="00E73C5D">
              <w:rPr>
                <w:rFonts w:ascii="Arial" w:hAnsi="Arial" w:cs="Arial"/>
                <w:sz w:val="22"/>
                <w:szCs w:val="22"/>
                <w:lang w:val="es-ES_tradnl"/>
              </w:rPr>
              <w:t>agencias implementadoras</w:t>
            </w:r>
            <w:r w:rsidR="009D1330" w:rsidRPr="009D1330">
              <w:rPr>
                <w:rFonts w:ascii="Arial" w:hAnsi="Arial" w:cs="Arial"/>
                <w:sz w:val="22"/>
                <w:szCs w:val="22"/>
                <w:lang w:val="es-ES_tradnl"/>
              </w:rPr>
              <w:t xml:space="preserve"> y registrará dichos resultados en su sistema de monitoreo</w:t>
            </w:r>
            <w:r w:rsidR="00E73C5D">
              <w:rPr>
                <w:rFonts w:ascii="Arial" w:hAnsi="Arial" w:cs="Arial"/>
                <w:sz w:val="22"/>
                <w:szCs w:val="22"/>
                <w:lang w:val="es-ES_tradnl"/>
              </w:rPr>
              <w:t>.</w:t>
            </w:r>
          </w:p>
          <w:p w14:paraId="2387A506" w14:textId="77777777" w:rsidR="002949FF" w:rsidRPr="00086A4E" w:rsidRDefault="002949FF" w:rsidP="004171C2">
            <w:pPr>
              <w:pStyle w:val="Default"/>
              <w:spacing w:after="80"/>
              <w:jc w:val="both"/>
              <w:rPr>
                <w:rFonts w:ascii="Arial" w:hAnsi="Arial" w:cs="Arial"/>
                <w:sz w:val="22"/>
                <w:szCs w:val="22"/>
                <w:lang w:val="es-ES_tradnl"/>
              </w:rPr>
            </w:pPr>
          </w:p>
          <w:p w14:paraId="5AB9631C" w14:textId="78D5D0C5" w:rsidR="0045003A" w:rsidRPr="00086A4E" w:rsidRDefault="0045003A" w:rsidP="00E73C5D">
            <w:pPr>
              <w:pStyle w:val="Default"/>
              <w:jc w:val="both"/>
              <w:rPr>
                <w:rFonts w:ascii="Arial" w:hAnsi="Arial" w:cs="Arial"/>
                <w:sz w:val="22"/>
                <w:szCs w:val="22"/>
                <w:lang w:val="es-ES_tradnl"/>
              </w:rPr>
            </w:pPr>
            <w:r w:rsidRPr="00086A4E">
              <w:rPr>
                <w:rFonts w:ascii="Arial" w:hAnsi="Arial" w:cs="Arial"/>
                <w:b/>
                <w:i/>
                <w:sz w:val="22"/>
                <w:szCs w:val="22"/>
                <w:lang w:val="es-ES_tradnl"/>
              </w:rPr>
              <w:lastRenderedPageBreak/>
              <w:t>Actividades a ser financiadas</w:t>
            </w:r>
            <w:r w:rsidRPr="00086A4E">
              <w:rPr>
                <w:rFonts w:ascii="Arial" w:hAnsi="Arial" w:cs="Arial"/>
                <w:b/>
                <w:sz w:val="22"/>
                <w:szCs w:val="22"/>
                <w:lang w:val="es-ES_tradnl"/>
              </w:rPr>
              <w:t xml:space="preserve">. </w:t>
            </w:r>
            <w:r w:rsidR="00E73C5D">
              <w:rPr>
                <w:rFonts w:ascii="Arial" w:hAnsi="Arial" w:cs="Arial"/>
                <w:sz w:val="22"/>
                <w:szCs w:val="22"/>
                <w:lang w:val="es-ES_tradnl"/>
              </w:rPr>
              <w:t>El Programa financiará las siguientes actividades</w:t>
            </w:r>
            <w:r w:rsidRPr="00086A4E">
              <w:rPr>
                <w:rFonts w:ascii="Arial" w:hAnsi="Arial" w:cs="Arial"/>
                <w:sz w:val="22"/>
                <w:szCs w:val="22"/>
                <w:lang w:val="es-ES_tradnl"/>
              </w:rPr>
              <w:t>:</w:t>
            </w:r>
          </w:p>
          <w:p w14:paraId="2C9BFBE6" w14:textId="61C063D0" w:rsidR="00E73C5D" w:rsidRPr="00E73C5D" w:rsidRDefault="00E73C5D" w:rsidP="00E73C5D">
            <w:pPr>
              <w:pStyle w:val="TOC8"/>
              <w:spacing w:after="40"/>
              <w:ind w:left="418"/>
              <w:rPr>
                <w:rFonts w:ascii="Arial" w:hAnsi="Arial" w:cs="Arial"/>
                <w:i/>
                <w:sz w:val="22"/>
                <w:szCs w:val="22"/>
                <w:lang w:val="es-ES_tradnl"/>
              </w:rPr>
            </w:pPr>
            <w:r w:rsidRPr="00E73C5D">
              <w:rPr>
                <w:rFonts w:ascii="Arial" w:hAnsi="Arial" w:cs="Arial"/>
                <w:i/>
                <w:sz w:val="22"/>
                <w:szCs w:val="22"/>
                <w:u w:val="single"/>
                <w:lang w:val="es-ES_tradnl"/>
              </w:rPr>
              <w:t>Sector forestal</w:t>
            </w:r>
            <w:r w:rsidRPr="00E73C5D">
              <w:rPr>
                <w:rFonts w:ascii="Arial" w:hAnsi="Arial" w:cs="Arial"/>
                <w:i/>
                <w:sz w:val="22"/>
                <w:szCs w:val="22"/>
                <w:lang w:val="es-ES_tradnl"/>
              </w:rPr>
              <w:t>:</w:t>
            </w:r>
          </w:p>
          <w:p w14:paraId="0D2C8878" w14:textId="710365D2" w:rsidR="0045003A" w:rsidRPr="00086A4E" w:rsidRDefault="00E73C5D" w:rsidP="009A2899">
            <w:pPr>
              <w:pStyle w:val="TOC8"/>
              <w:numPr>
                <w:ilvl w:val="0"/>
                <w:numId w:val="12"/>
              </w:numPr>
              <w:spacing w:after="40"/>
              <w:ind w:left="418" w:hanging="274"/>
              <w:rPr>
                <w:rFonts w:ascii="Arial" w:hAnsi="Arial" w:cs="Arial"/>
                <w:sz w:val="22"/>
                <w:szCs w:val="22"/>
                <w:lang w:val="es-ES_tradnl"/>
              </w:rPr>
            </w:pPr>
            <w:r>
              <w:rPr>
                <w:rFonts w:ascii="Arial" w:hAnsi="Arial" w:cs="Arial"/>
                <w:sz w:val="22"/>
                <w:szCs w:val="22"/>
                <w:lang w:val="es-ES_tradnl"/>
              </w:rPr>
              <w:t>Reforestación y restauración de suelos</w:t>
            </w:r>
          </w:p>
          <w:p w14:paraId="56A5E651" w14:textId="579515C3" w:rsidR="0045003A" w:rsidRPr="00086A4E" w:rsidRDefault="00E73C5D" w:rsidP="009A2899">
            <w:pPr>
              <w:pStyle w:val="TOC8"/>
              <w:numPr>
                <w:ilvl w:val="0"/>
                <w:numId w:val="12"/>
              </w:numPr>
              <w:spacing w:after="40"/>
              <w:ind w:left="418" w:hanging="274"/>
              <w:rPr>
                <w:rFonts w:ascii="Arial" w:hAnsi="Arial" w:cs="Arial"/>
                <w:sz w:val="22"/>
                <w:szCs w:val="22"/>
                <w:lang w:val="es-ES_tradnl"/>
              </w:rPr>
            </w:pPr>
            <w:r>
              <w:rPr>
                <w:rFonts w:ascii="Arial" w:hAnsi="Arial" w:cs="Arial"/>
                <w:sz w:val="22"/>
                <w:szCs w:val="22"/>
                <w:lang w:val="es-ES_tradnl"/>
              </w:rPr>
              <w:t>Incorporación de superficies al manejo forestal sostenible</w:t>
            </w:r>
          </w:p>
          <w:p w14:paraId="24D72B53" w14:textId="77777777" w:rsidR="00E73C5D" w:rsidRDefault="00E73C5D" w:rsidP="00E73C5D">
            <w:pPr>
              <w:pStyle w:val="TOC8"/>
              <w:numPr>
                <w:ilvl w:val="0"/>
                <w:numId w:val="12"/>
              </w:numPr>
              <w:spacing w:after="40"/>
              <w:ind w:left="418" w:hanging="274"/>
              <w:rPr>
                <w:rFonts w:ascii="Arial" w:hAnsi="Arial" w:cs="Arial"/>
                <w:sz w:val="22"/>
                <w:szCs w:val="22"/>
                <w:lang w:val="es-ES_tradnl"/>
              </w:rPr>
            </w:pPr>
            <w:r>
              <w:rPr>
                <w:rFonts w:ascii="Arial" w:hAnsi="Arial" w:cs="Arial"/>
                <w:sz w:val="22"/>
                <w:szCs w:val="22"/>
                <w:lang w:val="es-ES_tradnl"/>
              </w:rPr>
              <w:t>Pago por servicios ambientales (PSA)</w:t>
            </w:r>
          </w:p>
          <w:p w14:paraId="6415607A" w14:textId="50788C75" w:rsidR="00E73C5D" w:rsidRPr="00E73C5D" w:rsidRDefault="00E73C5D" w:rsidP="00E73C5D">
            <w:pPr>
              <w:pStyle w:val="TOC8"/>
              <w:spacing w:after="40"/>
              <w:ind w:left="418"/>
              <w:rPr>
                <w:rFonts w:ascii="Arial" w:hAnsi="Arial" w:cs="Arial"/>
                <w:i/>
                <w:sz w:val="22"/>
                <w:szCs w:val="22"/>
                <w:lang w:val="es-ES_tradnl"/>
              </w:rPr>
            </w:pPr>
            <w:r w:rsidRPr="00E73C5D">
              <w:rPr>
                <w:rFonts w:ascii="Arial" w:hAnsi="Arial" w:cs="Arial"/>
                <w:i/>
                <w:sz w:val="22"/>
                <w:szCs w:val="22"/>
                <w:u w:val="single"/>
                <w:lang w:val="es-ES_tradnl"/>
              </w:rPr>
              <w:t>Sector vivienda</w:t>
            </w:r>
            <w:r w:rsidRPr="00E73C5D">
              <w:rPr>
                <w:rFonts w:ascii="Arial" w:hAnsi="Arial" w:cs="Arial"/>
                <w:i/>
                <w:sz w:val="22"/>
                <w:szCs w:val="22"/>
                <w:lang w:val="es-ES_tradnl"/>
              </w:rPr>
              <w:t>:</w:t>
            </w:r>
          </w:p>
          <w:p w14:paraId="41AFDF59" w14:textId="44499A05" w:rsidR="0045003A" w:rsidRPr="004171C2" w:rsidRDefault="00E73C5D" w:rsidP="004171C2">
            <w:pPr>
              <w:pStyle w:val="TOC8"/>
              <w:numPr>
                <w:ilvl w:val="0"/>
                <w:numId w:val="12"/>
              </w:numPr>
              <w:spacing w:after="80"/>
              <w:ind w:left="418" w:hanging="274"/>
              <w:rPr>
                <w:rFonts w:ascii="Arial" w:hAnsi="Arial" w:cs="Arial"/>
                <w:sz w:val="22"/>
                <w:szCs w:val="22"/>
                <w:lang w:val="es-ES_tradnl"/>
              </w:rPr>
            </w:pPr>
            <w:r>
              <w:rPr>
                <w:rFonts w:ascii="Arial" w:hAnsi="Arial" w:cs="Arial"/>
                <w:sz w:val="22"/>
                <w:szCs w:val="22"/>
                <w:lang w:val="es-ES_tradnl"/>
              </w:rPr>
              <w:t>Subsidios a viviendas nuevas en zonas centrales</w:t>
            </w:r>
          </w:p>
          <w:p w14:paraId="14C36EFB" w14:textId="30E2081B" w:rsidR="00114E9E" w:rsidRPr="004171C2" w:rsidRDefault="00E73C5D" w:rsidP="004171C2">
            <w:pPr>
              <w:spacing w:after="80"/>
              <w:jc w:val="both"/>
              <w:rPr>
                <w:rFonts w:ascii="Arial" w:hAnsi="Arial" w:cs="Arial"/>
                <w:b/>
                <w:i/>
                <w:sz w:val="22"/>
                <w:szCs w:val="22"/>
                <w:lang w:val="es-ES_tradnl"/>
              </w:rPr>
            </w:pPr>
            <w:r w:rsidRPr="00E73C5D">
              <w:rPr>
                <w:rFonts w:ascii="Arial" w:hAnsi="Arial" w:cs="Arial"/>
                <w:b/>
                <w:i/>
                <w:sz w:val="22"/>
                <w:szCs w:val="22"/>
                <w:lang w:val="es-ES_tradnl"/>
              </w:rPr>
              <w:t xml:space="preserve">Verificación de resultados. </w:t>
            </w:r>
            <w:r w:rsidRPr="00E73C5D">
              <w:rPr>
                <w:rFonts w:ascii="Arial" w:hAnsi="Arial" w:cs="Arial"/>
                <w:sz w:val="22"/>
                <w:szCs w:val="22"/>
                <w:lang w:val="es-ES_tradnl"/>
              </w:rPr>
              <w:t>La verificación de resultados será realizada por una firma especializada independiente que actuará como evaluadora externa del cumplimiento de los resultados. Tendrá como responsabilidad dar a la SEMARNAT un informe de verificación de resultados en anticipación a cada solicitud de desembolso. La verificación del logro de los resultados se concentrará en dos objetivos: (i) emitir opinión acerca de la exactitud, confiabilidad, validez y consistencia de la información correspondiente a los resultados; y (ii) determinar el valor de los indicadores de resultado establecidos en cada informe de ejecución.</w:t>
            </w:r>
          </w:p>
          <w:p w14:paraId="2C70164C" w14:textId="6D774672" w:rsidR="00114E9E" w:rsidRPr="00086A4E" w:rsidRDefault="00114E9E" w:rsidP="004171C2">
            <w:pPr>
              <w:spacing w:after="80"/>
              <w:jc w:val="both"/>
              <w:rPr>
                <w:rFonts w:ascii="Arial" w:hAnsi="Arial" w:cs="Arial"/>
                <w:bCs/>
                <w:sz w:val="22"/>
                <w:szCs w:val="22"/>
                <w:lang w:val="es-ES_tradnl"/>
              </w:rPr>
            </w:pPr>
            <w:r w:rsidRPr="00114E9E">
              <w:rPr>
                <w:rFonts w:ascii="Arial" w:hAnsi="Arial" w:cs="Arial"/>
                <w:b/>
                <w:bCs/>
                <w:i/>
                <w:sz w:val="22"/>
                <w:szCs w:val="22"/>
                <w:lang w:val="es-ES_tradnl"/>
              </w:rPr>
              <w:t>Préstamos Basados en Resultados (PBR).</w:t>
            </w:r>
            <w:r>
              <w:rPr>
                <w:rFonts w:ascii="Arial" w:hAnsi="Arial" w:cs="Arial"/>
                <w:bCs/>
                <w:sz w:val="22"/>
                <w:szCs w:val="22"/>
                <w:lang w:val="es-ES_tradnl"/>
              </w:rPr>
              <w:t xml:space="preserve"> </w:t>
            </w:r>
            <w:r w:rsidRPr="00086A4E">
              <w:rPr>
                <w:rFonts w:ascii="Arial" w:hAnsi="Arial" w:cs="Arial"/>
                <w:bCs/>
                <w:sz w:val="22"/>
                <w:szCs w:val="22"/>
                <w:lang w:val="es-ES_tradnl"/>
              </w:rPr>
              <w:t xml:space="preserve">El Banco ha aprobado recientemente la nueva modalidad de préstamos denominada </w:t>
            </w:r>
            <w:r>
              <w:rPr>
                <w:rFonts w:ascii="Arial" w:hAnsi="Arial" w:cs="Arial"/>
                <w:bCs/>
                <w:sz w:val="22"/>
                <w:szCs w:val="22"/>
                <w:lang w:val="es-ES_tradnl"/>
              </w:rPr>
              <w:t>PBR</w:t>
            </w:r>
            <w:r w:rsidRPr="00086A4E">
              <w:rPr>
                <w:rFonts w:ascii="Arial" w:hAnsi="Arial" w:cs="Arial"/>
                <w:bCs/>
                <w:sz w:val="22"/>
                <w:szCs w:val="22"/>
                <w:lang w:val="es-ES_tradnl"/>
              </w:rPr>
              <w:t>, cuyo objetivo es contribuir a la obtención de resultados de un programa de gobi</w:t>
            </w:r>
            <w:r>
              <w:rPr>
                <w:rFonts w:ascii="Arial" w:hAnsi="Arial" w:cs="Arial"/>
                <w:bCs/>
                <w:sz w:val="22"/>
                <w:szCs w:val="22"/>
                <w:lang w:val="es-ES_tradnl"/>
              </w:rPr>
              <w:t>erno existente o nuevo. Los PBR</w:t>
            </w:r>
            <w:r w:rsidRPr="00086A4E">
              <w:rPr>
                <w:rFonts w:ascii="Arial" w:hAnsi="Arial" w:cs="Arial"/>
                <w:bCs/>
                <w:sz w:val="22"/>
                <w:szCs w:val="22"/>
                <w:lang w:val="es-ES_tradnl"/>
              </w:rPr>
              <w:t xml:space="preserve"> son préstamos de inversión que financian los costos de las actividades (bienes, obras y servicios) asociadas con el logro de tales resultados y desembolsan una vez que estos resultados hayan sido logrados y adecuadamente verificados.</w:t>
            </w:r>
          </w:p>
          <w:p w14:paraId="775E1486" w14:textId="2FFEE54D" w:rsidR="00E73C5D" w:rsidRPr="00086A4E" w:rsidRDefault="00114E9E" w:rsidP="009A2899">
            <w:pPr>
              <w:spacing w:line="240" w:lineRule="atLeast"/>
              <w:jc w:val="both"/>
              <w:rPr>
                <w:rFonts w:ascii="Arial" w:hAnsi="Arial" w:cs="Arial"/>
                <w:sz w:val="22"/>
                <w:szCs w:val="22"/>
                <w:lang w:val="es-ES_tradnl"/>
              </w:rPr>
            </w:pPr>
            <w:r w:rsidRPr="00086A4E">
              <w:rPr>
                <w:rFonts w:ascii="Arial" w:hAnsi="Arial" w:cs="Arial"/>
                <w:bCs/>
                <w:sz w:val="22"/>
                <w:szCs w:val="22"/>
                <w:lang w:val="es-ES_tradnl"/>
              </w:rPr>
              <w:t>Los procedimientos para el procesamiento de este tipo operaciones por parte del Banco establecen que la identificación y manejo de riesgos asociados al proyecto o programa deberán ser realizados de manera similar a otras modalidades de financiamiento y que no se financiarán actividades que sean clasificadas por el Banco como de Catego</w:t>
            </w:r>
            <w:r>
              <w:rPr>
                <w:rFonts w:ascii="Arial" w:hAnsi="Arial" w:cs="Arial"/>
                <w:bCs/>
                <w:sz w:val="22"/>
                <w:szCs w:val="22"/>
                <w:lang w:val="es-ES_tradnl"/>
              </w:rPr>
              <w:t>ría A. Considerando que los PBR</w:t>
            </w:r>
            <w:r w:rsidRPr="00086A4E">
              <w:rPr>
                <w:rFonts w:ascii="Arial" w:hAnsi="Arial" w:cs="Arial"/>
                <w:bCs/>
                <w:sz w:val="22"/>
                <w:szCs w:val="22"/>
                <w:lang w:val="es-ES_tradnl"/>
              </w:rPr>
              <w:t xml:space="preserve"> son préstamos en los cuales los desembolsos se llevan a cabo después que los resultados del proyecto hayan sido alcanzados, la ejecución de las actividades para alcanzar dichos resultados se lleva a cabo en base a la aplicación de los sistemas nacionales de salvaguardias ambientales y sociales del país prestatario. Por lo tanto, durante la etapa de preparación de las oper</w:t>
            </w:r>
            <w:r>
              <w:rPr>
                <w:rFonts w:ascii="Arial" w:hAnsi="Arial" w:cs="Arial"/>
                <w:bCs/>
                <w:sz w:val="22"/>
                <w:szCs w:val="22"/>
                <w:lang w:val="es-ES_tradnl"/>
              </w:rPr>
              <w:t>aciones PBR</w:t>
            </w:r>
            <w:r w:rsidRPr="00086A4E">
              <w:rPr>
                <w:rFonts w:ascii="Arial" w:hAnsi="Arial" w:cs="Arial"/>
                <w:bCs/>
                <w:sz w:val="22"/>
                <w:szCs w:val="22"/>
                <w:lang w:val="es-ES_tradnl"/>
              </w:rPr>
              <w:t>, el Banco deberá evaluar el riesgo que conlleva la aplicación de tales sistemas nacionales y eventualmente acordar con el Prestatario las medidas de gestión de riesgos correspondientes.</w:t>
            </w:r>
          </w:p>
        </w:tc>
      </w:tr>
      <w:tr w:rsidR="0045003A" w:rsidRPr="00E17722" w14:paraId="3A9EA9D5" w14:textId="77777777" w:rsidTr="009A2899">
        <w:trPr>
          <w:trHeight w:val="402"/>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7F51BA01" w:rsidR="0045003A" w:rsidRPr="00086A4E" w:rsidRDefault="00114E9E" w:rsidP="0045003A">
            <w:pPr>
              <w:rPr>
                <w:rFonts w:ascii="Arial" w:eastAsia="Times New Roman" w:hAnsi="Arial" w:cs="Arial"/>
                <w:b/>
                <w:bCs/>
                <w:sz w:val="22"/>
                <w:szCs w:val="22"/>
                <w:lang w:val="es-ES"/>
              </w:rPr>
            </w:pPr>
            <w:r>
              <w:rPr>
                <w:rFonts w:ascii="Arial" w:eastAsia="Times New Roman" w:hAnsi="Arial" w:cs="Arial"/>
                <w:b/>
                <w:bCs/>
                <w:sz w:val="22"/>
                <w:szCs w:val="22"/>
                <w:lang w:val="es-ES"/>
              </w:rPr>
              <w:lastRenderedPageBreak/>
              <w:t>3</w:t>
            </w:r>
            <w:r w:rsidR="00453EF7">
              <w:rPr>
                <w:rFonts w:ascii="Arial" w:eastAsia="Times New Roman" w:hAnsi="Arial" w:cs="Arial"/>
                <w:b/>
                <w:bCs/>
                <w:sz w:val="22"/>
                <w:szCs w:val="22"/>
                <w:lang w:val="es-ES"/>
              </w:rPr>
              <w:t xml:space="preserve">. </w:t>
            </w:r>
            <w:r w:rsidR="0045003A" w:rsidRPr="00086A4E">
              <w:rPr>
                <w:rFonts w:ascii="Arial" w:eastAsia="Times New Roman" w:hAnsi="Arial" w:cs="Arial"/>
                <w:b/>
                <w:bCs/>
                <w:sz w:val="22"/>
                <w:szCs w:val="22"/>
                <w:lang w:val="es-ES"/>
              </w:rPr>
              <w:t xml:space="preserve">Impactos, Riesgos y Medidas de Mitigación Principales </w:t>
            </w:r>
          </w:p>
        </w:tc>
      </w:tr>
      <w:tr w:rsidR="0045003A" w:rsidRPr="00E17722" w14:paraId="2DE10E02"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34C477F" w14:textId="7749EF50" w:rsidR="0045003A" w:rsidRPr="00086A4E" w:rsidRDefault="0045003A" w:rsidP="003208FA">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t xml:space="preserve">Requisitos de Evaluación </w:t>
            </w:r>
          </w:p>
          <w:p w14:paraId="405F94ED" w14:textId="29A2E6E4" w:rsidR="0045003A" w:rsidRPr="00086A4E" w:rsidRDefault="0045003A" w:rsidP="003208FA">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OP-703 (Política de Medio Ambiente y Cumplimiento de Salvaguardias): B.3 (Pre</w:t>
            </w:r>
            <w:r w:rsidR="003208FA">
              <w:rPr>
                <w:rFonts w:ascii="Arial" w:eastAsia="Times New Roman" w:hAnsi="Arial" w:cs="Arial"/>
                <w:sz w:val="22"/>
                <w:szCs w:val="22"/>
                <w:lang w:val="es-ES"/>
              </w:rPr>
              <w:noBreakHyphen/>
            </w:r>
            <w:r w:rsidRPr="00086A4E">
              <w:rPr>
                <w:rFonts w:ascii="Arial" w:eastAsia="Times New Roman" w:hAnsi="Arial" w:cs="Arial"/>
                <w:sz w:val="22"/>
                <w:szCs w:val="22"/>
                <w:lang w:val="es-ES"/>
              </w:rPr>
              <w:t>evaluación y Clasificación), B.4 (Otros Factores de Riesgo), y B.5 (Requisitos de Evaluación y Planes Ambientales)</w:t>
            </w:r>
          </w:p>
        </w:tc>
      </w:tr>
      <w:tr w:rsidR="0045003A" w:rsidRPr="00E17722" w14:paraId="7CA8CBA1"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D72176D" w14:textId="4FDE6833" w:rsidR="00114E9E" w:rsidRPr="004171C2" w:rsidRDefault="00444D27" w:rsidP="004171C2">
            <w:pPr>
              <w:spacing w:after="80"/>
              <w:jc w:val="both"/>
              <w:rPr>
                <w:rFonts w:ascii="Arial" w:hAnsi="Arial" w:cs="Arial"/>
                <w:sz w:val="22"/>
                <w:szCs w:val="22"/>
                <w:lang w:val="es-ES_tradnl"/>
              </w:rPr>
            </w:pPr>
            <w:r w:rsidRPr="00086A4E">
              <w:rPr>
                <w:rFonts w:ascii="Arial" w:hAnsi="Arial" w:cs="Arial"/>
                <w:bCs/>
                <w:sz w:val="22"/>
                <w:szCs w:val="22"/>
                <w:lang w:val="es-ES_tradnl"/>
              </w:rPr>
              <w:t xml:space="preserve"> </w:t>
            </w:r>
            <w:r w:rsidR="00114E9E">
              <w:rPr>
                <w:rFonts w:ascii="Arial" w:hAnsi="Arial" w:cs="Arial"/>
                <w:bCs/>
                <w:sz w:val="22"/>
                <w:szCs w:val="22"/>
                <w:lang w:val="es-ES_tradnl"/>
              </w:rPr>
              <w:t xml:space="preserve">Por tratarse de un PBR, en el presente proyecto serán aplicados los sistemas nacionales de salvaguardias ambientales y sociales. </w:t>
            </w:r>
            <w:r w:rsidRPr="00086A4E">
              <w:rPr>
                <w:rFonts w:ascii="Arial" w:hAnsi="Arial" w:cs="Arial"/>
                <w:bCs/>
                <w:sz w:val="22"/>
                <w:szCs w:val="22"/>
                <w:lang w:val="es-ES_tradnl"/>
              </w:rPr>
              <w:t>La Directiva B.16 Sistemas Nacionales de la OP-703 establece que “</w:t>
            </w:r>
            <w:r w:rsidRPr="00086A4E">
              <w:rPr>
                <w:rFonts w:ascii="Arial" w:hAnsi="Arial" w:cs="Arial"/>
                <w:bCs/>
                <w:i/>
                <w:sz w:val="22"/>
                <w:szCs w:val="22"/>
                <w:lang w:val="es-ES_tradnl"/>
              </w:rPr>
              <w:t>e</w:t>
            </w:r>
            <w:r w:rsidRPr="00086A4E">
              <w:rPr>
                <w:rFonts w:ascii="Arial" w:hAnsi="Arial" w:cs="Arial"/>
                <w:bCs/>
                <w:i/>
                <w:color w:val="000000"/>
                <w:sz w:val="22"/>
                <w:szCs w:val="22"/>
                <w:lang w:val="es-ES_tradnl"/>
              </w:rPr>
              <w:t>n el contexto de operaciones individuales, el Banco considerará la utilización de los sistemas de salvaguardias existentes</w:t>
            </w:r>
            <w:r w:rsidRPr="00086A4E">
              <w:rPr>
                <w:rFonts w:ascii="Arial" w:hAnsi="Arial" w:cs="Arial"/>
                <w:bCs/>
                <w:i/>
                <w:color w:val="000000"/>
                <w:position w:val="12"/>
                <w:sz w:val="22"/>
                <w:szCs w:val="22"/>
                <w:vertAlign w:val="superscript"/>
                <w:lang w:val="es-ES_tradnl"/>
              </w:rPr>
              <w:t xml:space="preserve"> </w:t>
            </w:r>
            <w:r w:rsidRPr="00086A4E">
              <w:rPr>
                <w:rFonts w:ascii="Arial" w:hAnsi="Arial" w:cs="Arial"/>
                <w:bCs/>
                <w:i/>
                <w:color w:val="000000"/>
                <w:sz w:val="22"/>
                <w:szCs w:val="22"/>
                <w:lang w:val="es-ES_tradnl"/>
              </w:rPr>
              <w:t>en el país miembro prestatario para identificar y manejar impactos ambientales y sociales</w:t>
            </w:r>
            <w:r w:rsidRPr="00086A4E">
              <w:rPr>
                <w:rFonts w:ascii="Arial" w:hAnsi="Arial" w:cs="Arial"/>
                <w:bCs/>
                <w:color w:val="000000"/>
                <w:sz w:val="22"/>
                <w:szCs w:val="22"/>
                <w:lang w:val="es-ES_tradnl"/>
              </w:rPr>
              <w:t>” , indicando además que para tal efecto se deberá llevar a cabo un análisis de equivalencia y aceptabilidad de los sistemas nacionales con respecto a las salvaguardias ambientales y sociales del Banco y que, en caso de identificarse brechas significativas, se deberá elaborar un plan de acción para abordarlas.</w:t>
            </w:r>
            <w:r w:rsidRPr="00086A4E">
              <w:rPr>
                <w:rFonts w:ascii="Arial" w:hAnsi="Arial" w:cs="Arial"/>
                <w:bCs/>
                <w:sz w:val="22"/>
                <w:szCs w:val="22"/>
                <w:lang w:val="es-ES_tradnl"/>
              </w:rPr>
              <w:t xml:space="preserve"> </w:t>
            </w:r>
            <w:r w:rsidRPr="00086A4E">
              <w:rPr>
                <w:rFonts w:ascii="Arial" w:hAnsi="Arial" w:cs="Arial"/>
                <w:sz w:val="22"/>
                <w:szCs w:val="22"/>
                <w:lang w:val="es-ES_tradnl"/>
              </w:rPr>
              <w:t xml:space="preserve">Para los fines de la Política, los sistemas nacionales de salvaguardias consisten en el conjunto de leyes, reglamentos, instituciones y procedimientos que aplican los países como parte de su gestión ambiental y social. En </w:t>
            </w:r>
            <w:r w:rsidRPr="00086A4E">
              <w:rPr>
                <w:rFonts w:ascii="Arial" w:hAnsi="Arial" w:cs="Arial"/>
                <w:sz w:val="22"/>
                <w:szCs w:val="22"/>
                <w:lang w:val="es-ES_tradnl"/>
              </w:rPr>
              <w:lastRenderedPageBreak/>
              <w:t>este contexto, se entiende por análisis de equivalencia a una comparación de las salvaguardias ambientales y sociales del Banco y las del país, mientras que el análisis de aceptabilidad se refiere a la evaluación de la forma en que el sistema nacional ambiental y social es implementado en la práctica.</w:t>
            </w:r>
          </w:p>
          <w:p w14:paraId="699B0F59" w14:textId="50C4678F" w:rsidR="00114E9E" w:rsidRPr="004171C2" w:rsidRDefault="00444D27" w:rsidP="00444D27">
            <w:pPr>
              <w:jc w:val="both"/>
              <w:rPr>
                <w:rFonts w:ascii="Arial" w:hAnsi="Arial" w:cs="Arial"/>
                <w:sz w:val="22"/>
                <w:szCs w:val="22"/>
                <w:lang w:val="es-ES_tradnl"/>
              </w:rPr>
            </w:pPr>
            <w:r w:rsidRPr="00086A4E">
              <w:rPr>
                <w:rFonts w:ascii="Arial" w:hAnsi="Arial" w:cs="Arial"/>
                <w:sz w:val="22"/>
                <w:szCs w:val="22"/>
                <w:lang w:val="es-ES_tradnl"/>
              </w:rPr>
              <w:t>Durante el año 2016 ESG ha implementado un proyecto piloto de uso de sistemas ambientales nacionales en el secto</w:t>
            </w:r>
            <w:r w:rsidR="00114E9E">
              <w:rPr>
                <w:rFonts w:ascii="Arial" w:hAnsi="Arial" w:cs="Arial"/>
                <w:sz w:val="22"/>
                <w:szCs w:val="22"/>
                <w:lang w:val="es-ES_tradnl"/>
              </w:rPr>
              <w:t>r transporte en Uruguay, para el</w:t>
            </w:r>
            <w:r w:rsidRPr="00086A4E">
              <w:rPr>
                <w:rFonts w:ascii="Arial" w:hAnsi="Arial" w:cs="Arial"/>
                <w:sz w:val="22"/>
                <w:szCs w:val="22"/>
                <w:lang w:val="es-ES_tradnl"/>
              </w:rPr>
              <w:t xml:space="preserve"> cual se ha desarrollado una metodología que </w:t>
            </w:r>
            <w:r w:rsidR="00FA7DCF" w:rsidRPr="00086A4E">
              <w:rPr>
                <w:rFonts w:ascii="Arial" w:hAnsi="Arial" w:cs="Arial"/>
                <w:sz w:val="22"/>
                <w:szCs w:val="22"/>
                <w:lang w:val="es-ES_tradnl"/>
              </w:rPr>
              <w:t>fue</w:t>
            </w:r>
            <w:r w:rsidRPr="00086A4E">
              <w:rPr>
                <w:rFonts w:ascii="Arial" w:hAnsi="Arial" w:cs="Arial"/>
                <w:sz w:val="22"/>
                <w:szCs w:val="22"/>
                <w:lang w:val="es-ES_tradnl"/>
              </w:rPr>
              <w:t xml:space="preserve"> aplicada en el presente proyecto, basada en la realización del análisis de equivalencia y aceptabilidad en forma sec</w:t>
            </w:r>
            <w:r w:rsidR="00054047" w:rsidRPr="00086A4E">
              <w:rPr>
                <w:rFonts w:ascii="Arial" w:hAnsi="Arial" w:cs="Arial"/>
                <w:sz w:val="22"/>
                <w:szCs w:val="22"/>
                <w:lang w:val="es-ES_tradnl"/>
              </w:rPr>
              <w:t>torial y con enfoque de riesgo. La evaluación de los sistemas nacionales aplicables a las actividades a ser financiadas por el presente proyecto ha identificado que los mismos son equivalentes a las políticas ambientales y sociales aplicables y que los procedimientos utilizados por los organismos ejecutores son aceptables para el Banco.</w:t>
            </w:r>
          </w:p>
        </w:tc>
      </w:tr>
      <w:tr w:rsidR="0045003A" w:rsidRPr="00E17722" w14:paraId="0735B8C6" w14:textId="77777777" w:rsidTr="00114E9E">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B8CCE4" w:themeFill="accent1" w:themeFillTint="66"/>
            <w:tcMar>
              <w:top w:w="15" w:type="dxa"/>
              <w:left w:w="105" w:type="dxa"/>
              <w:bottom w:w="15" w:type="dxa"/>
              <w:right w:w="105" w:type="dxa"/>
            </w:tcMar>
            <w:vAlign w:val="center"/>
          </w:tcPr>
          <w:p w14:paraId="7298DAD1" w14:textId="77777777" w:rsidR="0045003A" w:rsidRPr="00086A4E" w:rsidRDefault="0045003A" w:rsidP="0045003A">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lastRenderedPageBreak/>
              <w:t>Consultas</w:t>
            </w:r>
          </w:p>
          <w:p w14:paraId="6D0F8387" w14:textId="0C501ED0" w:rsidR="0045003A" w:rsidRPr="00086A4E" w:rsidRDefault="0045003A" w:rsidP="0045003A">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OP-703 (Política de Medio Ambiente y Cumplimiento de Salvaguardias): B.6 (Consultas); y Requisitos de Consulta de OP-</w:t>
            </w:r>
            <w:r w:rsidRPr="00114E9E">
              <w:rPr>
                <w:rFonts w:ascii="Arial" w:eastAsia="Times New Roman" w:hAnsi="Arial" w:cs="Arial"/>
                <w:sz w:val="22"/>
                <w:szCs w:val="22"/>
                <w:shd w:val="clear" w:color="auto" w:fill="B8CCE4" w:themeFill="accent1" w:themeFillTint="66"/>
                <w:lang w:val="es-ES"/>
              </w:rPr>
              <w:t>710 (Política Operativa sobre Reasentamiento Involuntario</w:t>
            </w:r>
            <w:r w:rsidRPr="00114E9E">
              <w:rPr>
                <w:rFonts w:ascii="Arial" w:eastAsia="Times New Roman" w:hAnsi="Arial" w:cs="Arial"/>
                <w:sz w:val="22"/>
                <w:szCs w:val="22"/>
                <w:lang w:val="es-ES"/>
              </w:rPr>
              <w:t>),</w:t>
            </w:r>
            <w:r w:rsidRPr="00086A4E">
              <w:rPr>
                <w:rFonts w:ascii="Arial" w:eastAsia="Times New Roman" w:hAnsi="Arial" w:cs="Arial"/>
                <w:sz w:val="22"/>
                <w:szCs w:val="22"/>
                <w:lang w:val="es-ES"/>
              </w:rPr>
              <w:t xml:space="preserve"> OP-761 (Política Operativa sobre Igualdad de Género en el Desarrollo), y OP-704 (Política de Gestión del Riesgo de Desastres Naturales) de resultar aplicables.</w:t>
            </w:r>
          </w:p>
        </w:tc>
      </w:tr>
      <w:tr w:rsidR="0045003A" w:rsidRPr="00E17722" w14:paraId="1D082276"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6754C97" w14:textId="5D58B700" w:rsidR="00114E9E" w:rsidRPr="0096502B" w:rsidRDefault="00FA7DCF" w:rsidP="0045003A">
            <w:pPr>
              <w:ind w:right="165"/>
              <w:jc w:val="both"/>
              <w:rPr>
                <w:rFonts w:ascii="Arial" w:hAnsi="Arial" w:cs="Arial"/>
                <w:sz w:val="22"/>
                <w:szCs w:val="22"/>
                <w:lang w:val="es-ES_tradnl"/>
              </w:rPr>
            </w:pPr>
            <w:r w:rsidRPr="00086A4E">
              <w:rPr>
                <w:rFonts w:ascii="Arial" w:eastAsia="Times New Roman" w:hAnsi="Arial" w:cs="Arial"/>
                <w:sz w:val="22"/>
                <w:szCs w:val="22"/>
                <w:shd w:val="clear" w:color="auto" w:fill="FFFFFF"/>
                <w:lang w:val="es-ES"/>
              </w:rPr>
              <w:t>Las operaciones de tipo PBR (con categoría ambiental B13) no tienen requisitos especiales referidos a consultas públicas. Sin embargo, en el contexto del análisis de equivalencia y aceptabilidad desarrollado durante la etapa de preparación de la presente operación fue</w:t>
            </w:r>
            <w:r w:rsidR="00114E9E">
              <w:rPr>
                <w:rFonts w:ascii="Arial" w:eastAsia="Times New Roman" w:hAnsi="Arial" w:cs="Arial"/>
                <w:sz w:val="22"/>
                <w:szCs w:val="22"/>
                <w:shd w:val="clear" w:color="auto" w:fill="FFFFFF"/>
                <w:lang w:val="es-ES"/>
              </w:rPr>
              <w:t>ron</w:t>
            </w:r>
            <w:r w:rsidRPr="00086A4E">
              <w:rPr>
                <w:rFonts w:ascii="Arial" w:eastAsia="Times New Roman" w:hAnsi="Arial" w:cs="Arial"/>
                <w:sz w:val="22"/>
                <w:szCs w:val="22"/>
                <w:shd w:val="clear" w:color="auto" w:fill="FFFFFF"/>
                <w:lang w:val="es-ES"/>
              </w:rPr>
              <w:t xml:space="preserve"> evaluado</w:t>
            </w:r>
            <w:r w:rsidR="00114E9E">
              <w:rPr>
                <w:rFonts w:ascii="Arial" w:eastAsia="Times New Roman" w:hAnsi="Arial" w:cs="Arial"/>
                <w:sz w:val="22"/>
                <w:szCs w:val="22"/>
                <w:shd w:val="clear" w:color="auto" w:fill="FFFFFF"/>
                <w:lang w:val="es-ES"/>
              </w:rPr>
              <w:t>s</w:t>
            </w:r>
            <w:r w:rsidRPr="00086A4E">
              <w:rPr>
                <w:rFonts w:ascii="Arial" w:eastAsia="Times New Roman" w:hAnsi="Arial" w:cs="Arial"/>
                <w:sz w:val="22"/>
                <w:szCs w:val="22"/>
                <w:shd w:val="clear" w:color="auto" w:fill="FFFFFF"/>
                <w:lang w:val="es-ES"/>
              </w:rPr>
              <w:t xml:space="preserve"> los requerimientos y procedimientos de consultas públicas existentes en los sectores involucradas en el programa. Por otra parte, las actividades a ser financiadas fueron objeto de un pormenorizado proceso de consultas públicas durante la preparación del </w:t>
            </w:r>
            <w:r w:rsidRPr="00086A4E">
              <w:rPr>
                <w:rFonts w:ascii="Arial" w:hAnsi="Arial" w:cs="Arial"/>
                <w:sz w:val="22"/>
                <w:szCs w:val="22"/>
                <w:lang w:val="es-ES_tradnl"/>
              </w:rPr>
              <w:t>Programa Especial de Ca</w:t>
            </w:r>
            <w:r w:rsidR="0096502B">
              <w:rPr>
                <w:rFonts w:ascii="Arial" w:hAnsi="Arial" w:cs="Arial"/>
                <w:sz w:val="22"/>
                <w:szCs w:val="22"/>
                <w:lang w:val="es-ES_tradnl"/>
              </w:rPr>
              <w:t>mbio Climático (PECC) de México.</w:t>
            </w:r>
          </w:p>
        </w:tc>
      </w:tr>
      <w:tr w:rsidR="0045003A" w:rsidRPr="00E17722" w14:paraId="04F488F4"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5C1EC808" w14:textId="77777777" w:rsidR="0045003A" w:rsidRPr="00086A4E" w:rsidRDefault="0045003A" w:rsidP="0045003A">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t>Divulgación de Información</w:t>
            </w:r>
          </w:p>
          <w:p w14:paraId="4B93ECE9" w14:textId="5166970C" w:rsidR="0045003A" w:rsidRPr="00086A4E" w:rsidRDefault="0045003A" w:rsidP="0045003A">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OP-703 Política de Medio Ambiente y Cumplimiento de Salvaguardias): B.5 (Requisitos de Evaluación y Planes Ambientales);</w:t>
            </w:r>
            <w:r w:rsidR="00114E9E" w:rsidRPr="00114E9E">
              <w:rPr>
                <w:rFonts w:ascii="Arial" w:eastAsia="Times New Roman" w:hAnsi="Arial" w:cs="Arial"/>
                <w:sz w:val="22"/>
                <w:szCs w:val="22"/>
                <w:shd w:val="clear" w:color="auto" w:fill="B8CCE4" w:themeFill="accent1" w:themeFillTint="66"/>
                <w:lang w:val="es-ES"/>
              </w:rPr>
              <w:t xml:space="preserve"> </w:t>
            </w:r>
            <w:r w:rsidRPr="00086A4E">
              <w:rPr>
                <w:rFonts w:ascii="Arial" w:eastAsia="Times New Roman" w:hAnsi="Arial" w:cs="Arial"/>
                <w:sz w:val="22"/>
                <w:szCs w:val="22"/>
                <w:lang w:val="es-ES"/>
              </w:rPr>
              <w:t>OP-102 (Política de Acceso a la Información)</w:t>
            </w:r>
          </w:p>
        </w:tc>
      </w:tr>
      <w:tr w:rsidR="0045003A" w:rsidRPr="00E17722" w14:paraId="3241B7E1"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436B81B" w14:textId="7186914F" w:rsidR="00114E9E" w:rsidRPr="00086A4E" w:rsidRDefault="0045003A" w:rsidP="0045003A">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shd w:val="clear" w:color="auto" w:fill="FFFFFF"/>
                <w:lang w:val="es-ES"/>
              </w:rPr>
              <w:t xml:space="preserve">Acorde con la OP-102, </w:t>
            </w:r>
            <w:r w:rsidR="00FA7DCF" w:rsidRPr="00086A4E">
              <w:rPr>
                <w:rFonts w:ascii="Arial" w:eastAsia="Times New Roman" w:hAnsi="Arial" w:cs="Arial"/>
                <w:sz w:val="22"/>
                <w:szCs w:val="22"/>
                <w:shd w:val="clear" w:color="auto" w:fill="FFFFFF"/>
                <w:lang w:val="es-ES"/>
              </w:rPr>
              <w:t>los resultados del análisis de equivalencia y aceptabilidad de los sistemas de salvaguardias nacionales de los sectores involucrados en el Programa</w:t>
            </w:r>
            <w:r w:rsidRPr="00086A4E">
              <w:rPr>
                <w:rFonts w:ascii="Arial" w:eastAsia="Times New Roman" w:hAnsi="Arial" w:cs="Arial"/>
                <w:sz w:val="22"/>
                <w:szCs w:val="22"/>
                <w:shd w:val="clear" w:color="auto" w:fill="FFFFFF"/>
                <w:lang w:val="es-ES"/>
              </w:rPr>
              <w:t xml:space="preserve"> </w:t>
            </w:r>
            <w:r w:rsidR="00054047" w:rsidRPr="00086A4E">
              <w:rPr>
                <w:rFonts w:ascii="Arial" w:eastAsia="Times New Roman" w:hAnsi="Arial" w:cs="Arial"/>
                <w:sz w:val="22"/>
                <w:szCs w:val="22"/>
                <w:shd w:val="clear" w:color="auto" w:fill="FFFFFF"/>
                <w:lang w:val="es-ES"/>
              </w:rPr>
              <w:t>serán</w:t>
            </w:r>
            <w:r w:rsidRPr="00086A4E">
              <w:rPr>
                <w:rFonts w:ascii="Arial" w:eastAsia="Times New Roman" w:hAnsi="Arial" w:cs="Arial"/>
                <w:sz w:val="22"/>
                <w:szCs w:val="22"/>
                <w:shd w:val="clear" w:color="auto" w:fill="FFFFFF"/>
                <w:lang w:val="es-ES"/>
              </w:rPr>
              <w:t xml:space="preserve"> puestos a disposición del público en el sitio del Banco y del Ejecutor </w:t>
            </w:r>
            <w:r w:rsidR="00054047" w:rsidRPr="00086A4E">
              <w:rPr>
                <w:rFonts w:ascii="Arial" w:eastAsia="Times New Roman" w:hAnsi="Arial" w:cs="Arial"/>
                <w:sz w:val="22"/>
                <w:szCs w:val="22"/>
                <w:shd w:val="clear" w:color="auto" w:fill="FFFFFF"/>
                <w:lang w:val="es-ES"/>
              </w:rPr>
              <w:t>una vez concluidos.</w:t>
            </w:r>
          </w:p>
        </w:tc>
      </w:tr>
      <w:tr w:rsidR="00114E9E" w:rsidRPr="00E17722" w14:paraId="280CAA76"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444741D" w14:textId="77777777" w:rsidR="00114E9E" w:rsidRPr="00BF16C9" w:rsidRDefault="00114E9E" w:rsidP="00114E9E">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Impactos y Riesgos Ambientales y Sociales </w:t>
            </w:r>
            <w:r>
              <w:rPr>
                <w:rFonts w:ascii="Arial" w:eastAsia="Times New Roman" w:hAnsi="Arial" w:cs="Arial"/>
                <w:b/>
                <w:sz w:val="22"/>
                <w:szCs w:val="22"/>
                <w:lang w:val="es-ES"/>
              </w:rPr>
              <w:t>y Medidas de Mitigaci</w:t>
            </w:r>
            <w:r w:rsidRPr="00BF16C9">
              <w:rPr>
                <w:rFonts w:ascii="Arial" w:eastAsia="Times New Roman" w:hAnsi="Arial" w:cs="Arial"/>
                <w:b/>
                <w:sz w:val="22"/>
                <w:szCs w:val="22"/>
                <w:lang w:val="es-ES"/>
              </w:rPr>
              <w:t>ó</w:t>
            </w:r>
            <w:r>
              <w:rPr>
                <w:rFonts w:ascii="Arial" w:eastAsia="Times New Roman" w:hAnsi="Arial" w:cs="Arial"/>
                <w:b/>
                <w:sz w:val="22"/>
                <w:szCs w:val="22"/>
                <w:lang w:val="es-ES"/>
              </w:rPr>
              <w:t>n</w:t>
            </w:r>
          </w:p>
          <w:p w14:paraId="41273BDA" w14:textId="77777777" w:rsidR="00114E9E" w:rsidRDefault="00114E9E" w:rsidP="00114E9E">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(Política de Medio Ambiente y Cumplimiento de Salvaguardias)</w:t>
            </w:r>
            <w:r>
              <w:rPr>
                <w:rFonts w:ascii="Arial" w:eastAsia="Times New Roman" w:hAnsi="Arial" w:cs="Arial"/>
                <w:sz w:val="22"/>
                <w:szCs w:val="22"/>
                <w:lang w:val="es-ES"/>
              </w:rPr>
              <w:t>:</w:t>
            </w:r>
            <w:r w:rsidRPr="00BF16C9">
              <w:rPr>
                <w:rFonts w:ascii="Arial" w:eastAsia="Times New Roman" w:hAnsi="Arial" w:cs="Arial"/>
                <w:sz w:val="22"/>
                <w:szCs w:val="22"/>
                <w:lang w:val="es-ES"/>
              </w:rPr>
              <w:t xml:space="preserve"> </w:t>
            </w:r>
            <w:r w:rsidRPr="00AF42AA">
              <w:rPr>
                <w:rFonts w:ascii="Arial" w:eastAsia="Times New Roman" w:hAnsi="Arial" w:cs="Arial"/>
                <w:sz w:val="22"/>
                <w:szCs w:val="22"/>
                <w:lang w:val="es-ES"/>
              </w:rPr>
              <w:t>B.5 (Requisitos de Evaluación y Planes Ambientales)</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B</w:t>
            </w:r>
            <w:r>
              <w:rPr>
                <w:rFonts w:ascii="Arial" w:eastAsia="Times New Roman" w:hAnsi="Arial" w:cs="Arial"/>
                <w:sz w:val="22"/>
                <w:szCs w:val="22"/>
                <w:lang w:val="es-ES"/>
              </w:rPr>
              <w:t>.</w:t>
            </w:r>
            <w:r w:rsidRPr="00BF16C9">
              <w:rPr>
                <w:rFonts w:ascii="Arial" w:eastAsia="Times New Roman" w:hAnsi="Arial" w:cs="Arial"/>
                <w:sz w:val="22"/>
                <w:szCs w:val="22"/>
                <w:lang w:val="es-ES"/>
              </w:rPr>
              <w:t>8 (Impactos Transfronterizos), B</w:t>
            </w:r>
            <w:r>
              <w:rPr>
                <w:rFonts w:ascii="Arial" w:eastAsia="Times New Roman" w:hAnsi="Arial" w:cs="Arial"/>
                <w:sz w:val="22"/>
                <w:szCs w:val="22"/>
                <w:lang w:val="es-ES"/>
              </w:rPr>
              <w:t>.</w:t>
            </w:r>
            <w:r w:rsidRPr="00BF16C9">
              <w:rPr>
                <w:rFonts w:ascii="Arial" w:eastAsia="Times New Roman" w:hAnsi="Arial" w:cs="Arial"/>
                <w:sz w:val="22"/>
                <w:szCs w:val="22"/>
                <w:lang w:val="es-ES"/>
              </w:rPr>
              <w:t>9 (Hábitats Naturales y Sitios Culturales), B</w:t>
            </w:r>
            <w:r>
              <w:rPr>
                <w:rFonts w:ascii="Arial" w:eastAsia="Times New Roman" w:hAnsi="Arial" w:cs="Arial"/>
                <w:sz w:val="22"/>
                <w:szCs w:val="22"/>
                <w:lang w:val="es-ES"/>
              </w:rPr>
              <w:t>.</w:t>
            </w:r>
            <w:r w:rsidRPr="00BF16C9">
              <w:rPr>
                <w:rFonts w:ascii="Arial" w:eastAsia="Times New Roman" w:hAnsi="Arial" w:cs="Arial"/>
                <w:sz w:val="22"/>
                <w:szCs w:val="22"/>
                <w:lang w:val="es-ES"/>
              </w:rPr>
              <w:t>10 (Materiales Peligrosos), B</w:t>
            </w:r>
            <w:r>
              <w:rPr>
                <w:rFonts w:ascii="Arial" w:eastAsia="Times New Roman" w:hAnsi="Arial" w:cs="Arial"/>
                <w:sz w:val="22"/>
                <w:szCs w:val="22"/>
                <w:lang w:val="es-ES"/>
              </w:rPr>
              <w:t>.</w:t>
            </w:r>
            <w:r w:rsidRPr="00BF16C9">
              <w:rPr>
                <w:rFonts w:ascii="Arial" w:eastAsia="Times New Roman" w:hAnsi="Arial" w:cs="Arial"/>
                <w:sz w:val="22"/>
                <w:szCs w:val="22"/>
                <w:lang w:val="es-ES"/>
              </w:rPr>
              <w:t>11 (Prevención y Reducción de la Contaminación), y B</w:t>
            </w:r>
            <w:r>
              <w:rPr>
                <w:rFonts w:ascii="Arial" w:eastAsia="Times New Roman" w:hAnsi="Arial" w:cs="Arial"/>
                <w:sz w:val="22"/>
                <w:szCs w:val="22"/>
                <w:lang w:val="es-ES"/>
              </w:rPr>
              <w:t>.</w:t>
            </w:r>
            <w:r w:rsidRPr="00BF16C9">
              <w:rPr>
                <w:rFonts w:ascii="Arial" w:eastAsia="Times New Roman" w:hAnsi="Arial" w:cs="Arial"/>
                <w:sz w:val="22"/>
                <w:szCs w:val="22"/>
                <w:lang w:val="es-ES"/>
              </w:rPr>
              <w:t>12 (Proyectos en Construcción)</w:t>
            </w:r>
          </w:p>
          <w:p w14:paraId="192FE055" w14:textId="77777777" w:rsidR="00114E9E" w:rsidRDefault="00114E9E" w:rsidP="00114E9E">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5CBDD0F4" w14:textId="77777777" w:rsidR="00114E9E" w:rsidRDefault="00114E9E" w:rsidP="00114E9E">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790603B1" w14:textId="77777777" w:rsidR="00114E9E" w:rsidRDefault="00114E9E" w:rsidP="00114E9E">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OP-704 (Política de Gestión del Riesgo de Desastres Naturales)</w:t>
            </w:r>
          </w:p>
          <w:p w14:paraId="2AF8DB95" w14:textId="76C8A272" w:rsidR="00114E9E" w:rsidRPr="00086A4E" w:rsidRDefault="00114E9E" w:rsidP="00114E9E">
            <w:pPr>
              <w:ind w:right="165"/>
              <w:jc w:val="both"/>
              <w:rPr>
                <w:rFonts w:ascii="Arial" w:eastAsia="Times New Roman" w:hAnsi="Arial" w:cs="Arial"/>
                <w:b/>
                <w:sz w:val="22"/>
                <w:szCs w:val="22"/>
                <w:lang w:val="es-ES"/>
              </w:rPr>
            </w:pPr>
            <w:r w:rsidRPr="00BF16C9">
              <w:rPr>
                <w:rFonts w:ascii="Arial" w:eastAsia="Times New Roman" w:hAnsi="Arial" w:cs="Arial"/>
                <w:sz w:val="22"/>
                <w:szCs w:val="22"/>
                <w:lang w:val="es-ES"/>
              </w:rPr>
              <w:t>OP-761 (Política Operativa sobre Igualdad de Género en el Desarrollo)</w:t>
            </w:r>
          </w:p>
        </w:tc>
      </w:tr>
      <w:tr w:rsidR="00114E9E" w:rsidRPr="00E17722" w14:paraId="6A2E5D70" w14:textId="77777777" w:rsidTr="00114E9E">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105" w:type="dxa"/>
              <w:bottom w:w="15" w:type="dxa"/>
              <w:right w:w="105" w:type="dxa"/>
            </w:tcMar>
            <w:vAlign w:val="center"/>
          </w:tcPr>
          <w:p w14:paraId="70FAAF0F" w14:textId="5BE44B02" w:rsidR="00A31963" w:rsidRDefault="007670D3" w:rsidP="004171C2">
            <w:pPr>
              <w:spacing w:after="80"/>
              <w:jc w:val="both"/>
              <w:rPr>
                <w:rFonts w:ascii="Arial" w:hAnsi="Arial" w:cs="Arial"/>
                <w:sz w:val="22"/>
                <w:szCs w:val="22"/>
                <w:lang w:val="es-ES_tradnl"/>
              </w:rPr>
            </w:pPr>
            <w:r w:rsidRPr="007670D3">
              <w:rPr>
                <w:rFonts w:ascii="Arial" w:eastAsia="Times New Roman" w:hAnsi="Arial" w:cs="Arial"/>
                <w:sz w:val="22"/>
                <w:szCs w:val="22"/>
                <w:lang w:val="es-ES"/>
              </w:rPr>
              <w:t>Los riesgos ambientales y sociales de la operación fueron categorizados como bajos</w:t>
            </w:r>
            <w:r>
              <w:rPr>
                <w:rFonts w:ascii="Arial" w:eastAsia="Times New Roman" w:hAnsi="Arial" w:cs="Arial"/>
                <w:sz w:val="22"/>
                <w:szCs w:val="22"/>
                <w:lang w:val="es-ES"/>
              </w:rPr>
              <w:t xml:space="preserve">, </w:t>
            </w:r>
            <w:r w:rsidR="00A31963">
              <w:rPr>
                <w:rFonts w:ascii="Arial" w:eastAsia="Times New Roman" w:hAnsi="Arial" w:cs="Arial"/>
                <w:sz w:val="22"/>
                <w:szCs w:val="22"/>
                <w:lang w:val="es-ES"/>
              </w:rPr>
              <w:t>siendo los impactos y riesgos de causa (impactos directos) y contribución (impactos indirectos) muy bajos debido al tipo de actividades que el programa va a financiar. Por tanto, los riesgos se relacionan más con aspectos contextuales y de capacidad institucional y</w:t>
            </w:r>
            <w:r>
              <w:rPr>
                <w:rFonts w:ascii="Arial" w:eastAsia="Times New Roman" w:hAnsi="Arial" w:cs="Arial"/>
                <w:sz w:val="22"/>
                <w:szCs w:val="22"/>
                <w:lang w:val="es-ES"/>
              </w:rPr>
              <w:t xml:space="preserve"> tienen que ver con la </w:t>
            </w:r>
            <w:r w:rsidRPr="007670D3">
              <w:rPr>
                <w:rFonts w:ascii="Arial" w:hAnsi="Arial" w:cs="Arial"/>
                <w:sz w:val="22"/>
                <w:szCs w:val="22"/>
                <w:lang w:val="es-ES_tradnl"/>
              </w:rPr>
              <w:t xml:space="preserve">capacidad administrativa </w:t>
            </w:r>
            <w:r w:rsidR="00A31963">
              <w:rPr>
                <w:rFonts w:ascii="Arial" w:hAnsi="Arial" w:cs="Arial"/>
                <w:sz w:val="22"/>
                <w:szCs w:val="22"/>
                <w:lang w:val="es-ES_tradnl"/>
              </w:rPr>
              <w:t>u</w:t>
            </w:r>
            <w:r w:rsidRPr="007670D3">
              <w:rPr>
                <w:rFonts w:ascii="Arial" w:hAnsi="Arial" w:cs="Arial"/>
                <w:sz w:val="22"/>
                <w:szCs w:val="22"/>
                <w:lang w:val="es-ES_tradnl"/>
              </w:rPr>
              <w:t xml:space="preserve"> operativa</w:t>
            </w:r>
            <w:r w:rsidR="00A31963">
              <w:rPr>
                <w:rFonts w:ascii="Arial" w:hAnsi="Arial" w:cs="Arial"/>
                <w:sz w:val="22"/>
                <w:szCs w:val="22"/>
                <w:lang w:val="es-ES_tradnl"/>
              </w:rPr>
              <w:t xml:space="preserve"> de las instituciones implementadoras para la gestión ambiental y social,</w:t>
            </w:r>
            <w:r w:rsidRPr="007670D3">
              <w:rPr>
                <w:rFonts w:ascii="Arial" w:hAnsi="Arial" w:cs="Arial"/>
                <w:sz w:val="22"/>
                <w:szCs w:val="22"/>
                <w:lang w:val="es-ES_tradnl"/>
              </w:rPr>
              <w:t xml:space="preserve"> </w:t>
            </w:r>
            <w:r w:rsidR="00A31963">
              <w:rPr>
                <w:rFonts w:ascii="Arial" w:hAnsi="Arial" w:cs="Arial"/>
                <w:sz w:val="22"/>
                <w:szCs w:val="22"/>
                <w:lang w:val="es-ES_tradnl"/>
              </w:rPr>
              <w:t>alguna debilidad en el abordaje de</w:t>
            </w:r>
            <w:r w:rsidRPr="007670D3">
              <w:rPr>
                <w:rFonts w:ascii="Arial" w:hAnsi="Arial" w:cs="Arial"/>
                <w:sz w:val="22"/>
                <w:szCs w:val="22"/>
                <w:lang w:val="es-ES_tradnl"/>
              </w:rPr>
              <w:t xml:space="preserve"> temas transversales (sustentabilidad, género, </w:t>
            </w:r>
            <w:r w:rsidR="00A31963">
              <w:rPr>
                <w:rFonts w:ascii="Arial" w:hAnsi="Arial" w:cs="Arial"/>
                <w:sz w:val="22"/>
                <w:szCs w:val="22"/>
                <w:lang w:val="es-ES_tradnl"/>
              </w:rPr>
              <w:t xml:space="preserve">pueblos </w:t>
            </w:r>
            <w:r w:rsidRPr="007670D3">
              <w:rPr>
                <w:rFonts w:ascii="Arial" w:hAnsi="Arial" w:cs="Arial"/>
                <w:sz w:val="22"/>
                <w:szCs w:val="22"/>
                <w:lang w:val="es-ES_tradnl"/>
              </w:rPr>
              <w:t>indígenas, etc.)</w:t>
            </w:r>
            <w:r w:rsidR="00A31963">
              <w:rPr>
                <w:rFonts w:ascii="Arial" w:hAnsi="Arial" w:cs="Arial"/>
                <w:sz w:val="22"/>
                <w:szCs w:val="22"/>
                <w:lang w:val="es-ES_tradnl"/>
              </w:rPr>
              <w:t xml:space="preserve"> y un </w:t>
            </w:r>
            <w:r w:rsidR="00A31963">
              <w:rPr>
                <w:rFonts w:ascii="Arial" w:hAnsi="Arial" w:cs="Arial"/>
                <w:sz w:val="22"/>
                <w:szCs w:val="22"/>
                <w:lang w:val="es-ES_tradnl"/>
              </w:rPr>
              <w:lastRenderedPageBreak/>
              <w:t xml:space="preserve">insuficiente marco normativo y de </w:t>
            </w:r>
            <w:r w:rsidR="00A31963" w:rsidRPr="00A31963">
              <w:rPr>
                <w:rFonts w:ascii="Arial" w:hAnsi="Arial" w:cs="Arial"/>
                <w:sz w:val="22"/>
                <w:szCs w:val="22"/>
                <w:lang w:val="es-ES_tradnl"/>
              </w:rPr>
              <w:t>procedimientos en lo referente a consultas públicas y acceso a la información. También existe cierta posibilidad de que aspectos regionales sobre inseguridad puedan incrementar los riesgos ambient</w:t>
            </w:r>
            <w:r w:rsidR="00A31963">
              <w:rPr>
                <w:rFonts w:ascii="Arial" w:hAnsi="Arial" w:cs="Arial"/>
                <w:sz w:val="22"/>
                <w:szCs w:val="22"/>
                <w:lang w:val="es-ES_tradnl"/>
              </w:rPr>
              <w:t xml:space="preserve">ales y sociales de la actividad y, </w:t>
            </w:r>
            <w:proofErr w:type="gramStart"/>
            <w:r w:rsidR="00A31963">
              <w:rPr>
                <w:rFonts w:ascii="Arial" w:hAnsi="Arial" w:cs="Arial"/>
                <w:sz w:val="22"/>
                <w:szCs w:val="22"/>
                <w:lang w:val="es-ES_tradnl"/>
              </w:rPr>
              <w:t>por</w:t>
            </w:r>
            <w:proofErr w:type="gramEnd"/>
            <w:r w:rsidR="00A31963">
              <w:rPr>
                <w:rFonts w:ascii="Arial" w:hAnsi="Arial" w:cs="Arial"/>
                <w:sz w:val="22"/>
                <w:szCs w:val="22"/>
                <w:lang w:val="es-ES_tradnl"/>
              </w:rPr>
              <w:t xml:space="preserve"> sobre todo, la proba</w:t>
            </w:r>
            <w:r w:rsidR="00A31963" w:rsidRPr="00A31963">
              <w:rPr>
                <w:rFonts w:ascii="Arial" w:hAnsi="Arial" w:cs="Arial"/>
                <w:sz w:val="22"/>
                <w:szCs w:val="22"/>
                <w:lang w:val="es-ES_tradnl"/>
              </w:rPr>
              <w:t xml:space="preserve">bilidad de que la </w:t>
            </w:r>
            <w:r w:rsidR="00A31963">
              <w:rPr>
                <w:rFonts w:ascii="Arial" w:hAnsi="Arial" w:cs="Arial"/>
                <w:sz w:val="22"/>
                <w:szCs w:val="22"/>
                <w:lang w:val="es-ES_tradnl"/>
              </w:rPr>
              <w:t>ocurrencia de</w:t>
            </w:r>
            <w:r w:rsidR="00A31963" w:rsidRPr="00A31963">
              <w:rPr>
                <w:rFonts w:ascii="Arial" w:hAnsi="Arial" w:cs="Arial"/>
                <w:sz w:val="22"/>
                <w:szCs w:val="22"/>
                <w:lang w:val="es-ES_tradnl"/>
              </w:rPr>
              <w:t xml:space="preserve"> desastre</w:t>
            </w:r>
            <w:r w:rsidR="00A31963">
              <w:rPr>
                <w:rFonts w:ascii="Arial" w:hAnsi="Arial" w:cs="Arial"/>
                <w:sz w:val="22"/>
                <w:szCs w:val="22"/>
                <w:lang w:val="es-ES_tradnl"/>
              </w:rPr>
              <w:t>s</w:t>
            </w:r>
            <w:r w:rsidR="00A31963" w:rsidRPr="00A31963">
              <w:rPr>
                <w:rFonts w:ascii="Arial" w:hAnsi="Arial" w:cs="Arial"/>
                <w:sz w:val="22"/>
                <w:szCs w:val="22"/>
                <w:lang w:val="es-ES_tradnl"/>
              </w:rPr>
              <w:t xml:space="preserve"> natural</w:t>
            </w:r>
            <w:r w:rsidR="00A31963">
              <w:rPr>
                <w:rFonts w:ascii="Arial" w:hAnsi="Arial" w:cs="Arial"/>
                <w:sz w:val="22"/>
                <w:szCs w:val="22"/>
                <w:lang w:val="es-ES_tradnl"/>
              </w:rPr>
              <w:t>es</w:t>
            </w:r>
            <w:r w:rsidR="00A31963" w:rsidRPr="00A31963">
              <w:rPr>
                <w:rFonts w:ascii="Arial" w:hAnsi="Arial" w:cs="Arial"/>
                <w:sz w:val="22"/>
                <w:szCs w:val="22"/>
                <w:lang w:val="es-ES_tradnl"/>
              </w:rPr>
              <w:t xml:space="preserve"> pueda incrementar los riesgos ambientales y sociales de la actividad.</w:t>
            </w:r>
          </w:p>
          <w:p w14:paraId="7E825CC8" w14:textId="463A2C69" w:rsidR="00A31963" w:rsidRPr="007670D3" w:rsidRDefault="00A31963" w:rsidP="007670D3">
            <w:pPr>
              <w:spacing w:line="240" w:lineRule="atLeast"/>
              <w:jc w:val="both"/>
              <w:rPr>
                <w:rFonts w:ascii="Arial" w:hAnsi="Arial" w:cs="Arial"/>
                <w:sz w:val="22"/>
                <w:szCs w:val="22"/>
                <w:lang w:val="es-ES_tradnl"/>
              </w:rPr>
            </w:pPr>
            <w:r>
              <w:rPr>
                <w:rFonts w:ascii="Arial" w:hAnsi="Arial" w:cs="Arial"/>
                <w:sz w:val="22"/>
                <w:szCs w:val="22"/>
                <w:lang w:val="es-ES_tradnl"/>
              </w:rPr>
              <w:t>Sin embargo, estos riesgos fueron categorizados como bajos y moderados, fundamentalmente por el tipo de actividad que el programa financiará, que no implican impactos ambientales y sociales</w:t>
            </w:r>
            <w:r w:rsidR="00300A01">
              <w:rPr>
                <w:rFonts w:ascii="Arial" w:hAnsi="Arial" w:cs="Arial"/>
                <w:sz w:val="22"/>
                <w:szCs w:val="22"/>
                <w:lang w:val="es-ES_tradnl"/>
              </w:rPr>
              <w:t xml:space="preserve"> importantes, y, por otra parte, tanto a través del Componente 3 del proyecto como de una Cooperación Técnica (ME-T1361), el Banco financiará actividades de fortalecimiento del organismo ejecutor y las de</w:t>
            </w:r>
            <w:bookmarkStart w:id="0" w:name="_GoBack"/>
            <w:bookmarkEnd w:id="0"/>
            <w:r w:rsidR="00300A01">
              <w:rPr>
                <w:rFonts w:ascii="Arial" w:hAnsi="Arial" w:cs="Arial"/>
                <w:sz w:val="22"/>
                <w:szCs w:val="22"/>
                <w:lang w:val="es-ES_tradnl"/>
              </w:rPr>
              <w:t>más instituciones participantes así como del sistema de monitoreo y verificación de resultados, lo cual disminuye aún más los referidos riesgos.</w:t>
            </w:r>
          </w:p>
        </w:tc>
      </w:tr>
      <w:tr w:rsidR="00114E9E" w:rsidRPr="00E17722" w14:paraId="5157D942"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0808BB9F" w14:textId="77777777" w:rsidR="00114E9E" w:rsidRPr="00BF16C9" w:rsidRDefault="00114E9E" w:rsidP="00114E9E">
            <w:pPr>
              <w:ind w:right="165"/>
              <w:jc w:val="both"/>
              <w:rPr>
                <w:rFonts w:ascii="Arial" w:eastAsia="Times New Roman" w:hAnsi="Arial" w:cs="Arial"/>
                <w:b/>
                <w:sz w:val="22"/>
                <w:szCs w:val="22"/>
                <w:lang w:val="es-ES"/>
              </w:rPr>
            </w:pPr>
            <w:r w:rsidRPr="00BF16C9">
              <w:rPr>
                <w:rFonts w:ascii="Arial" w:eastAsia="Times New Roman" w:hAnsi="Arial" w:cs="Arial"/>
                <w:b/>
                <w:sz w:val="22"/>
                <w:szCs w:val="22"/>
                <w:lang w:val="es-ES"/>
              </w:rPr>
              <w:lastRenderedPageBreak/>
              <w:t xml:space="preserve">Préstamos de Política e Instrumentos Flexibles de Préstamo </w:t>
            </w:r>
          </w:p>
          <w:p w14:paraId="5F3D64FB" w14:textId="52127C28" w:rsidR="00114E9E" w:rsidRPr="00086A4E" w:rsidRDefault="00114E9E" w:rsidP="00114E9E">
            <w:pPr>
              <w:ind w:right="165"/>
              <w:jc w:val="both"/>
              <w:rPr>
                <w:rFonts w:ascii="Arial" w:eastAsia="Times New Roman" w:hAnsi="Arial" w:cs="Arial"/>
                <w:b/>
                <w:sz w:val="22"/>
                <w:szCs w:val="22"/>
                <w:lang w:val="es-ES"/>
              </w:rPr>
            </w:pPr>
            <w:r w:rsidRPr="00BF16C9">
              <w:rPr>
                <w:rFonts w:ascii="Arial" w:eastAsia="Times New Roman" w:hAnsi="Arial" w:cs="Arial"/>
                <w:sz w:val="22"/>
                <w:szCs w:val="22"/>
                <w:lang w:val="es-ES"/>
              </w:rPr>
              <w:t>OP-703 (Política de Medio Ambiente y Cumplimiento de Salvaguardias): B.13 (Préstamos de Política e Instrumentos Flexibles de Préstamo)</w:t>
            </w:r>
          </w:p>
        </w:tc>
      </w:tr>
      <w:tr w:rsidR="00114E9E" w:rsidRPr="00E17722" w14:paraId="2928F3CC" w14:textId="77777777" w:rsidTr="00114E9E">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auto"/>
            <w:tcMar>
              <w:top w:w="15" w:type="dxa"/>
              <w:left w:w="105" w:type="dxa"/>
              <w:bottom w:w="15" w:type="dxa"/>
              <w:right w:w="105" w:type="dxa"/>
            </w:tcMar>
            <w:vAlign w:val="center"/>
          </w:tcPr>
          <w:p w14:paraId="39564F16" w14:textId="6B10B666" w:rsidR="0026710B" w:rsidRPr="004171C2" w:rsidRDefault="0026710B" w:rsidP="004171C2">
            <w:pPr>
              <w:spacing w:after="80"/>
              <w:ind w:right="165"/>
              <w:jc w:val="both"/>
              <w:rPr>
                <w:rFonts w:ascii="Arial" w:eastAsia="Times New Roman" w:hAnsi="Arial" w:cs="Arial"/>
                <w:sz w:val="22"/>
                <w:szCs w:val="22"/>
                <w:lang w:val="es-ES"/>
              </w:rPr>
            </w:pPr>
            <w:r>
              <w:rPr>
                <w:rFonts w:ascii="Arial" w:eastAsia="Times New Roman" w:hAnsi="Arial" w:cs="Arial"/>
                <w:sz w:val="22"/>
                <w:szCs w:val="22"/>
                <w:lang w:val="es-ES"/>
              </w:rPr>
              <w:t xml:space="preserve">El presente proyecto es una operación de modalidad PBR (Préstamo Basado en Resultados), por lo cual es clasificado como de Categoría ambiental B.13. Durante la fase de preparación de la operación fueron evaluados, además de los sistemas nacionales de salvaguardias ambientales y sociales, la capacidad del Organismo Ejecutor (SEMARNAT) y los demás organismos participantes (CONAFOR y CONAVI). Dicho análisis concluyó que todos ellos </w:t>
            </w:r>
            <w:r w:rsidRPr="00BF16C9">
              <w:rPr>
                <w:rFonts w:ascii="Arial" w:eastAsia="Times New Roman" w:hAnsi="Arial" w:cs="Arial"/>
                <w:sz w:val="22"/>
                <w:szCs w:val="22"/>
                <w:shd w:val="clear" w:color="auto" w:fill="FFFFFF"/>
                <w:lang w:val="es-ES"/>
              </w:rPr>
              <w:t>posee</w:t>
            </w:r>
            <w:r>
              <w:rPr>
                <w:rFonts w:ascii="Arial" w:eastAsia="Times New Roman" w:hAnsi="Arial" w:cs="Arial"/>
                <w:sz w:val="22"/>
                <w:szCs w:val="22"/>
                <w:shd w:val="clear" w:color="auto" w:fill="FFFFFF"/>
                <w:lang w:val="es-ES"/>
              </w:rPr>
              <w:t>n</w:t>
            </w:r>
            <w:r w:rsidRPr="00BF16C9">
              <w:rPr>
                <w:rFonts w:ascii="Arial" w:eastAsia="Times New Roman" w:hAnsi="Arial" w:cs="Arial"/>
                <w:sz w:val="22"/>
                <w:szCs w:val="22"/>
                <w:shd w:val="clear" w:color="auto" w:fill="FFFFFF"/>
                <w:lang w:val="es-ES"/>
              </w:rPr>
              <w:t xml:space="preserve"> la capacidad</w:t>
            </w:r>
            <w:r>
              <w:rPr>
                <w:rFonts w:ascii="Arial" w:eastAsia="Times New Roman" w:hAnsi="Arial" w:cs="Arial"/>
                <w:sz w:val="22"/>
                <w:szCs w:val="22"/>
                <w:shd w:val="clear" w:color="auto" w:fill="FFFFFF"/>
                <w:lang w:val="es-ES"/>
              </w:rPr>
              <w:t>, los sistemas y procedimientos para</w:t>
            </w:r>
            <w:r w:rsidRPr="00BF16C9">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 xml:space="preserve">identificar </w:t>
            </w:r>
            <w:r w:rsidRPr="00BF16C9">
              <w:rPr>
                <w:rFonts w:ascii="Arial" w:eastAsia="Times New Roman" w:hAnsi="Arial" w:cs="Arial"/>
                <w:sz w:val="22"/>
                <w:szCs w:val="22"/>
                <w:shd w:val="clear" w:color="auto" w:fill="FFFFFF"/>
                <w:lang w:val="es-ES"/>
              </w:rPr>
              <w:t xml:space="preserve">sistemáticamente y evaluar los impactos y riesgos </w:t>
            </w:r>
            <w:r>
              <w:rPr>
                <w:rFonts w:ascii="Arial" w:eastAsia="Times New Roman" w:hAnsi="Arial" w:cs="Arial"/>
                <w:sz w:val="22"/>
                <w:szCs w:val="22"/>
                <w:shd w:val="clear" w:color="auto" w:fill="FFFFFF"/>
                <w:lang w:val="es-ES"/>
              </w:rPr>
              <w:t>ambientales y sociales</w:t>
            </w:r>
            <w:r w:rsidRPr="00BF16C9">
              <w:rPr>
                <w:rFonts w:ascii="Arial" w:eastAsia="Times New Roman" w:hAnsi="Arial" w:cs="Arial"/>
                <w:sz w:val="22"/>
                <w:szCs w:val="22"/>
                <w:shd w:val="clear" w:color="auto" w:fill="FFFFFF"/>
                <w:lang w:val="es-ES"/>
              </w:rPr>
              <w:t xml:space="preserve"> de </w:t>
            </w:r>
            <w:r>
              <w:rPr>
                <w:rFonts w:ascii="Arial" w:eastAsia="Times New Roman" w:hAnsi="Arial" w:cs="Arial"/>
                <w:sz w:val="22"/>
                <w:szCs w:val="22"/>
                <w:shd w:val="clear" w:color="auto" w:fill="FFFFFF"/>
                <w:lang w:val="es-ES"/>
              </w:rPr>
              <w:t>las actividades a ser financiadas, así como de</w:t>
            </w:r>
            <w:r w:rsidRPr="00BF16C9">
              <w:rPr>
                <w:rFonts w:ascii="Arial" w:eastAsia="Times New Roman" w:hAnsi="Arial" w:cs="Arial"/>
                <w:sz w:val="22"/>
                <w:szCs w:val="22"/>
                <w:shd w:val="clear" w:color="auto" w:fill="FFFFFF"/>
                <w:lang w:val="es-ES"/>
              </w:rPr>
              <w:t xml:space="preserve"> supervisar su gestión e implementación</w:t>
            </w:r>
            <w:r>
              <w:rPr>
                <w:rFonts w:ascii="Arial" w:eastAsia="Times New Roman" w:hAnsi="Arial" w:cs="Arial"/>
                <w:sz w:val="22"/>
                <w:szCs w:val="22"/>
                <w:shd w:val="clear" w:color="auto" w:fill="FFFFFF"/>
                <w:lang w:val="es-ES"/>
              </w:rPr>
              <w:t>.</w:t>
            </w:r>
          </w:p>
          <w:p w14:paraId="02A2406F" w14:textId="0AF4745E" w:rsidR="0026710B" w:rsidRPr="00086A4E" w:rsidRDefault="0026710B" w:rsidP="004171C2">
            <w:pPr>
              <w:spacing w:after="80"/>
              <w:jc w:val="both"/>
              <w:rPr>
                <w:rFonts w:ascii="Arial" w:hAnsi="Arial" w:cs="Arial"/>
                <w:sz w:val="22"/>
                <w:szCs w:val="22"/>
                <w:lang w:val="es-ES_tradnl"/>
              </w:rPr>
            </w:pPr>
            <w:r w:rsidRPr="00086A4E">
              <w:rPr>
                <w:rFonts w:ascii="Arial" w:hAnsi="Arial" w:cs="Arial"/>
                <w:b/>
                <w:i/>
                <w:sz w:val="22"/>
                <w:szCs w:val="22"/>
                <w:lang w:val="es-ES_tradnl"/>
              </w:rPr>
              <w:t>Secretaría de Medio Ambiente y Recursos Naturales (SEMARNAT</w:t>
            </w:r>
            <w:r w:rsidRPr="00086A4E">
              <w:rPr>
                <w:rFonts w:ascii="Arial" w:hAnsi="Arial" w:cs="Arial"/>
                <w:sz w:val="22"/>
                <w:szCs w:val="22"/>
                <w:lang w:val="es-ES_tradnl"/>
              </w:rPr>
              <w:t xml:space="preserve">). Es parte de la Administración Pública Federal (APF) centralizada y cabeza de sector en materia ambiental. Es la encargada de impulsar la protección, restauración y conservación de los ecosistemas y recursos naturales y bienes y servicios ambientales de México, con el fin de propiciar su aprovechamiento y desarrollo sustentable. </w:t>
            </w:r>
          </w:p>
          <w:p w14:paraId="6C9F4DEB" w14:textId="47D03C2D" w:rsidR="0026710B" w:rsidRPr="00086A4E" w:rsidRDefault="0026710B" w:rsidP="004171C2">
            <w:pPr>
              <w:spacing w:after="80"/>
              <w:jc w:val="both"/>
              <w:rPr>
                <w:rFonts w:ascii="Arial" w:hAnsi="Arial" w:cs="Arial"/>
                <w:sz w:val="22"/>
                <w:szCs w:val="22"/>
                <w:lang w:val="es-ES_tradnl"/>
              </w:rPr>
            </w:pPr>
            <w:r w:rsidRPr="00086A4E">
              <w:rPr>
                <w:rFonts w:ascii="Arial" w:hAnsi="Arial" w:cs="Arial"/>
                <w:b/>
                <w:i/>
                <w:sz w:val="22"/>
                <w:szCs w:val="22"/>
                <w:lang w:val="es-ES_tradnl"/>
              </w:rPr>
              <w:t>Comisión Nacional Forestal (CONAFOR).</w:t>
            </w:r>
            <w:r w:rsidRPr="00086A4E">
              <w:rPr>
                <w:rFonts w:ascii="Arial" w:hAnsi="Arial" w:cs="Arial"/>
                <w:sz w:val="22"/>
                <w:szCs w:val="22"/>
                <w:lang w:val="es-ES_tradnl"/>
              </w:rPr>
              <w:t xml:space="preserve"> Es un organismo público descentralizado, sectorizado a la SEMARNAT. Cuenta con las atribuciones de: participar en la formulación y aplicación de la política nacional de desarrollo forestal sustentable; participar en la elaboración del programa forestal de carácter estratégico con visión de largo plazo y diseñar, instrumentar y operar en el ámbito de su competencia, estímulos, incentivos e instrumentos económicos en materia forestal, entre otras. </w:t>
            </w:r>
          </w:p>
          <w:p w14:paraId="77C696DF" w14:textId="7DA32CD8" w:rsidR="0026710B" w:rsidRPr="00086A4E" w:rsidRDefault="0026710B" w:rsidP="0026710B">
            <w:pPr>
              <w:pStyle w:val="Heading4"/>
              <w:numPr>
                <w:ilvl w:val="0"/>
                <w:numId w:val="0"/>
              </w:numPr>
              <w:spacing w:before="0"/>
              <w:rPr>
                <w:rFonts w:cs="Arial"/>
                <w:sz w:val="22"/>
                <w:szCs w:val="22"/>
                <w:lang w:val="es-ES_tradnl"/>
              </w:rPr>
            </w:pPr>
            <w:r w:rsidRPr="00086A4E">
              <w:rPr>
                <w:rFonts w:cs="Arial"/>
                <w:b/>
                <w:i/>
                <w:sz w:val="22"/>
                <w:szCs w:val="22"/>
                <w:u w:val="none"/>
              </w:rPr>
              <w:t>Programa Nacional Forestal (PRONAFOR).</w:t>
            </w:r>
            <w:r w:rsidRPr="00086A4E">
              <w:rPr>
                <w:rFonts w:cs="Arial"/>
                <w:sz w:val="22"/>
                <w:szCs w:val="22"/>
                <w:u w:val="none"/>
              </w:rPr>
              <w:t xml:space="preserve"> </w:t>
            </w:r>
            <w:r w:rsidRPr="00086A4E">
              <w:rPr>
                <w:rFonts w:cs="Arial"/>
                <w:sz w:val="22"/>
                <w:szCs w:val="22"/>
                <w:u w:val="none"/>
                <w:lang w:val="es-ES_tradnl"/>
              </w:rPr>
              <w:t xml:space="preserve">La CONAFOR está a cargo de la ejecución y seguimiento de las líneas de acción identificadas; para lo cual, cuenta con el Programa Nacional Forestal (PRONAFOR), en donde se incluyen las acciones y actividades que le permiten atender las líneas de acción a su cargo. El PRONAFOR tiene como objetivo general el de contribuir a que la superficie forestal y preferentemente forestal de México cuente con condiciones habilitadoras desarrolladas para su protección, conservación, restauración y aprovechamiento forestal sustentable, mediante la ejecución de los componentes, conceptos y modalidades de apoyo definidos en las reglas de operación. </w:t>
            </w:r>
          </w:p>
          <w:p w14:paraId="720D42D3" w14:textId="400004C6" w:rsidR="0026710B" w:rsidRPr="00086A4E" w:rsidRDefault="0026710B" w:rsidP="004171C2">
            <w:pPr>
              <w:spacing w:after="80" w:line="240" w:lineRule="atLeast"/>
              <w:jc w:val="both"/>
              <w:rPr>
                <w:rFonts w:ascii="Arial" w:hAnsi="Arial" w:cs="Arial"/>
                <w:sz w:val="22"/>
                <w:szCs w:val="22"/>
                <w:lang w:val="es-ES_tradnl"/>
              </w:rPr>
            </w:pPr>
            <w:r w:rsidRPr="00E73C5D">
              <w:rPr>
                <w:rFonts w:ascii="Arial" w:hAnsi="Arial" w:cs="Arial"/>
                <w:b/>
                <w:i/>
                <w:sz w:val="22"/>
                <w:szCs w:val="22"/>
                <w:lang w:val="es-ES_tradnl"/>
              </w:rPr>
              <w:t>Comisión Nacional de Vivienda (CONAVI).</w:t>
            </w:r>
            <w:r w:rsidRPr="000D5C71">
              <w:rPr>
                <w:rFonts w:ascii="Arial" w:hAnsi="Arial" w:cs="Arial"/>
                <w:b/>
                <w:sz w:val="22"/>
                <w:szCs w:val="22"/>
                <w:lang w:val="es-ES_tradnl"/>
              </w:rPr>
              <w:t xml:space="preserve"> </w:t>
            </w:r>
            <w:r w:rsidRPr="000D5C71">
              <w:rPr>
                <w:rFonts w:ascii="Arial" w:hAnsi="Arial" w:cs="Arial"/>
                <w:sz w:val="22"/>
                <w:szCs w:val="22"/>
                <w:lang w:val="es-ES_tradnl"/>
              </w:rPr>
              <w:t xml:space="preserve">Es la institución del gobierno federal responsable de definir y conducir la política nacional de vivienda; así como, de impulsar los mecanismos para instrumentar y coordinar su ejecución. El programa específico a cargo de la CONAVI que formará parte del Proyecto es el de </w:t>
            </w:r>
            <w:r w:rsidRPr="000D5C71">
              <w:rPr>
                <w:rFonts w:ascii="Arial" w:hAnsi="Arial" w:cs="Arial"/>
                <w:b/>
                <w:sz w:val="22"/>
                <w:szCs w:val="22"/>
                <w:lang w:val="es-ES_tradnl"/>
              </w:rPr>
              <w:t>Acceso al Financiamiento para Soluciones Habitacionales</w:t>
            </w:r>
            <w:r w:rsidRPr="000D5C71">
              <w:rPr>
                <w:rFonts w:ascii="Arial" w:hAnsi="Arial" w:cs="Arial"/>
                <w:sz w:val="22"/>
                <w:szCs w:val="22"/>
                <w:lang w:val="es-ES_tradnl"/>
              </w:rPr>
              <w:t xml:space="preserve">, el cual tiene como objetivo contribuir a que la </w:t>
            </w:r>
            <w:r w:rsidRPr="000D5C71">
              <w:rPr>
                <w:rFonts w:ascii="Arial" w:hAnsi="Arial" w:cs="Arial"/>
                <w:sz w:val="22"/>
                <w:szCs w:val="22"/>
                <w:lang w:val="es-ES_tradnl"/>
              </w:rPr>
              <w:lastRenderedPageBreak/>
              <w:t xml:space="preserve">población de bajos ingresos tenga acceso a una solución habitacional, y se encuentra alineado con el </w:t>
            </w:r>
            <w:r w:rsidRPr="000D5C71">
              <w:rPr>
                <w:rFonts w:ascii="Arial" w:hAnsi="Arial" w:cs="Arial"/>
                <w:b/>
                <w:sz w:val="22"/>
                <w:szCs w:val="22"/>
                <w:lang w:val="es-ES_tradnl"/>
              </w:rPr>
              <w:t>Programa Nacional para la Igualdad de Oportunidades y no Discriminación contra las Mujeres</w:t>
            </w:r>
            <w:r w:rsidRPr="000D5C71">
              <w:rPr>
                <w:rFonts w:ascii="Arial" w:hAnsi="Arial" w:cs="Arial"/>
                <w:sz w:val="22"/>
                <w:szCs w:val="22"/>
                <w:lang w:val="es-ES_tradnl"/>
              </w:rPr>
              <w:t xml:space="preserve">, que tiene como objetivos fortalecer el acceso de las mujeres a la propiedad de la vivienda y promover construcciones y adecuaciones del espacio público garantizando la seguridad de las mujeres, la convivencia familiar y la recreación, entre otros. </w:t>
            </w:r>
          </w:p>
          <w:p w14:paraId="0E0677A7" w14:textId="660CE23D" w:rsidR="0026710B" w:rsidRPr="0096502B" w:rsidRDefault="0026710B" w:rsidP="0096502B">
            <w:pPr>
              <w:spacing w:line="240" w:lineRule="atLeast"/>
              <w:jc w:val="both"/>
              <w:rPr>
                <w:rFonts w:ascii="Arial" w:hAnsi="Arial" w:cs="Arial"/>
                <w:sz w:val="22"/>
                <w:szCs w:val="22"/>
                <w:lang w:val="es-ES_tradnl"/>
              </w:rPr>
            </w:pPr>
            <w:r w:rsidRPr="00086A4E">
              <w:rPr>
                <w:rFonts w:ascii="Arial" w:hAnsi="Arial" w:cs="Arial"/>
                <w:sz w:val="22"/>
                <w:szCs w:val="22"/>
                <w:lang w:val="es-ES_tradnl"/>
              </w:rPr>
              <w:t xml:space="preserve">El </w:t>
            </w:r>
            <w:r w:rsidRPr="00086A4E">
              <w:rPr>
                <w:rFonts w:ascii="Arial" w:hAnsi="Arial" w:cs="Arial"/>
                <w:b/>
                <w:i/>
                <w:sz w:val="22"/>
                <w:szCs w:val="22"/>
                <w:lang w:val="es-ES_tradnl"/>
              </w:rPr>
              <w:t>Programa de Acceso al Financiamiento para Soluciones Habitacionales</w:t>
            </w:r>
            <w:r w:rsidRPr="00086A4E">
              <w:rPr>
                <w:rFonts w:ascii="Arial" w:hAnsi="Arial" w:cs="Arial"/>
                <w:sz w:val="22"/>
                <w:szCs w:val="22"/>
                <w:lang w:val="es-ES_tradnl"/>
              </w:rPr>
              <w:t xml:space="preserve"> tiene como población objetivo a la de bajos ingresos con necesidades de vivienda, que tienen capacidad de obtener financiamiento y que pueden aportar un ahorro previo. Asimismo, identifica como potenciales beneficiarios a las personas físicas cuyo ingreso individual es menor o igual a la línea de bienestar, urbana o rural. Tiene una cobertura nacional y los tipos de subsidios se aplican de acuerdo a las modalidades de</w:t>
            </w:r>
            <w:r w:rsidR="004171C2">
              <w:rPr>
                <w:rFonts w:ascii="Arial" w:hAnsi="Arial" w:cs="Arial"/>
                <w:sz w:val="22"/>
                <w:szCs w:val="22"/>
                <w:lang w:val="es-ES_tradnl"/>
              </w:rPr>
              <w:t>: (</w:t>
            </w:r>
            <w:r w:rsidRPr="00086A4E">
              <w:rPr>
                <w:rFonts w:ascii="Arial" w:hAnsi="Arial" w:cs="Arial"/>
                <w:sz w:val="22"/>
                <w:szCs w:val="22"/>
                <w:lang w:val="es-ES_tradnl"/>
              </w:rPr>
              <w:t xml:space="preserve">i) adquisición de vivienda, nueva o usada; </w:t>
            </w:r>
            <w:r w:rsidR="004171C2">
              <w:rPr>
                <w:rFonts w:ascii="Arial" w:hAnsi="Arial" w:cs="Arial"/>
                <w:sz w:val="22"/>
                <w:szCs w:val="22"/>
                <w:lang w:val="es-ES_tradnl"/>
              </w:rPr>
              <w:t>(</w:t>
            </w:r>
            <w:r w:rsidRPr="00086A4E">
              <w:rPr>
                <w:rFonts w:ascii="Arial" w:hAnsi="Arial" w:cs="Arial"/>
                <w:sz w:val="22"/>
                <w:szCs w:val="22"/>
                <w:lang w:val="es-ES_tradnl"/>
              </w:rPr>
              <w:t xml:space="preserve">ii) ampliación y/o mejoramiento; </w:t>
            </w:r>
            <w:r w:rsidR="004171C2">
              <w:rPr>
                <w:rFonts w:ascii="Arial" w:hAnsi="Arial" w:cs="Arial"/>
                <w:sz w:val="22"/>
                <w:szCs w:val="22"/>
                <w:lang w:val="es-ES_tradnl"/>
              </w:rPr>
              <w:t>(</w:t>
            </w:r>
            <w:r w:rsidRPr="00086A4E">
              <w:rPr>
                <w:rFonts w:ascii="Arial" w:hAnsi="Arial" w:cs="Arial"/>
                <w:sz w:val="22"/>
                <w:szCs w:val="22"/>
                <w:lang w:val="es-ES_tradnl"/>
              </w:rPr>
              <w:t xml:space="preserve">iii) adquisición de lote con servicios; y </w:t>
            </w:r>
            <w:r w:rsidR="004171C2">
              <w:rPr>
                <w:rFonts w:ascii="Arial" w:hAnsi="Arial" w:cs="Arial"/>
                <w:sz w:val="22"/>
                <w:szCs w:val="22"/>
                <w:lang w:val="es-ES_tradnl"/>
              </w:rPr>
              <w:t>(</w:t>
            </w:r>
            <w:r w:rsidRPr="00086A4E">
              <w:rPr>
                <w:rFonts w:ascii="Arial" w:hAnsi="Arial" w:cs="Arial"/>
                <w:sz w:val="22"/>
                <w:szCs w:val="22"/>
                <w:lang w:val="es-ES_tradnl"/>
              </w:rPr>
              <w:t>iv) autoproducción de vivienda. En las reglas de operación del Programa se establece que en ningún caso los subsidios en cualquiera de las modalidades establecidas se podrán destinar a ubicaciones en zona de riesgo.</w:t>
            </w:r>
          </w:p>
        </w:tc>
      </w:tr>
      <w:tr w:rsidR="00114E9E" w:rsidRPr="00E17722" w14:paraId="44CDB7BE"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D8E4DFC" w14:textId="3433F16E" w:rsidR="00114E9E" w:rsidRPr="00086A4E" w:rsidRDefault="00114E9E" w:rsidP="00114E9E">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lastRenderedPageBreak/>
              <w:t>Modo de Vida y Reasentamiento</w:t>
            </w:r>
          </w:p>
          <w:p w14:paraId="47528BE5" w14:textId="77777777" w:rsidR="00114E9E" w:rsidRPr="00086A4E" w:rsidRDefault="00114E9E" w:rsidP="00114E9E">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OP-710 (Política Operativa sobre Reasentamiento Involuntario)</w:t>
            </w:r>
          </w:p>
        </w:tc>
      </w:tr>
      <w:tr w:rsidR="00114E9E" w:rsidRPr="00E17722" w14:paraId="3A09B875"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7C34FD" w14:textId="0E09350E" w:rsidR="00114E9E" w:rsidRPr="0096502B" w:rsidRDefault="00114E9E" w:rsidP="00114E9E">
            <w:pPr>
              <w:ind w:right="18"/>
              <w:jc w:val="both"/>
              <w:rPr>
                <w:rFonts w:ascii="Arial" w:hAnsi="Arial" w:cs="Arial"/>
                <w:sz w:val="22"/>
                <w:szCs w:val="22"/>
                <w:lang w:val="es-ES_tradnl"/>
              </w:rPr>
            </w:pPr>
            <w:r w:rsidRPr="00086A4E">
              <w:rPr>
                <w:rFonts w:ascii="Arial" w:hAnsi="Arial" w:cs="Arial"/>
                <w:sz w:val="22"/>
                <w:szCs w:val="22"/>
                <w:lang w:val="es-ES_tradnl"/>
              </w:rPr>
              <w:t>La presente operación no financiará actividades que requieran del reasentamiento de personas</w:t>
            </w:r>
            <w:r>
              <w:rPr>
                <w:rFonts w:ascii="Arial" w:hAnsi="Arial" w:cs="Arial"/>
                <w:sz w:val="22"/>
                <w:szCs w:val="22"/>
                <w:lang w:val="es-ES_tradnl"/>
              </w:rPr>
              <w:t>,</w:t>
            </w:r>
            <w:r w:rsidRPr="00086A4E">
              <w:rPr>
                <w:rFonts w:ascii="Arial" w:hAnsi="Arial" w:cs="Arial"/>
                <w:sz w:val="22"/>
                <w:szCs w:val="22"/>
                <w:lang w:val="es-ES_tradnl"/>
              </w:rPr>
              <w:t xml:space="preserve"> ni desplazamiento económico.</w:t>
            </w:r>
          </w:p>
        </w:tc>
      </w:tr>
      <w:tr w:rsidR="00114E9E" w:rsidRPr="00E17722" w14:paraId="26255F92"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1F64596" w14:textId="77777777" w:rsidR="00114E9E" w:rsidRPr="00086A4E" w:rsidRDefault="00114E9E" w:rsidP="00114E9E">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t>Pueblos Indígenas</w:t>
            </w:r>
          </w:p>
          <w:p w14:paraId="7FD8403D" w14:textId="4D883C6D" w:rsidR="00114E9E" w:rsidRPr="00086A4E" w:rsidRDefault="00114E9E" w:rsidP="00114E9E">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OP-765 (Política Operativa sobre Pueblos Indígenas)</w:t>
            </w:r>
          </w:p>
        </w:tc>
      </w:tr>
      <w:tr w:rsidR="00114E9E" w:rsidRPr="00E17722" w14:paraId="3B369977"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86664D1" w14:textId="056C86AB" w:rsidR="0026710B" w:rsidRPr="00086A4E" w:rsidRDefault="00114E9E" w:rsidP="00114E9E">
            <w:pPr>
              <w:ind w:right="17"/>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shd w:val="clear" w:color="auto" w:fill="FFFFFF"/>
                <w:lang w:val="es-ES_tradnl"/>
              </w:rPr>
              <w:t>E</w:t>
            </w:r>
            <w:r w:rsidRPr="00086A4E">
              <w:rPr>
                <w:rFonts w:ascii="Arial" w:eastAsia="Times New Roman" w:hAnsi="Arial" w:cs="Arial"/>
                <w:sz w:val="22"/>
                <w:szCs w:val="22"/>
                <w:shd w:val="clear" w:color="auto" w:fill="FFFFFF"/>
                <w:lang w:val="es-ES"/>
              </w:rPr>
              <w:t>n el contexto del análisis de los sistemas nacionales desarrollado durante la etapa de preparación de la presente operación fue</w:t>
            </w:r>
            <w:r w:rsidR="0026710B">
              <w:rPr>
                <w:rFonts w:ascii="Arial" w:eastAsia="Times New Roman" w:hAnsi="Arial" w:cs="Arial"/>
                <w:sz w:val="22"/>
                <w:szCs w:val="22"/>
                <w:shd w:val="clear" w:color="auto" w:fill="FFFFFF"/>
                <w:lang w:val="es-ES"/>
              </w:rPr>
              <w:t>ron</w:t>
            </w:r>
            <w:r w:rsidRPr="00086A4E">
              <w:rPr>
                <w:rFonts w:ascii="Arial" w:eastAsia="Times New Roman" w:hAnsi="Arial" w:cs="Arial"/>
                <w:sz w:val="22"/>
                <w:szCs w:val="22"/>
                <w:shd w:val="clear" w:color="auto" w:fill="FFFFFF"/>
                <w:lang w:val="es-ES"/>
              </w:rPr>
              <w:t xml:space="preserve"> evaluado los requerimientos y procedimientos aplicados por los sistemas nacionales en cuanto a pueblos indígenas</w:t>
            </w:r>
            <w:r w:rsidR="0026710B">
              <w:rPr>
                <w:rFonts w:ascii="Arial" w:eastAsia="Times New Roman" w:hAnsi="Arial" w:cs="Arial"/>
                <w:sz w:val="22"/>
                <w:szCs w:val="22"/>
                <w:shd w:val="clear" w:color="auto" w:fill="FFFFFF"/>
                <w:lang w:val="es-ES"/>
              </w:rPr>
              <w:t xml:space="preserve"> aplicables a las actividades a ser financiadas</w:t>
            </w:r>
            <w:r w:rsidRPr="00086A4E">
              <w:rPr>
                <w:rFonts w:ascii="Arial" w:eastAsia="Times New Roman" w:hAnsi="Arial" w:cs="Arial"/>
                <w:sz w:val="22"/>
                <w:szCs w:val="22"/>
                <w:shd w:val="clear" w:color="auto" w:fill="FFFFFF"/>
                <w:lang w:val="es-ES"/>
              </w:rPr>
              <w:t>, confirmando s</w:t>
            </w:r>
            <w:r w:rsidR="0026710B">
              <w:rPr>
                <w:rFonts w:ascii="Arial" w:eastAsia="Times New Roman" w:hAnsi="Arial" w:cs="Arial"/>
                <w:sz w:val="22"/>
                <w:szCs w:val="22"/>
                <w:shd w:val="clear" w:color="auto" w:fill="FFFFFF"/>
                <w:lang w:val="es-ES"/>
              </w:rPr>
              <w:t>u equivalencia y aceptabilidad.</w:t>
            </w:r>
          </w:p>
        </w:tc>
      </w:tr>
      <w:tr w:rsidR="00114E9E" w:rsidRPr="00E17722" w14:paraId="7BDA4FF9"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8AA4784" w14:textId="0E884BC3" w:rsidR="00114E9E" w:rsidRPr="00086A4E" w:rsidRDefault="00114E9E" w:rsidP="00114E9E">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t>Equidad de Género</w:t>
            </w:r>
            <w:r w:rsidRPr="00086A4E">
              <w:rPr>
                <w:rFonts w:ascii="Arial" w:eastAsia="Times New Roman" w:hAnsi="Arial" w:cs="Arial"/>
                <w:b/>
                <w:sz w:val="22"/>
                <w:szCs w:val="22"/>
                <w:shd w:val="clear" w:color="auto" w:fill="FFFFFF"/>
                <w:lang w:val="es-ES"/>
              </w:rPr>
              <w:t xml:space="preserve"> </w:t>
            </w:r>
          </w:p>
          <w:p w14:paraId="77867242" w14:textId="77777777" w:rsidR="00114E9E" w:rsidRPr="00086A4E" w:rsidRDefault="00114E9E" w:rsidP="00114E9E">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OP-761 (Política Operativa sobre Igualdad de Género en el Desarrollo)</w:t>
            </w:r>
          </w:p>
        </w:tc>
      </w:tr>
      <w:tr w:rsidR="00114E9E" w:rsidRPr="00E17722" w14:paraId="49456F09"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B87F16C" w14:textId="39514A96" w:rsidR="0026710B" w:rsidRPr="00086A4E" w:rsidRDefault="00114E9E" w:rsidP="00114E9E">
            <w:pPr>
              <w:ind w:right="17"/>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shd w:val="clear" w:color="auto" w:fill="FFFFFF"/>
                <w:lang w:val="es-ES_tradnl"/>
              </w:rPr>
              <w:t>E</w:t>
            </w:r>
            <w:r w:rsidRPr="00086A4E">
              <w:rPr>
                <w:rFonts w:ascii="Arial" w:eastAsia="Times New Roman" w:hAnsi="Arial" w:cs="Arial"/>
                <w:sz w:val="22"/>
                <w:szCs w:val="22"/>
                <w:shd w:val="clear" w:color="auto" w:fill="FFFFFF"/>
                <w:lang w:val="es-ES"/>
              </w:rPr>
              <w:t>n el contexto del análisis de los sistemas nacionales desarrollado durante la etapa de preparación de la presente operación</w:t>
            </w:r>
            <w:r w:rsidR="004171C2">
              <w:rPr>
                <w:rFonts w:ascii="Arial" w:eastAsia="Times New Roman" w:hAnsi="Arial" w:cs="Arial"/>
                <w:sz w:val="22"/>
                <w:szCs w:val="22"/>
                <w:shd w:val="clear" w:color="auto" w:fill="FFFFFF"/>
                <w:lang w:val="es-ES"/>
              </w:rPr>
              <w:t>,</w:t>
            </w:r>
            <w:r w:rsidRPr="00086A4E">
              <w:rPr>
                <w:rFonts w:ascii="Arial" w:eastAsia="Times New Roman" w:hAnsi="Arial" w:cs="Arial"/>
                <w:sz w:val="22"/>
                <w:szCs w:val="22"/>
                <w:shd w:val="clear" w:color="auto" w:fill="FFFFFF"/>
                <w:lang w:val="es-ES"/>
              </w:rPr>
              <w:t xml:space="preserve"> fue</w:t>
            </w:r>
            <w:r w:rsidR="0026710B">
              <w:rPr>
                <w:rFonts w:ascii="Arial" w:eastAsia="Times New Roman" w:hAnsi="Arial" w:cs="Arial"/>
                <w:sz w:val="22"/>
                <w:szCs w:val="22"/>
                <w:shd w:val="clear" w:color="auto" w:fill="FFFFFF"/>
                <w:lang w:val="es-ES"/>
              </w:rPr>
              <w:t xml:space="preserve">ron </w:t>
            </w:r>
            <w:r w:rsidRPr="00086A4E">
              <w:rPr>
                <w:rFonts w:ascii="Arial" w:eastAsia="Times New Roman" w:hAnsi="Arial" w:cs="Arial"/>
                <w:sz w:val="22"/>
                <w:szCs w:val="22"/>
                <w:shd w:val="clear" w:color="auto" w:fill="FFFFFF"/>
                <w:lang w:val="es-ES"/>
              </w:rPr>
              <w:t>evaluado</w:t>
            </w:r>
            <w:r w:rsidR="004171C2">
              <w:rPr>
                <w:rFonts w:ascii="Arial" w:eastAsia="Times New Roman" w:hAnsi="Arial" w:cs="Arial"/>
                <w:sz w:val="22"/>
                <w:szCs w:val="22"/>
                <w:shd w:val="clear" w:color="auto" w:fill="FFFFFF"/>
                <w:lang w:val="es-ES"/>
              </w:rPr>
              <w:t>s</w:t>
            </w:r>
            <w:r w:rsidRPr="00086A4E">
              <w:rPr>
                <w:rFonts w:ascii="Arial" w:eastAsia="Times New Roman" w:hAnsi="Arial" w:cs="Arial"/>
                <w:sz w:val="22"/>
                <w:szCs w:val="22"/>
                <w:shd w:val="clear" w:color="auto" w:fill="FFFFFF"/>
                <w:lang w:val="es-ES"/>
              </w:rPr>
              <w:t xml:space="preserve"> los requerimientos y procedimientos aplicados por los sistemas nacionales en cuanto a equidad de género</w:t>
            </w:r>
            <w:r w:rsidR="0026710B">
              <w:rPr>
                <w:rFonts w:ascii="Arial" w:eastAsia="Times New Roman" w:hAnsi="Arial" w:cs="Arial"/>
                <w:sz w:val="22"/>
                <w:szCs w:val="22"/>
                <w:shd w:val="clear" w:color="auto" w:fill="FFFFFF"/>
                <w:lang w:val="es-ES"/>
              </w:rPr>
              <w:t xml:space="preserve"> aplicables a las actividades a ser financiadas</w:t>
            </w:r>
            <w:r w:rsidRPr="00086A4E">
              <w:rPr>
                <w:rFonts w:ascii="Arial" w:eastAsia="Times New Roman" w:hAnsi="Arial" w:cs="Arial"/>
                <w:sz w:val="22"/>
                <w:szCs w:val="22"/>
                <w:shd w:val="clear" w:color="auto" w:fill="FFFFFF"/>
                <w:lang w:val="es-ES"/>
              </w:rPr>
              <w:t xml:space="preserve">, confirmando su equivalencia y aceptabilidad. </w:t>
            </w:r>
          </w:p>
        </w:tc>
      </w:tr>
      <w:tr w:rsidR="00114E9E" w:rsidRPr="00E17722" w14:paraId="0121C856"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7C18BF5" w14:textId="77777777" w:rsidR="00114E9E" w:rsidRPr="00086A4E" w:rsidRDefault="00114E9E" w:rsidP="00114E9E">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t>Gestión del Riesgo de Desastres</w:t>
            </w:r>
            <w:r w:rsidRPr="00086A4E">
              <w:rPr>
                <w:rFonts w:ascii="Arial" w:eastAsia="Times New Roman" w:hAnsi="Arial" w:cs="Arial"/>
                <w:b/>
                <w:sz w:val="22"/>
                <w:szCs w:val="22"/>
                <w:shd w:val="clear" w:color="auto" w:fill="FFFFFF"/>
                <w:lang w:val="es-ES"/>
              </w:rPr>
              <w:t xml:space="preserve"> </w:t>
            </w:r>
          </w:p>
          <w:p w14:paraId="2722E7C2" w14:textId="77777777" w:rsidR="00114E9E" w:rsidRPr="00086A4E" w:rsidRDefault="00114E9E" w:rsidP="00114E9E">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OP-704 (Política de Gestión del Riesgo de Desastres Naturales)</w:t>
            </w:r>
          </w:p>
        </w:tc>
      </w:tr>
      <w:tr w:rsidR="00114E9E" w:rsidRPr="00E17722" w14:paraId="3D309023"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7091677" w14:textId="66028DF6" w:rsidR="00114E9E" w:rsidRPr="00086A4E" w:rsidRDefault="00114E9E" w:rsidP="00114E9E">
            <w:pPr>
              <w:ind w:right="165"/>
              <w:jc w:val="both"/>
              <w:rPr>
                <w:rFonts w:ascii="Arial" w:eastAsia="Times New Roman" w:hAnsi="Arial" w:cs="Arial"/>
                <w:sz w:val="22"/>
                <w:szCs w:val="22"/>
                <w:shd w:val="clear" w:color="auto" w:fill="FFFFFF"/>
                <w:lang w:val="es-ES_tradnl"/>
              </w:rPr>
            </w:pPr>
            <w:r w:rsidRPr="00086A4E">
              <w:rPr>
                <w:rFonts w:ascii="Arial" w:eastAsia="Times New Roman" w:hAnsi="Arial" w:cs="Arial"/>
                <w:sz w:val="22"/>
                <w:szCs w:val="22"/>
                <w:shd w:val="clear" w:color="auto" w:fill="FFFFFF"/>
                <w:lang w:val="es-ES_tradnl"/>
              </w:rPr>
              <w:t>Con respecto a los escenarios de riesgo de desastres naturales de Tipo 1</w:t>
            </w:r>
            <w:r w:rsidRPr="00086A4E">
              <w:rPr>
                <w:rStyle w:val="FootnoteReference"/>
                <w:rFonts w:ascii="Arial" w:eastAsia="Times New Roman" w:hAnsi="Arial" w:cs="Arial"/>
                <w:sz w:val="22"/>
                <w:szCs w:val="22"/>
                <w:shd w:val="clear" w:color="auto" w:fill="FFFFFF"/>
                <w:lang w:val="es-ES_tradnl"/>
              </w:rPr>
              <w:footnoteReference w:id="2"/>
            </w:r>
            <w:r w:rsidRPr="00086A4E">
              <w:rPr>
                <w:rFonts w:ascii="Arial" w:eastAsia="Times New Roman" w:hAnsi="Arial" w:cs="Arial"/>
                <w:sz w:val="22"/>
                <w:szCs w:val="22"/>
                <w:shd w:val="clear" w:color="auto" w:fill="FFFFFF"/>
                <w:lang w:val="es-ES_tradnl"/>
              </w:rPr>
              <w:t xml:space="preserve"> establecidos por la OP-703 y sus Guías, el riesgo de ocurrencia de desastres naturales es considerado moderado.</w:t>
            </w:r>
          </w:p>
          <w:p w14:paraId="2947A924" w14:textId="0C3F5DB8" w:rsidR="00114E9E" w:rsidRPr="00086A4E" w:rsidRDefault="00114E9E" w:rsidP="00114E9E">
            <w:pPr>
              <w:ind w:right="165"/>
              <w:jc w:val="both"/>
              <w:rPr>
                <w:rFonts w:ascii="Arial" w:eastAsia="Times New Roman" w:hAnsi="Arial" w:cs="Arial"/>
                <w:sz w:val="22"/>
                <w:szCs w:val="22"/>
                <w:shd w:val="clear" w:color="auto" w:fill="FFFFFF"/>
                <w:lang w:val="es-ES_tradnl"/>
              </w:rPr>
            </w:pPr>
            <w:r w:rsidRPr="00086A4E">
              <w:rPr>
                <w:rFonts w:ascii="Arial" w:eastAsia="Times New Roman" w:hAnsi="Arial" w:cs="Arial"/>
                <w:sz w:val="22"/>
                <w:szCs w:val="22"/>
                <w:shd w:val="clear" w:color="auto" w:fill="FFFFFF"/>
                <w:lang w:val="es-ES"/>
              </w:rPr>
              <w:t>En cuanto al escenario de riesgo de Tipo 2</w:t>
            </w:r>
            <w:r w:rsidRPr="00086A4E">
              <w:rPr>
                <w:rStyle w:val="FootnoteReference"/>
                <w:rFonts w:ascii="Arial" w:eastAsia="Times New Roman" w:hAnsi="Arial" w:cs="Arial"/>
                <w:sz w:val="22"/>
                <w:szCs w:val="22"/>
                <w:shd w:val="clear" w:color="auto" w:fill="FFFFFF"/>
                <w:lang w:val="es-ES"/>
              </w:rPr>
              <w:footnoteReference w:id="3"/>
            </w:r>
            <w:r w:rsidRPr="00086A4E">
              <w:rPr>
                <w:rFonts w:ascii="Arial" w:eastAsia="Times New Roman" w:hAnsi="Arial" w:cs="Arial"/>
                <w:sz w:val="22"/>
                <w:szCs w:val="22"/>
                <w:shd w:val="clear" w:color="auto" w:fill="FFFFFF"/>
                <w:lang w:val="es-ES"/>
              </w:rPr>
              <w:t xml:space="preserve">, el proyecto no tiene el potencial para exacerbar el riesgo de desastre naturales tanto en cuanto al peligro para vidas humanas, las propiedades, el ambiente o el mismo proyecto. Por el contrario, las actividades a ser financiadas son de adaptación al cambio climático en el marco del </w:t>
            </w:r>
            <w:r w:rsidRPr="00086A4E">
              <w:rPr>
                <w:rFonts w:ascii="Arial" w:hAnsi="Arial" w:cs="Arial"/>
                <w:sz w:val="22"/>
                <w:szCs w:val="22"/>
                <w:lang w:val="es-ES_tradnl"/>
              </w:rPr>
              <w:t>Programa Especial de Cambio Climático (PECC) de México.</w:t>
            </w:r>
          </w:p>
        </w:tc>
      </w:tr>
      <w:tr w:rsidR="00114E9E" w:rsidRPr="00E17722" w:rsidDel="00A11ACD" w14:paraId="402E51A9"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B166230" w14:textId="77777777" w:rsidR="00114E9E" w:rsidRPr="00086A4E" w:rsidRDefault="00114E9E" w:rsidP="00114E9E">
            <w:pPr>
              <w:ind w:right="165"/>
              <w:jc w:val="both"/>
              <w:rPr>
                <w:rFonts w:ascii="Arial" w:eastAsia="Times New Roman" w:hAnsi="Arial" w:cs="Arial"/>
                <w:b/>
                <w:sz w:val="22"/>
                <w:szCs w:val="22"/>
                <w:shd w:val="clear" w:color="auto" w:fill="FFFFFF"/>
                <w:lang w:val="es-ES"/>
              </w:rPr>
            </w:pPr>
            <w:r w:rsidRPr="00086A4E">
              <w:rPr>
                <w:rFonts w:ascii="Arial" w:eastAsia="Times New Roman" w:hAnsi="Arial" w:cs="Arial"/>
                <w:b/>
                <w:sz w:val="22"/>
                <w:szCs w:val="22"/>
                <w:lang w:val="es-ES"/>
              </w:rPr>
              <w:lastRenderedPageBreak/>
              <w:t>Supervisión</w:t>
            </w:r>
          </w:p>
          <w:p w14:paraId="72830537" w14:textId="77777777" w:rsidR="00114E9E" w:rsidRPr="00086A4E" w:rsidRDefault="00114E9E" w:rsidP="00114E9E">
            <w:pPr>
              <w:ind w:right="165"/>
              <w:jc w:val="both"/>
              <w:rPr>
                <w:rFonts w:ascii="Arial" w:eastAsia="Times New Roman" w:hAnsi="Arial" w:cs="Arial"/>
                <w:sz w:val="22"/>
                <w:szCs w:val="22"/>
                <w:lang w:val="es-ES"/>
              </w:rPr>
            </w:pPr>
            <w:r w:rsidRPr="00086A4E">
              <w:rPr>
                <w:rFonts w:ascii="Arial" w:eastAsia="Times New Roman" w:hAnsi="Arial" w:cs="Arial"/>
                <w:sz w:val="22"/>
                <w:szCs w:val="22"/>
                <w:lang w:val="es-ES"/>
              </w:rPr>
              <w:t>OP-703 (Política de Medio Ambiente y Cumplimiento de Salvaguardias): B.5 (Requisitos de Evaluación y Planes Ambientales) y B.7 (Supervisión y Cumplimiento)</w:t>
            </w:r>
          </w:p>
          <w:p w14:paraId="3E707B69" w14:textId="77777777" w:rsidR="00114E9E" w:rsidRPr="00086A4E" w:rsidRDefault="00114E9E" w:rsidP="00114E9E">
            <w:pPr>
              <w:ind w:right="165"/>
              <w:jc w:val="both"/>
              <w:rPr>
                <w:rFonts w:ascii="Arial" w:eastAsia="Times New Roman" w:hAnsi="Arial" w:cs="Arial"/>
                <w:sz w:val="22"/>
                <w:szCs w:val="22"/>
                <w:lang w:val="es-ES"/>
              </w:rPr>
            </w:pPr>
            <w:r w:rsidRPr="00086A4E">
              <w:rPr>
                <w:rFonts w:ascii="Arial" w:eastAsia="Times New Roman" w:hAnsi="Arial" w:cs="Arial"/>
                <w:sz w:val="22"/>
                <w:szCs w:val="22"/>
                <w:lang w:val="es-ES"/>
              </w:rPr>
              <w:t>OP-710 (Política Operativa sobre Reasentamiento Involuntario)</w:t>
            </w:r>
          </w:p>
          <w:p w14:paraId="27C9ED05" w14:textId="7C3B47AD" w:rsidR="00114E9E" w:rsidRPr="00086A4E" w:rsidRDefault="00114E9E" w:rsidP="00114E9E">
            <w:pPr>
              <w:ind w:right="165"/>
              <w:jc w:val="both"/>
              <w:rPr>
                <w:rFonts w:ascii="Arial" w:eastAsia="Times New Roman" w:hAnsi="Arial" w:cs="Arial"/>
                <w:sz w:val="22"/>
                <w:szCs w:val="22"/>
                <w:lang w:val="es-ES"/>
              </w:rPr>
            </w:pPr>
            <w:r w:rsidRPr="00086A4E">
              <w:rPr>
                <w:rFonts w:ascii="Arial" w:eastAsia="Times New Roman" w:hAnsi="Arial" w:cs="Arial"/>
                <w:sz w:val="22"/>
                <w:szCs w:val="22"/>
                <w:lang w:val="es-ES"/>
              </w:rPr>
              <w:t>OP-765 (Política Operativa sobre Pueblos Indígenas)</w:t>
            </w:r>
          </w:p>
          <w:p w14:paraId="5CC7CF33" w14:textId="089699EF" w:rsidR="00114E9E" w:rsidRPr="00086A4E" w:rsidRDefault="00114E9E" w:rsidP="00114E9E">
            <w:pPr>
              <w:ind w:right="165"/>
              <w:jc w:val="both"/>
              <w:rPr>
                <w:rFonts w:ascii="Arial" w:eastAsia="Times New Roman" w:hAnsi="Arial" w:cs="Arial"/>
                <w:sz w:val="22"/>
                <w:szCs w:val="22"/>
                <w:lang w:val="es-ES"/>
              </w:rPr>
            </w:pPr>
            <w:r w:rsidRPr="00086A4E">
              <w:rPr>
                <w:rFonts w:ascii="Arial" w:eastAsia="Times New Roman" w:hAnsi="Arial" w:cs="Arial"/>
                <w:sz w:val="22"/>
                <w:szCs w:val="22"/>
                <w:lang w:val="es-ES"/>
              </w:rPr>
              <w:t>OP-761 (Política Operativa sobre Igualdad de Género en el Desarrollo)</w:t>
            </w:r>
          </w:p>
          <w:p w14:paraId="74C18C3F" w14:textId="7864C119" w:rsidR="00114E9E" w:rsidRPr="00086A4E" w:rsidRDefault="00114E9E" w:rsidP="00114E9E">
            <w:pPr>
              <w:ind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lang w:val="es-ES"/>
              </w:rPr>
              <w:t>OP-704 (Política de Gestión del Riesgo de Desastres Naturales)</w:t>
            </w:r>
          </w:p>
        </w:tc>
      </w:tr>
      <w:tr w:rsidR="00114E9E" w:rsidRPr="00E17722" w:rsidDel="00A11ACD" w14:paraId="45D62897"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1D8D0FD" w14:textId="3DA9B5E4" w:rsidR="00114E9E" w:rsidRPr="00086A4E" w:rsidDel="00A11ACD" w:rsidRDefault="00114E9E" w:rsidP="00114E9E">
            <w:pPr>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shd w:val="clear" w:color="auto" w:fill="FFFFFF"/>
                <w:lang w:val="es-ES"/>
              </w:rPr>
              <w:t xml:space="preserve">Por tratarse de un Préstamo Basado en Resultados (PBR), la gestión ambiental y social de las actividades a ser financiadas por el Programa se ejecutarán en base a los sistemas de salvaguardias ambientales y sociales de México en los sectores involucrados, lo cual ha sido validado por el análisis de equivalencia y aceptabilidad llevado a cabo durante la etapa de preparación de la operación en cumplimiento de la Directiva B.16 de la OP-703. </w:t>
            </w:r>
            <w:r w:rsidRPr="00086A4E">
              <w:rPr>
                <w:rFonts w:ascii="Arial" w:hAnsi="Arial" w:cs="Arial"/>
                <w:sz w:val="22"/>
                <w:szCs w:val="22"/>
                <w:lang w:val="es-ES_tradnl"/>
              </w:rPr>
              <w:t>A los efectos de los desembolsos, se realizará una verificación independiente sobre la consecución de los objetivos, incluyendo el cumplimiento con los sistemas de salvaguardias ambientales y sociales nacionales.</w:t>
            </w:r>
          </w:p>
        </w:tc>
      </w:tr>
      <w:tr w:rsidR="00114E9E" w:rsidRPr="00A872A5" w14:paraId="04C2CD9B" w14:textId="77777777" w:rsidTr="009A2899">
        <w:trPr>
          <w:trHeight w:val="402"/>
        </w:trPr>
        <w:tc>
          <w:tcPr>
            <w:tcW w:w="879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B3964A9" w:rsidR="00114E9E" w:rsidRPr="00086A4E" w:rsidRDefault="00114E9E" w:rsidP="00114E9E">
            <w:pPr>
              <w:rPr>
                <w:rFonts w:ascii="Arial" w:eastAsia="Times New Roman" w:hAnsi="Arial" w:cs="Arial"/>
                <w:b/>
                <w:bCs/>
                <w:sz w:val="22"/>
                <w:szCs w:val="22"/>
                <w:lang w:val="es-ES"/>
              </w:rPr>
            </w:pPr>
            <w:r w:rsidRPr="00086A4E">
              <w:rPr>
                <w:rFonts w:ascii="Arial" w:eastAsia="Times New Roman" w:hAnsi="Arial" w:cs="Arial"/>
                <w:b/>
                <w:bCs/>
                <w:sz w:val="22"/>
                <w:szCs w:val="22"/>
                <w:lang w:val="es-ES"/>
              </w:rPr>
              <w:t xml:space="preserve">Requisitos Legales </w:t>
            </w:r>
          </w:p>
        </w:tc>
      </w:tr>
      <w:tr w:rsidR="00114E9E" w:rsidRPr="00E17722" w14:paraId="75183872" w14:textId="77777777" w:rsidTr="009A2899">
        <w:trPr>
          <w:trHeight w:val="236"/>
        </w:trPr>
        <w:tc>
          <w:tcPr>
            <w:tcW w:w="879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5DCDD07" w14:textId="4C540474" w:rsidR="00114E9E" w:rsidRPr="00086A4E" w:rsidRDefault="00114E9E" w:rsidP="00114E9E">
            <w:pPr>
              <w:pStyle w:val="ListParagraph"/>
              <w:ind w:left="0" w:right="165"/>
              <w:jc w:val="both"/>
              <w:rPr>
                <w:rFonts w:ascii="Arial" w:eastAsia="Times New Roman" w:hAnsi="Arial" w:cs="Arial"/>
                <w:sz w:val="22"/>
                <w:szCs w:val="22"/>
                <w:shd w:val="clear" w:color="auto" w:fill="FFFFFF"/>
                <w:lang w:val="es-ES"/>
              </w:rPr>
            </w:pPr>
            <w:r w:rsidRPr="00086A4E">
              <w:rPr>
                <w:rFonts w:ascii="Arial" w:eastAsia="Times New Roman" w:hAnsi="Arial" w:cs="Arial"/>
                <w:sz w:val="22"/>
                <w:szCs w:val="22"/>
                <w:shd w:val="clear" w:color="auto" w:fill="FFFFFF"/>
                <w:lang w:val="es-ES"/>
              </w:rPr>
              <w:t>En el proceso de ejecución de la presente operación se aplicarán los sistemas nacionales de salvaguardias ambientales y sociales, lo cual será indicado en los documentos de préstamo.</w:t>
            </w:r>
          </w:p>
        </w:tc>
      </w:tr>
    </w:tbl>
    <w:p w14:paraId="30A3986F" w14:textId="4CE8321C" w:rsidR="001C7313" w:rsidRDefault="001C7313"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02D7423A" w14:textId="08DAD109" w:rsidR="0026710B" w:rsidRP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
        </w:rPr>
      </w:pPr>
    </w:p>
    <w:p w14:paraId="5E41AFDE" w14:textId="77777777"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sectPr w:rsidR="0026710B" w:rsidSect="00DA7CA4">
          <w:pgSz w:w="12240" w:h="15840"/>
          <w:pgMar w:top="1440" w:right="1800" w:bottom="1440" w:left="1800" w:header="720" w:footer="720" w:gutter="0"/>
          <w:pgNumType w:fmt="numberInDash" w:start="1"/>
          <w:cols w:space="720"/>
          <w:titlePg/>
          <w:docGrid w:linePitch="360"/>
        </w:sectPr>
      </w:pPr>
    </w:p>
    <w:p w14:paraId="5D04C2F5" w14:textId="17AC150B" w:rsidR="0026710B" w:rsidRPr="004171C2" w:rsidRDefault="00E410FA" w:rsidP="004171C2">
      <w:pPr>
        <w:spacing w:after="80"/>
        <w:jc w:val="center"/>
        <w:rPr>
          <w:rFonts w:ascii="Arial" w:hAnsi="Arial" w:cs="Arial"/>
          <w:b/>
          <w:sz w:val="22"/>
          <w:szCs w:val="20"/>
          <w:lang w:val="es-ES"/>
        </w:rPr>
      </w:pPr>
      <w:r w:rsidRPr="004171C2">
        <w:rPr>
          <w:rFonts w:ascii="Arial" w:hAnsi="Arial" w:cs="Arial"/>
          <w:b/>
          <w:sz w:val="22"/>
          <w:szCs w:val="20"/>
          <w:lang w:val="es-ES"/>
        </w:rPr>
        <w:lastRenderedPageBreak/>
        <w:t>Anexo A: Resumen de Cumplimiento con las Políticas de Salvaguardias del BID</w:t>
      </w:r>
    </w:p>
    <w:tbl>
      <w:tblPr>
        <w:tblStyle w:val="TableGrid"/>
        <w:tblW w:w="13253" w:type="dxa"/>
        <w:tblInd w:w="535" w:type="dxa"/>
        <w:tblLayout w:type="fixed"/>
        <w:tblLook w:val="04A0" w:firstRow="1" w:lastRow="0" w:firstColumn="1" w:lastColumn="0" w:noHBand="0" w:noVBand="1"/>
      </w:tblPr>
      <w:tblGrid>
        <w:gridCol w:w="3240"/>
        <w:gridCol w:w="2700"/>
        <w:gridCol w:w="3600"/>
        <w:gridCol w:w="3713"/>
      </w:tblGrid>
      <w:tr w:rsidR="00E410FA" w:rsidRPr="0096502B" w14:paraId="0277DE68" w14:textId="77777777" w:rsidTr="004171C2">
        <w:trPr>
          <w:trHeight w:val="323"/>
        </w:trPr>
        <w:tc>
          <w:tcPr>
            <w:tcW w:w="3240" w:type="dxa"/>
            <w:shd w:val="clear" w:color="auto" w:fill="95B3D7" w:themeFill="accent1" w:themeFillTint="99"/>
            <w:vAlign w:val="center"/>
          </w:tcPr>
          <w:p w14:paraId="1FAB4C5C" w14:textId="77777777" w:rsidR="00E410FA" w:rsidRPr="0096502B" w:rsidRDefault="00E410FA" w:rsidP="00A31963">
            <w:pPr>
              <w:tabs>
                <w:tab w:val="left" w:pos="3200"/>
              </w:tabs>
              <w:jc w:val="center"/>
              <w:rPr>
                <w:rFonts w:ascii="Arial" w:hAnsi="Arial" w:cs="Arial"/>
                <w:b/>
                <w:sz w:val="18"/>
                <w:szCs w:val="18"/>
                <w:lang w:val="es-ES"/>
              </w:rPr>
            </w:pPr>
            <w:bookmarkStart w:id="1" w:name="_Hlk495936054"/>
            <w:r w:rsidRPr="0096502B">
              <w:rPr>
                <w:rFonts w:ascii="Arial" w:hAnsi="Arial" w:cs="Arial"/>
                <w:b/>
                <w:sz w:val="18"/>
                <w:szCs w:val="18"/>
                <w:lang w:val="es-ES"/>
              </w:rPr>
              <w:t>Políticas / Directrices</w:t>
            </w:r>
          </w:p>
        </w:tc>
        <w:tc>
          <w:tcPr>
            <w:tcW w:w="2700" w:type="dxa"/>
            <w:tcBorders>
              <w:bottom w:val="single" w:sz="4" w:space="0" w:color="auto"/>
            </w:tcBorders>
            <w:shd w:val="clear" w:color="auto" w:fill="95B3D7" w:themeFill="accent1" w:themeFillTint="99"/>
            <w:vAlign w:val="center"/>
          </w:tcPr>
          <w:p w14:paraId="099D36DF" w14:textId="77777777" w:rsidR="00E410FA" w:rsidRPr="0096502B" w:rsidRDefault="00E410FA" w:rsidP="00A31963">
            <w:pPr>
              <w:tabs>
                <w:tab w:val="left" w:pos="3200"/>
              </w:tabs>
              <w:jc w:val="center"/>
              <w:rPr>
                <w:rFonts w:ascii="Arial" w:hAnsi="Arial" w:cs="Arial"/>
                <w:b/>
                <w:sz w:val="18"/>
                <w:szCs w:val="18"/>
                <w:lang w:val="es-ES"/>
              </w:rPr>
            </w:pPr>
            <w:r w:rsidRPr="0096502B">
              <w:rPr>
                <w:rFonts w:ascii="Arial" w:hAnsi="Arial" w:cs="Arial"/>
                <w:b/>
                <w:sz w:val="18"/>
                <w:szCs w:val="18"/>
                <w:lang w:val="es-ES"/>
              </w:rPr>
              <w:t>Aspectos Pertinentes de Políticas / Directrices</w:t>
            </w:r>
          </w:p>
        </w:tc>
        <w:tc>
          <w:tcPr>
            <w:tcW w:w="3600" w:type="dxa"/>
            <w:tcBorders>
              <w:bottom w:val="single" w:sz="4" w:space="0" w:color="auto"/>
            </w:tcBorders>
            <w:shd w:val="clear" w:color="auto" w:fill="95B3D7" w:themeFill="accent1" w:themeFillTint="99"/>
            <w:vAlign w:val="center"/>
          </w:tcPr>
          <w:p w14:paraId="3681B946" w14:textId="06D554BC" w:rsidR="00E410FA" w:rsidRPr="0096502B" w:rsidRDefault="00E410FA" w:rsidP="0096502B">
            <w:pPr>
              <w:tabs>
                <w:tab w:val="left" w:pos="3200"/>
              </w:tabs>
              <w:jc w:val="center"/>
              <w:rPr>
                <w:rFonts w:ascii="Arial" w:hAnsi="Arial" w:cs="Arial"/>
                <w:b/>
                <w:sz w:val="18"/>
                <w:szCs w:val="18"/>
                <w:lang w:val="es-ES"/>
              </w:rPr>
            </w:pPr>
            <w:r w:rsidRPr="0096502B">
              <w:rPr>
                <w:rFonts w:ascii="Arial" w:hAnsi="Arial" w:cs="Arial"/>
                <w:b/>
                <w:sz w:val="18"/>
                <w:szCs w:val="18"/>
                <w:lang w:val="es-ES"/>
              </w:rPr>
              <w:t>Estado de Cumplimiento de Requisitos de Políticas / Directrices y Justificación</w:t>
            </w:r>
          </w:p>
        </w:tc>
        <w:tc>
          <w:tcPr>
            <w:tcW w:w="3713" w:type="dxa"/>
            <w:tcBorders>
              <w:bottom w:val="single" w:sz="4" w:space="0" w:color="auto"/>
            </w:tcBorders>
            <w:shd w:val="clear" w:color="auto" w:fill="95B3D7" w:themeFill="accent1" w:themeFillTint="99"/>
            <w:vAlign w:val="center"/>
          </w:tcPr>
          <w:p w14:paraId="29AD8FF1" w14:textId="77777777" w:rsidR="00E410FA" w:rsidRPr="0096502B" w:rsidRDefault="00E410FA" w:rsidP="00A31963">
            <w:pPr>
              <w:tabs>
                <w:tab w:val="left" w:pos="3200"/>
              </w:tabs>
              <w:jc w:val="center"/>
              <w:rPr>
                <w:rFonts w:ascii="Arial" w:hAnsi="Arial" w:cs="Arial"/>
                <w:b/>
                <w:sz w:val="18"/>
                <w:szCs w:val="18"/>
                <w:lang w:val="es-ES"/>
              </w:rPr>
            </w:pPr>
            <w:r w:rsidRPr="0096502B">
              <w:rPr>
                <w:rFonts w:ascii="Arial" w:hAnsi="Arial" w:cs="Arial"/>
                <w:b/>
                <w:sz w:val="18"/>
                <w:szCs w:val="18"/>
                <w:lang w:val="es-ES"/>
              </w:rPr>
              <w:t>Requisitos / Acciones / Planes</w:t>
            </w:r>
          </w:p>
        </w:tc>
      </w:tr>
      <w:bookmarkEnd w:id="1"/>
      <w:tr w:rsidR="00E410FA" w:rsidRPr="0096502B" w14:paraId="36A13AE3" w14:textId="77777777" w:rsidTr="004171C2">
        <w:trPr>
          <w:trHeight w:val="323"/>
        </w:trPr>
        <w:tc>
          <w:tcPr>
            <w:tcW w:w="13253" w:type="dxa"/>
            <w:gridSpan w:val="4"/>
            <w:shd w:val="clear" w:color="auto" w:fill="D9D9D9" w:themeFill="background1" w:themeFillShade="D9"/>
            <w:vAlign w:val="center"/>
          </w:tcPr>
          <w:p w14:paraId="4B9BE4B1" w14:textId="77777777" w:rsidR="00E410FA" w:rsidRPr="0096502B" w:rsidRDefault="00E410FA" w:rsidP="00A31963">
            <w:pPr>
              <w:tabs>
                <w:tab w:val="left" w:pos="3200"/>
              </w:tabs>
              <w:rPr>
                <w:rFonts w:ascii="Arial" w:hAnsi="Arial" w:cs="Arial"/>
                <w:b/>
                <w:sz w:val="18"/>
                <w:szCs w:val="18"/>
                <w:lang w:val="es-ES"/>
              </w:rPr>
            </w:pPr>
            <w:r w:rsidRPr="0096502B">
              <w:rPr>
                <w:rFonts w:ascii="Arial" w:hAnsi="Arial" w:cs="Arial"/>
                <w:b/>
                <w:sz w:val="18"/>
                <w:szCs w:val="18"/>
                <w:lang w:val="es-ES"/>
              </w:rPr>
              <w:t>OP-703 Política de Medio Ambiente y Cumplimiento de Salvaguardias</w:t>
            </w:r>
          </w:p>
        </w:tc>
      </w:tr>
      <w:tr w:rsidR="00E410FA" w:rsidRPr="0096502B" w14:paraId="4E317632" w14:textId="77777777" w:rsidTr="004171C2">
        <w:trPr>
          <w:trHeight w:val="323"/>
        </w:trPr>
        <w:tc>
          <w:tcPr>
            <w:tcW w:w="3240" w:type="dxa"/>
            <w:shd w:val="clear" w:color="auto" w:fill="D9D9D9" w:themeFill="background1" w:themeFillShade="D9"/>
            <w:vAlign w:val="center"/>
          </w:tcPr>
          <w:p w14:paraId="625CE61D" w14:textId="77777777" w:rsidR="00E410FA" w:rsidRPr="0096502B" w:rsidRDefault="00E410FA" w:rsidP="00A31963">
            <w:pPr>
              <w:tabs>
                <w:tab w:val="left" w:pos="3200"/>
              </w:tabs>
              <w:rPr>
                <w:rFonts w:ascii="Arial" w:hAnsi="Arial" w:cs="Arial"/>
                <w:sz w:val="18"/>
                <w:szCs w:val="18"/>
                <w:lang w:val="es-ES"/>
              </w:rPr>
            </w:pPr>
            <w:r w:rsidRPr="0096502B">
              <w:rPr>
                <w:rFonts w:ascii="Arial" w:hAnsi="Arial" w:cs="Arial"/>
                <w:sz w:val="18"/>
                <w:szCs w:val="18"/>
                <w:lang w:val="es-ES"/>
              </w:rPr>
              <w:t>B.2 Legislación y Regulaciones Nacionales</w:t>
            </w:r>
          </w:p>
        </w:tc>
        <w:tc>
          <w:tcPr>
            <w:tcW w:w="2700" w:type="dxa"/>
            <w:vAlign w:val="center"/>
          </w:tcPr>
          <w:p w14:paraId="20F4C399" w14:textId="16145500"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69008EFC" w14:textId="77777777" w:rsidR="00E410FA" w:rsidRPr="0096502B" w:rsidRDefault="00E410FA" w:rsidP="00A31963">
            <w:pPr>
              <w:tabs>
                <w:tab w:val="left" w:pos="3200"/>
              </w:tabs>
              <w:jc w:val="both"/>
              <w:rPr>
                <w:rFonts w:ascii="Arial" w:hAnsi="Arial" w:cs="Arial"/>
                <w:sz w:val="18"/>
                <w:szCs w:val="18"/>
                <w:lang w:val="es-ES"/>
              </w:rPr>
            </w:pPr>
          </w:p>
        </w:tc>
        <w:tc>
          <w:tcPr>
            <w:tcW w:w="3713" w:type="dxa"/>
          </w:tcPr>
          <w:p w14:paraId="557A418C" w14:textId="77777777" w:rsidR="00E410FA" w:rsidRPr="0096502B" w:rsidRDefault="00E410FA" w:rsidP="00A31963">
            <w:pPr>
              <w:tabs>
                <w:tab w:val="left" w:pos="3200"/>
              </w:tabs>
              <w:jc w:val="both"/>
              <w:rPr>
                <w:rFonts w:ascii="Arial" w:hAnsi="Arial" w:cs="Arial"/>
                <w:sz w:val="18"/>
                <w:szCs w:val="18"/>
                <w:lang w:val="es-ES"/>
              </w:rPr>
            </w:pPr>
          </w:p>
        </w:tc>
      </w:tr>
      <w:tr w:rsidR="00E410FA" w:rsidRPr="0096502B" w14:paraId="43435A1B" w14:textId="77777777" w:rsidTr="004171C2">
        <w:trPr>
          <w:trHeight w:val="323"/>
        </w:trPr>
        <w:tc>
          <w:tcPr>
            <w:tcW w:w="3240" w:type="dxa"/>
            <w:shd w:val="clear" w:color="auto" w:fill="D9D9D9" w:themeFill="background1" w:themeFillShade="D9"/>
            <w:vAlign w:val="center"/>
          </w:tcPr>
          <w:p w14:paraId="5A9029F0" w14:textId="444F1255"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B.3 Pre</w:t>
            </w:r>
            <w:r w:rsidR="003208FA">
              <w:rPr>
                <w:rFonts w:ascii="Arial" w:hAnsi="Arial" w:cs="Arial"/>
                <w:sz w:val="18"/>
                <w:szCs w:val="18"/>
                <w:lang w:val="es-ES"/>
              </w:rPr>
              <w:t>-</w:t>
            </w:r>
            <w:r w:rsidRPr="0096502B">
              <w:rPr>
                <w:rFonts w:ascii="Arial" w:hAnsi="Arial" w:cs="Arial"/>
                <w:sz w:val="18"/>
                <w:szCs w:val="18"/>
                <w:lang w:val="es-ES"/>
              </w:rPr>
              <w:t>evaluación y Clasificación</w:t>
            </w:r>
          </w:p>
        </w:tc>
        <w:tc>
          <w:tcPr>
            <w:tcW w:w="2700" w:type="dxa"/>
            <w:vAlign w:val="center"/>
          </w:tcPr>
          <w:p w14:paraId="67A5CADB" w14:textId="4D66DE9D" w:rsidR="00E410FA" w:rsidRPr="0096502B" w:rsidRDefault="00E410FA" w:rsidP="00E410FA">
            <w:pPr>
              <w:tabs>
                <w:tab w:val="left" w:pos="3200"/>
              </w:tabs>
              <w:jc w:val="both"/>
              <w:rPr>
                <w:rFonts w:ascii="Arial" w:hAnsi="Arial" w:cs="Arial"/>
                <w:sz w:val="18"/>
                <w:szCs w:val="18"/>
                <w:lang w:val="es-ES_tradnl"/>
              </w:rPr>
            </w:pPr>
            <w:r w:rsidRPr="0096502B">
              <w:rPr>
                <w:rFonts w:ascii="Arial" w:hAnsi="Arial" w:cs="Arial"/>
                <w:sz w:val="18"/>
                <w:szCs w:val="18"/>
                <w:lang w:val="es-ES"/>
              </w:rPr>
              <w:t>No aplica (ver B.16)</w:t>
            </w:r>
          </w:p>
        </w:tc>
        <w:tc>
          <w:tcPr>
            <w:tcW w:w="3600" w:type="dxa"/>
          </w:tcPr>
          <w:p w14:paraId="5E641843"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4103A0F9"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0528B2A0" w14:textId="77777777" w:rsidTr="004171C2">
        <w:trPr>
          <w:trHeight w:val="323"/>
        </w:trPr>
        <w:tc>
          <w:tcPr>
            <w:tcW w:w="3240" w:type="dxa"/>
            <w:shd w:val="clear" w:color="auto" w:fill="D9D9D9" w:themeFill="background1" w:themeFillShade="D9"/>
            <w:vAlign w:val="center"/>
          </w:tcPr>
          <w:p w14:paraId="09E49BFF"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B.4 Otros Factores de Riesgo</w:t>
            </w:r>
          </w:p>
        </w:tc>
        <w:tc>
          <w:tcPr>
            <w:tcW w:w="2700" w:type="dxa"/>
            <w:vAlign w:val="center"/>
          </w:tcPr>
          <w:p w14:paraId="2241457A" w14:textId="17917ACD"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3D1329DE"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233A0D9B"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1335444F" w14:textId="77777777" w:rsidTr="004171C2">
        <w:trPr>
          <w:trHeight w:val="323"/>
        </w:trPr>
        <w:tc>
          <w:tcPr>
            <w:tcW w:w="3240" w:type="dxa"/>
            <w:shd w:val="clear" w:color="auto" w:fill="D9D9D9" w:themeFill="background1" w:themeFillShade="D9"/>
            <w:vAlign w:val="center"/>
          </w:tcPr>
          <w:p w14:paraId="05596A43"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B.5 Requisitos de Evaluación y Planes Ambientales</w:t>
            </w:r>
          </w:p>
        </w:tc>
        <w:tc>
          <w:tcPr>
            <w:tcW w:w="2700" w:type="dxa"/>
            <w:vAlign w:val="center"/>
          </w:tcPr>
          <w:p w14:paraId="524E406A" w14:textId="4320CB70"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1F0A0591"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5E844418"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55364107" w14:textId="77777777" w:rsidTr="004171C2">
        <w:trPr>
          <w:trHeight w:val="323"/>
        </w:trPr>
        <w:tc>
          <w:tcPr>
            <w:tcW w:w="3240" w:type="dxa"/>
            <w:shd w:val="clear" w:color="auto" w:fill="D9D9D9" w:themeFill="background1" w:themeFillShade="D9"/>
            <w:vAlign w:val="center"/>
          </w:tcPr>
          <w:p w14:paraId="7D8A3A46"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B.5 Requisitos de Evaluación y Planes Sociales</w:t>
            </w:r>
          </w:p>
        </w:tc>
        <w:tc>
          <w:tcPr>
            <w:tcW w:w="2700" w:type="dxa"/>
            <w:vAlign w:val="center"/>
          </w:tcPr>
          <w:p w14:paraId="3AEA9CBF" w14:textId="5C294DAB"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558C150A"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7A100FAC"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3655F104" w14:textId="77777777" w:rsidTr="004171C2">
        <w:trPr>
          <w:trHeight w:val="323"/>
        </w:trPr>
        <w:tc>
          <w:tcPr>
            <w:tcW w:w="3240" w:type="dxa"/>
            <w:shd w:val="clear" w:color="auto" w:fill="D9D9D9" w:themeFill="background1" w:themeFillShade="D9"/>
            <w:vAlign w:val="center"/>
          </w:tcPr>
          <w:p w14:paraId="1D699A03"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B.6 Consultas (incluyendo consultas con mujeres, indígenas y/o minorías afectadas)</w:t>
            </w:r>
          </w:p>
        </w:tc>
        <w:tc>
          <w:tcPr>
            <w:tcW w:w="2700" w:type="dxa"/>
            <w:vAlign w:val="center"/>
          </w:tcPr>
          <w:p w14:paraId="77463137" w14:textId="37958BFD"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5ADAF9CC"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1DADF9D4"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79BBA341" w14:textId="77777777" w:rsidTr="004171C2">
        <w:trPr>
          <w:trHeight w:val="323"/>
        </w:trPr>
        <w:tc>
          <w:tcPr>
            <w:tcW w:w="3240" w:type="dxa"/>
            <w:shd w:val="clear" w:color="auto" w:fill="D9D9D9" w:themeFill="background1" w:themeFillShade="D9"/>
            <w:vAlign w:val="center"/>
          </w:tcPr>
          <w:p w14:paraId="1A0BE65F"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B.7 Supervisión y Cumplimiento</w:t>
            </w:r>
          </w:p>
        </w:tc>
        <w:tc>
          <w:tcPr>
            <w:tcW w:w="2700" w:type="dxa"/>
            <w:vAlign w:val="center"/>
          </w:tcPr>
          <w:p w14:paraId="55917BAA" w14:textId="7F282DD7"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49420897"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05506EE9"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7D8DA4CD" w14:textId="77777777" w:rsidTr="004171C2">
        <w:trPr>
          <w:trHeight w:val="323"/>
        </w:trPr>
        <w:tc>
          <w:tcPr>
            <w:tcW w:w="3240" w:type="dxa"/>
            <w:shd w:val="clear" w:color="auto" w:fill="D9D9D9" w:themeFill="background1" w:themeFillShade="D9"/>
            <w:vAlign w:val="center"/>
          </w:tcPr>
          <w:p w14:paraId="2E72E0D0"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B.8 Impactos Transfronterizos</w:t>
            </w:r>
          </w:p>
        </w:tc>
        <w:tc>
          <w:tcPr>
            <w:tcW w:w="2700" w:type="dxa"/>
            <w:vAlign w:val="center"/>
          </w:tcPr>
          <w:p w14:paraId="08274A22" w14:textId="43739581"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6653A12A"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315AA58B"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656AC3BC" w14:textId="77777777" w:rsidTr="004171C2">
        <w:trPr>
          <w:trHeight w:val="323"/>
        </w:trPr>
        <w:tc>
          <w:tcPr>
            <w:tcW w:w="3240" w:type="dxa"/>
            <w:shd w:val="clear" w:color="auto" w:fill="D9D9D9" w:themeFill="background1" w:themeFillShade="D9"/>
            <w:vAlign w:val="center"/>
          </w:tcPr>
          <w:p w14:paraId="3DF84E79"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B.9 Hábitats Naturales</w:t>
            </w:r>
          </w:p>
        </w:tc>
        <w:tc>
          <w:tcPr>
            <w:tcW w:w="2700" w:type="dxa"/>
            <w:vAlign w:val="center"/>
          </w:tcPr>
          <w:p w14:paraId="79E7577D" w14:textId="443B4E34"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3B1446F4"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13F2D1E4"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1B3325AC" w14:textId="77777777" w:rsidTr="004171C2">
        <w:trPr>
          <w:trHeight w:val="323"/>
        </w:trPr>
        <w:tc>
          <w:tcPr>
            <w:tcW w:w="3240" w:type="dxa"/>
            <w:shd w:val="clear" w:color="auto" w:fill="D9D9D9" w:themeFill="background1" w:themeFillShade="D9"/>
            <w:vAlign w:val="center"/>
          </w:tcPr>
          <w:p w14:paraId="4BE3EE12"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B.9 Especies Invasivas</w:t>
            </w:r>
          </w:p>
        </w:tc>
        <w:tc>
          <w:tcPr>
            <w:tcW w:w="2700" w:type="dxa"/>
            <w:vAlign w:val="center"/>
          </w:tcPr>
          <w:p w14:paraId="0230FC2A" w14:textId="323400A6"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2C467FA5"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279BB31D"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281BD67D" w14:textId="77777777" w:rsidTr="004171C2">
        <w:trPr>
          <w:trHeight w:val="323"/>
        </w:trPr>
        <w:tc>
          <w:tcPr>
            <w:tcW w:w="3240" w:type="dxa"/>
            <w:shd w:val="clear" w:color="auto" w:fill="D9D9D9" w:themeFill="background1" w:themeFillShade="D9"/>
            <w:vAlign w:val="center"/>
          </w:tcPr>
          <w:p w14:paraId="1438EB90"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B.9 Sitios Culturales</w:t>
            </w:r>
          </w:p>
        </w:tc>
        <w:tc>
          <w:tcPr>
            <w:tcW w:w="2700" w:type="dxa"/>
            <w:vAlign w:val="center"/>
          </w:tcPr>
          <w:p w14:paraId="66B1B001" w14:textId="1009BF64"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49B9F526"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7DFE8406"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15FC59F8" w14:textId="77777777" w:rsidTr="004171C2">
        <w:trPr>
          <w:trHeight w:val="323"/>
        </w:trPr>
        <w:tc>
          <w:tcPr>
            <w:tcW w:w="3240" w:type="dxa"/>
            <w:shd w:val="clear" w:color="auto" w:fill="D9D9D9" w:themeFill="background1" w:themeFillShade="D9"/>
            <w:vAlign w:val="center"/>
          </w:tcPr>
          <w:p w14:paraId="4F003A13"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B.10 Materiales Peligrosos</w:t>
            </w:r>
          </w:p>
        </w:tc>
        <w:tc>
          <w:tcPr>
            <w:tcW w:w="2700" w:type="dxa"/>
            <w:vAlign w:val="center"/>
          </w:tcPr>
          <w:p w14:paraId="56C0BB60" w14:textId="77F7FCEE"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3AE12EDD"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6BCF97B8"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2C99728F" w14:textId="77777777" w:rsidTr="004171C2">
        <w:trPr>
          <w:trHeight w:val="323"/>
        </w:trPr>
        <w:tc>
          <w:tcPr>
            <w:tcW w:w="3240" w:type="dxa"/>
            <w:shd w:val="clear" w:color="auto" w:fill="D9D9D9" w:themeFill="background1" w:themeFillShade="D9"/>
            <w:vAlign w:val="center"/>
          </w:tcPr>
          <w:p w14:paraId="0D1436C5"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B.11 Prevención y Reducción de la Contaminación</w:t>
            </w:r>
          </w:p>
        </w:tc>
        <w:tc>
          <w:tcPr>
            <w:tcW w:w="2700" w:type="dxa"/>
            <w:vAlign w:val="center"/>
          </w:tcPr>
          <w:p w14:paraId="5B85D578" w14:textId="7FAF1DDC"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385B3562"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1E1BD3CF"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02DC7098" w14:textId="77777777" w:rsidTr="004171C2">
        <w:trPr>
          <w:trHeight w:val="323"/>
        </w:trPr>
        <w:tc>
          <w:tcPr>
            <w:tcW w:w="3240" w:type="dxa"/>
            <w:shd w:val="clear" w:color="auto" w:fill="D9D9D9" w:themeFill="background1" w:themeFillShade="D9"/>
            <w:vAlign w:val="center"/>
          </w:tcPr>
          <w:p w14:paraId="15CCA0EF"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B.11 Prevención y Reducción de la Contaminación</w:t>
            </w:r>
          </w:p>
        </w:tc>
        <w:tc>
          <w:tcPr>
            <w:tcW w:w="2700" w:type="dxa"/>
            <w:vAlign w:val="center"/>
          </w:tcPr>
          <w:p w14:paraId="6646A127" w14:textId="778D109D"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3EA13514" w14:textId="05108BFD" w:rsidR="00E410FA" w:rsidRPr="0096502B" w:rsidRDefault="00E410FA" w:rsidP="00E410FA">
            <w:pPr>
              <w:tabs>
                <w:tab w:val="left" w:pos="3200"/>
              </w:tabs>
              <w:jc w:val="both"/>
              <w:rPr>
                <w:rFonts w:ascii="Arial" w:hAnsi="Arial" w:cs="Arial"/>
                <w:sz w:val="18"/>
                <w:szCs w:val="18"/>
                <w:lang w:val="es-ES"/>
              </w:rPr>
            </w:pPr>
          </w:p>
        </w:tc>
        <w:tc>
          <w:tcPr>
            <w:tcW w:w="3713" w:type="dxa"/>
          </w:tcPr>
          <w:p w14:paraId="497E06EC"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0C1159C7" w14:textId="77777777" w:rsidTr="004171C2">
        <w:trPr>
          <w:trHeight w:val="323"/>
        </w:trPr>
        <w:tc>
          <w:tcPr>
            <w:tcW w:w="3240" w:type="dxa"/>
            <w:shd w:val="clear" w:color="auto" w:fill="D9D9D9" w:themeFill="background1" w:themeFillShade="D9"/>
            <w:vAlign w:val="center"/>
          </w:tcPr>
          <w:p w14:paraId="5DD81710"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B.12 Proyectos en Construcción</w:t>
            </w:r>
          </w:p>
        </w:tc>
        <w:tc>
          <w:tcPr>
            <w:tcW w:w="2700" w:type="dxa"/>
            <w:vAlign w:val="center"/>
          </w:tcPr>
          <w:p w14:paraId="45F9A239" w14:textId="1AE89DF8"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14D13449"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38CF8440"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2806D84C" w14:textId="77777777" w:rsidTr="004171C2">
        <w:trPr>
          <w:trHeight w:val="323"/>
        </w:trPr>
        <w:tc>
          <w:tcPr>
            <w:tcW w:w="3240" w:type="dxa"/>
            <w:shd w:val="clear" w:color="auto" w:fill="D9D9D9" w:themeFill="background1" w:themeFillShade="D9"/>
            <w:vAlign w:val="center"/>
          </w:tcPr>
          <w:p w14:paraId="10ADE88F"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B.13 Préstamos de Política e Instrumentos Flexibles de Préstamo</w:t>
            </w:r>
          </w:p>
        </w:tc>
        <w:tc>
          <w:tcPr>
            <w:tcW w:w="2700" w:type="dxa"/>
            <w:vAlign w:val="center"/>
          </w:tcPr>
          <w:p w14:paraId="7ABF7170" w14:textId="237AB714"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Categoría B.13 para préstamos de política</w:t>
            </w:r>
          </w:p>
        </w:tc>
        <w:tc>
          <w:tcPr>
            <w:tcW w:w="3600" w:type="dxa"/>
          </w:tcPr>
          <w:p w14:paraId="1D6FDE6F" w14:textId="3D2500A4" w:rsidR="00E410FA" w:rsidRPr="0096502B" w:rsidRDefault="00E410FA" w:rsidP="00E410FA">
            <w:pPr>
              <w:tabs>
                <w:tab w:val="left" w:pos="3200"/>
              </w:tabs>
              <w:rPr>
                <w:rFonts w:ascii="Arial" w:hAnsi="Arial" w:cs="Arial"/>
                <w:sz w:val="18"/>
                <w:szCs w:val="18"/>
                <w:lang w:val="es-ES"/>
              </w:rPr>
            </w:pPr>
            <w:r w:rsidRPr="0096502B">
              <w:rPr>
                <w:rFonts w:ascii="Arial" w:hAnsi="Arial" w:cs="Arial"/>
                <w:sz w:val="18"/>
                <w:szCs w:val="18"/>
                <w:lang w:val="es-ES"/>
              </w:rPr>
              <w:t>Cumplimiento alcanzado durante la etapa de preparación.</w:t>
            </w:r>
          </w:p>
        </w:tc>
        <w:tc>
          <w:tcPr>
            <w:tcW w:w="3713" w:type="dxa"/>
          </w:tcPr>
          <w:p w14:paraId="67B50ED4" w14:textId="37AF12A3"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El proyecto ha sido categorizado como B.13 por tratarse de un Préstamo Basado en Resultados (PBR) y se han llevado a cabo los análisis de capacidad institucional requeridos por la política para este tipo de proyectos.</w:t>
            </w:r>
          </w:p>
        </w:tc>
      </w:tr>
      <w:tr w:rsidR="00E410FA" w:rsidRPr="0096502B" w14:paraId="252DD680" w14:textId="77777777" w:rsidTr="004171C2">
        <w:trPr>
          <w:trHeight w:val="323"/>
        </w:trPr>
        <w:tc>
          <w:tcPr>
            <w:tcW w:w="3240" w:type="dxa"/>
            <w:shd w:val="clear" w:color="auto" w:fill="D9D9D9" w:themeFill="background1" w:themeFillShade="D9"/>
            <w:vAlign w:val="center"/>
          </w:tcPr>
          <w:p w14:paraId="29A4AA10"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B.14 Préstamos Multifase o Repetidos</w:t>
            </w:r>
          </w:p>
        </w:tc>
        <w:tc>
          <w:tcPr>
            <w:tcW w:w="2700" w:type="dxa"/>
            <w:vAlign w:val="center"/>
          </w:tcPr>
          <w:p w14:paraId="2D1CE21C" w14:textId="752F29D7"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481B0BC9"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50A00006"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01F6CD92" w14:textId="77777777" w:rsidTr="004171C2">
        <w:trPr>
          <w:trHeight w:val="323"/>
        </w:trPr>
        <w:tc>
          <w:tcPr>
            <w:tcW w:w="3240" w:type="dxa"/>
            <w:shd w:val="clear" w:color="auto" w:fill="D9D9D9" w:themeFill="background1" w:themeFillShade="D9"/>
            <w:vAlign w:val="center"/>
          </w:tcPr>
          <w:p w14:paraId="6A8AAAB0"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B.15 Operaciones de Cofinanciamiento</w:t>
            </w:r>
          </w:p>
        </w:tc>
        <w:tc>
          <w:tcPr>
            <w:tcW w:w="2700" w:type="dxa"/>
            <w:vAlign w:val="center"/>
          </w:tcPr>
          <w:p w14:paraId="64C318FF" w14:textId="2D651B70"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2BA2E087"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228C787B" w14:textId="77777777" w:rsidR="00E410FA" w:rsidRPr="0096502B" w:rsidRDefault="00E410FA" w:rsidP="00E410FA">
            <w:pPr>
              <w:tabs>
                <w:tab w:val="left" w:pos="3200"/>
              </w:tabs>
              <w:jc w:val="both"/>
              <w:rPr>
                <w:rFonts w:ascii="Arial" w:hAnsi="Arial" w:cs="Arial"/>
                <w:sz w:val="18"/>
                <w:szCs w:val="18"/>
                <w:lang w:val="es-ES"/>
              </w:rPr>
            </w:pPr>
          </w:p>
        </w:tc>
      </w:tr>
    </w:tbl>
    <w:p w14:paraId="51044D93" w14:textId="5DCBDB58" w:rsidR="004171C2" w:rsidRDefault="004171C2"/>
    <w:p w14:paraId="70AAB6B4" w14:textId="4F0D285F" w:rsidR="004171C2" w:rsidRDefault="004171C2"/>
    <w:p w14:paraId="46D2A159" w14:textId="6EA244F0" w:rsidR="004171C2" w:rsidRDefault="004171C2"/>
    <w:p w14:paraId="623B8F84" w14:textId="3206FC6E" w:rsidR="004171C2" w:rsidRDefault="004171C2"/>
    <w:p w14:paraId="510ED0F1" w14:textId="62CD0FE4" w:rsidR="004171C2" w:rsidRDefault="004171C2"/>
    <w:p w14:paraId="6FE77D49" w14:textId="77777777" w:rsidR="004171C2" w:rsidRDefault="004171C2"/>
    <w:tbl>
      <w:tblPr>
        <w:tblStyle w:val="TableGrid"/>
        <w:tblW w:w="13253" w:type="dxa"/>
        <w:tblInd w:w="535" w:type="dxa"/>
        <w:tblLayout w:type="fixed"/>
        <w:tblLook w:val="04A0" w:firstRow="1" w:lastRow="0" w:firstColumn="1" w:lastColumn="0" w:noHBand="0" w:noVBand="1"/>
      </w:tblPr>
      <w:tblGrid>
        <w:gridCol w:w="3240"/>
        <w:gridCol w:w="2700"/>
        <w:gridCol w:w="3600"/>
        <w:gridCol w:w="3713"/>
      </w:tblGrid>
      <w:tr w:rsidR="004171C2" w:rsidRPr="0096502B" w14:paraId="7F5916FA" w14:textId="77777777" w:rsidTr="00191364">
        <w:trPr>
          <w:trHeight w:val="323"/>
        </w:trPr>
        <w:tc>
          <w:tcPr>
            <w:tcW w:w="3240" w:type="dxa"/>
            <w:shd w:val="clear" w:color="auto" w:fill="95B3D7" w:themeFill="accent1" w:themeFillTint="99"/>
            <w:vAlign w:val="center"/>
          </w:tcPr>
          <w:p w14:paraId="6CC41E0E"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lastRenderedPageBreak/>
              <w:t>Políticas / Directrices</w:t>
            </w:r>
          </w:p>
        </w:tc>
        <w:tc>
          <w:tcPr>
            <w:tcW w:w="2700" w:type="dxa"/>
            <w:tcBorders>
              <w:bottom w:val="single" w:sz="4" w:space="0" w:color="auto"/>
            </w:tcBorders>
            <w:shd w:val="clear" w:color="auto" w:fill="95B3D7" w:themeFill="accent1" w:themeFillTint="99"/>
            <w:vAlign w:val="center"/>
          </w:tcPr>
          <w:p w14:paraId="3AC20369"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t>Aspectos Pertinentes de Políticas / Directrices</w:t>
            </w:r>
          </w:p>
        </w:tc>
        <w:tc>
          <w:tcPr>
            <w:tcW w:w="3600" w:type="dxa"/>
            <w:tcBorders>
              <w:bottom w:val="single" w:sz="4" w:space="0" w:color="auto"/>
            </w:tcBorders>
            <w:shd w:val="clear" w:color="auto" w:fill="95B3D7" w:themeFill="accent1" w:themeFillTint="99"/>
            <w:vAlign w:val="center"/>
          </w:tcPr>
          <w:p w14:paraId="4009A498"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t>Estado de Cumplimiento de Requisitos de Políticas / Directrices y Justificación</w:t>
            </w:r>
          </w:p>
        </w:tc>
        <w:tc>
          <w:tcPr>
            <w:tcW w:w="3713" w:type="dxa"/>
            <w:tcBorders>
              <w:bottom w:val="single" w:sz="4" w:space="0" w:color="auto"/>
            </w:tcBorders>
            <w:shd w:val="clear" w:color="auto" w:fill="95B3D7" w:themeFill="accent1" w:themeFillTint="99"/>
            <w:vAlign w:val="center"/>
          </w:tcPr>
          <w:p w14:paraId="4CFC1FB4"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t>Requisitos / Acciones / Planes</w:t>
            </w:r>
          </w:p>
        </w:tc>
      </w:tr>
      <w:tr w:rsidR="00E410FA" w:rsidRPr="0096502B" w14:paraId="3C87800E" w14:textId="77777777" w:rsidTr="004171C2">
        <w:trPr>
          <w:trHeight w:val="323"/>
        </w:trPr>
        <w:tc>
          <w:tcPr>
            <w:tcW w:w="3240" w:type="dxa"/>
            <w:shd w:val="clear" w:color="auto" w:fill="D9D9D9" w:themeFill="background1" w:themeFillShade="D9"/>
            <w:vAlign w:val="center"/>
          </w:tcPr>
          <w:p w14:paraId="74390711"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B.16 Sistemas Nacionales</w:t>
            </w:r>
          </w:p>
        </w:tc>
        <w:tc>
          <w:tcPr>
            <w:tcW w:w="2700" w:type="dxa"/>
            <w:vAlign w:val="center"/>
          </w:tcPr>
          <w:p w14:paraId="4AD11DC0" w14:textId="5B32F3F3" w:rsidR="00E410FA" w:rsidRPr="0096502B" w:rsidRDefault="00300A01" w:rsidP="00300A01">
            <w:pPr>
              <w:tabs>
                <w:tab w:val="left" w:pos="3200"/>
              </w:tabs>
              <w:rPr>
                <w:rFonts w:ascii="Arial" w:hAnsi="Arial" w:cs="Arial"/>
                <w:sz w:val="18"/>
                <w:szCs w:val="18"/>
                <w:lang w:val="es-ES"/>
              </w:rPr>
            </w:pPr>
            <w:r w:rsidRPr="0096502B">
              <w:rPr>
                <w:rFonts w:ascii="Arial" w:hAnsi="Arial" w:cs="Arial"/>
                <w:bCs/>
                <w:sz w:val="18"/>
                <w:szCs w:val="18"/>
                <w:lang w:val="es-ES_tradnl"/>
              </w:rPr>
              <w:t>E</w:t>
            </w:r>
            <w:r w:rsidRPr="0096502B">
              <w:rPr>
                <w:rFonts w:ascii="Arial" w:hAnsi="Arial" w:cs="Arial"/>
                <w:bCs/>
                <w:color w:val="000000"/>
                <w:sz w:val="18"/>
                <w:szCs w:val="18"/>
                <w:lang w:val="es-ES_tradnl"/>
              </w:rPr>
              <w:t>n el contexto de operaciones individuales, el Banco considerará la utilización de los sistemas de salvaguardias existentes</w:t>
            </w:r>
            <w:r w:rsidRPr="0096502B">
              <w:rPr>
                <w:rFonts w:ascii="Arial" w:hAnsi="Arial" w:cs="Arial"/>
                <w:bCs/>
                <w:color w:val="000000"/>
                <w:position w:val="12"/>
                <w:sz w:val="18"/>
                <w:szCs w:val="18"/>
                <w:vertAlign w:val="superscript"/>
                <w:lang w:val="es-ES_tradnl"/>
              </w:rPr>
              <w:t xml:space="preserve"> </w:t>
            </w:r>
            <w:r w:rsidRPr="0096502B">
              <w:rPr>
                <w:rFonts w:ascii="Arial" w:hAnsi="Arial" w:cs="Arial"/>
                <w:bCs/>
                <w:color w:val="000000"/>
                <w:sz w:val="18"/>
                <w:szCs w:val="18"/>
                <w:lang w:val="es-ES_tradnl"/>
              </w:rPr>
              <w:t>en el país miembro prestatario para identificar y manejar impactos ambientales y sociales</w:t>
            </w:r>
          </w:p>
        </w:tc>
        <w:tc>
          <w:tcPr>
            <w:tcW w:w="3600" w:type="dxa"/>
          </w:tcPr>
          <w:p w14:paraId="536F21FF" w14:textId="2F2AF9BF" w:rsidR="00E410FA" w:rsidRPr="0096502B" w:rsidRDefault="00300A01" w:rsidP="00300A01">
            <w:pPr>
              <w:tabs>
                <w:tab w:val="left" w:pos="3200"/>
              </w:tabs>
              <w:rPr>
                <w:rFonts w:ascii="Arial" w:hAnsi="Arial" w:cs="Arial"/>
                <w:sz w:val="18"/>
                <w:szCs w:val="18"/>
                <w:lang w:val="es-ES"/>
              </w:rPr>
            </w:pPr>
            <w:r w:rsidRPr="0096502B">
              <w:rPr>
                <w:rFonts w:ascii="Arial" w:hAnsi="Arial" w:cs="Arial"/>
                <w:sz w:val="18"/>
                <w:szCs w:val="18"/>
                <w:lang w:val="es-ES"/>
              </w:rPr>
              <w:t xml:space="preserve">Cumplido. Durante el proceso de preparación del PBR se ha llevado a cabo una </w:t>
            </w:r>
            <w:r w:rsidRPr="0096502B">
              <w:rPr>
                <w:rFonts w:ascii="Arial" w:hAnsi="Arial" w:cs="Arial"/>
                <w:sz w:val="18"/>
                <w:szCs w:val="18"/>
                <w:lang w:val="es-ES_tradnl"/>
              </w:rPr>
              <w:t>evaluación de los sistemas nacionales aplicables a las actividades a ser financiadas por el proyecto, a través del cual se ha identificado que los mismos son equivalentes a las políticas ambientales y sociales aplicables y que los procedimientos utilizados por los organismos ejecutores son aceptables para el Banco</w:t>
            </w:r>
          </w:p>
        </w:tc>
        <w:tc>
          <w:tcPr>
            <w:tcW w:w="3713" w:type="dxa"/>
          </w:tcPr>
          <w:p w14:paraId="697805E8" w14:textId="47C8D678" w:rsidR="00E410FA" w:rsidRPr="0096502B" w:rsidRDefault="00300A01" w:rsidP="00300A01">
            <w:pPr>
              <w:tabs>
                <w:tab w:val="left" w:pos="3200"/>
              </w:tabs>
              <w:rPr>
                <w:rFonts w:ascii="Arial" w:hAnsi="Arial" w:cs="Arial"/>
                <w:sz w:val="18"/>
                <w:szCs w:val="18"/>
                <w:lang w:val="es-ES_tradnl"/>
              </w:rPr>
            </w:pPr>
            <w:r w:rsidRPr="0096502B">
              <w:rPr>
                <w:rFonts w:ascii="Arial" w:hAnsi="Arial" w:cs="Arial"/>
                <w:sz w:val="18"/>
                <w:szCs w:val="18"/>
                <w:lang w:val="es-ES"/>
              </w:rPr>
              <w:t>En los Lineamientos Operativos del Programa (LOP)</w:t>
            </w:r>
            <w:r w:rsidR="009A13AE" w:rsidRPr="0096502B">
              <w:rPr>
                <w:rFonts w:ascii="Arial" w:hAnsi="Arial" w:cs="Arial"/>
                <w:sz w:val="18"/>
                <w:szCs w:val="18"/>
                <w:lang w:val="es-ES"/>
              </w:rPr>
              <w:t xml:space="preserve"> </w:t>
            </w:r>
            <w:r w:rsidRPr="0096502B">
              <w:rPr>
                <w:rFonts w:ascii="Arial" w:hAnsi="Arial" w:cs="Arial"/>
                <w:sz w:val="18"/>
                <w:szCs w:val="18"/>
                <w:lang w:val="es-ES"/>
              </w:rPr>
              <w:t xml:space="preserve">se </w:t>
            </w:r>
            <w:r w:rsidR="009A13AE" w:rsidRPr="0096502B">
              <w:rPr>
                <w:rFonts w:ascii="Arial" w:hAnsi="Arial" w:cs="Arial"/>
                <w:sz w:val="18"/>
                <w:szCs w:val="18"/>
                <w:lang w:val="es-ES"/>
              </w:rPr>
              <w:t xml:space="preserve">detallará </w:t>
            </w:r>
            <w:r w:rsidR="009A13AE" w:rsidRPr="0096502B">
              <w:rPr>
                <w:rFonts w:ascii="Arial" w:hAnsi="Arial" w:cs="Arial"/>
                <w:sz w:val="18"/>
                <w:szCs w:val="18"/>
                <w:lang w:val="es-ES_tradnl"/>
              </w:rPr>
              <w:t>el esquema de programación, seguimiento y evaluación de los resultados, las guías operativas del PBR y la descripción detallada de los indicadores de resultados.</w:t>
            </w:r>
          </w:p>
        </w:tc>
      </w:tr>
      <w:tr w:rsidR="00E410FA" w:rsidRPr="0096502B" w14:paraId="2CB1A990" w14:textId="77777777" w:rsidTr="004171C2">
        <w:trPr>
          <w:trHeight w:val="323"/>
        </w:trPr>
        <w:tc>
          <w:tcPr>
            <w:tcW w:w="3240" w:type="dxa"/>
            <w:shd w:val="clear" w:color="auto" w:fill="D9D9D9" w:themeFill="background1" w:themeFillShade="D9"/>
            <w:vAlign w:val="center"/>
          </w:tcPr>
          <w:p w14:paraId="35486CB5"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B.17 Adquisiciones</w:t>
            </w:r>
          </w:p>
        </w:tc>
        <w:tc>
          <w:tcPr>
            <w:tcW w:w="2700" w:type="dxa"/>
            <w:vAlign w:val="center"/>
          </w:tcPr>
          <w:p w14:paraId="367F2A81" w14:textId="27C11196" w:rsidR="00E410FA" w:rsidRPr="0096502B" w:rsidRDefault="00E410FA"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 (ver B.16)</w:t>
            </w:r>
          </w:p>
        </w:tc>
        <w:tc>
          <w:tcPr>
            <w:tcW w:w="3600" w:type="dxa"/>
          </w:tcPr>
          <w:p w14:paraId="478E6D08"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3DF9A166"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66AD8491" w14:textId="77777777" w:rsidTr="004171C2">
        <w:trPr>
          <w:trHeight w:val="323"/>
        </w:trPr>
        <w:tc>
          <w:tcPr>
            <w:tcW w:w="13253" w:type="dxa"/>
            <w:gridSpan w:val="4"/>
            <w:shd w:val="clear" w:color="auto" w:fill="D9D9D9" w:themeFill="background1" w:themeFillShade="D9"/>
            <w:vAlign w:val="center"/>
          </w:tcPr>
          <w:p w14:paraId="36C2B52E"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b/>
                <w:sz w:val="18"/>
                <w:szCs w:val="18"/>
                <w:lang w:val="es-ES"/>
              </w:rPr>
              <w:t>OP-704 Política de Gestión del Riesgo de Desastres Naturales</w:t>
            </w:r>
          </w:p>
        </w:tc>
      </w:tr>
      <w:tr w:rsidR="00E410FA" w:rsidRPr="0096502B" w14:paraId="4740196C" w14:textId="77777777" w:rsidTr="004171C2">
        <w:trPr>
          <w:trHeight w:val="323"/>
        </w:trPr>
        <w:tc>
          <w:tcPr>
            <w:tcW w:w="3240" w:type="dxa"/>
            <w:shd w:val="clear" w:color="auto" w:fill="D9D9D9" w:themeFill="background1" w:themeFillShade="D9"/>
            <w:vAlign w:val="center"/>
          </w:tcPr>
          <w:p w14:paraId="29C3AD3B"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eastAsia="Arial" w:hAnsi="Arial" w:cs="Arial"/>
                <w:sz w:val="18"/>
                <w:szCs w:val="18"/>
                <w:lang w:val="es-ES"/>
              </w:rPr>
              <w:t>A.2 Análisis y gestión de escenario de riesgos tipo 2</w:t>
            </w:r>
            <w:r w:rsidRPr="0096502B">
              <w:rPr>
                <w:rStyle w:val="FootnoteReference"/>
                <w:rFonts w:ascii="Arial" w:eastAsia="Arial" w:hAnsi="Arial" w:cs="Arial"/>
                <w:sz w:val="18"/>
                <w:szCs w:val="18"/>
                <w:lang w:val="es-ES"/>
              </w:rPr>
              <w:footnoteReference w:id="4"/>
            </w:r>
            <w:r w:rsidRPr="0096502B">
              <w:rPr>
                <w:rFonts w:ascii="Arial" w:eastAsia="Arial" w:hAnsi="Arial" w:cs="Arial"/>
                <w:sz w:val="18"/>
                <w:szCs w:val="18"/>
                <w:lang w:val="es-ES"/>
              </w:rPr>
              <w:t>.</w:t>
            </w:r>
          </w:p>
        </w:tc>
        <w:tc>
          <w:tcPr>
            <w:tcW w:w="2700" w:type="dxa"/>
            <w:vAlign w:val="center"/>
          </w:tcPr>
          <w:p w14:paraId="52D98241" w14:textId="0A312094" w:rsidR="00E410FA" w:rsidRPr="0096502B" w:rsidRDefault="009A13AE"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w:t>
            </w:r>
          </w:p>
        </w:tc>
        <w:tc>
          <w:tcPr>
            <w:tcW w:w="3600" w:type="dxa"/>
          </w:tcPr>
          <w:p w14:paraId="7D66DEF0"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6E838988"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0C2E576A" w14:textId="77777777" w:rsidTr="004171C2">
        <w:trPr>
          <w:trHeight w:val="323"/>
        </w:trPr>
        <w:tc>
          <w:tcPr>
            <w:tcW w:w="3240" w:type="dxa"/>
            <w:shd w:val="clear" w:color="auto" w:fill="D9D9D9" w:themeFill="background1" w:themeFillShade="D9"/>
            <w:vAlign w:val="center"/>
          </w:tcPr>
          <w:p w14:paraId="011C172F"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eastAsia="Arial" w:hAnsi="Arial" w:cs="Arial"/>
                <w:sz w:val="18"/>
                <w:szCs w:val="18"/>
                <w:lang w:val="es-ES"/>
              </w:rPr>
              <w:t>A.2 Gestión de contingencia (Plan de respuesta a emergencias, plan de seguridad y salud de la comunidad, plan de higiene y seguridad ocupacional).</w:t>
            </w:r>
          </w:p>
        </w:tc>
        <w:tc>
          <w:tcPr>
            <w:tcW w:w="2700" w:type="dxa"/>
            <w:vAlign w:val="center"/>
          </w:tcPr>
          <w:p w14:paraId="2DB21C79" w14:textId="5C233AAC" w:rsidR="00E410FA" w:rsidRPr="0096502B" w:rsidRDefault="009A13AE"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w:t>
            </w:r>
          </w:p>
        </w:tc>
        <w:tc>
          <w:tcPr>
            <w:tcW w:w="3600" w:type="dxa"/>
          </w:tcPr>
          <w:p w14:paraId="24FB22DB"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5174E2D1" w14:textId="77777777" w:rsidR="00E410FA" w:rsidRPr="0096502B" w:rsidRDefault="00E410FA" w:rsidP="00E410FA">
            <w:pPr>
              <w:tabs>
                <w:tab w:val="left" w:pos="3200"/>
              </w:tabs>
              <w:jc w:val="both"/>
              <w:rPr>
                <w:rFonts w:ascii="Arial" w:hAnsi="Arial" w:cs="Arial"/>
                <w:sz w:val="18"/>
                <w:szCs w:val="18"/>
                <w:lang w:val="es-ES"/>
              </w:rPr>
            </w:pPr>
          </w:p>
        </w:tc>
      </w:tr>
      <w:tr w:rsidR="00E410FA" w:rsidRPr="0096502B" w14:paraId="62AEE0F3" w14:textId="77777777" w:rsidTr="004171C2">
        <w:trPr>
          <w:trHeight w:val="323"/>
        </w:trPr>
        <w:tc>
          <w:tcPr>
            <w:tcW w:w="13253" w:type="dxa"/>
            <w:gridSpan w:val="4"/>
            <w:shd w:val="clear" w:color="auto" w:fill="D9D9D9" w:themeFill="background1" w:themeFillShade="D9"/>
            <w:vAlign w:val="center"/>
          </w:tcPr>
          <w:p w14:paraId="68DC3374"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b/>
                <w:sz w:val="18"/>
                <w:szCs w:val="18"/>
                <w:lang w:val="es-ES"/>
              </w:rPr>
              <w:t>OP-710 Política Operativa sobre Reasentamiento Involuntario</w:t>
            </w:r>
          </w:p>
        </w:tc>
      </w:tr>
      <w:tr w:rsidR="00E410FA" w:rsidRPr="0096502B" w14:paraId="71B95606" w14:textId="77777777" w:rsidTr="004171C2">
        <w:trPr>
          <w:trHeight w:val="323"/>
        </w:trPr>
        <w:tc>
          <w:tcPr>
            <w:tcW w:w="3240" w:type="dxa"/>
            <w:shd w:val="clear" w:color="auto" w:fill="D9D9D9" w:themeFill="background1" w:themeFillShade="D9"/>
            <w:vAlign w:val="center"/>
          </w:tcPr>
          <w:p w14:paraId="69F8B51F"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Minimización del Reasentamiento</w:t>
            </w:r>
          </w:p>
        </w:tc>
        <w:tc>
          <w:tcPr>
            <w:tcW w:w="2700" w:type="dxa"/>
            <w:vAlign w:val="center"/>
          </w:tcPr>
          <w:p w14:paraId="05496738" w14:textId="40DA687D" w:rsidR="00E410FA" w:rsidRPr="0096502B" w:rsidRDefault="009A13AE" w:rsidP="00E410FA">
            <w:pPr>
              <w:tabs>
                <w:tab w:val="left" w:pos="3200"/>
              </w:tabs>
              <w:jc w:val="both"/>
              <w:rPr>
                <w:rFonts w:ascii="Arial" w:hAnsi="Arial" w:cs="Arial"/>
                <w:sz w:val="18"/>
                <w:szCs w:val="18"/>
                <w:lang w:val="es-ES"/>
              </w:rPr>
            </w:pPr>
            <w:r w:rsidRPr="0096502B">
              <w:rPr>
                <w:rFonts w:ascii="Arial" w:hAnsi="Arial" w:cs="Arial"/>
                <w:sz w:val="18"/>
                <w:szCs w:val="18"/>
                <w:lang w:val="es-ES"/>
              </w:rPr>
              <w:t>No aplica</w:t>
            </w:r>
          </w:p>
        </w:tc>
        <w:tc>
          <w:tcPr>
            <w:tcW w:w="3600" w:type="dxa"/>
          </w:tcPr>
          <w:p w14:paraId="6C09739B" w14:textId="77777777" w:rsidR="00E410FA" w:rsidRPr="0096502B" w:rsidRDefault="00E410FA" w:rsidP="00E410FA">
            <w:pPr>
              <w:tabs>
                <w:tab w:val="left" w:pos="3200"/>
              </w:tabs>
              <w:jc w:val="both"/>
              <w:rPr>
                <w:rFonts w:ascii="Arial" w:hAnsi="Arial" w:cs="Arial"/>
                <w:sz w:val="18"/>
                <w:szCs w:val="18"/>
                <w:lang w:val="es-ES"/>
              </w:rPr>
            </w:pPr>
          </w:p>
        </w:tc>
        <w:tc>
          <w:tcPr>
            <w:tcW w:w="3713" w:type="dxa"/>
          </w:tcPr>
          <w:p w14:paraId="41A4FE37" w14:textId="77777777" w:rsidR="00E410FA" w:rsidRPr="0096502B" w:rsidRDefault="00E410FA" w:rsidP="00E410FA">
            <w:pPr>
              <w:tabs>
                <w:tab w:val="left" w:pos="3200"/>
              </w:tabs>
              <w:jc w:val="both"/>
              <w:rPr>
                <w:rFonts w:ascii="Arial" w:hAnsi="Arial" w:cs="Arial"/>
                <w:sz w:val="18"/>
                <w:szCs w:val="18"/>
                <w:lang w:val="es-ES"/>
              </w:rPr>
            </w:pPr>
          </w:p>
        </w:tc>
      </w:tr>
      <w:tr w:rsidR="009A13AE" w:rsidRPr="0096502B" w14:paraId="68EDE471" w14:textId="77777777" w:rsidTr="004171C2">
        <w:trPr>
          <w:trHeight w:val="323"/>
        </w:trPr>
        <w:tc>
          <w:tcPr>
            <w:tcW w:w="3240" w:type="dxa"/>
            <w:shd w:val="clear" w:color="auto" w:fill="D9D9D9" w:themeFill="background1" w:themeFillShade="D9"/>
            <w:vAlign w:val="center"/>
          </w:tcPr>
          <w:p w14:paraId="6E262069" w14:textId="77777777"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Consultas del Plan de Reasentamiento</w:t>
            </w:r>
          </w:p>
        </w:tc>
        <w:tc>
          <w:tcPr>
            <w:tcW w:w="2700" w:type="dxa"/>
            <w:vAlign w:val="center"/>
          </w:tcPr>
          <w:p w14:paraId="47B63C47" w14:textId="5271EAFA" w:rsidR="009A13AE" w:rsidRPr="0096502B" w:rsidRDefault="009A13AE" w:rsidP="009A13AE">
            <w:pPr>
              <w:tabs>
                <w:tab w:val="left" w:pos="3200"/>
              </w:tabs>
              <w:jc w:val="both"/>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35334B6E" w14:textId="77777777" w:rsidR="009A13AE" w:rsidRPr="0096502B" w:rsidRDefault="009A13AE" w:rsidP="009A13AE">
            <w:pPr>
              <w:tabs>
                <w:tab w:val="left" w:pos="3200"/>
              </w:tabs>
              <w:jc w:val="both"/>
              <w:rPr>
                <w:rFonts w:ascii="Arial" w:hAnsi="Arial" w:cs="Arial"/>
                <w:sz w:val="18"/>
                <w:szCs w:val="18"/>
                <w:lang w:val="es-ES"/>
              </w:rPr>
            </w:pPr>
          </w:p>
        </w:tc>
        <w:tc>
          <w:tcPr>
            <w:tcW w:w="3713" w:type="dxa"/>
          </w:tcPr>
          <w:p w14:paraId="0BE19A6C" w14:textId="77777777" w:rsidR="009A13AE" w:rsidRPr="0096502B" w:rsidRDefault="009A13AE" w:rsidP="009A13AE">
            <w:pPr>
              <w:tabs>
                <w:tab w:val="left" w:pos="3200"/>
              </w:tabs>
              <w:jc w:val="both"/>
              <w:rPr>
                <w:rFonts w:ascii="Arial" w:hAnsi="Arial" w:cs="Arial"/>
                <w:sz w:val="18"/>
                <w:szCs w:val="18"/>
                <w:lang w:val="es-ES"/>
              </w:rPr>
            </w:pPr>
          </w:p>
        </w:tc>
      </w:tr>
      <w:tr w:rsidR="009A13AE" w:rsidRPr="0096502B" w14:paraId="57566BD9" w14:textId="77777777" w:rsidTr="004171C2">
        <w:trPr>
          <w:trHeight w:val="323"/>
        </w:trPr>
        <w:tc>
          <w:tcPr>
            <w:tcW w:w="3240" w:type="dxa"/>
            <w:shd w:val="clear" w:color="auto" w:fill="D9D9D9" w:themeFill="background1" w:themeFillShade="D9"/>
            <w:vAlign w:val="center"/>
          </w:tcPr>
          <w:p w14:paraId="0961C0A2"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
              </w:rPr>
              <w:t>Análisis del Riesgo de Empobrecimiento</w:t>
            </w:r>
          </w:p>
        </w:tc>
        <w:tc>
          <w:tcPr>
            <w:tcW w:w="2700" w:type="dxa"/>
            <w:vAlign w:val="center"/>
          </w:tcPr>
          <w:p w14:paraId="0627CAD1" w14:textId="7750579A" w:rsidR="009A13AE" w:rsidRPr="0096502B" w:rsidRDefault="009A13AE" w:rsidP="009A13AE">
            <w:pPr>
              <w:tabs>
                <w:tab w:val="left" w:pos="3200"/>
              </w:tabs>
              <w:jc w:val="both"/>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3F9C5DBC" w14:textId="77777777" w:rsidR="009A13AE" w:rsidRPr="0096502B" w:rsidRDefault="009A13AE" w:rsidP="009A13AE">
            <w:pPr>
              <w:tabs>
                <w:tab w:val="left" w:pos="3200"/>
              </w:tabs>
              <w:jc w:val="both"/>
              <w:rPr>
                <w:rFonts w:ascii="Arial" w:hAnsi="Arial" w:cs="Arial"/>
                <w:sz w:val="18"/>
                <w:szCs w:val="18"/>
                <w:lang w:val="es-ES"/>
              </w:rPr>
            </w:pPr>
          </w:p>
        </w:tc>
        <w:tc>
          <w:tcPr>
            <w:tcW w:w="3713" w:type="dxa"/>
          </w:tcPr>
          <w:p w14:paraId="6CC4DCC5" w14:textId="77777777" w:rsidR="009A13AE" w:rsidRPr="0096502B" w:rsidRDefault="009A13AE" w:rsidP="009A13AE">
            <w:pPr>
              <w:tabs>
                <w:tab w:val="left" w:pos="3200"/>
              </w:tabs>
              <w:jc w:val="both"/>
              <w:rPr>
                <w:rFonts w:ascii="Arial" w:hAnsi="Arial" w:cs="Arial"/>
                <w:sz w:val="18"/>
                <w:szCs w:val="18"/>
                <w:lang w:val="es-ES"/>
              </w:rPr>
            </w:pPr>
          </w:p>
        </w:tc>
      </w:tr>
      <w:tr w:rsidR="009A13AE" w:rsidRPr="0096502B" w14:paraId="354A2EA5" w14:textId="77777777" w:rsidTr="004171C2">
        <w:trPr>
          <w:trHeight w:val="323"/>
        </w:trPr>
        <w:tc>
          <w:tcPr>
            <w:tcW w:w="3240" w:type="dxa"/>
            <w:shd w:val="clear" w:color="auto" w:fill="D9D9D9" w:themeFill="background1" w:themeFillShade="D9"/>
            <w:vAlign w:val="center"/>
          </w:tcPr>
          <w:p w14:paraId="29744E75"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_tradnl"/>
              </w:rPr>
              <w:t xml:space="preserve">Requerimiento para el </w:t>
            </w:r>
            <w:r w:rsidRPr="0096502B">
              <w:rPr>
                <w:rFonts w:ascii="Arial" w:hAnsi="Arial" w:cs="Arial"/>
                <w:sz w:val="18"/>
                <w:szCs w:val="18"/>
                <w:lang w:val="es-ES"/>
              </w:rPr>
              <w:t>Plan de Reasentamiento y/o Marco de Reasentamiento</w:t>
            </w:r>
          </w:p>
        </w:tc>
        <w:tc>
          <w:tcPr>
            <w:tcW w:w="2700" w:type="dxa"/>
            <w:vAlign w:val="center"/>
          </w:tcPr>
          <w:p w14:paraId="6DF2A42F" w14:textId="603DA687"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10919C6F" w14:textId="77777777" w:rsidR="009A13AE" w:rsidRPr="0096502B" w:rsidRDefault="009A13AE" w:rsidP="009A13AE">
            <w:pPr>
              <w:tabs>
                <w:tab w:val="left" w:pos="3200"/>
              </w:tabs>
              <w:rPr>
                <w:rFonts w:ascii="Arial" w:hAnsi="Arial" w:cs="Arial"/>
                <w:sz w:val="18"/>
                <w:szCs w:val="18"/>
                <w:lang w:val="es-ES"/>
              </w:rPr>
            </w:pPr>
          </w:p>
        </w:tc>
        <w:tc>
          <w:tcPr>
            <w:tcW w:w="3713" w:type="dxa"/>
          </w:tcPr>
          <w:p w14:paraId="3D2AFD74" w14:textId="77777777" w:rsidR="009A13AE" w:rsidRPr="0096502B" w:rsidRDefault="009A13AE" w:rsidP="009A13AE">
            <w:pPr>
              <w:tabs>
                <w:tab w:val="left" w:pos="3200"/>
              </w:tabs>
              <w:rPr>
                <w:rFonts w:ascii="Arial" w:hAnsi="Arial" w:cs="Arial"/>
                <w:sz w:val="18"/>
                <w:szCs w:val="18"/>
                <w:lang w:val="es-ES"/>
              </w:rPr>
            </w:pPr>
          </w:p>
        </w:tc>
      </w:tr>
      <w:tr w:rsidR="009A13AE" w:rsidRPr="0096502B" w14:paraId="5BD9EFF5" w14:textId="77777777" w:rsidTr="004171C2">
        <w:trPr>
          <w:trHeight w:val="323"/>
        </w:trPr>
        <w:tc>
          <w:tcPr>
            <w:tcW w:w="3240" w:type="dxa"/>
            <w:shd w:val="clear" w:color="auto" w:fill="D9D9D9" w:themeFill="background1" w:themeFillShade="D9"/>
            <w:vAlign w:val="center"/>
          </w:tcPr>
          <w:p w14:paraId="79EC522B"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
              </w:rPr>
              <w:t>Requerimiento de Programa de Restauración del Modo de Vida</w:t>
            </w:r>
          </w:p>
        </w:tc>
        <w:tc>
          <w:tcPr>
            <w:tcW w:w="2700" w:type="dxa"/>
            <w:vAlign w:val="center"/>
          </w:tcPr>
          <w:p w14:paraId="7A1940D7" w14:textId="382A855A"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35D976CF" w14:textId="77777777" w:rsidR="009A13AE" w:rsidRPr="0096502B" w:rsidRDefault="009A13AE" w:rsidP="009A13AE">
            <w:pPr>
              <w:tabs>
                <w:tab w:val="left" w:pos="3200"/>
              </w:tabs>
              <w:rPr>
                <w:rFonts w:ascii="Arial" w:hAnsi="Arial" w:cs="Arial"/>
                <w:sz w:val="18"/>
                <w:szCs w:val="18"/>
                <w:lang w:val="es-ES"/>
              </w:rPr>
            </w:pPr>
          </w:p>
        </w:tc>
        <w:tc>
          <w:tcPr>
            <w:tcW w:w="3713" w:type="dxa"/>
          </w:tcPr>
          <w:p w14:paraId="72AFC308" w14:textId="77777777" w:rsidR="009A13AE" w:rsidRPr="0096502B" w:rsidRDefault="009A13AE" w:rsidP="009A13AE">
            <w:pPr>
              <w:tabs>
                <w:tab w:val="left" w:pos="3200"/>
              </w:tabs>
              <w:rPr>
                <w:rFonts w:ascii="Arial" w:hAnsi="Arial" w:cs="Arial"/>
                <w:sz w:val="18"/>
                <w:szCs w:val="18"/>
                <w:lang w:val="es-ES"/>
              </w:rPr>
            </w:pPr>
          </w:p>
        </w:tc>
      </w:tr>
      <w:tr w:rsidR="009A13AE" w:rsidRPr="0096502B" w14:paraId="5A845951" w14:textId="77777777" w:rsidTr="004171C2">
        <w:trPr>
          <w:trHeight w:val="323"/>
        </w:trPr>
        <w:tc>
          <w:tcPr>
            <w:tcW w:w="3240" w:type="dxa"/>
            <w:shd w:val="clear" w:color="auto" w:fill="D9D9D9" w:themeFill="background1" w:themeFillShade="D9"/>
            <w:vAlign w:val="center"/>
          </w:tcPr>
          <w:p w14:paraId="52D77321"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
              </w:rPr>
              <w:t>Consentimiento (Pueblos Indígenas y otras Minorías Étnicas Rurales)</w:t>
            </w:r>
          </w:p>
        </w:tc>
        <w:tc>
          <w:tcPr>
            <w:tcW w:w="2700" w:type="dxa"/>
            <w:vAlign w:val="center"/>
          </w:tcPr>
          <w:p w14:paraId="2E688CC2" w14:textId="524A8E48"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7BECCB29" w14:textId="77777777" w:rsidR="009A13AE" w:rsidRPr="0096502B" w:rsidRDefault="009A13AE" w:rsidP="009A13AE">
            <w:pPr>
              <w:tabs>
                <w:tab w:val="left" w:pos="3200"/>
              </w:tabs>
              <w:rPr>
                <w:rFonts w:ascii="Arial" w:hAnsi="Arial" w:cs="Arial"/>
                <w:sz w:val="18"/>
                <w:szCs w:val="18"/>
                <w:lang w:val="es-ES"/>
              </w:rPr>
            </w:pPr>
          </w:p>
        </w:tc>
        <w:tc>
          <w:tcPr>
            <w:tcW w:w="3713" w:type="dxa"/>
          </w:tcPr>
          <w:p w14:paraId="463AD82F" w14:textId="77777777" w:rsidR="009A13AE" w:rsidRPr="0096502B" w:rsidRDefault="009A13AE" w:rsidP="009A13AE">
            <w:pPr>
              <w:tabs>
                <w:tab w:val="left" w:pos="3200"/>
              </w:tabs>
              <w:rPr>
                <w:rFonts w:ascii="Arial" w:hAnsi="Arial" w:cs="Arial"/>
                <w:sz w:val="18"/>
                <w:szCs w:val="18"/>
                <w:lang w:val="es-ES"/>
              </w:rPr>
            </w:pPr>
          </w:p>
        </w:tc>
      </w:tr>
      <w:tr w:rsidR="00E410FA" w:rsidRPr="0096502B" w14:paraId="57BC67D9" w14:textId="77777777" w:rsidTr="004171C2">
        <w:trPr>
          <w:trHeight w:val="323"/>
        </w:trPr>
        <w:tc>
          <w:tcPr>
            <w:tcW w:w="13253" w:type="dxa"/>
            <w:gridSpan w:val="4"/>
            <w:shd w:val="clear" w:color="auto" w:fill="D9D9D9" w:themeFill="background1" w:themeFillShade="D9"/>
            <w:vAlign w:val="center"/>
          </w:tcPr>
          <w:p w14:paraId="226354E4"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b/>
                <w:sz w:val="18"/>
                <w:szCs w:val="18"/>
                <w:lang w:val="es-ES"/>
              </w:rPr>
              <w:t>OP-765 Política Operativa sobre de Pueblos Indígenas</w:t>
            </w:r>
          </w:p>
        </w:tc>
      </w:tr>
      <w:tr w:rsidR="009A13AE" w:rsidRPr="0096502B" w14:paraId="69CE002E" w14:textId="77777777" w:rsidTr="004171C2">
        <w:trPr>
          <w:trHeight w:val="323"/>
        </w:trPr>
        <w:tc>
          <w:tcPr>
            <w:tcW w:w="3240" w:type="dxa"/>
            <w:shd w:val="clear" w:color="auto" w:fill="D9D9D9" w:themeFill="background1" w:themeFillShade="D9"/>
            <w:vAlign w:val="center"/>
          </w:tcPr>
          <w:p w14:paraId="71E8D26F"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
              </w:rPr>
              <w:t>Requerimiento de Evaluación Sociocultural</w:t>
            </w:r>
          </w:p>
        </w:tc>
        <w:tc>
          <w:tcPr>
            <w:tcW w:w="2700" w:type="dxa"/>
            <w:vAlign w:val="center"/>
          </w:tcPr>
          <w:p w14:paraId="0BDDEE07" w14:textId="42EE8908"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5C014634" w14:textId="77777777" w:rsidR="009A13AE" w:rsidRPr="0096502B" w:rsidRDefault="009A13AE" w:rsidP="009A13AE">
            <w:pPr>
              <w:tabs>
                <w:tab w:val="left" w:pos="3200"/>
              </w:tabs>
              <w:rPr>
                <w:rFonts w:ascii="Arial" w:hAnsi="Arial" w:cs="Arial"/>
                <w:sz w:val="18"/>
                <w:szCs w:val="18"/>
                <w:lang w:val="es-ES"/>
              </w:rPr>
            </w:pPr>
          </w:p>
        </w:tc>
        <w:tc>
          <w:tcPr>
            <w:tcW w:w="3713" w:type="dxa"/>
          </w:tcPr>
          <w:p w14:paraId="37EF138E" w14:textId="77777777" w:rsidR="009A13AE" w:rsidRPr="0096502B" w:rsidRDefault="009A13AE" w:rsidP="009A13AE">
            <w:pPr>
              <w:tabs>
                <w:tab w:val="left" w:pos="3200"/>
              </w:tabs>
              <w:rPr>
                <w:rFonts w:ascii="Arial" w:hAnsi="Arial" w:cs="Arial"/>
                <w:sz w:val="18"/>
                <w:szCs w:val="18"/>
                <w:lang w:val="es-ES"/>
              </w:rPr>
            </w:pPr>
          </w:p>
        </w:tc>
      </w:tr>
      <w:tr w:rsidR="009A13AE" w:rsidRPr="0096502B" w14:paraId="6A6F0E35" w14:textId="77777777" w:rsidTr="004171C2">
        <w:trPr>
          <w:trHeight w:val="323"/>
        </w:trPr>
        <w:tc>
          <w:tcPr>
            <w:tcW w:w="3240" w:type="dxa"/>
            <w:shd w:val="clear" w:color="auto" w:fill="D9D9D9" w:themeFill="background1" w:themeFillShade="D9"/>
            <w:vAlign w:val="center"/>
          </w:tcPr>
          <w:p w14:paraId="1EE9DD7F"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
              </w:rPr>
              <w:t>Negociaciones de Buena Fe y documentación adecuada</w:t>
            </w:r>
          </w:p>
        </w:tc>
        <w:tc>
          <w:tcPr>
            <w:tcW w:w="2700" w:type="dxa"/>
            <w:vAlign w:val="center"/>
          </w:tcPr>
          <w:p w14:paraId="0CE3237D" w14:textId="540BD065"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00D5176E" w14:textId="77777777" w:rsidR="009A13AE" w:rsidRPr="0096502B" w:rsidRDefault="009A13AE" w:rsidP="009A13AE">
            <w:pPr>
              <w:tabs>
                <w:tab w:val="left" w:pos="3200"/>
              </w:tabs>
              <w:rPr>
                <w:rFonts w:ascii="Arial" w:hAnsi="Arial" w:cs="Arial"/>
                <w:sz w:val="18"/>
                <w:szCs w:val="18"/>
                <w:lang w:val="es-ES"/>
              </w:rPr>
            </w:pPr>
          </w:p>
        </w:tc>
        <w:tc>
          <w:tcPr>
            <w:tcW w:w="3713" w:type="dxa"/>
          </w:tcPr>
          <w:p w14:paraId="09F0801A" w14:textId="77777777" w:rsidR="009A13AE" w:rsidRPr="0096502B" w:rsidRDefault="009A13AE" w:rsidP="009A13AE">
            <w:pPr>
              <w:tabs>
                <w:tab w:val="left" w:pos="3200"/>
              </w:tabs>
              <w:rPr>
                <w:rFonts w:ascii="Arial" w:hAnsi="Arial" w:cs="Arial"/>
                <w:sz w:val="18"/>
                <w:szCs w:val="18"/>
                <w:lang w:val="es-ES"/>
              </w:rPr>
            </w:pPr>
          </w:p>
        </w:tc>
      </w:tr>
      <w:tr w:rsidR="009A13AE" w:rsidRPr="0096502B" w14:paraId="22E3431D" w14:textId="77777777" w:rsidTr="004171C2">
        <w:trPr>
          <w:trHeight w:val="323"/>
        </w:trPr>
        <w:tc>
          <w:tcPr>
            <w:tcW w:w="3240" w:type="dxa"/>
            <w:shd w:val="clear" w:color="auto" w:fill="D9D9D9" w:themeFill="background1" w:themeFillShade="D9"/>
            <w:vAlign w:val="center"/>
          </w:tcPr>
          <w:p w14:paraId="4180E567"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
              </w:rPr>
              <w:t>Acuerdos con Pueblos Indígenas Afectados</w:t>
            </w:r>
          </w:p>
        </w:tc>
        <w:tc>
          <w:tcPr>
            <w:tcW w:w="2700" w:type="dxa"/>
            <w:vAlign w:val="center"/>
          </w:tcPr>
          <w:p w14:paraId="08ED6FFF" w14:textId="6446A062"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17EE395E" w14:textId="77777777" w:rsidR="009A13AE" w:rsidRPr="0096502B" w:rsidRDefault="009A13AE" w:rsidP="009A13AE">
            <w:pPr>
              <w:tabs>
                <w:tab w:val="left" w:pos="3200"/>
              </w:tabs>
              <w:rPr>
                <w:rFonts w:ascii="Arial" w:hAnsi="Arial" w:cs="Arial"/>
                <w:sz w:val="18"/>
                <w:szCs w:val="18"/>
                <w:lang w:val="es-ES"/>
              </w:rPr>
            </w:pPr>
          </w:p>
        </w:tc>
        <w:tc>
          <w:tcPr>
            <w:tcW w:w="3713" w:type="dxa"/>
          </w:tcPr>
          <w:p w14:paraId="291B99AD" w14:textId="77777777" w:rsidR="009A13AE" w:rsidRPr="0096502B" w:rsidRDefault="009A13AE" w:rsidP="009A13AE">
            <w:pPr>
              <w:tabs>
                <w:tab w:val="left" w:pos="3200"/>
              </w:tabs>
              <w:rPr>
                <w:rFonts w:ascii="Arial" w:hAnsi="Arial" w:cs="Arial"/>
                <w:sz w:val="18"/>
                <w:szCs w:val="18"/>
                <w:lang w:val="es-ES"/>
              </w:rPr>
            </w:pPr>
          </w:p>
        </w:tc>
      </w:tr>
      <w:tr w:rsidR="004171C2" w:rsidRPr="0096502B" w14:paraId="148B0146" w14:textId="77777777" w:rsidTr="00191364">
        <w:trPr>
          <w:trHeight w:val="323"/>
        </w:trPr>
        <w:tc>
          <w:tcPr>
            <w:tcW w:w="3240" w:type="dxa"/>
            <w:shd w:val="clear" w:color="auto" w:fill="95B3D7" w:themeFill="accent1" w:themeFillTint="99"/>
            <w:vAlign w:val="center"/>
          </w:tcPr>
          <w:p w14:paraId="586CABF3"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lastRenderedPageBreak/>
              <w:t>Políticas / Directrices</w:t>
            </w:r>
          </w:p>
        </w:tc>
        <w:tc>
          <w:tcPr>
            <w:tcW w:w="2700" w:type="dxa"/>
            <w:tcBorders>
              <w:bottom w:val="single" w:sz="4" w:space="0" w:color="auto"/>
            </w:tcBorders>
            <w:shd w:val="clear" w:color="auto" w:fill="95B3D7" w:themeFill="accent1" w:themeFillTint="99"/>
            <w:vAlign w:val="center"/>
          </w:tcPr>
          <w:p w14:paraId="5C0D655D"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t>Aspectos Pertinentes de Políticas / Directrices</w:t>
            </w:r>
          </w:p>
        </w:tc>
        <w:tc>
          <w:tcPr>
            <w:tcW w:w="3600" w:type="dxa"/>
            <w:tcBorders>
              <w:bottom w:val="single" w:sz="4" w:space="0" w:color="auto"/>
            </w:tcBorders>
            <w:shd w:val="clear" w:color="auto" w:fill="95B3D7" w:themeFill="accent1" w:themeFillTint="99"/>
            <w:vAlign w:val="center"/>
          </w:tcPr>
          <w:p w14:paraId="08F683B2"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t>Estado de Cumplimiento de Requisitos de Políticas / Directrices y Justificación</w:t>
            </w:r>
          </w:p>
        </w:tc>
        <w:tc>
          <w:tcPr>
            <w:tcW w:w="3713" w:type="dxa"/>
            <w:tcBorders>
              <w:bottom w:val="single" w:sz="4" w:space="0" w:color="auto"/>
            </w:tcBorders>
            <w:shd w:val="clear" w:color="auto" w:fill="95B3D7" w:themeFill="accent1" w:themeFillTint="99"/>
            <w:vAlign w:val="center"/>
          </w:tcPr>
          <w:p w14:paraId="7426EE25" w14:textId="77777777" w:rsidR="004171C2" w:rsidRPr="0096502B" w:rsidRDefault="004171C2" w:rsidP="00191364">
            <w:pPr>
              <w:tabs>
                <w:tab w:val="left" w:pos="3200"/>
              </w:tabs>
              <w:jc w:val="center"/>
              <w:rPr>
                <w:rFonts w:ascii="Arial" w:hAnsi="Arial" w:cs="Arial"/>
                <w:b/>
                <w:sz w:val="18"/>
                <w:szCs w:val="18"/>
                <w:lang w:val="es-ES"/>
              </w:rPr>
            </w:pPr>
            <w:r w:rsidRPr="0096502B">
              <w:rPr>
                <w:rFonts w:ascii="Arial" w:hAnsi="Arial" w:cs="Arial"/>
                <w:b/>
                <w:sz w:val="18"/>
                <w:szCs w:val="18"/>
                <w:lang w:val="es-ES"/>
              </w:rPr>
              <w:t>Requisitos / Acciones / Planes</w:t>
            </w:r>
          </w:p>
        </w:tc>
      </w:tr>
      <w:tr w:rsidR="009A13AE" w:rsidRPr="0096502B" w14:paraId="5FC75DA1" w14:textId="77777777" w:rsidTr="004171C2">
        <w:trPr>
          <w:trHeight w:val="323"/>
        </w:trPr>
        <w:tc>
          <w:tcPr>
            <w:tcW w:w="3240" w:type="dxa"/>
            <w:shd w:val="clear" w:color="auto" w:fill="D9D9D9" w:themeFill="background1" w:themeFillShade="D9"/>
            <w:vAlign w:val="center"/>
          </w:tcPr>
          <w:p w14:paraId="03926B08"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hAnsi="Arial" w:cs="Arial"/>
                <w:sz w:val="18"/>
                <w:szCs w:val="18"/>
                <w:lang w:val="es-ES"/>
              </w:rPr>
              <w:t>Requerimiento de Plan o Marco de Compensación y Desarrollo de Pueblos Indígenas</w:t>
            </w:r>
          </w:p>
        </w:tc>
        <w:tc>
          <w:tcPr>
            <w:tcW w:w="2700" w:type="dxa"/>
            <w:vAlign w:val="center"/>
          </w:tcPr>
          <w:p w14:paraId="2320CDED" w14:textId="0483CCD0"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3C88C388" w14:textId="77777777" w:rsidR="009A13AE" w:rsidRPr="0096502B" w:rsidRDefault="009A13AE" w:rsidP="009A13AE">
            <w:pPr>
              <w:tabs>
                <w:tab w:val="left" w:pos="3200"/>
              </w:tabs>
              <w:rPr>
                <w:rFonts w:ascii="Arial" w:hAnsi="Arial" w:cs="Arial"/>
                <w:sz w:val="18"/>
                <w:szCs w:val="18"/>
                <w:lang w:val="es-ES"/>
              </w:rPr>
            </w:pPr>
          </w:p>
        </w:tc>
        <w:tc>
          <w:tcPr>
            <w:tcW w:w="3713" w:type="dxa"/>
          </w:tcPr>
          <w:p w14:paraId="65C2085A" w14:textId="77777777" w:rsidR="009A13AE" w:rsidRPr="0096502B" w:rsidRDefault="009A13AE" w:rsidP="009A13AE">
            <w:pPr>
              <w:tabs>
                <w:tab w:val="left" w:pos="3200"/>
              </w:tabs>
              <w:rPr>
                <w:rFonts w:ascii="Arial" w:hAnsi="Arial" w:cs="Arial"/>
                <w:sz w:val="18"/>
                <w:szCs w:val="18"/>
                <w:lang w:val="es-ES"/>
              </w:rPr>
            </w:pPr>
          </w:p>
        </w:tc>
      </w:tr>
      <w:tr w:rsidR="009A13AE" w:rsidRPr="0096502B" w14:paraId="02A1EC03" w14:textId="77777777" w:rsidTr="004171C2">
        <w:trPr>
          <w:trHeight w:val="323"/>
        </w:trPr>
        <w:tc>
          <w:tcPr>
            <w:tcW w:w="3240" w:type="dxa"/>
            <w:shd w:val="clear" w:color="auto" w:fill="D9D9D9" w:themeFill="background1" w:themeFillShade="D9"/>
            <w:vAlign w:val="center"/>
          </w:tcPr>
          <w:p w14:paraId="7E5FC9C5" w14:textId="77777777"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Cuestiones Relacionadas con la Discriminación</w:t>
            </w:r>
          </w:p>
        </w:tc>
        <w:tc>
          <w:tcPr>
            <w:tcW w:w="2700" w:type="dxa"/>
            <w:vAlign w:val="center"/>
          </w:tcPr>
          <w:p w14:paraId="3BCC7411" w14:textId="4F54E8AE"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2D8D806D" w14:textId="77777777" w:rsidR="009A13AE" w:rsidRPr="0096502B" w:rsidRDefault="009A13AE" w:rsidP="009A13AE">
            <w:pPr>
              <w:tabs>
                <w:tab w:val="left" w:pos="3200"/>
              </w:tabs>
              <w:rPr>
                <w:rFonts w:ascii="Arial" w:hAnsi="Arial" w:cs="Arial"/>
                <w:sz w:val="18"/>
                <w:szCs w:val="18"/>
                <w:lang w:val="es-ES"/>
              </w:rPr>
            </w:pPr>
          </w:p>
        </w:tc>
        <w:tc>
          <w:tcPr>
            <w:tcW w:w="3713" w:type="dxa"/>
          </w:tcPr>
          <w:p w14:paraId="28849DAE" w14:textId="77777777" w:rsidR="009A13AE" w:rsidRPr="0096502B" w:rsidRDefault="009A13AE" w:rsidP="009A13AE">
            <w:pPr>
              <w:tabs>
                <w:tab w:val="left" w:pos="3200"/>
              </w:tabs>
              <w:rPr>
                <w:rFonts w:ascii="Arial" w:hAnsi="Arial" w:cs="Arial"/>
                <w:sz w:val="18"/>
                <w:szCs w:val="18"/>
                <w:lang w:val="es-ES"/>
              </w:rPr>
            </w:pPr>
          </w:p>
        </w:tc>
      </w:tr>
      <w:tr w:rsidR="009A13AE" w:rsidRPr="0096502B" w14:paraId="20BE4203" w14:textId="77777777" w:rsidTr="004171C2">
        <w:trPr>
          <w:trHeight w:val="323"/>
        </w:trPr>
        <w:tc>
          <w:tcPr>
            <w:tcW w:w="3240" w:type="dxa"/>
            <w:shd w:val="clear" w:color="auto" w:fill="D9D9D9" w:themeFill="background1" w:themeFillShade="D9"/>
            <w:vAlign w:val="center"/>
          </w:tcPr>
          <w:p w14:paraId="18E7F3BA" w14:textId="77777777"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Impactos Transfronterizos </w:t>
            </w:r>
          </w:p>
        </w:tc>
        <w:tc>
          <w:tcPr>
            <w:tcW w:w="2700" w:type="dxa"/>
            <w:vAlign w:val="center"/>
          </w:tcPr>
          <w:p w14:paraId="157DE8BD" w14:textId="076F3FFE"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1A564DB0" w14:textId="77777777" w:rsidR="009A13AE" w:rsidRPr="0096502B" w:rsidRDefault="009A13AE" w:rsidP="009A13AE">
            <w:pPr>
              <w:tabs>
                <w:tab w:val="left" w:pos="3200"/>
              </w:tabs>
              <w:rPr>
                <w:rFonts w:ascii="Arial" w:hAnsi="Arial" w:cs="Arial"/>
                <w:sz w:val="18"/>
                <w:szCs w:val="18"/>
                <w:lang w:val="es-ES"/>
              </w:rPr>
            </w:pPr>
          </w:p>
        </w:tc>
        <w:tc>
          <w:tcPr>
            <w:tcW w:w="3713" w:type="dxa"/>
          </w:tcPr>
          <w:p w14:paraId="7BEF2729" w14:textId="77777777" w:rsidR="009A13AE" w:rsidRPr="0096502B" w:rsidRDefault="009A13AE" w:rsidP="009A13AE">
            <w:pPr>
              <w:tabs>
                <w:tab w:val="left" w:pos="3200"/>
              </w:tabs>
              <w:rPr>
                <w:rFonts w:ascii="Arial" w:hAnsi="Arial" w:cs="Arial"/>
                <w:sz w:val="18"/>
                <w:szCs w:val="18"/>
                <w:lang w:val="es-ES"/>
              </w:rPr>
            </w:pPr>
          </w:p>
        </w:tc>
      </w:tr>
      <w:tr w:rsidR="009A13AE" w:rsidRPr="0096502B" w14:paraId="15E42D1C" w14:textId="77777777" w:rsidTr="004171C2">
        <w:trPr>
          <w:trHeight w:val="323"/>
        </w:trPr>
        <w:tc>
          <w:tcPr>
            <w:tcW w:w="3240" w:type="dxa"/>
            <w:shd w:val="clear" w:color="auto" w:fill="D9D9D9" w:themeFill="background1" w:themeFillShade="D9"/>
            <w:vAlign w:val="center"/>
          </w:tcPr>
          <w:p w14:paraId="3DF73924" w14:textId="77777777"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Impactos sobre Pueblos Indígenas Aislados</w:t>
            </w:r>
          </w:p>
        </w:tc>
        <w:tc>
          <w:tcPr>
            <w:tcW w:w="2700" w:type="dxa"/>
            <w:vAlign w:val="center"/>
          </w:tcPr>
          <w:p w14:paraId="505801EE" w14:textId="51F6B283"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5B4ED7DC" w14:textId="77777777" w:rsidR="009A13AE" w:rsidRPr="0096502B" w:rsidRDefault="009A13AE" w:rsidP="009A13AE">
            <w:pPr>
              <w:tabs>
                <w:tab w:val="left" w:pos="3200"/>
              </w:tabs>
              <w:rPr>
                <w:rFonts w:ascii="Arial" w:hAnsi="Arial" w:cs="Arial"/>
                <w:sz w:val="18"/>
                <w:szCs w:val="18"/>
                <w:lang w:val="es-ES"/>
              </w:rPr>
            </w:pPr>
          </w:p>
        </w:tc>
        <w:tc>
          <w:tcPr>
            <w:tcW w:w="3713" w:type="dxa"/>
          </w:tcPr>
          <w:p w14:paraId="7ABBE8F0" w14:textId="77777777" w:rsidR="009A13AE" w:rsidRPr="0096502B" w:rsidRDefault="009A13AE" w:rsidP="009A13AE">
            <w:pPr>
              <w:tabs>
                <w:tab w:val="left" w:pos="3200"/>
              </w:tabs>
              <w:rPr>
                <w:rFonts w:ascii="Arial" w:hAnsi="Arial" w:cs="Arial"/>
                <w:sz w:val="18"/>
                <w:szCs w:val="18"/>
                <w:lang w:val="es-ES"/>
              </w:rPr>
            </w:pPr>
          </w:p>
        </w:tc>
      </w:tr>
      <w:tr w:rsidR="00E410FA" w:rsidRPr="0096502B" w14:paraId="2D5918F1" w14:textId="77777777" w:rsidTr="004171C2">
        <w:trPr>
          <w:trHeight w:val="323"/>
        </w:trPr>
        <w:tc>
          <w:tcPr>
            <w:tcW w:w="13253" w:type="dxa"/>
            <w:gridSpan w:val="4"/>
            <w:shd w:val="clear" w:color="auto" w:fill="D9D9D9" w:themeFill="background1" w:themeFillShade="D9"/>
            <w:vAlign w:val="center"/>
          </w:tcPr>
          <w:p w14:paraId="6DA350A1"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b/>
                <w:sz w:val="18"/>
                <w:szCs w:val="18"/>
                <w:lang w:val="es-ES"/>
              </w:rPr>
              <w:t>OP-761 Política Operativa sobre Igualdad de Género en el Desarrollo</w:t>
            </w:r>
          </w:p>
        </w:tc>
      </w:tr>
      <w:tr w:rsidR="009A13AE" w:rsidRPr="0096502B" w14:paraId="489EDA44" w14:textId="77777777" w:rsidTr="004171C2">
        <w:trPr>
          <w:trHeight w:val="323"/>
        </w:trPr>
        <w:tc>
          <w:tcPr>
            <w:tcW w:w="3240" w:type="dxa"/>
            <w:shd w:val="clear" w:color="auto" w:fill="D9D9D9" w:themeFill="background1" w:themeFillShade="D9"/>
            <w:vAlign w:val="center"/>
          </w:tcPr>
          <w:p w14:paraId="4E1E911E"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eastAsia="Arial" w:hAnsi="Arial" w:cs="Arial"/>
                <w:sz w:val="18"/>
                <w:szCs w:val="18"/>
                <w:lang w:val="es-ES"/>
              </w:rPr>
              <w:t>Consulta y participación efectiva de mujeres y hombres</w:t>
            </w:r>
          </w:p>
        </w:tc>
        <w:tc>
          <w:tcPr>
            <w:tcW w:w="2700" w:type="dxa"/>
            <w:vAlign w:val="center"/>
          </w:tcPr>
          <w:p w14:paraId="05B21540" w14:textId="68FB2904"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1BE5FA90" w14:textId="77777777" w:rsidR="009A13AE" w:rsidRPr="0096502B" w:rsidRDefault="009A13AE" w:rsidP="009A13AE">
            <w:pPr>
              <w:tabs>
                <w:tab w:val="left" w:pos="3200"/>
              </w:tabs>
              <w:rPr>
                <w:rFonts w:ascii="Arial" w:hAnsi="Arial" w:cs="Arial"/>
                <w:sz w:val="18"/>
                <w:szCs w:val="18"/>
                <w:lang w:val="es-ES"/>
              </w:rPr>
            </w:pPr>
          </w:p>
        </w:tc>
        <w:tc>
          <w:tcPr>
            <w:tcW w:w="3713" w:type="dxa"/>
          </w:tcPr>
          <w:p w14:paraId="60CA36A2" w14:textId="77777777" w:rsidR="009A13AE" w:rsidRPr="0096502B" w:rsidRDefault="009A13AE" w:rsidP="009A13AE">
            <w:pPr>
              <w:tabs>
                <w:tab w:val="left" w:pos="3200"/>
              </w:tabs>
              <w:rPr>
                <w:rFonts w:ascii="Arial" w:hAnsi="Arial" w:cs="Arial"/>
                <w:sz w:val="18"/>
                <w:szCs w:val="18"/>
                <w:lang w:val="es-ES"/>
              </w:rPr>
            </w:pPr>
          </w:p>
        </w:tc>
      </w:tr>
      <w:tr w:rsidR="009A13AE" w:rsidRPr="0096502B" w14:paraId="4CAAA883" w14:textId="77777777" w:rsidTr="004171C2">
        <w:trPr>
          <w:trHeight w:val="323"/>
        </w:trPr>
        <w:tc>
          <w:tcPr>
            <w:tcW w:w="3240" w:type="dxa"/>
            <w:shd w:val="clear" w:color="auto" w:fill="D9D9D9" w:themeFill="background1" w:themeFillShade="D9"/>
            <w:vAlign w:val="center"/>
          </w:tcPr>
          <w:p w14:paraId="11282E62" w14:textId="77777777" w:rsidR="009A13AE" w:rsidRPr="0096502B" w:rsidDel="00641735" w:rsidRDefault="009A13AE" w:rsidP="009A13AE">
            <w:pPr>
              <w:tabs>
                <w:tab w:val="left" w:pos="3200"/>
              </w:tabs>
              <w:rPr>
                <w:rFonts w:ascii="Arial" w:hAnsi="Arial" w:cs="Arial"/>
                <w:b/>
                <w:sz w:val="18"/>
                <w:szCs w:val="18"/>
                <w:lang w:val="es-ES"/>
              </w:rPr>
            </w:pPr>
            <w:r w:rsidRPr="0096502B">
              <w:rPr>
                <w:rFonts w:ascii="Arial" w:eastAsia="Arial" w:hAnsi="Arial" w:cs="Arial"/>
                <w:sz w:val="18"/>
                <w:szCs w:val="18"/>
                <w:lang w:val="es-ES"/>
              </w:rPr>
              <w:t>Aplicación del análisis de riesgo</w:t>
            </w:r>
            <w:r w:rsidRPr="0096502B">
              <w:rPr>
                <w:rStyle w:val="FootnoteReference"/>
                <w:rFonts w:ascii="Arial" w:eastAsia="Arial" w:hAnsi="Arial" w:cs="Arial"/>
                <w:sz w:val="18"/>
                <w:szCs w:val="18"/>
                <w:lang w:val="es-ES"/>
              </w:rPr>
              <w:footnoteReference w:id="5"/>
            </w:r>
            <w:r w:rsidRPr="0096502B">
              <w:rPr>
                <w:rFonts w:ascii="Arial" w:eastAsia="Arial" w:hAnsi="Arial" w:cs="Arial"/>
                <w:sz w:val="18"/>
                <w:szCs w:val="18"/>
                <w:lang w:val="es-ES"/>
              </w:rPr>
              <w:t xml:space="preserve"> y salvaguardias.</w:t>
            </w:r>
          </w:p>
        </w:tc>
        <w:tc>
          <w:tcPr>
            <w:tcW w:w="2700" w:type="dxa"/>
            <w:vAlign w:val="center"/>
          </w:tcPr>
          <w:p w14:paraId="4D882A9C" w14:textId="06617B4A" w:rsidR="009A13AE" w:rsidRPr="0096502B" w:rsidRDefault="009A13AE" w:rsidP="009A13AE">
            <w:pPr>
              <w:tabs>
                <w:tab w:val="left" w:pos="3200"/>
              </w:tabs>
              <w:rPr>
                <w:rFonts w:ascii="Arial" w:hAnsi="Arial" w:cs="Arial"/>
                <w:sz w:val="18"/>
                <w:szCs w:val="18"/>
                <w:lang w:val="es-ES"/>
              </w:rPr>
            </w:pPr>
            <w:r w:rsidRPr="0096502B">
              <w:rPr>
                <w:rFonts w:ascii="Arial" w:hAnsi="Arial" w:cs="Arial"/>
                <w:sz w:val="18"/>
                <w:szCs w:val="18"/>
                <w:lang w:val="es-ES"/>
              </w:rPr>
              <w:t xml:space="preserve">No aplica </w:t>
            </w:r>
          </w:p>
        </w:tc>
        <w:tc>
          <w:tcPr>
            <w:tcW w:w="3600" w:type="dxa"/>
          </w:tcPr>
          <w:p w14:paraId="7BD787AC" w14:textId="77777777" w:rsidR="009A13AE" w:rsidRPr="0096502B" w:rsidRDefault="009A13AE" w:rsidP="009A13AE">
            <w:pPr>
              <w:tabs>
                <w:tab w:val="left" w:pos="3200"/>
              </w:tabs>
              <w:rPr>
                <w:rFonts w:ascii="Arial" w:hAnsi="Arial" w:cs="Arial"/>
                <w:sz w:val="18"/>
                <w:szCs w:val="18"/>
                <w:lang w:val="es-ES"/>
              </w:rPr>
            </w:pPr>
          </w:p>
        </w:tc>
        <w:tc>
          <w:tcPr>
            <w:tcW w:w="3713" w:type="dxa"/>
          </w:tcPr>
          <w:p w14:paraId="167CCBFF" w14:textId="77777777" w:rsidR="009A13AE" w:rsidRPr="0096502B" w:rsidRDefault="009A13AE" w:rsidP="009A13AE">
            <w:pPr>
              <w:tabs>
                <w:tab w:val="left" w:pos="3200"/>
              </w:tabs>
              <w:rPr>
                <w:rFonts w:ascii="Arial" w:hAnsi="Arial" w:cs="Arial"/>
                <w:sz w:val="18"/>
                <w:szCs w:val="18"/>
                <w:lang w:val="es-ES"/>
              </w:rPr>
            </w:pPr>
          </w:p>
        </w:tc>
      </w:tr>
      <w:tr w:rsidR="00E410FA" w:rsidRPr="0096502B" w14:paraId="521D6E84" w14:textId="77777777" w:rsidTr="004171C2">
        <w:trPr>
          <w:trHeight w:val="323"/>
        </w:trPr>
        <w:tc>
          <w:tcPr>
            <w:tcW w:w="13253" w:type="dxa"/>
            <w:gridSpan w:val="4"/>
            <w:shd w:val="clear" w:color="auto" w:fill="D9D9D9" w:themeFill="background1" w:themeFillShade="D9"/>
            <w:vAlign w:val="center"/>
          </w:tcPr>
          <w:p w14:paraId="4A0F903E" w14:textId="77777777" w:rsidR="00E410FA" w:rsidRPr="0096502B" w:rsidRDefault="00E410FA" w:rsidP="00E410FA">
            <w:pPr>
              <w:tabs>
                <w:tab w:val="left" w:pos="3200"/>
              </w:tabs>
              <w:rPr>
                <w:rFonts w:ascii="Arial" w:hAnsi="Arial" w:cs="Arial"/>
                <w:sz w:val="18"/>
                <w:szCs w:val="18"/>
                <w:lang w:val="es-ES"/>
              </w:rPr>
            </w:pPr>
            <w:r w:rsidRPr="0096502B">
              <w:rPr>
                <w:rFonts w:ascii="Arial" w:hAnsi="Arial" w:cs="Arial"/>
                <w:b/>
                <w:sz w:val="18"/>
                <w:szCs w:val="18"/>
                <w:lang w:val="es-ES"/>
              </w:rPr>
              <w:t>OP-102 Política de Acceso a la Información</w:t>
            </w:r>
          </w:p>
        </w:tc>
      </w:tr>
      <w:tr w:rsidR="00E410FA" w:rsidRPr="0096502B" w14:paraId="29229867" w14:textId="77777777" w:rsidTr="004171C2">
        <w:trPr>
          <w:trHeight w:val="323"/>
        </w:trPr>
        <w:tc>
          <w:tcPr>
            <w:tcW w:w="3240" w:type="dxa"/>
            <w:shd w:val="clear" w:color="auto" w:fill="D9D9D9" w:themeFill="background1" w:themeFillShade="D9"/>
            <w:vAlign w:val="center"/>
          </w:tcPr>
          <w:p w14:paraId="4E25AF8B"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Divulgación de Evaluaciones Ambientales y Sociales</w:t>
            </w:r>
            <w:r w:rsidRPr="0096502B">
              <w:rPr>
                <w:rStyle w:val="FootnoteReference"/>
                <w:rFonts w:ascii="Arial" w:hAnsi="Arial" w:cs="Arial"/>
                <w:sz w:val="18"/>
                <w:szCs w:val="18"/>
                <w:lang w:val="es-ES"/>
              </w:rPr>
              <w:footnoteReference w:id="6"/>
            </w:r>
            <w:r w:rsidRPr="0096502B">
              <w:rPr>
                <w:rFonts w:ascii="Arial" w:hAnsi="Arial" w:cs="Arial"/>
                <w:sz w:val="18"/>
                <w:szCs w:val="18"/>
                <w:lang w:val="es-ES"/>
              </w:rPr>
              <w:t xml:space="preserve"> Previo a la Misión de Análisis, QRR, OPC y envío de los documentos al Directorio</w:t>
            </w:r>
            <w:r w:rsidRPr="0096502B">
              <w:rPr>
                <w:rStyle w:val="FootnoteReference"/>
                <w:rFonts w:ascii="Arial" w:hAnsi="Arial" w:cs="Arial"/>
                <w:sz w:val="18"/>
                <w:szCs w:val="18"/>
                <w:lang w:val="es-ES"/>
              </w:rPr>
              <w:footnoteReference w:id="7"/>
            </w:r>
          </w:p>
        </w:tc>
        <w:tc>
          <w:tcPr>
            <w:tcW w:w="2700" w:type="dxa"/>
            <w:vAlign w:val="center"/>
          </w:tcPr>
          <w:p w14:paraId="16CC4F6D" w14:textId="26CAE3A0" w:rsidR="00E410FA" w:rsidRPr="0096502B" w:rsidRDefault="009A13AE" w:rsidP="00E410FA">
            <w:pPr>
              <w:tabs>
                <w:tab w:val="left" w:pos="3200"/>
              </w:tabs>
              <w:rPr>
                <w:rFonts w:ascii="Arial" w:hAnsi="Arial" w:cs="Arial"/>
                <w:sz w:val="18"/>
                <w:szCs w:val="18"/>
                <w:lang w:val="es-ES"/>
              </w:rPr>
            </w:pPr>
            <w:r w:rsidRPr="0096502B">
              <w:rPr>
                <w:rFonts w:ascii="Arial" w:hAnsi="Arial" w:cs="Arial"/>
                <w:sz w:val="18"/>
                <w:szCs w:val="18"/>
                <w:lang w:val="es-ES"/>
              </w:rPr>
              <w:t>Publicación de estudios y evaluaciones ambientales y sociales</w:t>
            </w:r>
          </w:p>
        </w:tc>
        <w:tc>
          <w:tcPr>
            <w:tcW w:w="3600" w:type="dxa"/>
          </w:tcPr>
          <w:p w14:paraId="370FB99A" w14:textId="16ACB3ED" w:rsidR="00E410FA" w:rsidRPr="0096502B" w:rsidRDefault="009A13AE" w:rsidP="00E410FA">
            <w:pPr>
              <w:tabs>
                <w:tab w:val="left" w:pos="3200"/>
              </w:tabs>
              <w:rPr>
                <w:rFonts w:ascii="Arial" w:hAnsi="Arial" w:cs="Arial"/>
                <w:sz w:val="18"/>
                <w:szCs w:val="18"/>
                <w:lang w:val="es-ES"/>
              </w:rPr>
            </w:pPr>
            <w:r w:rsidRPr="0096502B">
              <w:rPr>
                <w:rFonts w:ascii="Arial" w:hAnsi="Arial" w:cs="Arial"/>
                <w:sz w:val="18"/>
                <w:szCs w:val="18"/>
                <w:lang w:val="es-ES"/>
              </w:rPr>
              <w:t xml:space="preserve">En proceso de cumplimiento. </w:t>
            </w:r>
          </w:p>
        </w:tc>
        <w:tc>
          <w:tcPr>
            <w:tcW w:w="3713" w:type="dxa"/>
          </w:tcPr>
          <w:p w14:paraId="71501AD7" w14:textId="04321E24" w:rsidR="00E410FA" w:rsidRPr="0096502B" w:rsidRDefault="009A13AE" w:rsidP="00E410FA">
            <w:pPr>
              <w:tabs>
                <w:tab w:val="left" w:pos="3200"/>
              </w:tabs>
              <w:rPr>
                <w:rFonts w:ascii="Arial" w:hAnsi="Arial" w:cs="Arial"/>
                <w:sz w:val="18"/>
                <w:szCs w:val="18"/>
                <w:lang w:val="es-ES"/>
              </w:rPr>
            </w:pPr>
            <w:r w:rsidRPr="0096502B">
              <w:rPr>
                <w:rFonts w:ascii="Arial" w:hAnsi="Arial" w:cs="Arial"/>
                <w:sz w:val="18"/>
                <w:szCs w:val="18"/>
                <w:lang w:val="es-ES"/>
              </w:rPr>
              <w:t>Antes de la distribución de los documentos del proyecto a OPC, se publicará el análisis de los sistemas nacionales de salvaguardias ambientales y sociales llevado a cabo durante la preparación del programa.</w:t>
            </w:r>
          </w:p>
        </w:tc>
      </w:tr>
      <w:tr w:rsidR="00E410FA" w:rsidRPr="0096502B" w14:paraId="20BF2D81" w14:textId="77777777" w:rsidTr="004171C2">
        <w:trPr>
          <w:trHeight w:val="323"/>
        </w:trPr>
        <w:tc>
          <w:tcPr>
            <w:tcW w:w="3240" w:type="dxa"/>
            <w:shd w:val="clear" w:color="auto" w:fill="D9D9D9" w:themeFill="background1" w:themeFillShade="D9"/>
            <w:vAlign w:val="center"/>
          </w:tcPr>
          <w:p w14:paraId="2F3D6948" w14:textId="77777777" w:rsidR="00E410FA" w:rsidRPr="0096502B" w:rsidDel="00641735" w:rsidRDefault="00E410FA" w:rsidP="00E410FA">
            <w:pPr>
              <w:tabs>
                <w:tab w:val="left" w:pos="3200"/>
              </w:tabs>
              <w:rPr>
                <w:rFonts w:ascii="Arial" w:hAnsi="Arial" w:cs="Arial"/>
                <w:b/>
                <w:sz w:val="18"/>
                <w:szCs w:val="18"/>
                <w:lang w:val="es-ES"/>
              </w:rPr>
            </w:pPr>
            <w:r w:rsidRPr="0096502B">
              <w:rPr>
                <w:rFonts w:ascii="Arial" w:hAnsi="Arial" w:cs="Arial"/>
                <w:sz w:val="18"/>
                <w:szCs w:val="18"/>
                <w:lang w:val="es-ES"/>
              </w:rPr>
              <w:t>Disposiciones de Divulgación de Documentos Ambientales y Sociales durante la Implementación del Proyecto</w:t>
            </w:r>
          </w:p>
        </w:tc>
        <w:tc>
          <w:tcPr>
            <w:tcW w:w="2700" w:type="dxa"/>
            <w:vAlign w:val="center"/>
          </w:tcPr>
          <w:p w14:paraId="61FCBC08" w14:textId="6FF3E4B5" w:rsidR="00E410FA" w:rsidRPr="0096502B" w:rsidRDefault="009A13AE" w:rsidP="00E410FA">
            <w:pPr>
              <w:tabs>
                <w:tab w:val="left" w:pos="3200"/>
              </w:tabs>
              <w:rPr>
                <w:rFonts w:ascii="Arial" w:hAnsi="Arial" w:cs="Arial"/>
                <w:sz w:val="18"/>
                <w:szCs w:val="18"/>
                <w:lang w:val="es-ES"/>
              </w:rPr>
            </w:pPr>
            <w:r w:rsidRPr="0096502B">
              <w:rPr>
                <w:rFonts w:ascii="Arial" w:hAnsi="Arial" w:cs="Arial"/>
                <w:sz w:val="18"/>
                <w:szCs w:val="18"/>
                <w:lang w:val="es-ES"/>
              </w:rPr>
              <w:t>No aplica</w:t>
            </w:r>
          </w:p>
        </w:tc>
        <w:tc>
          <w:tcPr>
            <w:tcW w:w="3600" w:type="dxa"/>
          </w:tcPr>
          <w:p w14:paraId="37C666AF" w14:textId="77777777" w:rsidR="00E410FA" w:rsidRPr="0096502B" w:rsidRDefault="00E410FA" w:rsidP="00E410FA">
            <w:pPr>
              <w:tabs>
                <w:tab w:val="left" w:pos="3200"/>
              </w:tabs>
              <w:rPr>
                <w:rFonts w:ascii="Arial" w:hAnsi="Arial" w:cs="Arial"/>
                <w:sz w:val="18"/>
                <w:szCs w:val="18"/>
                <w:lang w:val="es-ES"/>
              </w:rPr>
            </w:pPr>
          </w:p>
        </w:tc>
        <w:tc>
          <w:tcPr>
            <w:tcW w:w="3713" w:type="dxa"/>
          </w:tcPr>
          <w:p w14:paraId="515E1101" w14:textId="77777777" w:rsidR="00E410FA" w:rsidRPr="0096502B" w:rsidRDefault="00E410FA" w:rsidP="00E410FA">
            <w:pPr>
              <w:tabs>
                <w:tab w:val="left" w:pos="3200"/>
              </w:tabs>
              <w:rPr>
                <w:rFonts w:ascii="Arial" w:hAnsi="Arial" w:cs="Arial"/>
                <w:sz w:val="18"/>
                <w:szCs w:val="18"/>
                <w:lang w:val="es-ES"/>
              </w:rPr>
            </w:pPr>
          </w:p>
        </w:tc>
      </w:tr>
    </w:tbl>
    <w:p w14:paraId="7E5D8364" w14:textId="77777777" w:rsidR="00E410FA" w:rsidRPr="00E410FA" w:rsidRDefault="00E410FA"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4B78D261" w14:textId="36E03D94"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53A715EE" w14:textId="3D107095"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3ABBD6A0" w14:textId="11739D93"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1B70DC02" w14:textId="53B4F6C4"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606BA653" w14:textId="1CD8B84A"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4122A535" w14:textId="6928B02D"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58FBAAF4" w14:textId="77777777" w:rsidR="0026710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sectPr w:rsidR="0026710B" w:rsidSect="0026710B">
          <w:pgSz w:w="15840" w:h="12240" w:orient="landscape"/>
          <w:pgMar w:top="720" w:right="720" w:bottom="720" w:left="720" w:header="720" w:footer="720" w:gutter="0"/>
          <w:pgNumType w:fmt="numberInDash" w:start="1"/>
          <w:cols w:space="720"/>
          <w:titlePg/>
          <w:docGrid w:linePitch="360"/>
        </w:sectPr>
      </w:pPr>
    </w:p>
    <w:p w14:paraId="4D920DFA" w14:textId="5F871A31" w:rsidR="0026710B" w:rsidRPr="00D412AB" w:rsidRDefault="0026710B" w:rsidP="001C7313">
      <w:pPr>
        <w:widowControl w:val="0"/>
        <w:autoSpaceDE w:val="0"/>
        <w:autoSpaceDN w:val="0"/>
        <w:adjustRightInd w:val="0"/>
        <w:ind w:right="-720"/>
        <w:jc w:val="center"/>
        <w:rPr>
          <w:rFonts w:ascii="Arial" w:hAnsi="Arial" w:cs="Arial"/>
          <w:bCs/>
          <w:color w:val="000000" w:themeColor="text1"/>
          <w:sz w:val="22"/>
          <w:szCs w:val="22"/>
          <w:lang w:val="es-ES_tradnl"/>
        </w:rPr>
      </w:pPr>
    </w:p>
    <w:p w14:paraId="3859296B" w14:textId="66197B6E" w:rsidR="001C7313" w:rsidRDefault="0026710B" w:rsidP="00792A44">
      <w:pPr>
        <w:widowControl w:val="0"/>
        <w:autoSpaceDE w:val="0"/>
        <w:autoSpaceDN w:val="0"/>
        <w:adjustRightInd w:val="0"/>
        <w:ind w:right="-720"/>
        <w:jc w:val="center"/>
        <w:rPr>
          <w:rFonts w:ascii="Arial" w:hAnsi="Arial" w:cs="Arial"/>
          <w:b/>
          <w:bCs/>
          <w:lang w:val="es-ES_tradnl"/>
        </w:rPr>
      </w:pPr>
      <w:r>
        <w:rPr>
          <w:rFonts w:ascii="Arial" w:hAnsi="Arial" w:cs="Arial"/>
          <w:b/>
          <w:bCs/>
          <w:lang w:val="es-ES_tradnl"/>
        </w:rPr>
        <w:t>ANEXO B</w:t>
      </w:r>
    </w:p>
    <w:p w14:paraId="42077FA4" w14:textId="34B895D0" w:rsidR="00777863" w:rsidRDefault="00777863" w:rsidP="00792A44">
      <w:pPr>
        <w:widowControl w:val="0"/>
        <w:autoSpaceDE w:val="0"/>
        <w:autoSpaceDN w:val="0"/>
        <w:adjustRightInd w:val="0"/>
        <w:ind w:right="-720"/>
        <w:jc w:val="center"/>
        <w:rPr>
          <w:rFonts w:ascii="Arial" w:hAnsi="Arial" w:cs="Arial"/>
          <w:b/>
          <w:bCs/>
          <w:lang w:val="es-ES_tradnl"/>
        </w:rPr>
      </w:pPr>
    </w:p>
    <w:p w14:paraId="2858213C" w14:textId="027FF255" w:rsidR="00777863" w:rsidRPr="00945BBC" w:rsidRDefault="00777863" w:rsidP="00945BBC">
      <w:pPr>
        <w:widowControl w:val="0"/>
        <w:autoSpaceDE w:val="0"/>
        <w:autoSpaceDN w:val="0"/>
        <w:adjustRightInd w:val="0"/>
        <w:jc w:val="center"/>
        <w:rPr>
          <w:rFonts w:ascii="Arial" w:hAnsi="Arial" w:cs="Arial"/>
          <w:b/>
          <w:bCs/>
          <w:sz w:val="18"/>
          <w:szCs w:val="22"/>
          <w:lang w:val="es-ES_tradnl"/>
        </w:rPr>
      </w:pPr>
      <w:r w:rsidRPr="00945BBC">
        <w:rPr>
          <w:rFonts w:ascii="Arial" w:hAnsi="Arial" w:cs="Arial"/>
          <w:b/>
          <w:bCs/>
          <w:sz w:val="18"/>
          <w:szCs w:val="22"/>
          <w:lang w:val="es-ES_tradnl"/>
        </w:rPr>
        <w:t xml:space="preserve">GRÁFICO 1: </w:t>
      </w:r>
      <w:r w:rsidRPr="00945BBC">
        <w:rPr>
          <w:rFonts w:ascii="Arial" w:hAnsi="Arial" w:cs="Arial"/>
          <w:b/>
          <w:sz w:val="18"/>
          <w:szCs w:val="22"/>
        </w:rPr>
        <w:t>Ruta crítica general del Programa Nacional Forestal</w:t>
      </w:r>
    </w:p>
    <w:p w14:paraId="6873D7D2" w14:textId="3F2B8BC6" w:rsidR="00777863" w:rsidRDefault="00777863" w:rsidP="00792A44">
      <w:pPr>
        <w:widowControl w:val="0"/>
        <w:autoSpaceDE w:val="0"/>
        <w:autoSpaceDN w:val="0"/>
        <w:adjustRightInd w:val="0"/>
        <w:ind w:right="-720"/>
        <w:jc w:val="center"/>
        <w:rPr>
          <w:rFonts w:ascii="Arial" w:hAnsi="Arial" w:cs="Arial"/>
          <w:b/>
          <w:bCs/>
          <w:lang w:val="es-ES_tradnl"/>
        </w:rPr>
      </w:pPr>
    </w:p>
    <w:p w14:paraId="049E07C5" w14:textId="3D9CC611" w:rsidR="00777863" w:rsidRPr="00792A44" w:rsidRDefault="00777863" w:rsidP="00945BBC">
      <w:pPr>
        <w:widowControl w:val="0"/>
        <w:autoSpaceDE w:val="0"/>
        <w:autoSpaceDN w:val="0"/>
        <w:adjustRightInd w:val="0"/>
        <w:ind w:right="-720"/>
        <w:jc w:val="center"/>
        <w:rPr>
          <w:rFonts w:ascii="Arial" w:hAnsi="Arial" w:cs="Arial"/>
          <w:b/>
          <w:bCs/>
          <w:lang w:val="es-ES_tradnl"/>
        </w:rPr>
      </w:pPr>
      <w:r>
        <w:rPr>
          <w:rFonts w:cstheme="minorHAnsi"/>
          <w:noProof/>
          <w:lang w:eastAsia="es-MX"/>
        </w:rPr>
        <w:drawing>
          <wp:inline distT="0" distB="0" distL="0" distR="0" wp14:anchorId="4267482D" wp14:editId="0F48C390">
            <wp:extent cx="5342255" cy="6566051"/>
            <wp:effectExtent l="0" t="0" r="0" b="6350"/>
            <wp:docPr id="75756" name="Imagen 75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49709" cy="6575212"/>
                    </a:xfrm>
                    <a:prstGeom prst="rect">
                      <a:avLst/>
                    </a:prstGeom>
                    <a:noFill/>
                  </pic:spPr>
                </pic:pic>
              </a:graphicData>
            </a:graphic>
          </wp:inline>
        </w:drawing>
      </w:r>
    </w:p>
    <w:p w14:paraId="75DF44CE" w14:textId="115F8089" w:rsidR="00BC7844" w:rsidRDefault="00BC7844" w:rsidP="00BC7844">
      <w:pPr>
        <w:widowControl w:val="0"/>
        <w:autoSpaceDE w:val="0"/>
        <w:autoSpaceDN w:val="0"/>
        <w:adjustRightInd w:val="0"/>
        <w:ind w:right="-720"/>
        <w:jc w:val="center"/>
        <w:rPr>
          <w:rFonts w:ascii="Arial" w:hAnsi="Arial" w:cs="Arial"/>
          <w:bCs/>
          <w:sz w:val="20"/>
          <w:szCs w:val="20"/>
          <w:lang w:val="es-ES_tradnl"/>
        </w:rPr>
      </w:pPr>
    </w:p>
    <w:p w14:paraId="17D2B840" w14:textId="03BFDCE6" w:rsidR="00BC7844" w:rsidRDefault="00777863" w:rsidP="00BC7844">
      <w:pPr>
        <w:widowControl w:val="0"/>
        <w:autoSpaceDE w:val="0"/>
        <w:autoSpaceDN w:val="0"/>
        <w:adjustRightInd w:val="0"/>
        <w:ind w:right="-720"/>
        <w:jc w:val="center"/>
        <w:rPr>
          <w:rFonts w:ascii="Arial" w:hAnsi="Arial" w:cs="Arial"/>
          <w:bCs/>
          <w:sz w:val="20"/>
          <w:szCs w:val="20"/>
          <w:lang w:val="es-ES_tradnl"/>
        </w:rPr>
      </w:pPr>
      <w:r w:rsidRPr="007C7467">
        <w:rPr>
          <w:noProof/>
          <w:lang w:eastAsia="es-MX"/>
        </w:rPr>
        <w:lastRenderedPageBreak/>
        <w:drawing>
          <wp:inline distT="0" distB="0" distL="0" distR="0" wp14:anchorId="728A135B" wp14:editId="361585EA">
            <wp:extent cx="5612130" cy="7427482"/>
            <wp:effectExtent l="0" t="0" r="762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7427482"/>
                    </a:xfrm>
                    <a:prstGeom prst="rect">
                      <a:avLst/>
                    </a:prstGeom>
                    <a:noFill/>
                    <a:ln>
                      <a:noFill/>
                    </a:ln>
                  </pic:spPr>
                </pic:pic>
              </a:graphicData>
            </a:graphic>
          </wp:inline>
        </w:drawing>
      </w:r>
    </w:p>
    <w:p w14:paraId="238E7D2B" w14:textId="4CF4FBB5" w:rsidR="00792A44" w:rsidRDefault="00792A44" w:rsidP="00BC7844">
      <w:pPr>
        <w:widowControl w:val="0"/>
        <w:autoSpaceDE w:val="0"/>
        <w:autoSpaceDN w:val="0"/>
        <w:adjustRightInd w:val="0"/>
        <w:ind w:right="-720"/>
        <w:jc w:val="center"/>
        <w:rPr>
          <w:rFonts w:ascii="Arial" w:hAnsi="Arial" w:cs="Arial"/>
          <w:b/>
          <w:bCs/>
          <w:sz w:val="20"/>
          <w:szCs w:val="20"/>
          <w:lang w:val="es-ES_tradnl"/>
        </w:rPr>
      </w:pPr>
    </w:p>
    <w:p w14:paraId="6D692718" w14:textId="60101142" w:rsidR="00AE5528" w:rsidRPr="00777863" w:rsidRDefault="00AE5528" w:rsidP="00BC7844">
      <w:pPr>
        <w:widowControl w:val="0"/>
        <w:autoSpaceDE w:val="0"/>
        <w:autoSpaceDN w:val="0"/>
        <w:adjustRightInd w:val="0"/>
        <w:ind w:right="-720"/>
        <w:jc w:val="center"/>
        <w:rPr>
          <w:rFonts w:ascii="Arial" w:hAnsi="Arial" w:cs="Arial"/>
          <w:b/>
          <w:bCs/>
          <w:sz w:val="22"/>
          <w:szCs w:val="22"/>
          <w:lang w:val="es-ES_tradnl"/>
        </w:rPr>
      </w:pPr>
    </w:p>
    <w:p w14:paraId="6372E9C4" w14:textId="6D9C4AFC" w:rsidR="00777863" w:rsidRPr="009C3BD6" w:rsidRDefault="00777863" w:rsidP="009C3BD6">
      <w:pPr>
        <w:widowControl w:val="0"/>
        <w:autoSpaceDE w:val="0"/>
        <w:autoSpaceDN w:val="0"/>
        <w:adjustRightInd w:val="0"/>
        <w:jc w:val="center"/>
        <w:rPr>
          <w:rFonts w:ascii="Arial" w:hAnsi="Arial" w:cs="Arial"/>
          <w:b/>
          <w:bCs/>
          <w:sz w:val="18"/>
          <w:szCs w:val="22"/>
          <w:lang w:val="es-ES_tradnl"/>
        </w:rPr>
      </w:pPr>
      <w:r w:rsidRPr="009C3BD6">
        <w:rPr>
          <w:rFonts w:ascii="Arial" w:hAnsi="Arial" w:cs="Arial"/>
          <w:b/>
          <w:bCs/>
          <w:sz w:val="18"/>
          <w:szCs w:val="22"/>
          <w:lang w:val="es-ES_tradnl"/>
        </w:rPr>
        <w:t>GRÁFICO 2: Ruta crítica general de la línea de acción del CONAVI</w:t>
      </w:r>
    </w:p>
    <w:p w14:paraId="5934EAC0" w14:textId="77777777" w:rsidR="00777863" w:rsidRPr="00DA7CA4" w:rsidRDefault="00777863" w:rsidP="00BC7844">
      <w:pPr>
        <w:widowControl w:val="0"/>
        <w:autoSpaceDE w:val="0"/>
        <w:autoSpaceDN w:val="0"/>
        <w:adjustRightInd w:val="0"/>
        <w:ind w:right="-720"/>
        <w:jc w:val="center"/>
        <w:rPr>
          <w:rFonts w:ascii="Arial" w:hAnsi="Arial" w:cs="Arial"/>
          <w:bCs/>
          <w:sz w:val="20"/>
          <w:szCs w:val="20"/>
          <w:lang w:val="es-ES"/>
        </w:rPr>
      </w:pPr>
    </w:p>
    <w:sectPr w:rsidR="00777863" w:rsidRPr="00DA7CA4" w:rsidSect="0070304F">
      <w:head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87D95" w14:textId="77777777" w:rsidR="00EE6708" w:rsidRDefault="00EE6708" w:rsidP="00953C33">
      <w:r>
        <w:separator/>
      </w:r>
    </w:p>
  </w:endnote>
  <w:endnote w:type="continuationSeparator" w:id="0">
    <w:p w14:paraId="157E1C7C" w14:textId="77777777" w:rsidR="00EE6708" w:rsidRDefault="00EE6708"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B8B43" w14:textId="77777777" w:rsidR="00EE6708" w:rsidRDefault="00EE6708" w:rsidP="00953C33">
      <w:r>
        <w:separator/>
      </w:r>
    </w:p>
  </w:footnote>
  <w:footnote w:type="continuationSeparator" w:id="0">
    <w:p w14:paraId="3C11AD71" w14:textId="77777777" w:rsidR="00EE6708" w:rsidRDefault="00EE6708" w:rsidP="00953C33">
      <w:r>
        <w:continuationSeparator/>
      </w:r>
    </w:p>
  </w:footnote>
  <w:footnote w:id="1">
    <w:p w14:paraId="6FD7D6B3" w14:textId="77777777" w:rsidR="00A31963" w:rsidRPr="00E17722" w:rsidRDefault="00A31963" w:rsidP="00E17722">
      <w:pPr>
        <w:pStyle w:val="FootnoteText"/>
        <w:ind w:left="180" w:hanging="180"/>
        <w:jc w:val="both"/>
        <w:rPr>
          <w:rFonts w:ascii="Arial" w:hAnsi="Arial" w:cs="Arial"/>
          <w:sz w:val="18"/>
          <w:lang w:val="es-ES"/>
        </w:rPr>
      </w:pPr>
      <w:r w:rsidRPr="00E17722">
        <w:rPr>
          <w:rStyle w:val="FootnoteReference"/>
          <w:rFonts w:ascii="Arial" w:hAnsi="Arial" w:cs="Arial"/>
          <w:sz w:val="18"/>
        </w:rPr>
        <w:footnoteRef/>
      </w:r>
      <w:r w:rsidRPr="00E17722">
        <w:rPr>
          <w:rFonts w:ascii="Arial" w:hAnsi="Arial" w:cs="Arial"/>
          <w:sz w:val="18"/>
          <w:lang w:val="es-ES_tradnl"/>
        </w:rPr>
        <w:t xml:space="preserve"> </w:t>
      </w:r>
      <w:r w:rsidRPr="00E17722">
        <w:rPr>
          <w:rFonts w:ascii="Arial" w:hAnsi="Arial" w:cs="Arial"/>
          <w:sz w:val="18"/>
          <w:lang w:val="es-ES"/>
        </w:rPr>
        <w:tab/>
      </w:r>
      <w:r w:rsidRPr="00E17722">
        <w:rPr>
          <w:rFonts w:ascii="Arial" w:hAnsi="Arial" w:cs="Arial"/>
          <w:sz w:val="18"/>
          <w:lang w:val="es-ES_tradnl"/>
        </w:rPr>
        <w:t>Los Perímetros de Contención Urbana definidos por la Secretaría de Desarrollo Agrario, Territorial y Urbano (SEDATU) mediante técnicas geoespaciales a partir de fuentes oficiales de información del Instituto Nacional de Estadística y Geografía (INEGI), la Secretaría de Desarrollo Social (SEDESOL) y el Comité Nacional de la Productividad (CNP).</w:t>
      </w:r>
    </w:p>
  </w:footnote>
  <w:footnote w:id="2">
    <w:p w14:paraId="4671C255" w14:textId="4DCEDCAA" w:rsidR="00A31963" w:rsidRPr="009A2899" w:rsidRDefault="00A31963" w:rsidP="009A2899">
      <w:pPr>
        <w:pStyle w:val="FootnoteText"/>
        <w:ind w:hanging="180"/>
        <w:jc w:val="both"/>
        <w:rPr>
          <w:rFonts w:ascii="Arial" w:hAnsi="Arial" w:cs="Arial"/>
          <w:sz w:val="18"/>
          <w:szCs w:val="18"/>
          <w:lang w:val="es-ES_tradnl"/>
        </w:rPr>
      </w:pPr>
      <w:r w:rsidRPr="009A2899">
        <w:rPr>
          <w:rStyle w:val="FootnoteReference"/>
          <w:rFonts w:ascii="Arial" w:hAnsi="Arial" w:cs="Arial"/>
          <w:sz w:val="18"/>
          <w:szCs w:val="18"/>
        </w:rPr>
        <w:footnoteRef/>
      </w:r>
      <w:r w:rsidRPr="009A2899">
        <w:rPr>
          <w:rFonts w:ascii="Arial" w:hAnsi="Arial" w:cs="Arial"/>
          <w:sz w:val="18"/>
          <w:szCs w:val="18"/>
          <w:lang w:val="es-ES_tradnl"/>
        </w:rPr>
        <w:t xml:space="preserve"> </w:t>
      </w:r>
      <w:r>
        <w:rPr>
          <w:rFonts w:ascii="Arial" w:hAnsi="Arial" w:cs="Arial"/>
          <w:sz w:val="18"/>
          <w:szCs w:val="18"/>
          <w:lang w:val="es-ES_tradnl"/>
        </w:rPr>
        <w:tab/>
      </w:r>
      <w:r w:rsidRPr="009A2899">
        <w:rPr>
          <w:rFonts w:ascii="Arial" w:hAnsi="Arial" w:cs="Arial"/>
          <w:sz w:val="18"/>
          <w:szCs w:val="18"/>
          <w:lang w:val="es-ES_tradnl"/>
        </w:rPr>
        <w:t>Escenario de riesgo de Tipo 1: El proyecto está expuesto a desastres naturales debido a su ubicación geográfica.</w:t>
      </w:r>
    </w:p>
  </w:footnote>
  <w:footnote w:id="3">
    <w:p w14:paraId="087AAED6" w14:textId="13F43A21" w:rsidR="00A31963" w:rsidRPr="009A2899" w:rsidRDefault="00A31963" w:rsidP="004171C2">
      <w:pPr>
        <w:pStyle w:val="FootnoteText"/>
        <w:ind w:right="-360" w:hanging="180"/>
        <w:jc w:val="both"/>
        <w:rPr>
          <w:lang w:val="es-ES_tradnl"/>
        </w:rPr>
      </w:pPr>
      <w:r w:rsidRPr="009A2899">
        <w:rPr>
          <w:rStyle w:val="FootnoteReference"/>
          <w:rFonts w:ascii="Arial" w:hAnsi="Arial" w:cs="Arial"/>
          <w:sz w:val="18"/>
          <w:szCs w:val="18"/>
        </w:rPr>
        <w:footnoteRef/>
      </w:r>
      <w:r w:rsidRPr="009A2899">
        <w:rPr>
          <w:rFonts w:ascii="Arial" w:hAnsi="Arial" w:cs="Arial"/>
          <w:sz w:val="18"/>
          <w:szCs w:val="18"/>
          <w:lang w:val="es-ES_tradnl"/>
        </w:rPr>
        <w:t xml:space="preserve"> </w:t>
      </w:r>
      <w:r>
        <w:rPr>
          <w:rFonts w:ascii="Arial" w:hAnsi="Arial" w:cs="Arial"/>
          <w:sz w:val="18"/>
          <w:szCs w:val="18"/>
          <w:lang w:val="es-ES_tradnl"/>
        </w:rPr>
        <w:tab/>
      </w:r>
      <w:r w:rsidRPr="009A2899">
        <w:rPr>
          <w:rFonts w:ascii="Arial" w:hAnsi="Arial" w:cs="Arial"/>
          <w:sz w:val="18"/>
          <w:szCs w:val="18"/>
          <w:lang w:val="es-ES_tradnl"/>
        </w:rPr>
        <w:t>Escenario de riesgo de Tipo 2: El proyecto tiene el potencial de exacerbar el riesgo de peligro para la vida humana, la propiedad, el medio ambiente o el mismo proyecto.</w:t>
      </w:r>
    </w:p>
  </w:footnote>
  <w:footnote w:id="4">
    <w:p w14:paraId="6141750B" w14:textId="77777777" w:rsidR="00A31963" w:rsidRPr="0096502B" w:rsidRDefault="00A31963" w:rsidP="0096502B">
      <w:pPr>
        <w:pStyle w:val="FootnoteText"/>
        <w:ind w:left="720" w:right="540" w:hanging="180"/>
        <w:jc w:val="both"/>
        <w:rPr>
          <w:rStyle w:val="FootnoteReference"/>
          <w:rFonts w:ascii="Arial" w:hAnsi="Arial" w:cs="Arial"/>
          <w:vertAlign w:val="baseline"/>
        </w:rPr>
      </w:pPr>
      <w:r w:rsidRPr="0096502B">
        <w:rPr>
          <w:rStyle w:val="FootnoteReference"/>
          <w:rFonts w:ascii="Arial" w:hAnsi="Arial" w:cs="Arial"/>
          <w:sz w:val="18"/>
          <w:szCs w:val="18"/>
        </w:rPr>
        <w:footnoteRef/>
      </w:r>
      <w:r w:rsidRPr="0096502B">
        <w:rPr>
          <w:rStyle w:val="FootnoteReference"/>
          <w:rFonts w:ascii="Arial" w:hAnsi="Arial" w:cs="Arial"/>
        </w:rPr>
        <w:t xml:space="preserve"> </w:t>
      </w:r>
      <w:r w:rsidRPr="0096502B">
        <w:rPr>
          <w:rStyle w:val="FootnoteReference"/>
          <w:rFonts w:ascii="Arial" w:hAnsi="Arial" w:cs="Arial"/>
          <w:sz w:val="18"/>
          <w:vertAlign w:val="baseline"/>
        </w:rPr>
        <w:t xml:space="preserve">El </w:t>
      </w:r>
      <w:proofErr w:type="spellStart"/>
      <w:r w:rsidRPr="0096502B">
        <w:rPr>
          <w:rStyle w:val="FootnoteReference"/>
          <w:rFonts w:ascii="Arial" w:hAnsi="Arial" w:cs="Arial"/>
          <w:sz w:val="18"/>
          <w:vertAlign w:val="baseline"/>
        </w:rPr>
        <w:t>escenario</w:t>
      </w:r>
      <w:proofErr w:type="spellEnd"/>
      <w:r w:rsidRPr="0096502B">
        <w:rPr>
          <w:rStyle w:val="FootnoteReference"/>
          <w:rFonts w:ascii="Arial" w:hAnsi="Arial" w:cs="Arial"/>
          <w:sz w:val="18"/>
          <w:vertAlign w:val="baseline"/>
        </w:rPr>
        <w:t xml:space="preserve"> de riesgo tipo 2 ocurre cuando la operación tiene el potencial de exacerbar el riesgo de riesgo para la vida humana, la propiedad, el medio ambiente y el propio proyecto.</w:t>
      </w:r>
    </w:p>
  </w:footnote>
  <w:footnote w:id="5">
    <w:p w14:paraId="27341644" w14:textId="2BD8CB21" w:rsidR="009A13AE" w:rsidRPr="0096502B" w:rsidRDefault="009A13AE" w:rsidP="0096502B">
      <w:pPr>
        <w:pStyle w:val="FootnoteText"/>
        <w:ind w:left="720" w:right="540" w:hanging="180"/>
        <w:jc w:val="both"/>
        <w:rPr>
          <w:rFonts w:ascii="Arial" w:hAnsi="Arial" w:cs="Arial"/>
          <w:sz w:val="18"/>
          <w:szCs w:val="18"/>
          <w:lang w:val="es-ES_tradnl"/>
        </w:rPr>
      </w:pPr>
      <w:r w:rsidRPr="0096502B">
        <w:rPr>
          <w:rStyle w:val="FootnoteReference"/>
          <w:rFonts w:ascii="Arial" w:hAnsi="Arial" w:cs="Arial"/>
          <w:sz w:val="18"/>
          <w:szCs w:val="18"/>
        </w:rPr>
        <w:footnoteRef/>
      </w:r>
      <w:r w:rsidRPr="0096502B">
        <w:rPr>
          <w:rFonts w:ascii="Arial" w:hAnsi="Arial" w:cs="Arial"/>
          <w:sz w:val="18"/>
          <w:szCs w:val="18"/>
          <w:lang w:val="es-ES_tradnl"/>
        </w:rPr>
        <w:t xml:space="preserve"> </w:t>
      </w:r>
      <w:r w:rsidR="0096502B">
        <w:rPr>
          <w:rFonts w:ascii="Arial" w:hAnsi="Arial" w:cs="Arial"/>
          <w:sz w:val="18"/>
          <w:szCs w:val="18"/>
          <w:lang w:val="es-ES_tradnl"/>
        </w:rPr>
        <w:tab/>
      </w:r>
      <w:r w:rsidRPr="0096502B">
        <w:rPr>
          <w:rFonts w:ascii="Arial" w:hAnsi="Arial" w:cs="Arial"/>
          <w:sz w:val="18"/>
          <w:szCs w:val="18"/>
          <w:lang w:val="es-ES_tradnl"/>
        </w:rPr>
        <w:t xml:space="preserve">Los riesgos pueden incluir: </w:t>
      </w:r>
      <w:r w:rsidR="0096502B">
        <w:rPr>
          <w:rFonts w:ascii="Arial" w:hAnsi="Arial" w:cs="Arial"/>
          <w:sz w:val="18"/>
          <w:szCs w:val="18"/>
          <w:lang w:val="es-ES_tradnl"/>
        </w:rPr>
        <w:t>(</w:t>
      </w:r>
      <w:r w:rsidRPr="0096502B">
        <w:rPr>
          <w:rFonts w:ascii="Arial" w:hAnsi="Arial" w:cs="Arial"/>
          <w:sz w:val="18"/>
          <w:szCs w:val="18"/>
          <w:lang w:val="es-ES_tradnl"/>
        </w:rPr>
        <w:t>i) acceso desigual a los beneficios del pro</w:t>
      </w:r>
      <w:r w:rsidR="0096502B">
        <w:rPr>
          <w:rFonts w:ascii="Arial" w:hAnsi="Arial" w:cs="Arial"/>
          <w:sz w:val="18"/>
          <w:szCs w:val="18"/>
          <w:lang w:val="es-ES_tradnl"/>
        </w:rPr>
        <w:t>yecto/medidas de compensación; (</w:t>
      </w:r>
      <w:r w:rsidRPr="0096502B">
        <w:rPr>
          <w:rFonts w:ascii="Arial" w:hAnsi="Arial" w:cs="Arial"/>
          <w:sz w:val="18"/>
          <w:szCs w:val="18"/>
          <w:lang w:val="es-ES_tradnl"/>
        </w:rPr>
        <w:t>ii) hombres o mujeres afectados de manera despropo</w:t>
      </w:r>
      <w:r w:rsidR="0096502B">
        <w:rPr>
          <w:rFonts w:ascii="Arial" w:hAnsi="Arial" w:cs="Arial"/>
          <w:sz w:val="18"/>
          <w:szCs w:val="18"/>
          <w:lang w:val="es-ES_tradnl"/>
        </w:rPr>
        <w:t>rcionada por factores de género;</w:t>
      </w:r>
      <w:r w:rsidRPr="0096502B">
        <w:rPr>
          <w:rFonts w:ascii="Arial" w:hAnsi="Arial" w:cs="Arial"/>
          <w:sz w:val="18"/>
          <w:szCs w:val="18"/>
          <w:lang w:val="es-ES_tradnl"/>
        </w:rPr>
        <w:t xml:space="preserve"> </w:t>
      </w:r>
      <w:r w:rsidR="0096502B">
        <w:rPr>
          <w:rFonts w:ascii="Arial" w:hAnsi="Arial" w:cs="Arial"/>
          <w:sz w:val="18"/>
          <w:szCs w:val="18"/>
          <w:lang w:val="es-ES_tradnl"/>
        </w:rPr>
        <w:t>(</w:t>
      </w:r>
      <w:r w:rsidRPr="0096502B">
        <w:rPr>
          <w:rFonts w:ascii="Arial" w:hAnsi="Arial" w:cs="Arial"/>
          <w:sz w:val="18"/>
          <w:szCs w:val="18"/>
          <w:lang w:val="es-ES_tradnl"/>
        </w:rPr>
        <w:t>iii) incumplimiento de la legislación aplicable en materia de igua</w:t>
      </w:r>
      <w:r w:rsidR="0096502B">
        <w:rPr>
          <w:rFonts w:ascii="Arial" w:hAnsi="Arial" w:cs="Arial"/>
          <w:sz w:val="18"/>
          <w:szCs w:val="18"/>
          <w:lang w:val="es-ES_tradnl"/>
        </w:rPr>
        <w:t>ldad entre hombres y mujeres;</w:t>
      </w:r>
      <w:r w:rsidRPr="0096502B">
        <w:rPr>
          <w:rFonts w:ascii="Arial" w:hAnsi="Arial" w:cs="Arial"/>
          <w:sz w:val="18"/>
          <w:szCs w:val="18"/>
          <w:lang w:val="es-ES_tradnl"/>
        </w:rPr>
        <w:t xml:space="preserve"> </w:t>
      </w:r>
      <w:r w:rsidR="0096502B">
        <w:rPr>
          <w:rFonts w:ascii="Arial" w:hAnsi="Arial" w:cs="Arial"/>
          <w:sz w:val="18"/>
          <w:szCs w:val="18"/>
          <w:lang w:val="es-ES_tradnl"/>
        </w:rPr>
        <w:t>(</w:t>
      </w:r>
      <w:r w:rsidRPr="0096502B">
        <w:rPr>
          <w:rFonts w:ascii="Arial" w:hAnsi="Arial" w:cs="Arial"/>
          <w:sz w:val="18"/>
          <w:szCs w:val="18"/>
          <w:lang w:val="es-ES_tradnl"/>
        </w:rPr>
        <w:t>iv) El riesgo de violencia de género, incluyendo la explotación sexual, la trata de seres humanos y las enf</w:t>
      </w:r>
      <w:r w:rsidR="0096502B">
        <w:rPr>
          <w:rFonts w:ascii="Arial" w:hAnsi="Arial" w:cs="Arial"/>
          <w:sz w:val="18"/>
          <w:szCs w:val="18"/>
          <w:lang w:val="es-ES_tradnl"/>
        </w:rPr>
        <w:t>ermedades de transmisión sexual;</w:t>
      </w:r>
      <w:r w:rsidRPr="0096502B">
        <w:rPr>
          <w:rFonts w:ascii="Arial" w:hAnsi="Arial" w:cs="Arial"/>
          <w:sz w:val="18"/>
          <w:szCs w:val="18"/>
          <w:lang w:val="es-ES_tradnl"/>
        </w:rPr>
        <w:t xml:space="preserve"> y </w:t>
      </w:r>
      <w:r w:rsidR="0096502B">
        <w:rPr>
          <w:rFonts w:ascii="Arial" w:hAnsi="Arial" w:cs="Arial"/>
          <w:sz w:val="18"/>
          <w:szCs w:val="18"/>
          <w:lang w:val="es-ES_tradnl"/>
        </w:rPr>
        <w:t>(</w:t>
      </w:r>
      <w:r w:rsidRPr="0096502B">
        <w:rPr>
          <w:rFonts w:ascii="Arial" w:hAnsi="Arial" w:cs="Arial"/>
          <w:sz w:val="18"/>
          <w:szCs w:val="18"/>
          <w:lang w:val="es-ES_tradnl"/>
        </w:rPr>
        <w:t>v) el desconocimiento de los derechos de propiedad de las mujeres.</w:t>
      </w:r>
    </w:p>
  </w:footnote>
  <w:footnote w:id="6">
    <w:p w14:paraId="1446FE6E" w14:textId="4A4139E0" w:rsidR="00A31963" w:rsidRPr="0096502B" w:rsidRDefault="00A31963" w:rsidP="0096502B">
      <w:pPr>
        <w:pStyle w:val="FootnoteText"/>
        <w:ind w:left="720" w:right="540" w:hanging="180"/>
        <w:jc w:val="both"/>
        <w:rPr>
          <w:rFonts w:ascii="Arial" w:hAnsi="Arial" w:cs="Arial"/>
          <w:sz w:val="18"/>
          <w:szCs w:val="18"/>
          <w:lang w:val="es-ES"/>
        </w:rPr>
      </w:pPr>
      <w:r w:rsidRPr="0096502B">
        <w:rPr>
          <w:rStyle w:val="FootnoteReference"/>
          <w:rFonts w:ascii="Arial" w:hAnsi="Arial" w:cs="Arial"/>
          <w:sz w:val="18"/>
          <w:szCs w:val="18"/>
        </w:rPr>
        <w:footnoteRef/>
      </w:r>
      <w:r w:rsidR="0096502B" w:rsidRPr="0096502B">
        <w:rPr>
          <w:rFonts w:ascii="Arial" w:hAnsi="Arial" w:cs="Arial"/>
          <w:sz w:val="18"/>
          <w:szCs w:val="18"/>
          <w:lang w:val="es-ES_tradnl"/>
        </w:rPr>
        <w:t xml:space="preserve"> </w:t>
      </w:r>
      <w:r w:rsidR="0096502B">
        <w:rPr>
          <w:rFonts w:ascii="Arial" w:hAnsi="Arial" w:cs="Arial"/>
          <w:sz w:val="18"/>
          <w:szCs w:val="18"/>
          <w:lang w:val="es-ES_tradnl"/>
        </w:rPr>
        <w:t xml:space="preserve"> </w:t>
      </w:r>
      <w:r w:rsidR="0096502B">
        <w:rPr>
          <w:rFonts w:ascii="Arial" w:hAnsi="Arial" w:cs="Arial"/>
          <w:sz w:val="18"/>
          <w:szCs w:val="18"/>
          <w:lang w:val="es-ES_tradnl"/>
        </w:rPr>
        <w:tab/>
      </w:r>
      <w:r w:rsidRPr="0096502B">
        <w:rPr>
          <w:rFonts w:ascii="Arial" w:hAnsi="Arial" w:cs="Arial"/>
          <w:sz w:val="18"/>
          <w:szCs w:val="18"/>
          <w:lang w:val="es-ES"/>
        </w:rPr>
        <w:t>Evaluaciones Ambientales y Sociales incluyen los EIAS, PGAS, PRI, MRI y MGAS</w:t>
      </w:r>
    </w:p>
  </w:footnote>
  <w:footnote w:id="7">
    <w:p w14:paraId="029B7FA2" w14:textId="095A45F7" w:rsidR="00A31963" w:rsidRPr="000136BF" w:rsidRDefault="00A31963" w:rsidP="0096502B">
      <w:pPr>
        <w:pStyle w:val="FootnoteText"/>
        <w:ind w:left="720" w:right="540" w:hanging="180"/>
        <w:jc w:val="both"/>
        <w:rPr>
          <w:lang w:val="es-ES"/>
        </w:rPr>
      </w:pPr>
      <w:r w:rsidRPr="0096502B">
        <w:rPr>
          <w:rStyle w:val="FootnoteReference"/>
          <w:rFonts w:ascii="Arial" w:hAnsi="Arial" w:cs="Arial"/>
          <w:sz w:val="18"/>
          <w:szCs w:val="18"/>
        </w:rPr>
        <w:footnoteRef/>
      </w:r>
      <w:r w:rsidRPr="0096502B">
        <w:rPr>
          <w:rFonts w:ascii="Arial" w:hAnsi="Arial" w:cs="Arial"/>
          <w:sz w:val="18"/>
          <w:szCs w:val="18"/>
          <w:lang w:val="es-ES"/>
        </w:rPr>
        <w:t xml:space="preserve"> </w:t>
      </w:r>
      <w:r w:rsidR="0096502B">
        <w:rPr>
          <w:rFonts w:ascii="Arial" w:hAnsi="Arial" w:cs="Arial"/>
          <w:sz w:val="18"/>
          <w:szCs w:val="18"/>
          <w:lang w:val="es-ES"/>
        </w:rPr>
        <w:tab/>
      </w:r>
      <w:r w:rsidRPr="0096502B">
        <w:rPr>
          <w:rFonts w:ascii="Arial" w:hAnsi="Arial" w:cs="Arial"/>
          <w:sz w:val="18"/>
          <w:szCs w:val="18"/>
          <w:lang w:val="es-ES"/>
        </w:rPr>
        <w:t>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0212374"/>
      <w:docPartObj>
        <w:docPartGallery w:val="Page Numbers (Top of Page)"/>
        <w:docPartUnique/>
      </w:docPartObj>
    </w:sdtPr>
    <w:sdtEndPr>
      <w:rPr>
        <w:rFonts w:ascii="Arial" w:hAnsi="Arial" w:cs="Arial"/>
        <w:noProof/>
        <w:sz w:val="18"/>
        <w:szCs w:val="18"/>
      </w:rPr>
    </w:sdtEndPr>
    <w:sdtContent>
      <w:p w14:paraId="0B723684" w14:textId="47BE3043" w:rsidR="00A31963" w:rsidRPr="00086A4E" w:rsidRDefault="00A31963">
        <w:pPr>
          <w:pStyle w:val="Header"/>
          <w:jc w:val="center"/>
          <w:rPr>
            <w:rFonts w:ascii="Arial" w:hAnsi="Arial" w:cs="Arial"/>
            <w:sz w:val="18"/>
            <w:szCs w:val="18"/>
          </w:rPr>
        </w:pPr>
        <w:r w:rsidRPr="00086A4E">
          <w:rPr>
            <w:rFonts w:ascii="Arial" w:hAnsi="Arial" w:cs="Arial"/>
            <w:sz w:val="18"/>
            <w:szCs w:val="18"/>
          </w:rPr>
          <w:fldChar w:fldCharType="begin"/>
        </w:r>
        <w:r w:rsidRPr="00086A4E">
          <w:rPr>
            <w:rFonts w:ascii="Arial" w:hAnsi="Arial" w:cs="Arial"/>
            <w:sz w:val="18"/>
            <w:szCs w:val="18"/>
          </w:rPr>
          <w:instrText xml:space="preserve"> PAGE   \* MERGEFORMAT </w:instrText>
        </w:r>
        <w:r w:rsidRPr="00086A4E">
          <w:rPr>
            <w:rFonts w:ascii="Arial" w:hAnsi="Arial" w:cs="Arial"/>
            <w:sz w:val="18"/>
            <w:szCs w:val="18"/>
          </w:rPr>
          <w:fldChar w:fldCharType="separate"/>
        </w:r>
        <w:r w:rsidR="003208FA">
          <w:rPr>
            <w:rFonts w:ascii="Arial" w:hAnsi="Arial" w:cs="Arial"/>
            <w:noProof/>
            <w:sz w:val="18"/>
            <w:szCs w:val="18"/>
          </w:rPr>
          <w:t>- 3 -</w:t>
        </w:r>
        <w:r w:rsidRPr="00086A4E">
          <w:rPr>
            <w:rFonts w:ascii="Arial" w:hAnsi="Arial" w:cs="Arial"/>
            <w:noProof/>
            <w:sz w:val="18"/>
            <w:szCs w:val="18"/>
          </w:rPr>
          <w:fldChar w:fldCharType="end"/>
        </w:r>
      </w:p>
    </w:sdtContent>
  </w:sdt>
  <w:p w14:paraId="7F723BDA" w14:textId="77777777" w:rsidR="00A31963" w:rsidRDefault="00A319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4BA8D" w14:textId="59D81080" w:rsidR="00A31963" w:rsidRPr="00086A4E" w:rsidRDefault="00A31963">
    <w:pPr>
      <w:pStyle w:val="Header"/>
      <w:jc w:val="center"/>
      <w:rPr>
        <w:rFonts w:ascii="Arial" w:hAnsi="Arial" w:cs="Arial"/>
        <w:sz w:val="18"/>
        <w:szCs w:val="18"/>
      </w:rPr>
    </w:pPr>
  </w:p>
  <w:p w14:paraId="78D57216" w14:textId="77777777" w:rsidR="00A31963" w:rsidRDefault="00A31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980400"/>
    <w:multiLevelType w:val="hybridMultilevel"/>
    <w:tmpl w:val="21A87AC8"/>
    <w:lvl w:ilvl="0" w:tplc="010A3546">
      <w:start w:val="1"/>
      <w:numFmt w:val="low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0227373F"/>
    <w:multiLevelType w:val="hybridMultilevel"/>
    <w:tmpl w:val="2CE236D0"/>
    <w:lvl w:ilvl="0" w:tplc="5C12860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4B76C91"/>
    <w:multiLevelType w:val="hybridMultilevel"/>
    <w:tmpl w:val="FB5A4B0A"/>
    <w:lvl w:ilvl="0" w:tplc="BB88E49C">
      <w:start w:val="1"/>
      <w:numFmt w:val="decimal"/>
      <w:lvlText w:val="%1."/>
      <w:lvlJc w:val="left"/>
      <w:pPr>
        <w:ind w:left="987" w:hanging="360"/>
      </w:pPr>
      <w:rPr>
        <w:rFonts w:ascii="Century Gothic" w:hAnsi="Century Gothic"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4"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02740"/>
    <w:multiLevelType w:val="hybridMultilevel"/>
    <w:tmpl w:val="D8BAE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29A7B30"/>
    <w:multiLevelType w:val="hybridMultilevel"/>
    <w:tmpl w:val="574ED2AA"/>
    <w:lvl w:ilvl="0" w:tplc="B6D47132">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59B4991"/>
    <w:multiLevelType w:val="multilevel"/>
    <w:tmpl w:val="A4F4C8E6"/>
    <w:lvl w:ilvl="0">
      <w:start w:val="1"/>
      <w:numFmt w:val="upperRoman"/>
      <w:lvlRestart w:val="0"/>
      <w:lvlText w:val="%1."/>
      <w:lvlJc w:val="center"/>
      <w:pPr>
        <w:tabs>
          <w:tab w:val="num" w:pos="360"/>
        </w:tabs>
        <w:ind w:left="-288"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43252565"/>
    <w:multiLevelType w:val="hybridMultilevel"/>
    <w:tmpl w:val="29E2091C"/>
    <w:lvl w:ilvl="0" w:tplc="57EEB3E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E760A8"/>
    <w:multiLevelType w:val="hybridMultilevel"/>
    <w:tmpl w:val="D11E123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D3535A7"/>
    <w:multiLevelType w:val="hybridMultilevel"/>
    <w:tmpl w:val="FB5A4B0A"/>
    <w:lvl w:ilvl="0" w:tplc="BB88E49C">
      <w:start w:val="1"/>
      <w:numFmt w:val="decimal"/>
      <w:lvlText w:val="%1."/>
      <w:lvlJc w:val="left"/>
      <w:pPr>
        <w:ind w:left="987" w:hanging="360"/>
      </w:pPr>
      <w:rPr>
        <w:rFonts w:ascii="Century Gothic" w:hAnsi="Century Gothic"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11" w15:restartNumberingAfterBreak="0">
    <w:nsid w:val="4E667194"/>
    <w:multiLevelType w:val="hybridMultilevel"/>
    <w:tmpl w:val="27DC7F42"/>
    <w:lvl w:ilvl="0" w:tplc="5A9C8A54">
      <w:numFmt w:val="bullet"/>
      <w:lvlText w:val="-"/>
      <w:lvlJc w:val="left"/>
      <w:pPr>
        <w:ind w:left="2040" w:hanging="360"/>
      </w:pPr>
      <w:rPr>
        <w:rFonts w:ascii="Arial" w:eastAsiaTheme="minorEastAsia" w:hAnsi="Arial" w:cs="Arial"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12" w15:restartNumberingAfterBreak="0">
    <w:nsid w:val="4E7B053D"/>
    <w:multiLevelType w:val="hybridMultilevel"/>
    <w:tmpl w:val="21A87AC8"/>
    <w:lvl w:ilvl="0" w:tplc="010A3546">
      <w:start w:val="1"/>
      <w:numFmt w:val="low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3" w15:restartNumberingAfterBreak="0">
    <w:nsid w:val="59AE2ECA"/>
    <w:multiLevelType w:val="hybridMultilevel"/>
    <w:tmpl w:val="0F4C1360"/>
    <w:lvl w:ilvl="0" w:tplc="26865C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605023"/>
    <w:multiLevelType w:val="hybridMultilevel"/>
    <w:tmpl w:val="90F0DCA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F0F23012">
      <w:start w:val="1"/>
      <w:numFmt w:val="lowerLetter"/>
      <w:lvlText w:val="%3."/>
      <w:lvlJc w:val="righ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EB45A94"/>
    <w:multiLevelType w:val="hybridMultilevel"/>
    <w:tmpl w:val="53A658FA"/>
    <w:lvl w:ilvl="0" w:tplc="F0F23012">
      <w:start w:val="1"/>
      <w:numFmt w:val="lowerLetter"/>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23B4407"/>
    <w:multiLevelType w:val="multilevel"/>
    <w:tmpl w:val="651A054E"/>
    <w:lvl w:ilvl="0">
      <w:start w:val="1"/>
      <w:numFmt w:val="decimal"/>
      <w:lvlText w:val="%1."/>
      <w:lvlJc w:val="left"/>
      <w:pPr>
        <w:ind w:left="1080" w:hanging="720"/>
      </w:pPr>
      <w:rPr>
        <w:rFonts w:hint="default"/>
        <w:color w:val="0070C0"/>
        <w:sz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15:restartNumberingAfterBreak="0">
    <w:nsid w:val="6C7A4E73"/>
    <w:multiLevelType w:val="hybridMultilevel"/>
    <w:tmpl w:val="569649B6"/>
    <w:lvl w:ilvl="0" w:tplc="5DECA30A">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EC25E47"/>
    <w:multiLevelType w:val="hybridMultilevel"/>
    <w:tmpl w:val="0360DC78"/>
    <w:lvl w:ilvl="0" w:tplc="0416000F">
      <w:start w:val="1"/>
      <w:numFmt w:val="decimal"/>
      <w:lvlText w:val="%1."/>
      <w:lvlJc w:val="left"/>
      <w:pPr>
        <w:tabs>
          <w:tab w:val="num" w:pos="720"/>
        </w:tabs>
        <w:ind w:left="720" w:hanging="360"/>
      </w:pPr>
      <w:rPr>
        <w:rFonts w:hint="default"/>
      </w:rPr>
    </w:lvl>
    <w:lvl w:ilvl="1" w:tplc="642C772A">
      <w:start w:val="1"/>
      <w:numFmt w:val="lowerRoman"/>
      <w:lvlText w:val="(%2)"/>
      <w:lvlJc w:val="left"/>
      <w:pPr>
        <w:tabs>
          <w:tab w:val="num" w:pos="1800"/>
        </w:tabs>
        <w:ind w:left="1800" w:hanging="72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71464D81"/>
    <w:multiLevelType w:val="hybridMultilevel"/>
    <w:tmpl w:val="21A87AC8"/>
    <w:lvl w:ilvl="0" w:tplc="010A3546">
      <w:start w:val="1"/>
      <w:numFmt w:val="low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0" w15:restartNumberingAfterBreak="0">
    <w:nsid w:val="71C73AAB"/>
    <w:multiLevelType w:val="hybridMultilevel"/>
    <w:tmpl w:val="836C52F2"/>
    <w:lvl w:ilvl="0" w:tplc="CFC085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0"/>
  </w:num>
  <w:num w:numId="4">
    <w:abstractNumId w:val="13"/>
  </w:num>
  <w:num w:numId="5">
    <w:abstractNumId w:val="12"/>
  </w:num>
  <w:num w:numId="6">
    <w:abstractNumId w:val="18"/>
  </w:num>
  <w:num w:numId="7">
    <w:abstractNumId w:val="3"/>
  </w:num>
  <w:num w:numId="8">
    <w:abstractNumId w:val="10"/>
  </w:num>
  <w:num w:numId="9">
    <w:abstractNumId w:val="5"/>
  </w:num>
  <w:num w:numId="10">
    <w:abstractNumId w:val="19"/>
  </w:num>
  <w:num w:numId="11">
    <w:abstractNumId w:val="1"/>
  </w:num>
  <w:num w:numId="12">
    <w:abstractNumId w:val="11"/>
  </w:num>
  <w:num w:numId="13">
    <w:abstractNumId w:val="16"/>
  </w:num>
  <w:num w:numId="14">
    <w:abstractNumId w:val="6"/>
  </w:num>
  <w:num w:numId="15">
    <w:abstractNumId w:val="2"/>
  </w:num>
  <w:num w:numId="16">
    <w:abstractNumId w:val="8"/>
  </w:num>
  <w:num w:numId="17">
    <w:abstractNumId w:val="7"/>
  </w:num>
  <w:num w:numId="18">
    <w:abstractNumId w:val="14"/>
  </w:num>
  <w:num w:numId="19">
    <w:abstractNumId w:val="9"/>
  </w:num>
  <w:num w:numId="20">
    <w:abstractNumId w:val="15"/>
  </w:num>
  <w:num w:numId="2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2C13"/>
    <w:rsid w:val="00006B67"/>
    <w:rsid w:val="000074D7"/>
    <w:rsid w:val="000163DC"/>
    <w:rsid w:val="00031439"/>
    <w:rsid w:val="000320CB"/>
    <w:rsid w:val="00040371"/>
    <w:rsid w:val="00044E39"/>
    <w:rsid w:val="00045C30"/>
    <w:rsid w:val="00054047"/>
    <w:rsid w:val="000549C5"/>
    <w:rsid w:val="00056EE2"/>
    <w:rsid w:val="00066214"/>
    <w:rsid w:val="00067164"/>
    <w:rsid w:val="00067751"/>
    <w:rsid w:val="000709EE"/>
    <w:rsid w:val="00076E4F"/>
    <w:rsid w:val="00082A85"/>
    <w:rsid w:val="000840FB"/>
    <w:rsid w:val="00086A4E"/>
    <w:rsid w:val="00087F48"/>
    <w:rsid w:val="000903D6"/>
    <w:rsid w:val="000904E1"/>
    <w:rsid w:val="000907E3"/>
    <w:rsid w:val="00097E81"/>
    <w:rsid w:val="000A20D3"/>
    <w:rsid w:val="000B5B2B"/>
    <w:rsid w:val="000C15CB"/>
    <w:rsid w:val="000C5860"/>
    <w:rsid w:val="000C61EF"/>
    <w:rsid w:val="000D5C71"/>
    <w:rsid w:val="000D68AD"/>
    <w:rsid w:val="000E1632"/>
    <w:rsid w:val="000F2A9E"/>
    <w:rsid w:val="00103EBD"/>
    <w:rsid w:val="0011048C"/>
    <w:rsid w:val="00114E9E"/>
    <w:rsid w:val="00115A98"/>
    <w:rsid w:val="00122626"/>
    <w:rsid w:val="00122A70"/>
    <w:rsid w:val="00136453"/>
    <w:rsid w:val="0013691E"/>
    <w:rsid w:val="00141EE8"/>
    <w:rsid w:val="001437F5"/>
    <w:rsid w:val="00147412"/>
    <w:rsid w:val="00165F74"/>
    <w:rsid w:val="00170727"/>
    <w:rsid w:val="00175AD2"/>
    <w:rsid w:val="00182417"/>
    <w:rsid w:val="00186BF5"/>
    <w:rsid w:val="00191D9F"/>
    <w:rsid w:val="00193503"/>
    <w:rsid w:val="0019563F"/>
    <w:rsid w:val="001A33FA"/>
    <w:rsid w:val="001A5688"/>
    <w:rsid w:val="001A5760"/>
    <w:rsid w:val="001A5C89"/>
    <w:rsid w:val="001B11C3"/>
    <w:rsid w:val="001B210B"/>
    <w:rsid w:val="001C38FF"/>
    <w:rsid w:val="001C4AA4"/>
    <w:rsid w:val="001C57BE"/>
    <w:rsid w:val="001C5972"/>
    <w:rsid w:val="001C6E58"/>
    <w:rsid w:val="001C7313"/>
    <w:rsid w:val="001D3040"/>
    <w:rsid w:val="001D350E"/>
    <w:rsid w:val="001D5036"/>
    <w:rsid w:val="001D55C8"/>
    <w:rsid w:val="001D7E4F"/>
    <w:rsid w:val="001E40BC"/>
    <w:rsid w:val="001F00A5"/>
    <w:rsid w:val="0020183C"/>
    <w:rsid w:val="00206D50"/>
    <w:rsid w:val="002117C2"/>
    <w:rsid w:val="00224C01"/>
    <w:rsid w:val="00224E7C"/>
    <w:rsid w:val="002279B4"/>
    <w:rsid w:val="00232DCD"/>
    <w:rsid w:val="00240B00"/>
    <w:rsid w:val="00243F29"/>
    <w:rsid w:val="00245EEB"/>
    <w:rsid w:val="0024716F"/>
    <w:rsid w:val="00250DC0"/>
    <w:rsid w:val="00260ECB"/>
    <w:rsid w:val="00260F0E"/>
    <w:rsid w:val="0026710B"/>
    <w:rsid w:val="00267C2D"/>
    <w:rsid w:val="00290D0E"/>
    <w:rsid w:val="002949FF"/>
    <w:rsid w:val="0029521C"/>
    <w:rsid w:val="00296B9E"/>
    <w:rsid w:val="002A0934"/>
    <w:rsid w:val="002A3264"/>
    <w:rsid w:val="002A684C"/>
    <w:rsid w:val="002A6A67"/>
    <w:rsid w:val="002B009D"/>
    <w:rsid w:val="002B4BB5"/>
    <w:rsid w:val="002B4E90"/>
    <w:rsid w:val="002C0B5E"/>
    <w:rsid w:val="002C120B"/>
    <w:rsid w:val="002C4ED0"/>
    <w:rsid w:val="002D0209"/>
    <w:rsid w:val="002D692C"/>
    <w:rsid w:val="002D69A9"/>
    <w:rsid w:val="002E1E0C"/>
    <w:rsid w:val="002E5A3F"/>
    <w:rsid w:val="002E5D91"/>
    <w:rsid w:val="002F2CFD"/>
    <w:rsid w:val="002F43B3"/>
    <w:rsid w:val="00300A01"/>
    <w:rsid w:val="003068FA"/>
    <w:rsid w:val="00307D0B"/>
    <w:rsid w:val="00310982"/>
    <w:rsid w:val="00314064"/>
    <w:rsid w:val="00314AF9"/>
    <w:rsid w:val="00315E3A"/>
    <w:rsid w:val="003208FA"/>
    <w:rsid w:val="003215A1"/>
    <w:rsid w:val="0032670F"/>
    <w:rsid w:val="003305DE"/>
    <w:rsid w:val="00331186"/>
    <w:rsid w:val="0033584F"/>
    <w:rsid w:val="00337CB3"/>
    <w:rsid w:val="0034627F"/>
    <w:rsid w:val="00356737"/>
    <w:rsid w:val="00356C72"/>
    <w:rsid w:val="00357EFF"/>
    <w:rsid w:val="003608A9"/>
    <w:rsid w:val="003641A9"/>
    <w:rsid w:val="00364312"/>
    <w:rsid w:val="00371712"/>
    <w:rsid w:val="00374D93"/>
    <w:rsid w:val="0038191A"/>
    <w:rsid w:val="00383091"/>
    <w:rsid w:val="00384B5E"/>
    <w:rsid w:val="00387F58"/>
    <w:rsid w:val="003929CC"/>
    <w:rsid w:val="003961D2"/>
    <w:rsid w:val="003A3A67"/>
    <w:rsid w:val="003A471B"/>
    <w:rsid w:val="003A5214"/>
    <w:rsid w:val="003B0F18"/>
    <w:rsid w:val="003B2D6C"/>
    <w:rsid w:val="003B569D"/>
    <w:rsid w:val="003B588F"/>
    <w:rsid w:val="003B7F03"/>
    <w:rsid w:val="003C0D2A"/>
    <w:rsid w:val="003C2881"/>
    <w:rsid w:val="003C3DD0"/>
    <w:rsid w:val="003D6ABA"/>
    <w:rsid w:val="003D6C2F"/>
    <w:rsid w:val="003D74AB"/>
    <w:rsid w:val="003E4A3E"/>
    <w:rsid w:val="003E7EAB"/>
    <w:rsid w:val="003F6879"/>
    <w:rsid w:val="00400171"/>
    <w:rsid w:val="0040375B"/>
    <w:rsid w:val="004126E2"/>
    <w:rsid w:val="004127F6"/>
    <w:rsid w:val="00413E8A"/>
    <w:rsid w:val="00414AD4"/>
    <w:rsid w:val="00414E2B"/>
    <w:rsid w:val="00416E08"/>
    <w:rsid w:val="004171C2"/>
    <w:rsid w:val="004229C8"/>
    <w:rsid w:val="00422A84"/>
    <w:rsid w:val="00424483"/>
    <w:rsid w:val="00425A6B"/>
    <w:rsid w:val="00432935"/>
    <w:rsid w:val="00434169"/>
    <w:rsid w:val="0043617D"/>
    <w:rsid w:val="00440DB8"/>
    <w:rsid w:val="00443074"/>
    <w:rsid w:val="00444D27"/>
    <w:rsid w:val="00445797"/>
    <w:rsid w:val="0045003A"/>
    <w:rsid w:val="00453EF7"/>
    <w:rsid w:val="004553C2"/>
    <w:rsid w:val="0045636E"/>
    <w:rsid w:val="00465336"/>
    <w:rsid w:val="00466F11"/>
    <w:rsid w:val="00472AA5"/>
    <w:rsid w:val="00475330"/>
    <w:rsid w:val="0047677D"/>
    <w:rsid w:val="00476D15"/>
    <w:rsid w:val="00482877"/>
    <w:rsid w:val="00484A18"/>
    <w:rsid w:val="004A09B4"/>
    <w:rsid w:val="004A4CB1"/>
    <w:rsid w:val="004A5D54"/>
    <w:rsid w:val="004A671F"/>
    <w:rsid w:val="004B4183"/>
    <w:rsid w:val="004B6155"/>
    <w:rsid w:val="004B61AF"/>
    <w:rsid w:val="004C2CEB"/>
    <w:rsid w:val="004C60F7"/>
    <w:rsid w:val="004D2EDD"/>
    <w:rsid w:val="004D3CD1"/>
    <w:rsid w:val="004E555E"/>
    <w:rsid w:val="004F000F"/>
    <w:rsid w:val="004F752B"/>
    <w:rsid w:val="0051060D"/>
    <w:rsid w:val="00513A75"/>
    <w:rsid w:val="00521B6C"/>
    <w:rsid w:val="0053035D"/>
    <w:rsid w:val="00532CC3"/>
    <w:rsid w:val="00534489"/>
    <w:rsid w:val="005354FC"/>
    <w:rsid w:val="0054306F"/>
    <w:rsid w:val="00545536"/>
    <w:rsid w:val="005456E5"/>
    <w:rsid w:val="005508EF"/>
    <w:rsid w:val="00550FD3"/>
    <w:rsid w:val="00563673"/>
    <w:rsid w:val="00572709"/>
    <w:rsid w:val="0057636F"/>
    <w:rsid w:val="00580E87"/>
    <w:rsid w:val="005850AF"/>
    <w:rsid w:val="005B1646"/>
    <w:rsid w:val="005B4895"/>
    <w:rsid w:val="005B5337"/>
    <w:rsid w:val="005B5997"/>
    <w:rsid w:val="005B6C68"/>
    <w:rsid w:val="005C05F3"/>
    <w:rsid w:val="005C1EA8"/>
    <w:rsid w:val="005C32AE"/>
    <w:rsid w:val="005C669F"/>
    <w:rsid w:val="005C6976"/>
    <w:rsid w:val="005D5117"/>
    <w:rsid w:val="005E413E"/>
    <w:rsid w:val="005F0A07"/>
    <w:rsid w:val="005F1EFE"/>
    <w:rsid w:val="006026B5"/>
    <w:rsid w:val="006059CD"/>
    <w:rsid w:val="00607948"/>
    <w:rsid w:val="00611432"/>
    <w:rsid w:val="00620F9D"/>
    <w:rsid w:val="00621B96"/>
    <w:rsid w:val="00622BC4"/>
    <w:rsid w:val="00627A8D"/>
    <w:rsid w:val="006322D4"/>
    <w:rsid w:val="00637CEB"/>
    <w:rsid w:val="00640733"/>
    <w:rsid w:val="00640FC6"/>
    <w:rsid w:val="00641735"/>
    <w:rsid w:val="006530D5"/>
    <w:rsid w:val="00655E63"/>
    <w:rsid w:val="006606C8"/>
    <w:rsid w:val="00661AF4"/>
    <w:rsid w:val="00673F46"/>
    <w:rsid w:val="006847F7"/>
    <w:rsid w:val="00686868"/>
    <w:rsid w:val="00686DDF"/>
    <w:rsid w:val="006919ED"/>
    <w:rsid w:val="006931D0"/>
    <w:rsid w:val="006A158F"/>
    <w:rsid w:val="006A3EB2"/>
    <w:rsid w:val="006C06D2"/>
    <w:rsid w:val="006C42AB"/>
    <w:rsid w:val="006D1E7C"/>
    <w:rsid w:val="006E182D"/>
    <w:rsid w:val="006E4767"/>
    <w:rsid w:val="006E5D9E"/>
    <w:rsid w:val="006E6CCB"/>
    <w:rsid w:val="006F2D51"/>
    <w:rsid w:val="006F315E"/>
    <w:rsid w:val="006F333A"/>
    <w:rsid w:val="006F7063"/>
    <w:rsid w:val="0070304F"/>
    <w:rsid w:val="00714443"/>
    <w:rsid w:val="007164A4"/>
    <w:rsid w:val="00723240"/>
    <w:rsid w:val="00724EC9"/>
    <w:rsid w:val="00732238"/>
    <w:rsid w:val="00734916"/>
    <w:rsid w:val="00747D94"/>
    <w:rsid w:val="007541F9"/>
    <w:rsid w:val="0075612D"/>
    <w:rsid w:val="007567BE"/>
    <w:rsid w:val="00761155"/>
    <w:rsid w:val="00761640"/>
    <w:rsid w:val="007647C2"/>
    <w:rsid w:val="00765479"/>
    <w:rsid w:val="007670D3"/>
    <w:rsid w:val="00770A5D"/>
    <w:rsid w:val="00777863"/>
    <w:rsid w:val="0078542E"/>
    <w:rsid w:val="007870E3"/>
    <w:rsid w:val="00792227"/>
    <w:rsid w:val="00792A44"/>
    <w:rsid w:val="00792D1B"/>
    <w:rsid w:val="007A5432"/>
    <w:rsid w:val="007B07F2"/>
    <w:rsid w:val="007B095F"/>
    <w:rsid w:val="007C0236"/>
    <w:rsid w:val="007C110D"/>
    <w:rsid w:val="007E4DDB"/>
    <w:rsid w:val="007E78E5"/>
    <w:rsid w:val="007F7531"/>
    <w:rsid w:val="008005B7"/>
    <w:rsid w:val="00802BF7"/>
    <w:rsid w:val="00802ECB"/>
    <w:rsid w:val="008035AA"/>
    <w:rsid w:val="00805429"/>
    <w:rsid w:val="008075B3"/>
    <w:rsid w:val="00814460"/>
    <w:rsid w:val="008176A9"/>
    <w:rsid w:val="0082162E"/>
    <w:rsid w:val="008252D4"/>
    <w:rsid w:val="00827DB0"/>
    <w:rsid w:val="00837A8F"/>
    <w:rsid w:val="00842654"/>
    <w:rsid w:val="00843431"/>
    <w:rsid w:val="00844A93"/>
    <w:rsid w:val="008455EE"/>
    <w:rsid w:val="00857419"/>
    <w:rsid w:val="00864096"/>
    <w:rsid w:val="00864959"/>
    <w:rsid w:val="00875779"/>
    <w:rsid w:val="008819D1"/>
    <w:rsid w:val="00883BA1"/>
    <w:rsid w:val="008874FC"/>
    <w:rsid w:val="008913A1"/>
    <w:rsid w:val="00891D1A"/>
    <w:rsid w:val="00891FBA"/>
    <w:rsid w:val="00892C06"/>
    <w:rsid w:val="008966A4"/>
    <w:rsid w:val="00897297"/>
    <w:rsid w:val="0089787A"/>
    <w:rsid w:val="008A549C"/>
    <w:rsid w:val="008A763A"/>
    <w:rsid w:val="008B5F02"/>
    <w:rsid w:val="008B77C2"/>
    <w:rsid w:val="008C2E0F"/>
    <w:rsid w:val="008D2882"/>
    <w:rsid w:val="008D2AA9"/>
    <w:rsid w:val="008D664C"/>
    <w:rsid w:val="008D6AD5"/>
    <w:rsid w:val="008E09CC"/>
    <w:rsid w:val="008E0C2F"/>
    <w:rsid w:val="008E2AB9"/>
    <w:rsid w:val="008E3F4C"/>
    <w:rsid w:val="008E7356"/>
    <w:rsid w:val="008F11AC"/>
    <w:rsid w:val="008F1F71"/>
    <w:rsid w:val="008F3A1B"/>
    <w:rsid w:val="008F7EFA"/>
    <w:rsid w:val="00904128"/>
    <w:rsid w:val="00904F75"/>
    <w:rsid w:val="00912B67"/>
    <w:rsid w:val="00921754"/>
    <w:rsid w:val="00927DD4"/>
    <w:rsid w:val="0093657A"/>
    <w:rsid w:val="009427DE"/>
    <w:rsid w:val="009444D9"/>
    <w:rsid w:val="00945BBC"/>
    <w:rsid w:val="009466B1"/>
    <w:rsid w:val="00947149"/>
    <w:rsid w:val="00950A20"/>
    <w:rsid w:val="00953C33"/>
    <w:rsid w:val="00954741"/>
    <w:rsid w:val="0095737B"/>
    <w:rsid w:val="00957524"/>
    <w:rsid w:val="0096502B"/>
    <w:rsid w:val="0097208F"/>
    <w:rsid w:val="009747CE"/>
    <w:rsid w:val="00975221"/>
    <w:rsid w:val="00981CC0"/>
    <w:rsid w:val="00987B96"/>
    <w:rsid w:val="00990838"/>
    <w:rsid w:val="00992568"/>
    <w:rsid w:val="0099328D"/>
    <w:rsid w:val="00994C31"/>
    <w:rsid w:val="009A1205"/>
    <w:rsid w:val="009A13AE"/>
    <w:rsid w:val="009A1DBA"/>
    <w:rsid w:val="009A2899"/>
    <w:rsid w:val="009A77A6"/>
    <w:rsid w:val="009C2F7E"/>
    <w:rsid w:val="009C3BD6"/>
    <w:rsid w:val="009C48D5"/>
    <w:rsid w:val="009C4EE1"/>
    <w:rsid w:val="009D0787"/>
    <w:rsid w:val="009D1330"/>
    <w:rsid w:val="009D3ADF"/>
    <w:rsid w:val="009E4389"/>
    <w:rsid w:val="009E6A9D"/>
    <w:rsid w:val="009F0CA9"/>
    <w:rsid w:val="009F339F"/>
    <w:rsid w:val="00A00C5A"/>
    <w:rsid w:val="00A027B1"/>
    <w:rsid w:val="00A03C86"/>
    <w:rsid w:val="00A040A9"/>
    <w:rsid w:val="00A10DC6"/>
    <w:rsid w:val="00A11ACD"/>
    <w:rsid w:val="00A12A3B"/>
    <w:rsid w:val="00A1765C"/>
    <w:rsid w:val="00A27A68"/>
    <w:rsid w:val="00A27E96"/>
    <w:rsid w:val="00A31963"/>
    <w:rsid w:val="00A41E00"/>
    <w:rsid w:val="00A44B5B"/>
    <w:rsid w:val="00A464C6"/>
    <w:rsid w:val="00A522BC"/>
    <w:rsid w:val="00A552D8"/>
    <w:rsid w:val="00A55E23"/>
    <w:rsid w:val="00A5716C"/>
    <w:rsid w:val="00A7088F"/>
    <w:rsid w:val="00A872A5"/>
    <w:rsid w:val="00A87E66"/>
    <w:rsid w:val="00A92D6B"/>
    <w:rsid w:val="00AA1CCD"/>
    <w:rsid w:val="00AA1CE9"/>
    <w:rsid w:val="00AA2E8B"/>
    <w:rsid w:val="00AA33E7"/>
    <w:rsid w:val="00AB24F8"/>
    <w:rsid w:val="00AB4B56"/>
    <w:rsid w:val="00AB569A"/>
    <w:rsid w:val="00AC7ED8"/>
    <w:rsid w:val="00AD3644"/>
    <w:rsid w:val="00AD5350"/>
    <w:rsid w:val="00AD7EC6"/>
    <w:rsid w:val="00AE0A2C"/>
    <w:rsid w:val="00AE5008"/>
    <w:rsid w:val="00AE5528"/>
    <w:rsid w:val="00AF0DA7"/>
    <w:rsid w:val="00AF5133"/>
    <w:rsid w:val="00AF5C47"/>
    <w:rsid w:val="00AF6B0A"/>
    <w:rsid w:val="00B01DE3"/>
    <w:rsid w:val="00B01F04"/>
    <w:rsid w:val="00B07E2D"/>
    <w:rsid w:val="00B13519"/>
    <w:rsid w:val="00B13DDA"/>
    <w:rsid w:val="00B16655"/>
    <w:rsid w:val="00B20556"/>
    <w:rsid w:val="00B23A8E"/>
    <w:rsid w:val="00B3466C"/>
    <w:rsid w:val="00B3666A"/>
    <w:rsid w:val="00B408F4"/>
    <w:rsid w:val="00B44DDA"/>
    <w:rsid w:val="00B50B6C"/>
    <w:rsid w:val="00B51A3B"/>
    <w:rsid w:val="00B71F89"/>
    <w:rsid w:val="00B757F7"/>
    <w:rsid w:val="00B75E4F"/>
    <w:rsid w:val="00B81ABB"/>
    <w:rsid w:val="00B95FCB"/>
    <w:rsid w:val="00BB0A9E"/>
    <w:rsid w:val="00BC0D6F"/>
    <w:rsid w:val="00BC1DF2"/>
    <w:rsid w:val="00BC41F1"/>
    <w:rsid w:val="00BC7021"/>
    <w:rsid w:val="00BC7844"/>
    <w:rsid w:val="00BE71B8"/>
    <w:rsid w:val="00BF16C9"/>
    <w:rsid w:val="00BF59CB"/>
    <w:rsid w:val="00C17B20"/>
    <w:rsid w:val="00C21376"/>
    <w:rsid w:val="00C34D0E"/>
    <w:rsid w:val="00C4031A"/>
    <w:rsid w:val="00C40499"/>
    <w:rsid w:val="00C53A6B"/>
    <w:rsid w:val="00C53ABB"/>
    <w:rsid w:val="00C5418F"/>
    <w:rsid w:val="00C55E62"/>
    <w:rsid w:val="00C7006C"/>
    <w:rsid w:val="00C830CF"/>
    <w:rsid w:val="00C86AE4"/>
    <w:rsid w:val="00C879FE"/>
    <w:rsid w:val="00C9696F"/>
    <w:rsid w:val="00C97C3C"/>
    <w:rsid w:val="00CA4D2B"/>
    <w:rsid w:val="00CB7D48"/>
    <w:rsid w:val="00CC05BC"/>
    <w:rsid w:val="00CC4349"/>
    <w:rsid w:val="00CC475E"/>
    <w:rsid w:val="00CD1DE8"/>
    <w:rsid w:val="00CD2E22"/>
    <w:rsid w:val="00CD70DC"/>
    <w:rsid w:val="00CE12F5"/>
    <w:rsid w:val="00CE3105"/>
    <w:rsid w:val="00CF4FB6"/>
    <w:rsid w:val="00D055D3"/>
    <w:rsid w:val="00D0694A"/>
    <w:rsid w:val="00D07371"/>
    <w:rsid w:val="00D14DF8"/>
    <w:rsid w:val="00D15A49"/>
    <w:rsid w:val="00D22380"/>
    <w:rsid w:val="00D22AF7"/>
    <w:rsid w:val="00D304CF"/>
    <w:rsid w:val="00D37182"/>
    <w:rsid w:val="00D402C0"/>
    <w:rsid w:val="00D4457C"/>
    <w:rsid w:val="00D452AA"/>
    <w:rsid w:val="00D50B80"/>
    <w:rsid w:val="00D563F7"/>
    <w:rsid w:val="00D56917"/>
    <w:rsid w:val="00D632E9"/>
    <w:rsid w:val="00D7023E"/>
    <w:rsid w:val="00D814EF"/>
    <w:rsid w:val="00D86374"/>
    <w:rsid w:val="00D9059D"/>
    <w:rsid w:val="00D957BA"/>
    <w:rsid w:val="00D96741"/>
    <w:rsid w:val="00DA0A4C"/>
    <w:rsid w:val="00DA0D62"/>
    <w:rsid w:val="00DA2315"/>
    <w:rsid w:val="00DA7CA4"/>
    <w:rsid w:val="00DB4E6C"/>
    <w:rsid w:val="00DF2026"/>
    <w:rsid w:val="00DF20E4"/>
    <w:rsid w:val="00DF2FF7"/>
    <w:rsid w:val="00DF6585"/>
    <w:rsid w:val="00E0621E"/>
    <w:rsid w:val="00E14A36"/>
    <w:rsid w:val="00E17722"/>
    <w:rsid w:val="00E410FA"/>
    <w:rsid w:val="00E51AF1"/>
    <w:rsid w:val="00E73C5D"/>
    <w:rsid w:val="00E8034C"/>
    <w:rsid w:val="00E832E1"/>
    <w:rsid w:val="00E86DA3"/>
    <w:rsid w:val="00EA30AF"/>
    <w:rsid w:val="00EA66FA"/>
    <w:rsid w:val="00EB6B7A"/>
    <w:rsid w:val="00EC7358"/>
    <w:rsid w:val="00ED2779"/>
    <w:rsid w:val="00ED475D"/>
    <w:rsid w:val="00ED4E72"/>
    <w:rsid w:val="00EE20EB"/>
    <w:rsid w:val="00EE6708"/>
    <w:rsid w:val="00EE7DAC"/>
    <w:rsid w:val="00EF071D"/>
    <w:rsid w:val="00EF155A"/>
    <w:rsid w:val="00EF5A23"/>
    <w:rsid w:val="00EF60BB"/>
    <w:rsid w:val="00EF64FB"/>
    <w:rsid w:val="00F018B3"/>
    <w:rsid w:val="00F13DCC"/>
    <w:rsid w:val="00F14FB5"/>
    <w:rsid w:val="00F15E4B"/>
    <w:rsid w:val="00F21A2D"/>
    <w:rsid w:val="00F26674"/>
    <w:rsid w:val="00F2690C"/>
    <w:rsid w:val="00F515CD"/>
    <w:rsid w:val="00F54308"/>
    <w:rsid w:val="00F54393"/>
    <w:rsid w:val="00F55316"/>
    <w:rsid w:val="00F61E99"/>
    <w:rsid w:val="00F62D5B"/>
    <w:rsid w:val="00F70B30"/>
    <w:rsid w:val="00F83B47"/>
    <w:rsid w:val="00F84B8B"/>
    <w:rsid w:val="00FA0B32"/>
    <w:rsid w:val="00FA1C53"/>
    <w:rsid w:val="00FA27DF"/>
    <w:rsid w:val="00FA38E0"/>
    <w:rsid w:val="00FA7DCF"/>
    <w:rsid w:val="00FB0D4A"/>
    <w:rsid w:val="00FB3D25"/>
    <w:rsid w:val="00FB6202"/>
    <w:rsid w:val="00FC0D31"/>
    <w:rsid w:val="00FD1D8E"/>
    <w:rsid w:val="00FD4487"/>
    <w:rsid w:val="00FD4BB2"/>
    <w:rsid w:val="00FE0773"/>
    <w:rsid w:val="00FE3C92"/>
    <w:rsid w:val="00FF0438"/>
    <w:rsid w:val="00FF2FE3"/>
    <w:rsid w:val="00FF60BC"/>
    <w:rsid w:val="21EC5B1E"/>
    <w:rsid w:val="2FDB1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377509C4-F5F2-4D27-A3C2-472B892A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semiHidden/>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semiHidden/>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Parágrafo da Lista 1"/>
    <w:basedOn w:val="Normal"/>
    <w:link w:val="ListParagraphChar"/>
    <w:uiPriority w:val="34"/>
    <w:qFormat/>
    <w:rsid w:val="00182417"/>
    <w:pPr>
      <w:ind w:left="720"/>
      <w:contextualSpacing/>
    </w:pPr>
  </w:style>
  <w:style w:type="paragraph" w:styleId="FootnoteText">
    <w:name w:val="footnote text"/>
    <w:aliases w:val="nota de rodapé,nota_rodapé,Notas de rodapé,Rodapé2,fn,Car,footnote text1,single space,F,Style 25,newfootnotetext,Char Char,ft,footnote"/>
    <w:basedOn w:val="Normal"/>
    <w:link w:val="FootnoteTextChar"/>
    <w:uiPriority w:val="99"/>
    <w:unhideWhenUsed/>
    <w:qFormat/>
    <w:rsid w:val="00356C72"/>
  </w:style>
  <w:style w:type="character" w:customStyle="1" w:styleId="FootnoteTextChar">
    <w:name w:val="Footnote Text Char"/>
    <w:aliases w:val="nota de rodapé Char,nota_rodapé Char,Notas de rodapé Char,Rodapé2 Char,fn Char,Car Char,footnote text1 Char,single space Char,F Char,Style 25 Char,newfootnotetext Char,Char Char Char,ft Char,footnote Char"/>
    <w:basedOn w:val="DefaultParagraphFont"/>
    <w:link w:val="FootnoteText"/>
    <w:uiPriority w:val="99"/>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paragraph" w:customStyle="1" w:styleId="Chapter">
    <w:name w:val="Chapter"/>
    <w:basedOn w:val="Normal"/>
    <w:next w:val="Normal"/>
    <w:rsid w:val="00904128"/>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s-ES"/>
    </w:rPr>
  </w:style>
  <w:style w:type="paragraph" w:customStyle="1" w:styleId="subpar">
    <w:name w:val="subpar"/>
    <w:basedOn w:val="BodyTextIndent3"/>
    <w:rsid w:val="00904128"/>
    <w:pPr>
      <w:tabs>
        <w:tab w:val="num" w:pos="360"/>
        <w:tab w:val="num" w:pos="1152"/>
      </w:tabs>
      <w:spacing w:before="120"/>
      <w:ind w:left="1152"/>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904128"/>
    <w:pPr>
      <w:tabs>
        <w:tab w:val="left" w:pos="0"/>
        <w:tab w:val="num" w:pos="1296"/>
      </w:tabs>
      <w:ind w:left="1296" w:hanging="360"/>
    </w:pPr>
  </w:style>
  <w:style w:type="paragraph" w:styleId="BodyTextIndent3">
    <w:name w:val="Body Text Indent 3"/>
    <w:basedOn w:val="Normal"/>
    <w:link w:val="BodyTextIndent3Char"/>
    <w:uiPriority w:val="99"/>
    <w:semiHidden/>
    <w:unhideWhenUsed/>
    <w:rsid w:val="0090412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04128"/>
    <w:rPr>
      <w:sz w:val="16"/>
      <w:szCs w:val="16"/>
    </w:rPr>
  </w:style>
  <w:style w:type="character" w:customStyle="1" w:styleId="MANAUS-CorpodetextoChar1">
    <w:name w:val="MANAUS - Corpo de texto Char1"/>
    <w:basedOn w:val="DefaultParagraphFont"/>
    <w:link w:val="MANAUS-Corpodetexto"/>
    <w:uiPriority w:val="99"/>
    <w:locked/>
    <w:rsid w:val="00115A98"/>
    <w:rPr>
      <w:rFonts w:ascii="Century Gothic" w:hAnsi="Century Gothic" w:cs="Century Gothic"/>
      <w:lang w:eastAsia="pt-BR"/>
    </w:rPr>
  </w:style>
  <w:style w:type="paragraph" w:customStyle="1" w:styleId="MANAUS-Corpodetexto">
    <w:name w:val="MANAUS - Corpo de texto"/>
    <w:basedOn w:val="Normal"/>
    <w:link w:val="MANAUS-CorpodetextoChar1"/>
    <w:uiPriority w:val="99"/>
    <w:rsid w:val="00115A98"/>
    <w:pPr>
      <w:spacing w:before="60" w:after="60"/>
      <w:ind w:left="567"/>
      <w:jc w:val="both"/>
    </w:pPr>
    <w:rPr>
      <w:rFonts w:ascii="Century Gothic" w:hAnsi="Century Gothic" w:cs="Century Gothic"/>
      <w:lang w:eastAsia="pt-BR"/>
    </w:rPr>
  </w:style>
  <w:style w:type="character" w:customStyle="1" w:styleId="ListParagraphChar">
    <w:name w:val="List Paragraph Char"/>
    <w:aliases w:val="Parágrafo da Lista 1 Char"/>
    <w:link w:val="ListParagraph"/>
    <w:uiPriority w:val="34"/>
    <w:rsid w:val="00A10DC6"/>
  </w:style>
  <w:style w:type="character" w:styleId="Mention">
    <w:name w:val="Mention"/>
    <w:basedOn w:val="DefaultParagraphFont"/>
    <w:uiPriority w:val="99"/>
    <w:semiHidden/>
    <w:unhideWhenUsed/>
    <w:rsid w:val="00EB6B7A"/>
    <w:rPr>
      <w:color w:val="2B579A"/>
      <w:shd w:val="clear" w:color="auto" w:fill="E6E6E6"/>
    </w:rPr>
  </w:style>
  <w:style w:type="table" w:styleId="GridTable1Light-Accent1">
    <w:name w:val="Grid Table 1 Light Accent 1"/>
    <w:basedOn w:val="Table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CSD/CCS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Ramirez Ramirez, Gmelina Juliana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19</Value>
      <Value>24</Value>
      <Value>36</Value>
      <Value>1</Value>
      <Value>37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ME-L1268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R0001311783</Record_x0020_Number>
    <_dlc_DocId xmlns="cdc7663a-08f0-4737-9e8c-148ce897a09c">EZSHARE-2063793187-18</_dlc_DocId>
    <_dlc_DocIdUrl xmlns="cdc7663a-08f0-4737-9e8c-148ce897a09c">
      <Url>https://idbg.sharepoint.com/teams/EZ-ME-LON/ME-L1268/_layouts/15/DocIdRedir.aspx?ID=EZSHARE-2063793187-18</Url>
      <Description>EZSHARE-2063793187-18</Description>
    </_dlc_DocIdUrl>
    <Disclosure_x0020_Activity xmlns="cdc7663a-08f0-4737-9e8c-148ce897a09c">Environmental and Social Analyses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Related_x0020_SisCor_x0020_Number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36E24B6E57D14484060EA8EAF2532F" ma:contentTypeVersion="32" ma:contentTypeDescription="A content type to manage public (operations) IDB documents" ma:contentTypeScope="" ma:versionID="f0710a353b478abc71b4cf2163cd0e4a">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82BCF87-5D24-4C02-8AFB-E8003F615F78}"/>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4.xml><?xml version="1.0" encoding="utf-8"?>
<ds:datastoreItem xmlns:ds="http://schemas.openxmlformats.org/officeDocument/2006/customXml" ds:itemID="{2DF1CA53-9EBB-4EEA-9BC1-013D2A241BF6}">
  <ds:schemaRefs>
    <ds:schemaRef ds:uri="http://schemas.openxmlformats.org/officeDocument/2006/bibliography"/>
  </ds:schemaRefs>
</ds:datastoreItem>
</file>

<file path=customXml/itemProps5.xml><?xml version="1.0" encoding="utf-8"?>
<ds:datastoreItem xmlns:ds="http://schemas.openxmlformats.org/officeDocument/2006/customXml" ds:itemID="{DE27D27D-5DB1-4B56-A7E1-6DD3863E314F}"/>
</file>

<file path=customXml/itemProps6.xml><?xml version="1.0" encoding="utf-8"?>
<ds:datastoreItem xmlns:ds="http://schemas.openxmlformats.org/officeDocument/2006/customXml" ds:itemID="{1F2A43AB-22A7-48BA-BDF4-0E3B0B7A6CA6}"/>
</file>

<file path=customXml/itemProps7.xml><?xml version="1.0" encoding="utf-8"?>
<ds:datastoreItem xmlns:ds="http://schemas.openxmlformats.org/officeDocument/2006/customXml" ds:itemID="{74BFCC5F-B041-4956-A7A8-93D86EEA19CD}"/>
</file>

<file path=docProps/app.xml><?xml version="1.0" encoding="utf-8"?>
<Properties xmlns="http://schemas.openxmlformats.org/officeDocument/2006/extended-properties" xmlns:vt="http://schemas.openxmlformats.org/officeDocument/2006/docPropsVTypes">
  <Template>Normal.dotm</Template>
  <TotalTime>1</TotalTime>
  <Pages>13</Pages>
  <Words>4156</Words>
  <Characters>22861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keywords/>
  <cp:lastModifiedBy>Gomez, Juan Carlos</cp:lastModifiedBy>
  <cp:revision>2</cp:revision>
  <cp:lastPrinted>2016-11-07T22:15:00Z</cp:lastPrinted>
  <dcterms:created xsi:type="dcterms:W3CDTF">2017-10-16T21:04:00Z</dcterms:created>
  <dcterms:modified xsi:type="dcterms:W3CDTF">2017-10-16T21:04:00Z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37;#CLIMATE CHANGE FINANCING|0721090b-7598-4438-912e-9210b5215a71</vt:lpwstr>
  </property>
  <property fmtid="{D5CDD505-2E9C-101B-9397-08002B2CF9AE}" pid="8" name="Fund IDB">
    <vt:lpwstr>24;#ORC|c028a4b2-ad8b-4cf4-9cac-a2ae6a778e23</vt:lpwstr>
  </property>
  <property fmtid="{D5CDD505-2E9C-101B-9397-08002B2CF9AE}" pid="9" name="Country">
    <vt:lpwstr>19;#Mexico|0eba6470-e7ea-46fd-a959-d4c243acaf26</vt:lpwstr>
  </property>
  <property fmtid="{D5CDD505-2E9C-101B-9397-08002B2CF9AE}" pid="10" name="Sector IDB">
    <vt:lpwstr>36;#ENVIRONMENT AND NATURAL DISASTERS|261e2b33-090b-4ab0-8e06-3aa3e7f32d57</vt:lpwstr>
  </property>
  <property fmtid="{D5CDD505-2E9C-101B-9397-08002B2CF9AE}" pid="11" name="_dlc_DocIdItemGuid">
    <vt:lpwstr>8fb2b873-e09b-49a0-9f4f-2070584eb7b3</vt:lpwstr>
  </property>
  <property fmtid="{D5CDD505-2E9C-101B-9397-08002B2CF9AE}" pid="12" name="Disclosure Activity">
    <vt:lpwstr>Environmental and Social Analyses</vt:lpwstr>
  </property>
  <property fmtid="{D5CDD505-2E9C-101B-9397-08002B2CF9AE}" pid="13" name="ContentTypeId">
    <vt:lpwstr>0x0101001A458A224826124E8B45B1D613300CFC004136E24B6E57D14484060EA8EAF2532F</vt:lpwstr>
  </property>
</Properties>
</file>