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5AFD1" w14:textId="563364BA" w:rsidR="00BF24AD" w:rsidRDefault="00E707A1" w:rsidP="00BF24AD">
      <w:pPr>
        <w:jc w:val="center"/>
        <w:rPr>
          <w:rFonts w:ascii="Arial" w:hAnsi="Arial" w:cs="Arial"/>
          <w:b/>
          <w:sz w:val="24"/>
          <w:szCs w:val="24"/>
        </w:rPr>
      </w:pPr>
      <w:bookmarkStart w:id="0" w:name="_GoBack"/>
      <w:bookmarkEnd w:id="0"/>
      <w:r w:rsidRPr="00BF24AD">
        <w:rPr>
          <w:rFonts w:ascii="Arial" w:hAnsi="Arial" w:cs="Arial"/>
          <w:b/>
          <w:sz w:val="24"/>
          <w:szCs w:val="24"/>
        </w:rPr>
        <w:t xml:space="preserve">Enlace Electrónico </w:t>
      </w:r>
      <w:r w:rsidR="00BF24AD">
        <w:rPr>
          <w:rFonts w:ascii="Arial" w:hAnsi="Arial" w:cs="Arial"/>
          <w:b/>
          <w:sz w:val="24"/>
          <w:szCs w:val="24"/>
        </w:rPr>
        <w:t xml:space="preserve">Opcional </w:t>
      </w:r>
      <w:r w:rsidR="00FD3190">
        <w:rPr>
          <w:rFonts w:ascii="Arial" w:hAnsi="Arial" w:cs="Arial"/>
          <w:b/>
          <w:sz w:val="24"/>
          <w:szCs w:val="24"/>
        </w:rPr>
        <w:t>2</w:t>
      </w:r>
    </w:p>
    <w:p w14:paraId="71808EB3" w14:textId="12037A1C" w:rsidR="008D4805" w:rsidRPr="00BF24AD" w:rsidRDefault="008D4805" w:rsidP="00BF24AD">
      <w:pPr>
        <w:jc w:val="center"/>
        <w:rPr>
          <w:rFonts w:ascii="Arial" w:hAnsi="Arial" w:cs="Arial"/>
          <w:b/>
          <w:sz w:val="24"/>
          <w:szCs w:val="24"/>
        </w:rPr>
      </w:pPr>
      <w:r w:rsidRPr="00BF24AD">
        <w:rPr>
          <w:rFonts w:ascii="Arial" w:hAnsi="Arial" w:cs="Arial"/>
          <w:b/>
          <w:sz w:val="24"/>
          <w:szCs w:val="24"/>
        </w:rPr>
        <w:t xml:space="preserve">Referencias </w:t>
      </w:r>
      <w:r w:rsidR="00384913" w:rsidRPr="00BF24AD">
        <w:rPr>
          <w:rFonts w:ascii="Arial" w:hAnsi="Arial" w:cs="Arial"/>
          <w:b/>
          <w:sz w:val="24"/>
          <w:szCs w:val="24"/>
        </w:rPr>
        <w:t xml:space="preserve">adicionales </w:t>
      </w:r>
      <w:r w:rsidRPr="00BF24AD">
        <w:rPr>
          <w:rFonts w:ascii="Arial" w:hAnsi="Arial" w:cs="Arial"/>
          <w:b/>
          <w:sz w:val="24"/>
          <w:szCs w:val="24"/>
        </w:rPr>
        <w:t>a proyectos y estudios que sustentan la Evidencia Empírica</w:t>
      </w:r>
    </w:p>
    <w:p w14:paraId="320B47F3" w14:textId="542770DC" w:rsidR="002B50E3" w:rsidRDefault="693F5C8F" w:rsidP="693F5C8F">
      <w:pPr>
        <w:pStyle w:val="ListParagraph"/>
        <w:numPr>
          <w:ilvl w:val="0"/>
          <w:numId w:val="3"/>
        </w:numPr>
        <w:jc w:val="center"/>
        <w:rPr>
          <w:rFonts w:ascii="Arial" w:hAnsi="Arial" w:cs="Arial"/>
          <w:b/>
          <w:bCs/>
        </w:rPr>
      </w:pPr>
      <w:r w:rsidRPr="693F5C8F">
        <w:rPr>
          <w:rFonts w:ascii="Arial" w:hAnsi="Arial" w:cs="Arial"/>
          <w:b/>
          <w:bCs/>
        </w:rPr>
        <w:t>Digitalización de procesos y mejora de la entrega de servicios prestados por el sector público</w:t>
      </w:r>
    </w:p>
    <w:p w14:paraId="1C1E7292" w14:textId="77777777" w:rsidR="00BF24AD" w:rsidRPr="00BF24AD" w:rsidRDefault="00BF24AD" w:rsidP="00BF24AD">
      <w:pPr>
        <w:pStyle w:val="ListParagraph"/>
        <w:rPr>
          <w:rFonts w:ascii="Arial" w:hAnsi="Arial" w:cs="Arial"/>
          <w:b/>
        </w:rPr>
      </w:pPr>
    </w:p>
    <w:p w14:paraId="2D2FAC6C" w14:textId="4FC5EDC4" w:rsidR="000A6811" w:rsidRDefault="000A6811" w:rsidP="00BF24AD">
      <w:pPr>
        <w:pStyle w:val="ListParagraph"/>
        <w:numPr>
          <w:ilvl w:val="1"/>
          <w:numId w:val="3"/>
        </w:numPr>
        <w:jc w:val="both"/>
        <w:rPr>
          <w:rFonts w:ascii="Arial" w:hAnsi="Arial" w:cs="Arial"/>
        </w:rPr>
      </w:pPr>
      <w:r w:rsidRPr="00BF24AD">
        <w:rPr>
          <w:rFonts w:ascii="Arial" w:hAnsi="Arial" w:cs="Arial"/>
        </w:rPr>
        <w:t xml:space="preserve">La </w:t>
      </w:r>
      <w:r w:rsidRPr="00844999">
        <w:rPr>
          <w:rFonts w:ascii="Arial" w:hAnsi="Arial" w:cs="Arial"/>
        </w:rPr>
        <w:t>Unión Europea</w:t>
      </w:r>
      <w:r w:rsidRPr="00BF24AD">
        <w:rPr>
          <w:rFonts w:ascii="Arial" w:hAnsi="Arial" w:cs="Arial"/>
        </w:rPr>
        <w:t xml:space="preserve"> (UE) ha estimado que los beneficios del </w:t>
      </w:r>
      <w:r w:rsidRPr="00BF24AD">
        <w:rPr>
          <w:rFonts w:ascii="Arial" w:hAnsi="Arial" w:cs="Arial"/>
          <w:i/>
          <w:iCs/>
        </w:rPr>
        <w:t>“</w:t>
      </w:r>
      <w:proofErr w:type="spellStart"/>
      <w:r w:rsidRPr="00BF24AD">
        <w:rPr>
          <w:rFonts w:ascii="Arial" w:hAnsi="Arial" w:cs="Arial"/>
          <w:i/>
          <w:iCs/>
        </w:rPr>
        <w:t>Action</w:t>
      </w:r>
      <w:proofErr w:type="spellEnd"/>
      <w:r w:rsidRPr="00BF24AD">
        <w:rPr>
          <w:rFonts w:ascii="Arial" w:hAnsi="Arial" w:cs="Arial"/>
          <w:i/>
          <w:iCs/>
        </w:rPr>
        <w:t xml:space="preserve"> </w:t>
      </w:r>
      <w:proofErr w:type="spellStart"/>
      <w:r w:rsidRPr="00BF24AD">
        <w:rPr>
          <w:rFonts w:ascii="Arial" w:hAnsi="Arial" w:cs="Arial"/>
          <w:i/>
          <w:iCs/>
        </w:rPr>
        <w:t>Programme</w:t>
      </w:r>
      <w:proofErr w:type="spellEnd"/>
      <w:r w:rsidRPr="00BF24AD">
        <w:rPr>
          <w:rFonts w:ascii="Arial" w:hAnsi="Arial" w:cs="Arial"/>
          <w:i/>
          <w:iCs/>
        </w:rPr>
        <w:t xml:space="preserve"> for </w:t>
      </w:r>
      <w:proofErr w:type="spellStart"/>
      <w:r w:rsidRPr="00BF24AD">
        <w:rPr>
          <w:rFonts w:ascii="Arial" w:hAnsi="Arial" w:cs="Arial"/>
          <w:i/>
          <w:iCs/>
        </w:rPr>
        <w:t>Reducing</w:t>
      </w:r>
      <w:proofErr w:type="spellEnd"/>
      <w:r w:rsidRPr="00BF24AD">
        <w:rPr>
          <w:rFonts w:ascii="Arial" w:hAnsi="Arial" w:cs="Arial"/>
          <w:i/>
          <w:iCs/>
        </w:rPr>
        <w:t xml:space="preserve"> </w:t>
      </w:r>
      <w:proofErr w:type="spellStart"/>
      <w:r w:rsidRPr="00BF24AD">
        <w:rPr>
          <w:rFonts w:ascii="Arial" w:hAnsi="Arial" w:cs="Arial"/>
          <w:i/>
          <w:iCs/>
        </w:rPr>
        <w:t>Administrative</w:t>
      </w:r>
      <w:proofErr w:type="spellEnd"/>
      <w:r w:rsidRPr="00BF24AD">
        <w:rPr>
          <w:rFonts w:ascii="Arial" w:hAnsi="Arial" w:cs="Arial"/>
          <w:i/>
          <w:iCs/>
        </w:rPr>
        <w:t xml:space="preserve"> </w:t>
      </w:r>
      <w:proofErr w:type="spellStart"/>
      <w:r w:rsidRPr="00BF24AD">
        <w:rPr>
          <w:rFonts w:ascii="Arial" w:hAnsi="Arial" w:cs="Arial"/>
          <w:i/>
          <w:iCs/>
        </w:rPr>
        <w:t>Burdens</w:t>
      </w:r>
      <w:proofErr w:type="spellEnd"/>
      <w:r w:rsidRPr="00BF24AD">
        <w:rPr>
          <w:rFonts w:ascii="Arial" w:hAnsi="Arial" w:cs="Arial"/>
          <w:i/>
          <w:iCs/>
        </w:rPr>
        <w:t xml:space="preserve"> in the UE”</w:t>
      </w:r>
      <w:r w:rsidRPr="00BF24AD">
        <w:rPr>
          <w:rFonts w:ascii="Arial" w:hAnsi="Arial" w:cs="Arial"/>
        </w:rPr>
        <w:t>, aplicado en 13 áreas de la administración pública entre 2007 y 2012 han representado una reducción de 25% de los costos de transacción, equivalentes a €30.800 millones anuales</w:t>
      </w:r>
      <w:r w:rsidRPr="00844999">
        <w:rPr>
          <w:rFonts w:ascii="Arial" w:hAnsi="Arial" w:cs="Arial"/>
          <w:vertAlign w:val="superscript"/>
        </w:rPr>
        <w:footnoteReference w:id="2"/>
      </w:r>
      <w:r w:rsidRPr="00844999">
        <w:rPr>
          <w:rFonts w:ascii="Arial" w:hAnsi="Arial" w:cs="Arial"/>
        </w:rPr>
        <w:t>.</w:t>
      </w:r>
    </w:p>
    <w:p w14:paraId="773F6466" w14:textId="77777777" w:rsidR="00BF24AD" w:rsidRPr="00BF24AD" w:rsidRDefault="00BF24AD" w:rsidP="00BF24AD">
      <w:pPr>
        <w:pStyle w:val="ListParagraph"/>
        <w:ind w:left="1068"/>
        <w:jc w:val="both"/>
        <w:rPr>
          <w:rFonts w:ascii="Arial" w:hAnsi="Arial" w:cs="Arial"/>
        </w:rPr>
      </w:pPr>
    </w:p>
    <w:p w14:paraId="3402E67A" w14:textId="1EDF558C" w:rsidR="002B50E3" w:rsidRDefault="002B50E3" w:rsidP="00BF24AD">
      <w:pPr>
        <w:pStyle w:val="ListParagraph"/>
        <w:numPr>
          <w:ilvl w:val="1"/>
          <w:numId w:val="3"/>
        </w:numPr>
        <w:spacing w:after="0" w:line="240" w:lineRule="auto"/>
        <w:jc w:val="both"/>
        <w:rPr>
          <w:rFonts w:ascii="Arial" w:eastAsia="Arial" w:hAnsi="Arial" w:cs="Arial"/>
        </w:rPr>
      </w:pPr>
      <w:r w:rsidRPr="00C54C17">
        <w:rPr>
          <w:rFonts w:ascii="Arial" w:eastAsia="Arial" w:hAnsi="Arial" w:cs="Arial"/>
        </w:rPr>
        <w:t xml:space="preserve">En </w:t>
      </w:r>
      <w:r w:rsidRPr="00BF24AD">
        <w:rPr>
          <w:rFonts w:ascii="Arial" w:eastAsia="Arial" w:hAnsi="Arial" w:cs="Arial"/>
        </w:rPr>
        <w:t>España,</w:t>
      </w:r>
      <w:r w:rsidRPr="00C54C17">
        <w:rPr>
          <w:rFonts w:ascii="Arial" w:eastAsia="Arial" w:hAnsi="Arial" w:cs="Arial"/>
        </w:rPr>
        <w:t xml:space="preserve"> un estudio realizado en 2013 por el Ministerio de Hacienda y Administraciones Públicas cuantificó en €16.602 millones el ahorro derivado de la implementación de la ley que convirtió los servicios electrónicos en un derecho ciudadano</w:t>
      </w:r>
      <w:r w:rsidRPr="00C54C17">
        <w:rPr>
          <w:rFonts w:ascii="Arial" w:eastAsia="Arial" w:hAnsi="Arial" w:cs="Arial"/>
          <w:vertAlign w:val="superscript"/>
        </w:rPr>
        <w:footnoteReference w:id="3"/>
      </w:r>
      <w:r w:rsidRPr="00C54C17">
        <w:rPr>
          <w:rFonts w:ascii="Arial" w:eastAsia="Arial" w:hAnsi="Arial" w:cs="Arial"/>
        </w:rPr>
        <w:t xml:space="preserve">. Según el Departamento de Asuntos Económicos y Sociales de Naciones Unidas (UNDESA), existen múltiples ejemplos de proyectos en distintos países que “han producido ganancias significativas de eficiencia en términos de reducción del número de pasos, reducción de la duración total y del número de agencias que intervienen en el trámite”. </w:t>
      </w:r>
    </w:p>
    <w:p w14:paraId="78E19866" w14:textId="77777777" w:rsidR="00BF24AD" w:rsidRPr="00BF24AD" w:rsidRDefault="00BF24AD" w:rsidP="00BF24AD">
      <w:pPr>
        <w:spacing w:after="0" w:line="240" w:lineRule="auto"/>
        <w:jc w:val="both"/>
        <w:rPr>
          <w:rFonts w:ascii="Arial" w:eastAsia="Arial" w:hAnsi="Arial" w:cs="Arial"/>
        </w:rPr>
      </w:pPr>
    </w:p>
    <w:p w14:paraId="715F3D46" w14:textId="22CC0A02" w:rsidR="002B50E3" w:rsidRDefault="002B50E3" w:rsidP="00BF24AD">
      <w:pPr>
        <w:pStyle w:val="ListParagraph"/>
        <w:numPr>
          <w:ilvl w:val="1"/>
          <w:numId w:val="3"/>
        </w:numPr>
        <w:spacing w:after="0" w:line="240" w:lineRule="auto"/>
        <w:jc w:val="both"/>
        <w:rPr>
          <w:rFonts w:ascii="Arial" w:eastAsia="Arial" w:hAnsi="Arial" w:cs="Arial"/>
        </w:rPr>
      </w:pPr>
      <w:r w:rsidRPr="00C54C17">
        <w:rPr>
          <w:rFonts w:ascii="Arial" w:eastAsia="Arial" w:hAnsi="Arial" w:cs="Arial"/>
        </w:rPr>
        <w:t>Por otro lado, tal como lo demuestra el caso d</w:t>
      </w:r>
      <w:r w:rsidRPr="00BF24AD">
        <w:rPr>
          <w:rFonts w:ascii="Arial" w:eastAsia="Arial" w:hAnsi="Arial" w:cs="Arial"/>
        </w:rPr>
        <w:t>e Estonia, el</w:t>
      </w:r>
      <w:r w:rsidRPr="00C54C17">
        <w:rPr>
          <w:rFonts w:ascii="Arial" w:eastAsia="Arial" w:hAnsi="Arial" w:cs="Arial"/>
        </w:rPr>
        <w:t xml:space="preserve"> uso masivo de la identidad y firma digitales, los pagos en línea y otros elementos a desarrollar en este componente, puede producir ahorros en costos de transacción equivalentes a 2% del PIB</w:t>
      </w:r>
      <w:r w:rsidRPr="00C54C17">
        <w:rPr>
          <w:rFonts w:ascii="Arial" w:eastAsia="Arial" w:hAnsi="Arial" w:cs="Arial"/>
          <w:vertAlign w:val="superscript"/>
        </w:rPr>
        <w:footnoteReference w:id="4"/>
      </w:r>
      <w:r w:rsidRPr="00C54C17">
        <w:rPr>
          <w:rFonts w:ascii="Arial" w:eastAsia="Arial" w:hAnsi="Arial" w:cs="Arial"/>
        </w:rPr>
        <w:t>.</w:t>
      </w:r>
    </w:p>
    <w:p w14:paraId="08A8B790" w14:textId="77777777" w:rsidR="00BF24AD" w:rsidRPr="00BF24AD" w:rsidRDefault="00BF24AD" w:rsidP="00BF24AD">
      <w:pPr>
        <w:spacing w:after="0" w:line="240" w:lineRule="auto"/>
        <w:jc w:val="both"/>
        <w:rPr>
          <w:rFonts w:ascii="Arial" w:eastAsia="Arial" w:hAnsi="Arial" w:cs="Arial"/>
        </w:rPr>
      </w:pPr>
    </w:p>
    <w:p w14:paraId="38759E31" w14:textId="2FF6BA12" w:rsidR="000A6811" w:rsidRDefault="000A6811" w:rsidP="00BF24AD">
      <w:pPr>
        <w:pStyle w:val="ListParagraph"/>
        <w:numPr>
          <w:ilvl w:val="1"/>
          <w:numId w:val="3"/>
        </w:numPr>
        <w:spacing w:after="0" w:line="240" w:lineRule="auto"/>
        <w:jc w:val="both"/>
        <w:rPr>
          <w:rFonts w:ascii="Arial" w:eastAsia="Arial" w:hAnsi="Arial" w:cs="Arial"/>
          <w:lang w:val="es-UY"/>
        </w:rPr>
      </w:pPr>
      <w:r w:rsidRPr="00BF24AD">
        <w:rPr>
          <w:rFonts w:ascii="Arial" w:eastAsia="Arial" w:hAnsi="Arial" w:cs="Arial"/>
        </w:rPr>
        <w:t>Chile Atiende es</w:t>
      </w:r>
      <w:r w:rsidRPr="000A6811">
        <w:rPr>
          <w:rFonts w:ascii="Arial" w:eastAsia="Arial" w:hAnsi="Arial" w:cs="Arial"/>
        </w:rPr>
        <w:t xml:space="preserve"> la red multiservicios del Estado, que busca acercar los beneficios y servicios de las instituciones públicas a las personas, a través de: (i)</w:t>
      </w:r>
      <w:r w:rsidR="00BF24AD">
        <w:rPr>
          <w:rFonts w:ascii="Arial" w:eastAsia="Arial" w:hAnsi="Arial" w:cs="Arial"/>
        </w:rPr>
        <w:t> </w:t>
      </w:r>
      <w:r w:rsidRPr="000A6811">
        <w:rPr>
          <w:rFonts w:ascii="Arial" w:eastAsia="Arial" w:hAnsi="Arial" w:cs="Arial"/>
        </w:rPr>
        <w:t>más de 200 puntos de atención presencial; (</w:t>
      </w:r>
      <w:proofErr w:type="spellStart"/>
      <w:r w:rsidRPr="000A6811">
        <w:rPr>
          <w:rFonts w:ascii="Arial" w:eastAsia="Arial" w:hAnsi="Arial" w:cs="Arial"/>
        </w:rPr>
        <w:t>ii</w:t>
      </w:r>
      <w:proofErr w:type="spellEnd"/>
      <w:r w:rsidRPr="000A6811">
        <w:rPr>
          <w:rFonts w:ascii="Arial" w:eastAsia="Arial" w:hAnsi="Arial" w:cs="Arial"/>
        </w:rPr>
        <w:t>) el portal Chile Atiende con acceso a más de 2.200 beneficios y servicios públicos; y (</w:t>
      </w:r>
      <w:proofErr w:type="spellStart"/>
      <w:r w:rsidRPr="000A6811">
        <w:rPr>
          <w:rFonts w:ascii="Arial" w:eastAsia="Arial" w:hAnsi="Arial" w:cs="Arial"/>
        </w:rPr>
        <w:t>iii</w:t>
      </w:r>
      <w:proofErr w:type="spellEnd"/>
      <w:r w:rsidRPr="000A6811">
        <w:rPr>
          <w:rFonts w:ascii="Arial" w:eastAsia="Arial" w:hAnsi="Arial" w:cs="Arial"/>
        </w:rPr>
        <w:t xml:space="preserve">) el </w:t>
      </w:r>
      <w:proofErr w:type="spellStart"/>
      <w:proofErr w:type="gramStart"/>
      <w:r w:rsidRPr="00BF24AD">
        <w:rPr>
          <w:rFonts w:ascii="Arial" w:eastAsia="Arial" w:hAnsi="Arial" w:cs="Arial"/>
          <w:i/>
        </w:rPr>
        <w:t>call</w:t>
      </w:r>
      <w:proofErr w:type="spellEnd"/>
      <w:r w:rsidRPr="00BF24AD">
        <w:rPr>
          <w:rFonts w:ascii="Arial" w:eastAsia="Arial" w:hAnsi="Arial" w:cs="Arial"/>
          <w:i/>
        </w:rPr>
        <w:t xml:space="preserve"> center</w:t>
      </w:r>
      <w:proofErr w:type="gramEnd"/>
      <w:r w:rsidRPr="000A6811">
        <w:rPr>
          <w:rFonts w:ascii="Arial" w:eastAsia="Arial" w:hAnsi="Arial" w:cs="Arial"/>
        </w:rPr>
        <w:t xml:space="preserve"> 101</w:t>
      </w:r>
      <w:r w:rsidR="00BF24AD">
        <w:rPr>
          <w:rFonts w:ascii="Arial" w:eastAsia="Arial" w:hAnsi="Arial" w:cs="Arial"/>
        </w:rPr>
        <w:t> </w:t>
      </w:r>
      <w:r w:rsidRPr="000A6811">
        <w:rPr>
          <w:rFonts w:ascii="Arial" w:eastAsia="Arial" w:hAnsi="Arial" w:cs="Arial"/>
        </w:rPr>
        <w:t xml:space="preserve">que entrega orientación sobre los servicios y beneficios estatales. </w:t>
      </w:r>
      <w:r w:rsidRPr="000A6811">
        <w:rPr>
          <w:rFonts w:ascii="Arial" w:eastAsia="Arial" w:hAnsi="Arial" w:cs="Arial"/>
          <w:lang w:val="es-UY"/>
        </w:rPr>
        <w:t>Ministerio Secretaría General de la Presidencia de Chile, 2014.</w:t>
      </w:r>
    </w:p>
    <w:p w14:paraId="58BF29DE" w14:textId="77777777" w:rsidR="009F38A7" w:rsidRPr="000A6811" w:rsidRDefault="009F38A7" w:rsidP="000A6811">
      <w:pPr>
        <w:rPr>
          <w:rFonts w:ascii="Arial" w:eastAsia="Arial" w:hAnsi="Arial" w:cs="Arial"/>
          <w:lang w:val="es-UY"/>
        </w:rPr>
      </w:pPr>
    </w:p>
    <w:p w14:paraId="25C89CDC" w14:textId="3A7498D1" w:rsidR="00C54C17" w:rsidRDefault="693F5C8F" w:rsidP="693F5C8F">
      <w:pPr>
        <w:pStyle w:val="ListParagraph"/>
        <w:numPr>
          <w:ilvl w:val="0"/>
          <w:numId w:val="3"/>
        </w:numPr>
        <w:jc w:val="center"/>
        <w:rPr>
          <w:rFonts w:ascii="Arial" w:eastAsia="Arial" w:hAnsi="Arial" w:cs="Arial"/>
          <w:b/>
          <w:bCs/>
        </w:rPr>
      </w:pPr>
      <w:r w:rsidRPr="693F5C8F">
        <w:rPr>
          <w:rFonts w:ascii="Arial" w:eastAsia="Arial" w:hAnsi="Arial" w:cs="Arial"/>
          <w:b/>
          <w:bCs/>
        </w:rPr>
        <w:t>Mejora de la inversión en TIC mediante el apoyo a jóvenes, emprendedores y empresas</w:t>
      </w:r>
    </w:p>
    <w:p w14:paraId="125422DC" w14:textId="77777777" w:rsidR="00844999" w:rsidRPr="00BF24AD" w:rsidRDefault="00844999" w:rsidP="00844999">
      <w:pPr>
        <w:pStyle w:val="ListParagraph"/>
        <w:rPr>
          <w:rFonts w:ascii="Arial" w:eastAsia="Arial" w:hAnsi="Arial" w:cs="Arial"/>
          <w:b/>
        </w:rPr>
      </w:pPr>
    </w:p>
    <w:p w14:paraId="2E1548C0" w14:textId="4FF14D23" w:rsidR="00C54D87" w:rsidRDefault="007B4011" w:rsidP="00844999">
      <w:pPr>
        <w:pStyle w:val="ListParagraph"/>
        <w:numPr>
          <w:ilvl w:val="1"/>
          <w:numId w:val="3"/>
        </w:numPr>
        <w:spacing w:after="0" w:line="240" w:lineRule="auto"/>
        <w:jc w:val="both"/>
        <w:rPr>
          <w:rFonts w:ascii="Arial" w:eastAsia="Arial" w:hAnsi="Arial" w:cs="Arial"/>
        </w:rPr>
      </w:pPr>
      <w:r w:rsidRPr="007B4011">
        <w:rPr>
          <w:rFonts w:ascii="Arial" w:eastAsia="Arial" w:hAnsi="Arial" w:cs="Arial"/>
        </w:rPr>
        <w:t xml:space="preserve">Estudios internacionales han demostrado </w:t>
      </w:r>
      <w:r w:rsidRPr="00844999">
        <w:rPr>
          <w:rFonts w:ascii="Arial" w:eastAsia="Arial" w:hAnsi="Arial" w:cs="Arial"/>
        </w:rPr>
        <w:t>la relación positiva a nivel agregado entre las inversiones en TICS y el crecimiento económico</w:t>
      </w:r>
      <w:r w:rsidRPr="00844999">
        <w:rPr>
          <w:rFonts w:ascii="Arial" w:eastAsia="Arial" w:hAnsi="Arial" w:cs="Arial"/>
          <w:vertAlign w:val="superscript"/>
        </w:rPr>
        <w:footnoteReference w:id="5"/>
      </w:r>
      <w:r w:rsidRPr="00844999">
        <w:rPr>
          <w:rFonts w:ascii="Arial" w:eastAsia="Arial" w:hAnsi="Arial" w:cs="Arial"/>
        </w:rPr>
        <w:t>. Estos efectos se producen de manera directa (a través de la dimensión</w:t>
      </w:r>
      <w:r w:rsidRPr="007B4011">
        <w:rPr>
          <w:rFonts w:ascii="Arial" w:eastAsia="Arial" w:hAnsi="Arial" w:cs="Arial"/>
        </w:rPr>
        <w:t xml:space="preserve"> y complejidad del sector TICS) e indirecta (por medio de la adopción y uso de TICS en los restantes sectores de la economía). A nivel de sectores, empresas y personas, los efectos de las TICS también son positivos, pero heterogéneos</w:t>
      </w:r>
      <w:r w:rsidRPr="007B4011">
        <w:rPr>
          <w:rFonts w:ascii="Arial" w:eastAsia="Arial" w:hAnsi="Arial" w:cs="Arial"/>
          <w:vertAlign w:val="superscript"/>
        </w:rPr>
        <w:footnoteReference w:id="6"/>
      </w:r>
      <w:r w:rsidRPr="007B4011">
        <w:rPr>
          <w:rFonts w:ascii="Arial" w:eastAsia="Arial" w:hAnsi="Arial" w:cs="Arial"/>
        </w:rPr>
        <w:t xml:space="preserve">. En este contexto, las </w:t>
      </w:r>
      <w:r w:rsidRPr="007B4011">
        <w:rPr>
          <w:rFonts w:ascii="Arial" w:eastAsia="Arial" w:hAnsi="Arial" w:cs="Arial"/>
        </w:rPr>
        <w:lastRenderedPageBreak/>
        <w:t>recomendaciones de políticas de transformación digital enfatizan promover el uso efectivo de TICS en empresas e individuos y fomentar innovaciones</w:t>
      </w:r>
      <w:r w:rsidRPr="007B4011">
        <w:rPr>
          <w:rFonts w:ascii="Arial" w:eastAsia="Arial" w:hAnsi="Arial" w:cs="Arial"/>
          <w:vertAlign w:val="superscript"/>
        </w:rPr>
        <w:footnoteReference w:id="7"/>
      </w:r>
      <w:r w:rsidRPr="007B4011">
        <w:rPr>
          <w:rFonts w:ascii="Arial" w:eastAsia="Arial" w:hAnsi="Arial" w:cs="Arial"/>
        </w:rPr>
        <w:t>. Adicionalmente, el uso efectivo de TICS a nivel de personas y empresas requiere un conjunto de habilidades digitales (específicas, genéricas y complementarias); haciendo necesario ampliar las oportunidades de formación en habilidades digitales, y facilitar la migración de la oferta actual de formación hacia nuevos modelos con una nueva relación escala/costo/efectividad. Finalmente, el fomento de empresas e innovaciones digitales requiere crear o expandir espacios de colaboración empresas-gobierno-conocimiento y fortalecer el ecosistema de nuevos emprendimientos innovadores</w:t>
      </w:r>
      <w:r>
        <w:rPr>
          <w:rFonts w:ascii="Arial" w:eastAsia="Arial" w:hAnsi="Arial" w:cs="Arial"/>
        </w:rPr>
        <w:t>.</w:t>
      </w:r>
    </w:p>
    <w:p w14:paraId="772917D8" w14:textId="77777777" w:rsidR="00844999" w:rsidRDefault="00844999" w:rsidP="00844999">
      <w:pPr>
        <w:pStyle w:val="ListParagraph"/>
        <w:spacing w:after="0" w:line="240" w:lineRule="auto"/>
        <w:ind w:left="1068"/>
        <w:jc w:val="both"/>
        <w:rPr>
          <w:rFonts w:ascii="Arial" w:eastAsia="Arial" w:hAnsi="Arial" w:cs="Arial"/>
        </w:rPr>
      </w:pPr>
    </w:p>
    <w:p w14:paraId="43B387D3" w14:textId="7CB7809B" w:rsidR="009F38A7" w:rsidRDefault="009F38A7" w:rsidP="00844999">
      <w:pPr>
        <w:pStyle w:val="ListParagraph"/>
        <w:numPr>
          <w:ilvl w:val="1"/>
          <w:numId w:val="3"/>
        </w:numPr>
        <w:spacing w:after="0" w:line="240" w:lineRule="auto"/>
        <w:jc w:val="both"/>
        <w:rPr>
          <w:rFonts w:ascii="Arial" w:eastAsia="Arial" w:hAnsi="Arial" w:cs="Arial"/>
        </w:rPr>
      </w:pPr>
      <w:r w:rsidRPr="00844999">
        <w:rPr>
          <w:rFonts w:ascii="Arial" w:eastAsia="Arial" w:hAnsi="Arial" w:cs="Arial"/>
        </w:rPr>
        <w:t>Respecto al uso de capital semilla para promover emprendimientos. La</w:t>
      </w:r>
      <w:r w:rsidRPr="009F38A7">
        <w:rPr>
          <w:rFonts w:ascii="Arial" w:eastAsia="Arial" w:hAnsi="Arial" w:cs="Arial"/>
        </w:rPr>
        <w:t xml:space="preserve"> Agencia de Investigación e Innovación de Uruguay realizó en el año 2017 una evaluación de impacto de su instrumento de apoyo a emprendedores, basado en capital semilla (</w:t>
      </w:r>
      <w:hyperlink r:id="rId13" w:history="1">
        <w:r w:rsidRPr="002D7227">
          <w:rPr>
            <w:rStyle w:val="Hyperlink"/>
            <w:rFonts w:ascii="Arial" w:eastAsia="Arial" w:hAnsi="Arial" w:cs="Arial"/>
          </w:rPr>
          <w:t>Informe de Evaluación Emprendedores Innovadores</w:t>
        </w:r>
      </w:hyperlink>
      <w:r w:rsidRPr="009F38A7">
        <w:rPr>
          <w:rFonts w:ascii="Arial" w:eastAsia="Arial" w:hAnsi="Arial" w:cs="Arial"/>
          <w:i/>
        </w:rPr>
        <w:t>)</w:t>
      </w:r>
      <w:r w:rsidRPr="009F38A7">
        <w:rPr>
          <w:rFonts w:ascii="Arial" w:eastAsia="Arial" w:hAnsi="Arial" w:cs="Arial"/>
        </w:rPr>
        <w:t>. El 33% de los emprendimientos evaluados correspondió al sector de TICS; los datos indican un retorno de US$19 por cada dólar invertido, una inversión en innovación cuatro veces mayor que empresas similares no beneficiarias de ANII y la creación de 6</w:t>
      </w:r>
      <w:r w:rsidR="00403B9C">
        <w:rPr>
          <w:rFonts w:ascii="Arial" w:eastAsia="Arial" w:hAnsi="Arial" w:cs="Arial"/>
        </w:rPr>
        <w:t> </w:t>
      </w:r>
      <w:r w:rsidRPr="009F38A7">
        <w:rPr>
          <w:rFonts w:ascii="Arial" w:eastAsia="Arial" w:hAnsi="Arial" w:cs="Arial"/>
        </w:rPr>
        <w:t>empleos por emprendimiento. Asimismo, la evaluación identificó que contar con un segundo aporte de capital semilla incrementa 61% la posibilidad de sobrevivir en el mercado.</w:t>
      </w:r>
    </w:p>
    <w:p w14:paraId="41022447" w14:textId="77777777" w:rsidR="00844999" w:rsidRPr="00844999" w:rsidRDefault="00844999" w:rsidP="00844999">
      <w:pPr>
        <w:spacing w:after="0" w:line="240" w:lineRule="auto"/>
        <w:jc w:val="both"/>
        <w:rPr>
          <w:rFonts w:ascii="Arial" w:eastAsia="Arial" w:hAnsi="Arial" w:cs="Arial"/>
        </w:rPr>
      </w:pPr>
    </w:p>
    <w:p w14:paraId="011E9A49" w14:textId="77777777" w:rsidR="009F38A7" w:rsidRDefault="009F38A7" w:rsidP="00844999">
      <w:pPr>
        <w:pStyle w:val="ListParagraph"/>
        <w:numPr>
          <w:ilvl w:val="1"/>
          <w:numId w:val="3"/>
        </w:numPr>
        <w:spacing w:after="0" w:line="240" w:lineRule="auto"/>
        <w:jc w:val="both"/>
        <w:rPr>
          <w:rFonts w:ascii="Arial" w:eastAsia="Arial" w:hAnsi="Arial" w:cs="Arial"/>
        </w:rPr>
      </w:pPr>
      <w:r w:rsidRPr="00844999">
        <w:rPr>
          <w:rFonts w:ascii="Arial" w:eastAsia="Arial" w:hAnsi="Arial" w:cs="Arial"/>
        </w:rPr>
        <w:t>Sobre el impacto de los parques tecnológicos. Una</w:t>
      </w:r>
      <w:r w:rsidRPr="009F38A7">
        <w:rPr>
          <w:rFonts w:ascii="Arial" w:eastAsia="Arial" w:hAnsi="Arial" w:cs="Arial"/>
        </w:rPr>
        <w:t xml:space="preserve"> evaluación sobre una amplia muestra de empresas que alojadas en 22 parques tecnológicos de España (</w:t>
      </w:r>
      <w:r w:rsidRPr="00403B9C">
        <w:rPr>
          <w:rFonts w:ascii="Arial" w:eastAsia="Arial" w:hAnsi="Arial" w:cs="Arial"/>
          <w:i/>
        </w:rPr>
        <w:t xml:space="preserve">The </w:t>
      </w:r>
      <w:proofErr w:type="spellStart"/>
      <w:r w:rsidRPr="00403B9C">
        <w:rPr>
          <w:rFonts w:ascii="Arial" w:eastAsia="Arial" w:hAnsi="Arial" w:cs="Arial"/>
          <w:i/>
        </w:rPr>
        <w:t>impact</w:t>
      </w:r>
      <w:proofErr w:type="spellEnd"/>
      <w:r w:rsidRPr="00403B9C">
        <w:rPr>
          <w:rFonts w:ascii="Arial" w:eastAsia="Arial" w:hAnsi="Arial" w:cs="Arial"/>
          <w:i/>
        </w:rPr>
        <w:t xml:space="preserve"> of </w:t>
      </w:r>
      <w:proofErr w:type="spellStart"/>
      <w:r w:rsidRPr="00403B9C">
        <w:rPr>
          <w:rFonts w:ascii="Arial" w:eastAsia="Arial" w:hAnsi="Arial" w:cs="Arial"/>
          <w:i/>
        </w:rPr>
        <w:t>science</w:t>
      </w:r>
      <w:proofErr w:type="spellEnd"/>
      <w:r w:rsidRPr="00403B9C">
        <w:rPr>
          <w:rFonts w:ascii="Arial" w:eastAsia="Arial" w:hAnsi="Arial" w:cs="Arial"/>
          <w:i/>
        </w:rPr>
        <w:t xml:space="preserve"> and </w:t>
      </w:r>
      <w:proofErr w:type="spellStart"/>
      <w:r w:rsidRPr="00403B9C">
        <w:rPr>
          <w:rFonts w:ascii="Arial" w:eastAsia="Arial" w:hAnsi="Arial" w:cs="Arial"/>
          <w:i/>
        </w:rPr>
        <w:t>technology</w:t>
      </w:r>
      <w:proofErr w:type="spellEnd"/>
      <w:r w:rsidRPr="00403B9C">
        <w:rPr>
          <w:rFonts w:ascii="Arial" w:eastAsia="Arial" w:hAnsi="Arial" w:cs="Arial"/>
          <w:i/>
        </w:rPr>
        <w:t xml:space="preserve"> </w:t>
      </w:r>
      <w:proofErr w:type="spellStart"/>
      <w:r w:rsidRPr="00403B9C">
        <w:rPr>
          <w:rFonts w:ascii="Arial" w:eastAsia="Arial" w:hAnsi="Arial" w:cs="Arial"/>
          <w:i/>
        </w:rPr>
        <w:t>parks</w:t>
      </w:r>
      <w:proofErr w:type="spellEnd"/>
      <w:r w:rsidRPr="00403B9C">
        <w:rPr>
          <w:rFonts w:ascii="Arial" w:eastAsia="Arial" w:hAnsi="Arial" w:cs="Arial"/>
          <w:i/>
        </w:rPr>
        <w:t xml:space="preserve"> </w:t>
      </w:r>
      <w:proofErr w:type="spellStart"/>
      <w:r w:rsidRPr="00403B9C">
        <w:rPr>
          <w:rFonts w:ascii="Arial" w:eastAsia="Arial" w:hAnsi="Arial" w:cs="Arial"/>
          <w:i/>
        </w:rPr>
        <w:t>on</w:t>
      </w:r>
      <w:proofErr w:type="spellEnd"/>
      <w:r w:rsidRPr="00403B9C">
        <w:rPr>
          <w:rFonts w:ascii="Arial" w:eastAsia="Arial" w:hAnsi="Arial" w:cs="Arial"/>
          <w:i/>
        </w:rPr>
        <w:t xml:space="preserve"> </w:t>
      </w:r>
      <w:proofErr w:type="spellStart"/>
      <w:r w:rsidRPr="00403B9C">
        <w:rPr>
          <w:rFonts w:ascii="Arial" w:eastAsia="Arial" w:hAnsi="Arial" w:cs="Arial"/>
          <w:i/>
        </w:rPr>
        <w:t>firms</w:t>
      </w:r>
      <w:proofErr w:type="spellEnd"/>
      <w:r w:rsidRPr="00403B9C">
        <w:rPr>
          <w:rFonts w:ascii="Arial" w:eastAsia="Arial" w:hAnsi="Arial" w:cs="Arial"/>
          <w:i/>
        </w:rPr>
        <w:t xml:space="preserve">’ </w:t>
      </w:r>
      <w:proofErr w:type="spellStart"/>
      <w:r w:rsidRPr="00403B9C">
        <w:rPr>
          <w:rFonts w:ascii="Arial" w:eastAsia="Arial" w:hAnsi="Arial" w:cs="Arial"/>
          <w:i/>
        </w:rPr>
        <w:t>product</w:t>
      </w:r>
      <w:proofErr w:type="spellEnd"/>
      <w:r w:rsidRPr="00403B9C">
        <w:rPr>
          <w:rFonts w:ascii="Arial" w:eastAsia="Arial" w:hAnsi="Arial" w:cs="Arial"/>
          <w:i/>
        </w:rPr>
        <w:t xml:space="preserve"> </w:t>
      </w:r>
      <w:proofErr w:type="spellStart"/>
      <w:r w:rsidRPr="00403B9C">
        <w:rPr>
          <w:rFonts w:ascii="Arial" w:eastAsia="Arial" w:hAnsi="Arial" w:cs="Arial"/>
          <w:i/>
        </w:rPr>
        <w:t>innovation</w:t>
      </w:r>
      <w:proofErr w:type="spellEnd"/>
      <w:r w:rsidRPr="00403B9C">
        <w:rPr>
          <w:rFonts w:ascii="Arial" w:eastAsia="Arial" w:hAnsi="Arial" w:cs="Arial"/>
          <w:i/>
        </w:rPr>
        <w:t xml:space="preserve">: </w:t>
      </w:r>
      <w:proofErr w:type="spellStart"/>
      <w:r w:rsidRPr="00403B9C">
        <w:rPr>
          <w:rFonts w:ascii="Arial" w:eastAsia="Arial" w:hAnsi="Arial" w:cs="Arial"/>
          <w:i/>
        </w:rPr>
        <w:t>empirical</w:t>
      </w:r>
      <w:proofErr w:type="spellEnd"/>
      <w:r w:rsidRPr="00403B9C">
        <w:rPr>
          <w:rFonts w:ascii="Arial" w:eastAsia="Arial" w:hAnsi="Arial" w:cs="Arial"/>
          <w:i/>
        </w:rPr>
        <w:t xml:space="preserve"> </w:t>
      </w:r>
      <w:proofErr w:type="spellStart"/>
      <w:r w:rsidRPr="00403B9C">
        <w:rPr>
          <w:rFonts w:ascii="Arial" w:eastAsia="Arial" w:hAnsi="Arial" w:cs="Arial"/>
          <w:i/>
        </w:rPr>
        <w:t>evidence</w:t>
      </w:r>
      <w:proofErr w:type="spellEnd"/>
      <w:r w:rsidRPr="00403B9C">
        <w:rPr>
          <w:rFonts w:ascii="Arial" w:eastAsia="Arial" w:hAnsi="Arial" w:cs="Arial"/>
          <w:i/>
        </w:rPr>
        <w:t xml:space="preserve"> </w:t>
      </w:r>
      <w:proofErr w:type="spellStart"/>
      <w:r w:rsidRPr="00403B9C">
        <w:rPr>
          <w:rFonts w:ascii="Arial" w:eastAsia="Arial" w:hAnsi="Arial" w:cs="Arial"/>
          <w:i/>
        </w:rPr>
        <w:t>from</w:t>
      </w:r>
      <w:proofErr w:type="spellEnd"/>
      <w:r w:rsidRPr="00403B9C">
        <w:rPr>
          <w:rFonts w:ascii="Arial" w:eastAsia="Arial" w:hAnsi="Arial" w:cs="Arial"/>
          <w:i/>
        </w:rPr>
        <w:t xml:space="preserve"> </w:t>
      </w:r>
      <w:proofErr w:type="spellStart"/>
      <w:r w:rsidRPr="00403B9C">
        <w:rPr>
          <w:rFonts w:ascii="Arial" w:eastAsia="Arial" w:hAnsi="Arial" w:cs="Arial"/>
          <w:i/>
        </w:rPr>
        <w:t>Spain</w:t>
      </w:r>
      <w:proofErr w:type="spellEnd"/>
      <w:r w:rsidRPr="009F38A7">
        <w:rPr>
          <w:rFonts w:ascii="Arial" w:eastAsia="Arial" w:hAnsi="Arial" w:cs="Arial"/>
        </w:rPr>
        <w:t>; Ángela Rocío Vásquez-</w:t>
      </w:r>
      <w:proofErr w:type="spellStart"/>
      <w:r w:rsidRPr="009F38A7">
        <w:rPr>
          <w:rFonts w:ascii="Arial" w:eastAsia="Arial" w:hAnsi="Arial" w:cs="Arial"/>
        </w:rPr>
        <w:t>Urriago</w:t>
      </w:r>
      <w:proofErr w:type="spellEnd"/>
      <w:r w:rsidRPr="009F38A7">
        <w:rPr>
          <w:rFonts w:ascii="Arial" w:eastAsia="Arial" w:hAnsi="Arial" w:cs="Arial"/>
        </w:rPr>
        <w:t>, Andrés </w:t>
      </w:r>
      <w:proofErr w:type="spellStart"/>
      <w:r w:rsidRPr="009F38A7">
        <w:rPr>
          <w:rFonts w:ascii="Arial" w:eastAsia="Arial" w:hAnsi="Arial" w:cs="Arial"/>
        </w:rPr>
        <w:t>Barge</w:t>
      </w:r>
      <w:proofErr w:type="spellEnd"/>
      <w:r w:rsidRPr="009F38A7">
        <w:rPr>
          <w:rFonts w:ascii="Arial" w:eastAsia="Arial" w:hAnsi="Arial" w:cs="Arial"/>
        </w:rPr>
        <w:t>-Gil, Aurelia Modrego Rico, Evita </w:t>
      </w:r>
      <w:proofErr w:type="spellStart"/>
      <w:r w:rsidRPr="009F38A7">
        <w:rPr>
          <w:rFonts w:ascii="Arial" w:eastAsia="Arial" w:hAnsi="Arial" w:cs="Arial"/>
        </w:rPr>
        <w:t>Paraskevopoulou</w:t>
      </w:r>
      <w:proofErr w:type="spellEnd"/>
      <w:r w:rsidRPr="009F38A7">
        <w:rPr>
          <w:rFonts w:ascii="Arial" w:eastAsia="Arial" w:hAnsi="Arial" w:cs="Arial"/>
        </w:rPr>
        <w:t xml:space="preserve">; </w:t>
      </w:r>
      <w:proofErr w:type="spellStart"/>
      <w:r w:rsidRPr="009F38A7">
        <w:rPr>
          <w:rFonts w:ascii="Arial" w:eastAsia="Arial" w:hAnsi="Arial" w:cs="Arial"/>
        </w:rPr>
        <w:t>Journal</w:t>
      </w:r>
      <w:proofErr w:type="spellEnd"/>
      <w:r w:rsidRPr="009F38A7">
        <w:rPr>
          <w:rFonts w:ascii="Arial" w:eastAsia="Arial" w:hAnsi="Arial" w:cs="Arial"/>
        </w:rPr>
        <w:t xml:space="preserve"> of </w:t>
      </w:r>
      <w:proofErr w:type="spellStart"/>
      <w:r w:rsidRPr="009F38A7">
        <w:rPr>
          <w:rFonts w:ascii="Arial" w:eastAsia="Arial" w:hAnsi="Arial" w:cs="Arial"/>
        </w:rPr>
        <w:t>Evolucionary</w:t>
      </w:r>
      <w:proofErr w:type="spellEnd"/>
      <w:r w:rsidRPr="009F38A7">
        <w:rPr>
          <w:rFonts w:ascii="Arial" w:eastAsia="Arial" w:hAnsi="Arial" w:cs="Arial"/>
        </w:rPr>
        <w:t xml:space="preserve"> </w:t>
      </w:r>
      <w:proofErr w:type="spellStart"/>
      <w:r w:rsidRPr="009F38A7">
        <w:rPr>
          <w:rFonts w:ascii="Arial" w:eastAsia="Arial" w:hAnsi="Arial" w:cs="Arial"/>
        </w:rPr>
        <w:t>Economics</w:t>
      </w:r>
      <w:proofErr w:type="spellEnd"/>
      <w:r w:rsidRPr="009F38A7">
        <w:rPr>
          <w:rFonts w:ascii="Arial" w:eastAsia="Arial" w:hAnsi="Arial" w:cs="Arial"/>
        </w:rPr>
        <w:t xml:space="preserve">, </w:t>
      </w:r>
      <w:proofErr w:type="spellStart"/>
      <w:r w:rsidRPr="009F38A7">
        <w:rPr>
          <w:rFonts w:ascii="Arial" w:eastAsia="Arial" w:hAnsi="Arial" w:cs="Arial"/>
        </w:rPr>
        <w:t>September</w:t>
      </w:r>
      <w:proofErr w:type="spellEnd"/>
      <w:r w:rsidRPr="009F38A7">
        <w:rPr>
          <w:rFonts w:ascii="Arial" w:eastAsia="Arial" w:hAnsi="Arial" w:cs="Arial"/>
        </w:rPr>
        <w:t xml:space="preserve"> 2014) identificó que estas instituciones tiene un impacto fuerte y positivo en las empresas que se localizan en ellas, en particular en la probabilidad y cantidad de innovaciones en productos. Por otro lado, un estudio de la Unión Europea sobre el rol de los parques tecnológicos para fomentar las economías regionales (</w:t>
      </w:r>
      <w:proofErr w:type="spellStart"/>
      <w:r w:rsidRPr="00403B9C">
        <w:rPr>
          <w:rFonts w:ascii="Arial" w:eastAsia="Arial" w:hAnsi="Arial" w:cs="Arial"/>
          <w:i/>
        </w:rPr>
        <w:t>Setting</w:t>
      </w:r>
      <w:proofErr w:type="spellEnd"/>
      <w:r w:rsidRPr="00403B9C">
        <w:rPr>
          <w:rFonts w:ascii="Arial" w:eastAsia="Arial" w:hAnsi="Arial" w:cs="Arial"/>
          <w:i/>
        </w:rPr>
        <w:t xml:space="preserve"> up, </w:t>
      </w:r>
      <w:proofErr w:type="spellStart"/>
      <w:r w:rsidRPr="00403B9C">
        <w:rPr>
          <w:rFonts w:ascii="Arial" w:eastAsia="Arial" w:hAnsi="Arial" w:cs="Arial"/>
          <w:i/>
        </w:rPr>
        <w:t>managing</w:t>
      </w:r>
      <w:proofErr w:type="spellEnd"/>
      <w:r w:rsidRPr="00403B9C">
        <w:rPr>
          <w:rFonts w:ascii="Arial" w:eastAsia="Arial" w:hAnsi="Arial" w:cs="Arial"/>
          <w:i/>
        </w:rPr>
        <w:t xml:space="preserve"> and </w:t>
      </w:r>
      <w:proofErr w:type="spellStart"/>
      <w:r w:rsidRPr="00403B9C">
        <w:rPr>
          <w:rFonts w:ascii="Arial" w:eastAsia="Arial" w:hAnsi="Arial" w:cs="Arial"/>
          <w:i/>
        </w:rPr>
        <w:t>evaluating</w:t>
      </w:r>
      <w:proofErr w:type="spellEnd"/>
      <w:r w:rsidRPr="00403B9C">
        <w:rPr>
          <w:rFonts w:ascii="Arial" w:eastAsia="Arial" w:hAnsi="Arial" w:cs="Arial"/>
          <w:i/>
        </w:rPr>
        <w:t xml:space="preserve"> EU </w:t>
      </w:r>
      <w:proofErr w:type="spellStart"/>
      <w:r w:rsidRPr="00403B9C">
        <w:rPr>
          <w:rFonts w:ascii="Arial" w:eastAsia="Arial" w:hAnsi="Arial" w:cs="Arial"/>
          <w:i/>
        </w:rPr>
        <w:t>Science</w:t>
      </w:r>
      <w:proofErr w:type="spellEnd"/>
      <w:r w:rsidRPr="00403B9C">
        <w:rPr>
          <w:rFonts w:ascii="Arial" w:eastAsia="Arial" w:hAnsi="Arial" w:cs="Arial"/>
          <w:i/>
        </w:rPr>
        <w:t xml:space="preserve"> and </w:t>
      </w:r>
      <w:proofErr w:type="spellStart"/>
      <w:r w:rsidRPr="00403B9C">
        <w:rPr>
          <w:rFonts w:ascii="Arial" w:eastAsia="Arial" w:hAnsi="Arial" w:cs="Arial"/>
          <w:i/>
        </w:rPr>
        <w:t>Technology</w:t>
      </w:r>
      <w:proofErr w:type="spellEnd"/>
      <w:r w:rsidRPr="00403B9C">
        <w:rPr>
          <w:rFonts w:ascii="Arial" w:eastAsia="Arial" w:hAnsi="Arial" w:cs="Arial"/>
          <w:i/>
        </w:rPr>
        <w:t xml:space="preserve"> Parks, </w:t>
      </w:r>
      <w:proofErr w:type="spellStart"/>
      <w:r w:rsidRPr="00403B9C">
        <w:rPr>
          <w:rFonts w:ascii="Arial" w:eastAsia="Arial" w:hAnsi="Arial" w:cs="Arial"/>
          <w:i/>
        </w:rPr>
        <w:t>European</w:t>
      </w:r>
      <w:proofErr w:type="spellEnd"/>
      <w:r w:rsidRPr="00403B9C">
        <w:rPr>
          <w:rFonts w:ascii="Arial" w:eastAsia="Arial" w:hAnsi="Arial" w:cs="Arial"/>
          <w:i/>
        </w:rPr>
        <w:t xml:space="preserve"> Union</w:t>
      </w:r>
      <w:r w:rsidRPr="009F38A7">
        <w:rPr>
          <w:rFonts w:ascii="Arial" w:eastAsia="Arial" w:hAnsi="Arial" w:cs="Arial"/>
        </w:rPr>
        <w:t>, 2014), identifica que en los años iniciales la inversión pública es importante, pero luego de una década, los aportes privados son mayoritarios; y a los 25 años de antigüedad, el promedio de aporte público en los parques de la Unión Europea es de 8%.</w:t>
      </w:r>
    </w:p>
    <w:p w14:paraId="3D7398C2" w14:textId="77777777" w:rsidR="009F38A7" w:rsidRPr="00BF24AD" w:rsidRDefault="009F38A7" w:rsidP="009F38A7">
      <w:pPr>
        <w:rPr>
          <w:rFonts w:ascii="Arial" w:eastAsia="Arial" w:hAnsi="Arial" w:cs="Arial"/>
        </w:rPr>
      </w:pPr>
    </w:p>
    <w:p w14:paraId="66D13ECC" w14:textId="3B29724C" w:rsidR="00C54C17" w:rsidRDefault="00C54C17" w:rsidP="00BF24AD">
      <w:pPr>
        <w:pStyle w:val="ListParagraph"/>
        <w:numPr>
          <w:ilvl w:val="0"/>
          <w:numId w:val="3"/>
        </w:numPr>
        <w:jc w:val="center"/>
        <w:rPr>
          <w:rFonts w:ascii="Arial" w:hAnsi="Arial" w:cs="Arial"/>
          <w:b/>
        </w:rPr>
      </w:pPr>
      <w:r w:rsidRPr="00BF24AD">
        <w:rPr>
          <w:rFonts w:ascii="Arial" w:hAnsi="Arial" w:cs="Arial"/>
          <w:b/>
        </w:rPr>
        <w:t>Extensión del uso de BA y mejora de su calidad y precio</w:t>
      </w:r>
    </w:p>
    <w:p w14:paraId="40129EC2" w14:textId="77777777" w:rsidR="006707AF" w:rsidRPr="00BF24AD" w:rsidRDefault="006707AF" w:rsidP="006707AF">
      <w:pPr>
        <w:pStyle w:val="ListParagraph"/>
        <w:rPr>
          <w:rFonts w:ascii="Arial" w:hAnsi="Arial" w:cs="Arial"/>
          <w:b/>
        </w:rPr>
      </w:pPr>
    </w:p>
    <w:p w14:paraId="2B7404A7" w14:textId="12910154" w:rsidR="000052B4" w:rsidRDefault="000052B4" w:rsidP="006707AF">
      <w:pPr>
        <w:pStyle w:val="ListParagraph"/>
        <w:numPr>
          <w:ilvl w:val="1"/>
          <w:numId w:val="3"/>
        </w:numPr>
        <w:spacing w:after="0" w:line="240" w:lineRule="auto"/>
        <w:jc w:val="both"/>
        <w:rPr>
          <w:rFonts w:ascii="Arial" w:eastAsia="Arial" w:hAnsi="Arial" w:cs="Arial"/>
        </w:rPr>
      </w:pPr>
      <w:r>
        <w:rPr>
          <w:rFonts w:ascii="Arial" w:eastAsia="Arial" w:hAnsi="Arial" w:cs="Arial"/>
        </w:rPr>
        <w:t xml:space="preserve">Según </w:t>
      </w:r>
      <w:r w:rsidRPr="006707AF">
        <w:rPr>
          <w:rFonts w:ascii="Arial" w:eastAsia="Arial" w:hAnsi="Arial" w:cs="Arial"/>
        </w:rPr>
        <w:t>un estudio del BID, se estima que aumentos de la penetración de los servicios de BA del 10% en los países de ALC, en promedio, han estado ligados a aumentos del 3,19% en el PIB, del 2,61% en productividad y una generación neta de más de 67.000 empleos directos</w:t>
      </w:r>
      <w:r w:rsidRPr="006707AF">
        <w:rPr>
          <w:rFonts w:ascii="Arial" w:eastAsia="Arial" w:hAnsi="Arial" w:cs="Arial"/>
          <w:vertAlign w:val="superscript"/>
        </w:rPr>
        <w:footnoteReference w:id="8"/>
      </w:r>
      <w:r w:rsidRPr="006707AF">
        <w:rPr>
          <w:rFonts w:ascii="Arial" w:eastAsia="Arial" w:hAnsi="Arial" w:cs="Arial"/>
        </w:rPr>
        <w:t>.</w:t>
      </w:r>
    </w:p>
    <w:p w14:paraId="5FECB1C8" w14:textId="77777777" w:rsidR="006707AF" w:rsidRPr="006707AF" w:rsidRDefault="006707AF" w:rsidP="006707AF">
      <w:pPr>
        <w:pStyle w:val="ListParagraph"/>
        <w:spacing w:after="0" w:line="240" w:lineRule="auto"/>
        <w:ind w:left="1068"/>
        <w:jc w:val="both"/>
        <w:rPr>
          <w:rFonts w:ascii="Arial" w:eastAsia="Arial" w:hAnsi="Arial" w:cs="Arial"/>
        </w:rPr>
      </w:pPr>
    </w:p>
    <w:p w14:paraId="588E4CDA" w14:textId="6198D88F" w:rsidR="002C7A41" w:rsidRDefault="002C7A41" w:rsidP="006707AF">
      <w:pPr>
        <w:pStyle w:val="ListParagraph"/>
        <w:numPr>
          <w:ilvl w:val="1"/>
          <w:numId w:val="3"/>
        </w:numPr>
        <w:spacing w:after="0" w:line="240" w:lineRule="auto"/>
        <w:jc w:val="both"/>
        <w:rPr>
          <w:rFonts w:ascii="Arial" w:eastAsia="Arial" w:hAnsi="Arial" w:cs="Arial"/>
        </w:rPr>
      </w:pPr>
      <w:r w:rsidRPr="006707AF">
        <w:rPr>
          <w:rFonts w:ascii="Arial" w:eastAsia="Arial" w:hAnsi="Arial" w:cs="Arial"/>
        </w:rPr>
        <w:t>Existe una estrecha relación entre la competitividad y el grado de desarrollo de BA. La correlación entre ambas variables es superior a 0,8. Asimismo, al utilizar los datos de ALC y la OCDE se</w:t>
      </w:r>
      <w:r w:rsidRPr="002C7A41">
        <w:rPr>
          <w:rFonts w:ascii="Arial" w:eastAsia="Arial" w:hAnsi="Arial" w:cs="Arial"/>
        </w:rPr>
        <w:t xml:space="preserve"> observa que una mejora de 1 punto en el índice de Desarrollo de Banda Ancha (IDBA) está asociada una mejora de 0,51 puntos en el Índice Global de Competitividad</w:t>
      </w:r>
      <w:r>
        <w:rPr>
          <w:rFonts w:ascii="Arial" w:eastAsia="Arial" w:hAnsi="Arial" w:cs="Arial"/>
        </w:rPr>
        <w:t>.</w:t>
      </w:r>
    </w:p>
    <w:p w14:paraId="39A29EE9" w14:textId="33808A87" w:rsidR="00C54C17" w:rsidRDefault="00C54C17" w:rsidP="006707AF">
      <w:pPr>
        <w:pStyle w:val="ListParagraph"/>
        <w:numPr>
          <w:ilvl w:val="1"/>
          <w:numId w:val="3"/>
        </w:numPr>
        <w:spacing w:after="0" w:line="240" w:lineRule="auto"/>
        <w:jc w:val="both"/>
        <w:rPr>
          <w:rFonts w:ascii="Arial" w:eastAsia="Arial" w:hAnsi="Arial" w:cs="Arial"/>
        </w:rPr>
      </w:pPr>
      <w:r w:rsidRPr="00C54C17">
        <w:rPr>
          <w:rFonts w:ascii="Arial" w:eastAsia="Arial" w:hAnsi="Arial" w:cs="Arial"/>
        </w:rPr>
        <w:lastRenderedPageBreak/>
        <w:t xml:space="preserve">Según un estudio </w:t>
      </w:r>
      <w:r w:rsidRPr="006707AF">
        <w:rPr>
          <w:rFonts w:ascii="Arial" w:eastAsia="Arial" w:hAnsi="Arial" w:cs="Arial"/>
        </w:rPr>
        <w:t xml:space="preserve">de Arthur D. Little y Ericsson, el aumento del 1% en la penetración de BA puede generar un aumento del 4,3% en las exportaciones. </w:t>
      </w:r>
    </w:p>
    <w:p w14:paraId="654F36E1" w14:textId="77777777" w:rsidR="006707AF" w:rsidRPr="006707AF" w:rsidRDefault="006707AF" w:rsidP="006707AF">
      <w:pPr>
        <w:pStyle w:val="ListParagraph"/>
        <w:spacing w:after="0" w:line="240" w:lineRule="auto"/>
        <w:ind w:left="1068"/>
        <w:jc w:val="both"/>
        <w:rPr>
          <w:rFonts w:ascii="Arial" w:eastAsia="Arial" w:hAnsi="Arial" w:cs="Arial"/>
        </w:rPr>
      </w:pPr>
    </w:p>
    <w:p w14:paraId="6353242A" w14:textId="2AF94DC6" w:rsidR="00C54C17" w:rsidRDefault="00C54C17" w:rsidP="006707AF">
      <w:pPr>
        <w:pStyle w:val="ListParagraph"/>
        <w:numPr>
          <w:ilvl w:val="1"/>
          <w:numId w:val="3"/>
        </w:numPr>
        <w:spacing w:after="0" w:line="240" w:lineRule="auto"/>
        <w:jc w:val="both"/>
        <w:rPr>
          <w:rFonts w:ascii="Arial" w:eastAsia="Arial" w:hAnsi="Arial" w:cs="Arial"/>
        </w:rPr>
      </w:pPr>
      <w:r w:rsidRPr="006707AF">
        <w:rPr>
          <w:rFonts w:ascii="Arial" w:eastAsia="Arial" w:hAnsi="Arial" w:cs="Arial"/>
        </w:rPr>
        <w:t>En términos similares, un reporte de Deloitte estima que, en un país altamente conectado a Internet, el impacto derivado de la falta de acceso durante un día sería en promedio US$23,6 millones por cada 10 millones de habitantes. Asumiendo niveles más bajos de acceso a Internet y velocidad, el impacto negativo promedio del PIB ascendería a US$6,6 millones y a US$0,6 millones, respectivamente</w:t>
      </w:r>
      <w:r w:rsidRPr="006707AF">
        <w:rPr>
          <w:rFonts w:ascii="Arial" w:eastAsia="Arial" w:hAnsi="Arial" w:cs="Arial"/>
          <w:vertAlign w:val="superscript"/>
          <w:lang w:val="en-US"/>
        </w:rPr>
        <w:footnoteReference w:id="9"/>
      </w:r>
      <w:r w:rsidRPr="006707AF">
        <w:rPr>
          <w:rFonts w:ascii="Arial" w:eastAsia="Arial" w:hAnsi="Arial" w:cs="Arial"/>
        </w:rPr>
        <w:t>.</w:t>
      </w:r>
    </w:p>
    <w:p w14:paraId="39297E52" w14:textId="77777777" w:rsidR="006707AF" w:rsidRPr="006707AF" w:rsidRDefault="006707AF" w:rsidP="006707AF">
      <w:pPr>
        <w:spacing w:after="0" w:line="240" w:lineRule="auto"/>
        <w:jc w:val="both"/>
        <w:rPr>
          <w:rFonts w:ascii="Arial" w:eastAsia="Arial" w:hAnsi="Arial" w:cs="Arial"/>
        </w:rPr>
      </w:pPr>
    </w:p>
    <w:p w14:paraId="7CC6E045" w14:textId="4718CD6F" w:rsidR="007B080D" w:rsidRDefault="007B080D" w:rsidP="006707AF">
      <w:pPr>
        <w:pStyle w:val="ListParagraph"/>
        <w:numPr>
          <w:ilvl w:val="1"/>
          <w:numId w:val="3"/>
        </w:numPr>
        <w:spacing w:after="0" w:line="240" w:lineRule="auto"/>
        <w:jc w:val="both"/>
        <w:rPr>
          <w:rFonts w:ascii="Arial" w:eastAsia="Arial" w:hAnsi="Arial" w:cs="Arial"/>
        </w:rPr>
      </w:pPr>
      <w:r w:rsidRPr="006707AF">
        <w:rPr>
          <w:rFonts w:ascii="Arial" w:eastAsia="Arial" w:hAnsi="Arial" w:cs="Arial"/>
        </w:rPr>
        <w:t xml:space="preserve">Fondo de Desarrollo de las Telecomunicaciones en Perú implementó un proyecto para conectar hogares e instituciones públicas en </w:t>
      </w:r>
      <w:proofErr w:type="spellStart"/>
      <w:r w:rsidRPr="006707AF">
        <w:rPr>
          <w:rFonts w:ascii="Arial" w:eastAsia="Arial" w:hAnsi="Arial" w:cs="Arial"/>
        </w:rPr>
        <w:t>Apurimac</w:t>
      </w:r>
      <w:proofErr w:type="spellEnd"/>
      <w:r w:rsidRPr="006707AF">
        <w:rPr>
          <w:rFonts w:ascii="Arial" w:eastAsia="Arial" w:hAnsi="Arial" w:cs="Arial"/>
        </w:rPr>
        <w:t xml:space="preserve"> y Huancavelica, donde se estimó que tras el despliegue de la infraestructura en estas regiones la tasa de retorno social del proyecto sería del 33,01% y 30,50% respectivamente.</w:t>
      </w:r>
    </w:p>
    <w:p w14:paraId="1D8DF624" w14:textId="77777777" w:rsidR="006707AF" w:rsidRPr="006707AF" w:rsidRDefault="006707AF" w:rsidP="006707AF">
      <w:pPr>
        <w:spacing w:after="0" w:line="240" w:lineRule="auto"/>
        <w:jc w:val="both"/>
        <w:rPr>
          <w:rFonts w:ascii="Arial" w:eastAsia="Arial" w:hAnsi="Arial" w:cs="Arial"/>
        </w:rPr>
      </w:pPr>
    </w:p>
    <w:p w14:paraId="72463010" w14:textId="7F49EF84" w:rsidR="00A50718" w:rsidRDefault="00A50718" w:rsidP="006707AF">
      <w:pPr>
        <w:pStyle w:val="ListParagraph"/>
        <w:numPr>
          <w:ilvl w:val="1"/>
          <w:numId w:val="3"/>
        </w:numPr>
        <w:spacing w:after="0" w:line="240" w:lineRule="auto"/>
        <w:jc w:val="both"/>
        <w:rPr>
          <w:rFonts w:ascii="Arial" w:eastAsia="Arial" w:hAnsi="Arial" w:cs="Arial"/>
          <w:vertAlign w:val="superscript"/>
        </w:rPr>
      </w:pPr>
      <w:r w:rsidRPr="006707AF">
        <w:rPr>
          <w:rFonts w:ascii="Arial" w:eastAsia="Arial" w:hAnsi="Arial" w:cs="Arial"/>
        </w:rPr>
        <w:t>En Nicaragua, el Banco Mundial financió un proyecto de despliegue de infraestructura para incrementar el acceso y reducir</w:t>
      </w:r>
      <w:r w:rsidRPr="00A50718">
        <w:rPr>
          <w:rFonts w:ascii="Arial" w:eastAsia="Arial" w:hAnsi="Arial" w:cs="Arial"/>
        </w:rPr>
        <w:t xml:space="preserve"> los costos de los servicios de telecomunicaciones en las zonas rurales, que benefició a 102.000 personas e incrementó el acceso a los servicios de Internet desde un 2,81% (en 2006) hasta un 15,50% (en 2015)</w:t>
      </w:r>
      <w:r w:rsidRPr="00A50718">
        <w:rPr>
          <w:rFonts w:ascii="Arial" w:eastAsia="Arial" w:hAnsi="Arial" w:cs="Arial"/>
          <w:vertAlign w:val="superscript"/>
        </w:rPr>
        <w:footnoteReference w:id="10"/>
      </w:r>
      <w:r w:rsidRPr="00A50718">
        <w:rPr>
          <w:rFonts w:ascii="Arial" w:eastAsia="Arial" w:hAnsi="Arial" w:cs="Arial"/>
          <w:vertAlign w:val="superscript"/>
        </w:rPr>
        <w:t>.</w:t>
      </w:r>
    </w:p>
    <w:p w14:paraId="52769A41" w14:textId="77777777" w:rsidR="00CB10B0" w:rsidRDefault="00CB10B0" w:rsidP="008C0ED1">
      <w:pPr>
        <w:rPr>
          <w:rFonts w:ascii="Arial" w:eastAsia="Arial" w:hAnsi="Arial" w:cs="Arial"/>
          <w:vertAlign w:val="superscript"/>
        </w:rPr>
      </w:pPr>
    </w:p>
    <w:p w14:paraId="4FEEB1CD" w14:textId="5509ADFF" w:rsidR="005D3176" w:rsidRDefault="00096B88" w:rsidP="00BF24AD">
      <w:pPr>
        <w:pStyle w:val="ListParagraph"/>
        <w:numPr>
          <w:ilvl w:val="0"/>
          <w:numId w:val="3"/>
        </w:numPr>
        <w:jc w:val="center"/>
        <w:rPr>
          <w:rFonts w:ascii="Arial" w:hAnsi="Arial" w:cs="Arial"/>
          <w:b/>
        </w:rPr>
      </w:pPr>
      <w:r w:rsidRPr="00BF24AD">
        <w:rPr>
          <w:rFonts w:ascii="Arial" w:hAnsi="Arial" w:cs="Arial"/>
          <w:b/>
        </w:rPr>
        <w:t>Fortalecimiento del marco institucional y la capacidad gubernamental para el desarrollo de la Agenda Digital</w:t>
      </w:r>
    </w:p>
    <w:p w14:paraId="6F64E2BB" w14:textId="77777777" w:rsidR="00D95F26" w:rsidRPr="00D95F26" w:rsidRDefault="00D95F26" w:rsidP="00D95F26">
      <w:pPr>
        <w:pStyle w:val="ListParagraph"/>
        <w:rPr>
          <w:rFonts w:ascii="Arial" w:hAnsi="Arial" w:cs="Arial"/>
        </w:rPr>
      </w:pPr>
    </w:p>
    <w:p w14:paraId="7F71C668" w14:textId="2772671D" w:rsidR="005D3176" w:rsidRPr="00D95F26" w:rsidRDefault="00697A8F" w:rsidP="00D95F26">
      <w:pPr>
        <w:pStyle w:val="ListParagraph"/>
        <w:numPr>
          <w:ilvl w:val="1"/>
          <w:numId w:val="3"/>
        </w:numPr>
        <w:spacing w:after="0" w:line="240" w:lineRule="auto"/>
        <w:jc w:val="both"/>
        <w:rPr>
          <w:rFonts w:ascii="Arial" w:hAnsi="Arial" w:cs="Arial"/>
        </w:rPr>
      </w:pPr>
      <w:r w:rsidRPr="00D95F26">
        <w:rPr>
          <w:rFonts w:ascii="Arial" w:hAnsi="Arial" w:cs="Arial"/>
        </w:rPr>
        <w:t xml:space="preserve">Programa de Apoyo al Servicio Civil (PR L1008). </w:t>
      </w:r>
      <w:r w:rsidR="005D3176" w:rsidRPr="00D95F26">
        <w:rPr>
          <w:rFonts w:ascii="Arial" w:hAnsi="Arial" w:cs="Arial"/>
        </w:rPr>
        <w:t xml:space="preserve">Esta operación, a partir de un proceso de modernización institucional de la SFP, permitió una mejora en la puntuación del subsistema de Organización de la Función de Recursos Humanos, que pasó de 20 puntos en 2004 a 40 puntos y un avance del Índice de Desarrollo del Servicio Civil de Paraguay, que pasó de 12 puntos en 2004 a un total de 26 puntos en 2013. Ver “Una década de reformas del Servicio Civil en América Latina” (2004-2013), Juan Carlos </w:t>
      </w:r>
      <w:proofErr w:type="spellStart"/>
      <w:r w:rsidR="005D3176" w:rsidRPr="00D95F26">
        <w:rPr>
          <w:rFonts w:ascii="Arial" w:hAnsi="Arial" w:cs="Arial"/>
        </w:rPr>
        <w:t>Cortázar</w:t>
      </w:r>
      <w:proofErr w:type="spellEnd"/>
      <w:r w:rsidR="005D3176" w:rsidRPr="00D95F26">
        <w:rPr>
          <w:rFonts w:ascii="Arial" w:hAnsi="Arial" w:cs="Arial"/>
        </w:rPr>
        <w:t xml:space="preserve"> Velarde, Mariano Lafuente, Mario </w:t>
      </w:r>
      <w:proofErr w:type="spellStart"/>
      <w:r w:rsidR="005D3176" w:rsidRPr="00D95F26">
        <w:rPr>
          <w:rFonts w:ascii="Arial" w:hAnsi="Arial" w:cs="Arial"/>
        </w:rPr>
        <w:t>Sanginés</w:t>
      </w:r>
      <w:proofErr w:type="spellEnd"/>
      <w:r w:rsidR="005D3176" w:rsidRPr="00D95F26">
        <w:rPr>
          <w:rFonts w:ascii="Arial" w:hAnsi="Arial" w:cs="Arial"/>
        </w:rPr>
        <w:t>, Editores</w:t>
      </w:r>
      <w:r w:rsidR="00096B88" w:rsidRPr="00D95F26">
        <w:rPr>
          <w:rFonts w:ascii="Arial" w:hAnsi="Arial" w:cs="Arial"/>
        </w:rPr>
        <w:t>).</w:t>
      </w:r>
    </w:p>
    <w:p w14:paraId="6AEA858B" w14:textId="77777777" w:rsidR="00D95F26" w:rsidRPr="00D95F26" w:rsidRDefault="00D95F26" w:rsidP="00D95F26">
      <w:pPr>
        <w:pStyle w:val="ListParagraph"/>
        <w:spacing w:after="0" w:line="240" w:lineRule="auto"/>
        <w:ind w:left="1068"/>
        <w:jc w:val="both"/>
        <w:rPr>
          <w:rFonts w:ascii="Arial" w:hAnsi="Arial" w:cs="Arial"/>
        </w:rPr>
      </w:pPr>
    </w:p>
    <w:p w14:paraId="2444B33B" w14:textId="0241C05A" w:rsidR="00096B88" w:rsidRPr="007604C1" w:rsidRDefault="00697A8F" w:rsidP="00D95F26">
      <w:pPr>
        <w:pStyle w:val="ListParagraph"/>
        <w:numPr>
          <w:ilvl w:val="1"/>
          <w:numId w:val="3"/>
        </w:numPr>
        <w:spacing w:after="0" w:line="240" w:lineRule="auto"/>
        <w:jc w:val="both"/>
        <w:rPr>
          <w:rFonts w:ascii="Arial" w:hAnsi="Arial" w:cs="Arial"/>
          <w:i/>
          <w:lang w:val="en-US"/>
        </w:rPr>
      </w:pPr>
      <w:proofErr w:type="spellStart"/>
      <w:r w:rsidRPr="00D95F26">
        <w:rPr>
          <w:rFonts w:ascii="Arial" w:hAnsi="Arial" w:cs="Arial"/>
          <w:lang w:val="en-US"/>
        </w:rPr>
        <w:t>Estudios</w:t>
      </w:r>
      <w:proofErr w:type="spellEnd"/>
      <w:r w:rsidRPr="00D95F26">
        <w:rPr>
          <w:rFonts w:ascii="Arial" w:hAnsi="Arial" w:cs="Arial"/>
          <w:lang w:val="en-US"/>
        </w:rPr>
        <w:t xml:space="preserve">. </w:t>
      </w:r>
      <w:r w:rsidR="00096B88" w:rsidRPr="00D95F26">
        <w:rPr>
          <w:rFonts w:ascii="Arial" w:hAnsi="Arial" w:cs="Arial"/>
          <w:lang w:val="en-US"/>
        </w:rPr>
        <w:t>Civil Service Workforce Plan: 2016 to 2020 UK; Seven Steps of Effective</w:t>
      </w:r>
      <w:r w:rsidR="00096B88" w:rsidRPr="00096B88">
        <w:rPr>
          <w:rFonts w:ascii="Arial" w:hAnsi="Arial" w:cs="Arial"/>
          <w:lang w:val="en-US"/>
        </w:rPr>
        <w:t xml:space="preserve"> Workforce Planning, IBM Center for the Business of Government; OPM’s Workforce Planning Model; y Principles of Assessment, United States Office of Personnel Management. Por </w:t>
      </w:r>
      <w:proofErr w:type="spellStart"/>
      <w:r w:rsidR="00096B88" w:rsidRPr="00096B88">
        <w:rPr>
          <w:rFonts w:ascii="Arial" w:hAnsi="Arial" w:cs="Arial"/>
          <w:lang w:val="en-US"/>
        </w:rPr>
        <w:t>ejemplo</w:t>
      </w:r>
      <w:proofErr w:type="spellEnd"/>
      <w:r w:rsidR="00096B88" w:rsidRPr="00096B88">
        <w:rPr>
          <w:rFonts w:ascii="Arial" w:hAnsi="Arial" w:cs="Arial"/>
          <w:lang w:val="en-US"/>
        </w:rPr>
        <w:t xml:space="preserve">, “Principles…” </w:t>
      </w:r>
      <w:proofErr w:type="spellStart"/>
      <w:r w:rsidR="00096B88" w:rsidRPr="00096B88">
        <w:rPr>
          <w:rFonts w:ascii="Arial" w:hAnsi="Arial" w:cs="Arial"/>
          <w:lang w:val="en-US"/>
        </w:rPr>
        <w:t>estima</w:t>
      </w:r>
      <w:proofErr w:type="spellEnd"/>
      <w:r w:rsidR="00096B88" w:rsidRPr="00096B88">
        <w:rPr>
          <w:rFonts w:ascii="Arial" w:hAnsi="Arial" w:cs="Arial"/>
          <w:lang w:val="en-US"/>
        </w:rPr>
        <w:t xml:space="preserve"> que “a poor selection can cost a company as much as three times the employee´s </w:t>
      </w:r>
      <w:proofErr w:type="spellStart"/>
      <w:r w:rsidR="00096B88" w:rsidRPr="00096B88">
        <w:rPr>
          <w:rFonts w:ascii="Arial" w:hAnsi="Arial" w:cs="Arial"/>
          <w:lang w:val="en-US"/>
        </w:rPr>
        <w:t>anual</w:t>
      </w:r>
      <w:proofErr w:type="spellEnd"/>
      <w:r w:rsidR="00096B88" w:rsidRPr="00096B88">
        <w:rPr>
          <w:rFonts w:ascii="Arial" w:hAnsi="Arial" w:cs="Arial"/>
          <w:lang w:val="en-US"/>
        </w:rPr>
        <w:t xml:space="preserve"> salary”. “Civil Service…” </w:t>
      </w:r>
      <w:proofErr w:type="spellStart"/>
      <w:r w:rsidR="00096B88" w:rsidRPr="00096B88">
        <w:rPr>
          <w:rFonts w:ascii="Arial" w:hAnsi="Arial" w:cs="Arial"/>
          <w:lang w:val="en-US"/>
        </w:rPr>
        <w:t>estima</w:t>
      </w:r>
      <w:proofErr w:type="spellEnd"/>
      <w:r w:rsidR="00096B88" w:rsidRPr="00096B88">
        <w:rPr>
          <w:rFonts w:ascii="Arial" w:hAnsi="Arial" w:cs="Arial"/>
          <w:lang w:val="en-US"/>
        </w:rPr>
        <w:t xml:space="preserve"> que la </w:t>
      </w:r>
      <w:proofErr w:type="spellStart"/>
      <w:r w:rsidR="00096B88" w:rsidRPr="00096B88">
        <w:rPr>
          <w:rFonts w:ascii="Arial" w:hAnsi="Arial" w:cs="Arial"/>
          <w:lang w:val="en-US"/>
        </w:rPr>
        <w:t>planeación</w:t>
      </w:r>
      <w:proofErr w:type="spellEnd"/>
      <w:r w:rsidR="00096B88" w:rsidRPr="00096B88">
        <w:rPr>
          <w:rFonts w:ascii="Arial" w:hAnsi="Arial" w:cs="Arial"/>
          <w:lang w:val="en-US"/>
        </w:rPr>
        <w:t xml:space="preserve"> </w:t>
      </w:r>
      <w:proofErr w:type="spellStart"/>
      <w:r w:rsidR="00096B88" w:rsidRPr="00096B88">
        <w:rPr>
          <w:rFonts w:ascii="Arial" w:hAnsi="Arial" w:cs="Arial"/>
          <w:lang w:val="en-US"/>
        </w:rPr>
        <w:t>adecuada</w:t>
      </w:r>
      <w:proofErr w:type="spellEnd"/>
      <w:r w:rsidR="00096B88" w:rsidRPr="00096B88">
        <w:rPr>
          <w:rFonts w:ascii="Arial" w:hAnsi="Arial" w:cs="Arial"/>
          <w:lang w:val="en-US"/>
        </w:rPr>
        <w:t xml:space="preserve"> del </w:t>
      </w:r>
      <w:proofErr w:type="spellStart"/>
      <w:r w:rsidR="00096B88" w:rsidRPr="00096B88">
        <w:rPr>
          <w:rFonts w:ascii="Arial" w:hAnsi="Arial" w:cs="Arial"/>
          <w:lang w:val="en-US"/>
        </w:rPr>
        <w:t>talento</w:t>
      </w:r>
      <w:proofErr w:type="spellEnd"/>
      <w:r w:rsidR="00096B88" w:rsidRPr="00096B88">
        <w:rPr>
          <w:rFonts w:ascii="Arial" w:hAnsi="Arial" w:cs="Arial"/>
          <w:lang w:val="en-US"/>
        </w:rPr>
        <w:t xml:space="preserve"> </w:t>
      </w:r>
      <w:proofErr w:type="spellStart"/>
      <w:r w:rsidR="00096B88" w:rsidRPr="00096B88">
        <w:rPr>
          <w:rFonts w:ascii="Arial" w:hAnsi="Arial" w:cs="Arial"/>
          <w:lang w:val="en-US"/>
        </w:rPr>
        <w:t>humano</w:t>
      </w:r>
      <w:proofErr w:type="spellEnd"/>
      <w:r w:rsidR="00096B88" w:rsidRPr="00096B88">
        <w:rPr>
          <w:rFonts w:ascii="Arial" w:hAnsi="Arial" w:cs="Arial"/>
          <w:lang w:val="en-US"/>
        </w:rPr>
        <w:t xml:space="preserve"> y </w:t>
      </w:r>
      <w:proofErr w:type="spellStart"/>
      <w:r w:rsidR="00096B88" w:rsidRPr="00096B88">
        <w:rPr>
          <w:rFonts w:ascii="Arial" w:hAnsi="Arial" w:cs="Arial"/>
          <w:lang w:val="en-US"/>
        </w:rPr>
        <w:t>su</w:t>
      </w:r>
      <w:proofErr w:type="spellEnd"/>
      <w:r w:rsidR="00096B88" w:rsidRPr="00096B88">
        <w:rPr>
          <w:rFonts w:ascii="Arial" w:hAnsi="Arial" w:cs="Arial"/>
          <w:lang w:val="en-US"/>
        </w:rPr>
        <w:t xml:space="preserve"> </w:t>
      </w:r>
      <w:proofErr w:type="spellStart"/>
      <w:r w:rsidR="00096B88" w:rsidRPr="00096B88">
        <w:rPr>
          <w:rFonts w:ascii="Arial" w:hAnsi="Arial" w:cs="Arial"/>
          <w:lang w:val="en-US"/>
        </w:rPr>
        <w:t>capacitación</w:t>
      </w:r>
      <w:proofErr w:type="spellEnd"/>
      <w:r w:rsidR="00096B88" w:rsidRPr="00096B88">
        <w:rPr>
          <w:rFonts w:ascii="Arial" w:hAnsi="Arial" w:cs="Arial"/>
          <w:lang w:val="en-US"/>
        </w:rPr>
        <w:t xml:space="preserve"> </w:t>
      </w:r>
      <w:proofErr w:type="spellStart"/>
      <w:r w:rsidR="00096B88" w:rsidRPr="00096B88">
        <w:rPr>
          <w:rFonts w:ascii="Arial" w:hAnsi="Arial" w:cs="Arial"/>
          <w:lang w:val="en-US"/>
        </w:rPr>
        <w:t>permitieron</w:t>
      </w:r>
      <w:proofErr w:type="spellEnd"/>
      <w:r w:rsidR="00096B88" w:rsidRPr="00096B88">
        <w:rPr>
          <w:rFonts w:ascii="Arial" w:hAnsi="Arial" w:cs="Arial"/>
          <w:lang w:val="en-US"/>
        </w:rPr>
        <w:t xml:space="preserve"> “a </w:t>
      </w:r>
      <w:r w:rsidR="00096B88" w:rsidRPr="00BB0B69">
        <w:rPr>
          <w:rFonts w:ascii="Arial" w:hAnsi="Arial" w:cs="Arial"/>
          <w:i/>
          <w:lang w:val="en-US"/>
        </w:rPr>
        <w:t xml:space="preserve">significant increase in </w:t>
      </w:r>
      <w:proofErr w:type="spellStart"/>
      <w:r w:rsidR="00096B88" w:rsidRPr="00BB0B69">
        <w:rPr>
          <w:rFonts w:ascii="Arial" w:hAnsi="Arial" w:cs="Arial"/>
          <w:i/>
          <w:lang w:val="en-US"/>
        </w:rPr>
        <w:t>efficency</w:t>
      </w:r>
      <w:proofErr w:type="spellEnd"/>
      <w:r w:rsidR="00096B88" w:rsidRPr="00BB0B69">
        <w:rPr>
          <w:rFonts w:ascii="Arial" w:hAnsi="Arial" w:cs="Arial"/>
          <w:i/>
          <w:lang w:val="en-US"/>
        </w:rPr>
        <w:t xml:space="preserve"> and productivity, </w:t>
      </w:r>
      <w:proofErr w:type="spellStart"/>
      <w:r w:rsidR="00096B88" w:rsidRPr="00BB0B69">
        <w:rPr>
          <w:rFonts w:ascii="Arial" w:hAnsi="Arial" w:cs="Arial"/>
          <w:i/>
          <w:lang w:val="en-US"/>
        </w:rPr>
        <w:t>wich</w:t>
      </w:r>
      <w:proofErr w:type="spellEnd"/>
      <w:r w:rsidR="00096B88" w:rsidRPr="00BB0B69">
        <w:rPr>
          <w:rFonts w:ascii="Arial" w:hAnsi="Arial" w:cs="Arial"/>
          <w:i/>
          <w:lang w:val="en-US"/>
        </w:rPr>
        <w:t xml:space="preserve"> has helped to save taxpayers</w:t>
      </w:r>
      <w:r w:rsidR="00096B88" w:rsidRPr="00096B88">
        <w:rPr>
          <w:rFonts w:ascii="Arial" w:hAnsi="Arial" w:cs="Arial"/>
          <w:lang w:val="en-US"/>
        </w:rPr>
        <w:t xml:space="preserve"> L2.8 bn in 2014/15”. </w:t>
      </w:r>
      <w:proofErr w:type="spellStart"/>
      <w:r w:rsidR="00096B88" w:rsidRPr="00096B88">
        <w:rPr>
          <w:rFonts w:ascii="Arial" w:hAnsi="Arial" w:cs="Arial"/>
          <w:lang w:val="en-US"/>
        </w:rPr>
        <w:t>En</w:t>
      </w:r>
      <w:proofErr w:type="spellEnd"/>
      <w:r w:rsidR="00096B88" w:rsidRPr="00096B88">
        <w:rPr>
          <w:rFonts w:ascii="Arial" w:hAnsi="Arial" w:cs="Arial"/>
          <w:lang w:val="en-US"/>
        </w:rPr>
        <w:t xml:space="preserve"> “Seven Steps…” se </w:t>
      </w:r>
      <w:proofErr w:type="spellStart"/>
      <w:r w:rsidR="00096B88" w:rsidRPr="00096B88">
        <w:rPr>
          <w:rFonts w:ascii="Arial" w:hAnsi="Arial" w:cs="Arial"/>
          <w:lang w:val="en-US"/>
        </w:rPr>
        <w:t>señala</w:t>
      </w:r>
      <w:proofErr w:type="spellEnd"/>
      <w:r w:rsidR="00096B88" w:rsidRPr="00096B88">
        <w:rPr>
          <w:rFonts w:ascii="Arial" w:hAnsi="Arial" w:cs="Arial"/>
          <w:lang w:val="en-US"/>
        </w:rPr>
        <w:t xml:space="preserve"> que “</w:t>
      </w:r>
      <w:r w:rsidR="00096B88" w:rsidRPr="007604C1">
        <w:rPr>
          <w:rFonts w:ascii="Arial" w:hAnsi="Arial" w:cs="Arial"/>
          <w:i/>
          <w:lang w:val="en-US"/>
        </w:rPr>
        <w:t>workforce planning, a key component of strategic human capital management, is about aligning an organization’s human capital—its people—with its business plan to achieve its mission; in other words, ensuring that an organization currently has and will continue to have the right people with the right skills in the right job at the right time performing their assignments efficiently and effectively”</w:t>
      </w:r>
      <w:r w:rsidR="007604C1">
        <w:rPr>
          <w:rFonts w:ascii="Arial" w:hAnsi="Arial" w:cs="Arial"/>
          <w:i/>
          <w:lang w:val="en-US"/>
        </w:rPr>
        <w:t>.</w:t>
      </w:r>
    </w:p>
    <w:sectPr w:rsidR="00096B88" w:rsidRPr="007604C1" w:rsidSect="00C97E25">
      <w:headerReference w:type="default" r:id="rId14"/>
      <w:footerReference w:type="defaul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57A81" w14:textId="77777777" w:rsidR="00762EBA" w:rsidRDefault="00762EBA" w:rsidP="002B50E3">
      <w:pPr>
        <w:spacing w:after="0" w:line="240" w:lineRule="auto"/>
      </w:pPr>
      <w:r>
        <w:separator/>
      </w:r>
    </w:p>
  </w:endnote>
  <w:endnote w:type="continuationSeparator" w:id="0">
    <w:p w14:paraId="2C5921E3" w14:textId="77777777" w:rsidR="00762EBA" w:rsidRDefault="00762EBA" w:rsidP="002B50E3">
      <w:pPr>
        <w:spacing w:after="0" w:line="240" w:lineRule="auto"/>
      </w:pPr>
      <w:r>
        <w:continuationSeparator/>
      </w:r>
    </w:p>
  </w:endnote>
  <w:endnote w:type="continuationNotice" w:id="1">
    <w:p w14:paraId="2B3AB5BD" w14:textId="77777777" w:rsidR="00762EBA" w:rsidRDefault="00762E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713760"/>
      <w:docPartObj>
        <w:docPartGallery w:val="Page Numbers (Bottom of Page)"/>
        <w:docPartUnique/>
      </w:docPartObj>
    </w:sdtPr>
    <w:sdtEndPr>
      <w:rPr>
        <w:noProof/>
      </w:rPr>
    </w:sdtEndPr>
    <w:sdtContent>
      <w:p w14:paraId="573ACE19" w14:textId="0278E959" w:rsidR="007B4011" w:rsidRDefault="007B401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2EB8343" w14:textId="77777777" w:rsidR="007B4011" w:rsidRDefault="007B4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88E57" w14:textId="77777777" w:rsidR="00762EBA" w:rsidRDefault="00762EBA" w:rsidP="002B50E3">
      <w:pPr>
        <w:spacing w:after="0" w:line="240" w:lineRule="auto"/>
      </w:pPr>
      <w:r>
        <w:separator/>
      </w:r>
    </w:p>
  </w:footnote>
  <w:footnote w:type="continuationSeparator" w:id="0">
    <w:p w14:paraId="78F27EBE" w14:textId="77777777" w:rsidR="00762EBA" w:rsidRDefault="00762EBA" w:rsidP="002B50E3">
      <w:pPr>
        <w:spacing w:after="0" w:line="240" w:lineRule="auto"/>
      </w:pPr>
      <w:r>
        <w:continuationSeparator/>
      </w:r>
    </w:p>
  </w:footnote>
  <w:footnote w:type="continuationNotice" w:id="1">
    <w:p w14:paraId="1F3FB490" w14:textId="77777777" w:rsidR="00762EBA" w:rsidRDefault="00762EBA">
      <w:pPr>
        <w:spacing w:after="0" w:line="240" w:lineRule="auto"/>
      </w:pPr>
    </w:p>
  </w:footnote>
  <w:footnote w:id="2">
    <w:p w14:paraId="431CE9EE" w14:textId="77777777" w:rsidR="000A6811" w:rsidRPr="00260D2B" w:rsidRDefault="000A6811" w:rsidP="000A6811">
      <w:pPr>
        <w:pStyle w:val="FootnoteText"/>
        <w:ind w:left="270" w:hanging="270"/>
        <w:rPr>
          <w:rFonts w:ascii="Arial" w:eastAsia="Arial" w:hAnsi="Arial" w:cs="Arial"/>
          <w:sz w:val="18"/>
          <w:szCs w:val="18"/>
          <w:lang w:val="es-UY"/>
        </w:rPr>
      </w:pPr>
      <w:r w:rsidRPr="00260D2B">
        <w:rPr>
          <w:rStyle w:val="FootnoteReference"/>
          <w:rFonts w:ascii="Arial" w:eastAsia="Arial" w:hAnsi="Arial" w:cs="Arial"/>
          <w:sz w:val="18"/>
          <w:szCs w:val="18"/>
        </w:rPr>
        <w:footnoteRef/>
      </w:r>
      <w:r w:rsidRPr="00BA7F7C">
        <w:rPr>
          <w:rFonts w:ascii="Arial" w:hAnsi="Arial" w:cs="Arial"/>
          <w:sz w:val="18"/>
          <w:szCs w:val="18"/>
        </w:rPr>
        <w:tab/>
      </w:r>
      <w:r w:rsidRPr="00260D2B">
        <w:rPr>
          <w:rFonts w:ascii="Arial" w:eastAsia="Arial" w:hAnsi="Arial" w:cs="Arial"/>
          <w:sz w:val="18"/>
          <w:szCs w:val="18"/>
          <w:lang w:val="es-UY"/>
        </w:rPr>
        <w:t xml:space="preserve">Fuente: </w:t>
      </w:r>
      <w:hyperlink r:id="rId1" w:history="1">
        <w:r w:rsidRPr="00260D2B">
          <w:rPr>
            <w:rStyle w:val="Hyperlink"/>
            <w:rFonts w:ascii="Arial" w:eastAsia="Arial" w:hAnsi="Arial" w:cs="Arial"/>
            <w:sz w:val="18"/>
            <w:szCs w:val="18"/>
            <w:lang w:val="es-UY"/>
          </w:rPr>
          <w:t>Unión Europea</w:t>
        </w:r>
        <w:r w:rsidRPr="00260D2B">
          <w:rPr>
            <w:rFonts w:ascii="Arial" w:eastAsia="Arial" w:hAnsi="Arial" w:cs="Arial"/>
            <w:sz w:val="18"/>
            <w:szCs w:val="18"/>
          </w:rPr>
          <w:t xml:space="preserve">. </w:t>
        </w:r>
      </w:hyperlink>
    </w:p>
  </w:footnote>
  <w:footnote w:id="3">
    <w:p w14:paraId="673E331B" w14:textId="77777777" w:rsidR="002B50E3" w:rsidRPr="00260D2B" w:rsidRDefault="002B50E3" w:rsidP="002B50E3">
      <w:pPr>
        <w:pStyle w:val="FootnoteText"/>
        <w:ind w:left="270" w:hanging="270"/>
        <w:rPr>
          <w:rFonts w:ascii="Arial" w:eastAsia="Arial" w:hAnsi="Arial" w:cs="Arial"/>
          <w:sz w:val="18"/>
          <w:szCs w:val="18"/>
        </w:rPr>
      </w:pPr>
      <w:r w:rsidRPr="00260D2B">
        <w:rPr>
          <w:rStyle w:val="FootnoteReference"/>
          <w:rFonts w:ascii="Arial" w:eastAsia="Arial" w:hAnsi="Arial" w:cs="Arial"/>
          <w:sz w:val="18"/>
          <w:szCs w:val="18"/>
        </w:rPr>
        <w:footnoteRef/>
      </w:r>
      <w:r w:rsidRPr="00BA7F7C">
        <w:rPr>
          <w:rFonts w:ascii="Arial" w:hAnsi="Arial" w:cs="Arial"/>
          <w:sz w:val="18"/>
          <w:szCs w:val="18"/>
        </w:rPr>
        <w:tab/>
      </w:r>
      <w:r w:rsidRPr="00260D2B">
        <w:rPr>
          <w:rFonts w:ascii="Arial" w:eastAsia="Arial" w:hAnsi="Arial" w:cs="Arial"/>
          <w:sz w:val="18"/>
          <w:szCs w:val="18"/>
          <w:lang w:eastAsia="es-ES"/>
        </w:rPr>
        <w:t xml:space="preserve">Fuente: Rivera, R., Nuez, E. y C. </w:t>
      </w:r>
      <w:proofErr w:type="spellStart"/>
      <w:r w:rsidRPr="00260D2B">
        <w:rPr>
          <w:rFonts w:ascii="Arial" w:eastAsia="Arial" w:hAnsi="Arial" w:cs="Arial"/>
          <w:sz w:val="18"/>
          <w:szCs w:val="18"/>
          <w:lang w:eastAsia="es-ES"/>
        </w:rPr>
        <w:t>Tarin</w:t>
      </w:r>
      <w:proofErr w:type="spellEnd"/>
      <w:r w:rsidRPr="00260D2B">
        <w:rPr>
          <w:rFonts w:ascii="Arial" w:eastAsia="Arial" w:hAnsi="Arial" w:cs="Arial"/>
          <w:sz w:val="18"/>
          <w:szCs w:val="18"/>
          <w:lang w:eastAsia="es-ES"/>
        </w:rPr>
        <w:t xml:space="preserve"> “</w:t>
      </w:r>
      <w:hyperlink r:id="rId2" w:history="1">
        <w:r w:rsidRPr="00260D2B">
          <w:rPr>
            <w:rStyle w:val="Hyperlink"/>
            <w:rFonts w:ascii="Arial" w:eastAsia="Arial" w:hAnsi="Arial" w:cs="Arial"/>
            <w:sz w:val="18"/>
            <w:szCs w:val="18"/>
            <w:lang w:eastAsia="es-ES"/>
          </w:rPr>
          <w:t>Los Servicios en Línea como Derecho Ciudadano: El caso de España</w:t>
        </w:r>
      </w:hyperlink>
      <w:r w:rsidRPr="00260D2B">
        <w:rPr>
          <w:rFonts w:ascii="Arial" w:eastAsia="Arial" w:hAnsi="Arial" w:cs="Arial"/>
          <w:sz w:val="18"/>
          <w:szCs w:val="18"/>
          <w:lang w:eastAsia="es-ES"/>
        </w:rPr>
        <w:t>”, BID, Innovaciones en la Prestación de Servicios Públicos, 2015.</w:t>
      </w:r>
    </w:p>
  </w:footnote>
  <w:footnote w:id="4">
    <w:p w14:paraId="583B800E" w14:textId="77777777" w:rsidR="002B50E3" w:rsidRPr="00260D2B" w:rsidRDefault="002B50E3" w:rsidP="006707AF">
      <w:pPr>
        <w:pStyle w:val="FootnoteText"/>
        <w:ind w:left="270" w:hanging="270"/>
        <w:rPr>
          <w:rFonts w:ascii="Arial" w:eastAsia="Arial" w:hAnsi="Arial" w:cs="Arial"/>
          <w:sz w:val="18"/>
          <w:szCs w:val="18"/>
        </w:rPr>
      </w:pPr>
      <w:r w:rsidRPr="00260D2B">
        <w:rPr>
          <w:rStyle w:val="FootnoteReference"/>
          <w:rFonts w:ascii="Arial" w:eastAsia="Arial" w:hAnsi="Arial" w:cs="Arial"/>
          <w:sz w:val="18"/>
          <w:szCs w:val="18"/>
        </w:rPr>
        <w:footnoteRef/>
      </w:r>
      <w:r w:rsidRPr="0022367F">
        <w:rPr>
          <w:rFonts w:ascii="Arial" w:hAnsi="Arial" w:cs="Arial"/>
          <w:sz w:val="18"/>
          <w:szCs w:val="18"/>
        </w:rPr>
        <w:tab/>
      </w:r>
      <w:r w:rsidRPr="00260D2B">
        <w:rPr>
          <w:rFonts w:ascii="Arial" w:eastAsia="Arial" w:hAnsi="Arial" w:cs="Arial"/>
          <w:sz w:val="18"/>
          <w:szCs w:val="18"/>
        </w:rPr>
        <w:t xml:space="preserve">Ver </w:t>
      </w:r>
      <w:hyperlink r:id="rId3" w:history="1">
        <w:r w:rsidRPr="00260D2B">
          <w:rPr>
            <w:rStyle w:val="Hyperlink"/>
            <w:rFonts w:ascii="Arial" w:eastAsia="Arial" w:hAnsi="Arial" w:cs="Arial"/>
            <w:sz w:val="18"/>
            <w:szCs w:val="18"/>
          </w:rPr>
          <w:t>Pareja, A. y otros “Gestión de la identidad y su impacto en la economía digital”</w:t>
        </w:r>
      </w:hyperlink>
      <w:r>
        <w:rPr>
          <w:rStyle w:val="Hyperlink"/>
          <w:rFonts w:ascii="Arial" w:eastAsia="Arial" w:hAnsi="Arial" w:cs="Arial"/>
          <w:sz w:val="18"/>
          <w:szCs w:val="18"/>
        </w:rPr>
        <w:t>.</w:t>
      </w:r>
    </w:p>
  </w:footnote>
  <w:footnote w:id="5">
    <w:p w14:paraId="3F808EC1" w14:textId="77777777" w:rsidR="007B4011" w:rsidRPr="00FC45E6" w:rsidRDefault="007B4011" w:rsidP="006707AF">
      <w:pPr>
        <w:pStyle w:val="FootnoteText"/>
        <w:ind w:left="270" w:hanging="270"/>
        <w:rPr>
          <w:rFonts w:ascii="Arial" w:eastAsia="Arial" w:hAnsi="Arial" w:cs="Arial"/>
          <w:sz w:val="18"/>
          <w:szCs w:val="18"/>
          <w:lang w:val="en-US"/>
        </w:rPr>
      </w:pPr>
      <w:r w:rsidRPr="00FC45E6">
        <w:rPr>
          <w:rFonts w:ascii="Arial" w:eastAsia="Arial" w:hAnsi="Arial" w:cs="Arial"/>
          <w:sz w:val="18"/>
          <w:szCs w:val="18"/>
          <w:vertAlign w:val="superscript"/>
        </w:rPr>
        <w:footnoteRef/>
      </w:r>
      <w:r w:rsidRPr="00A265F1">
        <w:rPr>
          <w:rFonts w:ascii="Arial" w:eastAsia="Arial" w:hAnsi="Arial" w:cs="Arial"/>
          <w:sz w:val="18"/>
          <w:szCs w:val="18"/>
          <w:lang w:val="es-419"/>
        </w:rPr>
        <w:t xml:space="preserve"> </w:t>
      </w:r>
      <w:r w:rsidRPr="00A265F1">
        <w:rPr>
          <w:rFonts w:ascii="Arial" w:eastAsia="Arial" w:hAnsi="Arial" w:cs="Arial"/>
          <w:sz w:val="18"/>
          <w:szCs w:val="18"/>
          <w:lang w:val="es-419"/>
        </w:rPr>
        <w:tab/>
      </w:r>
      <w:proofErr w:type="spellStart"/>
      <w:r w:rsidRPr="003A0B37">
        <w:rPr>
          <w:rFonts w:ascii="Arial" w:eastAsia="Arial" w:hAnsi="Arial" w:cs="Arial"/>
          <w:sz w:val="18"/>
          <w:szCs w:val="18"/>
        </w:rPr>
        <w:t>Colecchia</w:t>
      </w:r>
      <w:proofErr w:type="spellEnd"/>
      <w:r w:rsidRPr="003A0B37">
        <w:rPr>
          <w:rFonts w:ascii="Arial" w:eastAsia="Arial" w:hAnsi="Arial" w:cs="Arial"/>
          <w:sz w:val="18"/>
          <w:szCs w:val="18"/>
        </w:rPr>
        <w:t xml:space="preserve"> y </w:t>
      </w:r>
      <w:proofErr w:type="spellStart"/>
      <w:r w:rsidRPr="003A0B37">
        <w:rPr>
          <w:rFonts w:ascii="Arial" w:eastAsia="Arial" w:hAnsi="Arial" w:cs="Arial"/>
          <w:sz w:val="18"/>
          <w:szCs w:val="18"/>
        </w:rPr>
        <w:t>Schreye</w:t>
      </w:r>
      <w:proofErr w:type="spellEnd"/>
      <w:r w:rsidRPr="003A0B37">
        <w:rPr>
          <w:rFonts w:ascii="Arial" w:eastAsia="Arial" w:hAnsi="Arial" w:cs="Arial"/>
          <w:sz w:val="18"/>
          <w:szCs w:val="18"/>
        </w:rPr>
        <w:t xml:space="preserve"> mostraron</w:t>
      </w:r>
      <w:r>
        <w:rPr>
          <w:rFonts w:ascii="Arial" w:eastAsia="Arial" w:hAnsi="Arial" w:cs="Arial"/>
          <w:sz w:val="18"/>
          <w:szCs w:val="18"/>
        </w:rPr>
        <w:t>,</w:t>
      </w:r>
      <w:r w:rsidRPr="003A0B37">
        <w:rPr>
          <w:rFonts w:ascii="Arial" w:eastAsia="Arial" w:hAnsi="Arial" w:cs="Arial"/>
          <w:sz w:val="18"/>
          <w:szCs w:val="18"/>
        </w:rPr>
        <w:t xml:space="preserve"> para un estudio sobre nueve países de OECD, que las inversiones en TICS contribuyen entre el 0,3 y 0,9% anuales al crecimiento del PI</w:t>
      </w:r>
      <w:r>
        <w:rPr>
          <w:rFonts w:ascii="Arial" w:eastAsia="Arial" w:hAnsi="Arial" w:cs="Arial"/>
          <w:sz w:val="18"/>
          <w:szCs w:val="18"/>
        </w:rPr>
        <w:t>B.</w:t>
      </w:r>
      <w:r w:rsidRPr="00A265F1">
        <w:rPr>
          <w:rFonts w:ascii="Arial" w:eastAsia="Arial" w:hAnsi="Arial" w:cs="Arial"/>
          <w:sz w:val="18"/>
          <w:szCs w:val="18"/>
          <w:lang w:val="es-419"/>
        </w:rPr>
        <w:t xml:space="preserve"> </w:t>
      </w:r>
      <w:r w:rsidRPr="00FC45E6">
        <w:rPr>
          <w:rFonts w:ascii="Arial" w:eastAsia="Arial" w:hAnsi="Arial" w:cs="Arial"/>
          <w:sz w:val="18"/>
          <w:szCs w:val="18"/>
          <w:lang w:val="en-US"/>
        </w:rPr>
        <w:t xml:space="preserve">“ICT </w:t>
      </w:r>
      <w:r w:rsidRPr="00FC45E6">
        <w:rPr>
          <w:rFonts w:ascii="Arial" w:eastAsia="Arial" w:hAnsi="Arial" w:cs="Arial"/>
          <w:i/>
          <w:sz w:val="18"/>
          <w:szCs w:val="18"/>
          <w:lang w:val="en-US"/>
        </w:rPr>
        <w:t xml:space="preserve">Investment and Economic Growth in the 1990s: Is the United States a Unique Case?” Review of Economic Dynamics </w:t>
      </w:r>
      <w:r w:rsidRPr="00FC45E6">
        <w:rPr>
          <w:rFonts w:ascii="Arial" w:eastAsia="Arial" w:hAnsi="Arial" w:cs="Arial"/>
          <w:sz w:val="18"/>
          <w:szCs w:val="18"/>
          <w:lang w:val="en-US"/>
        </w:rPr>
        <w:t>5.</w:t>
      </w:r>
    </w:p>
  </w:footnote>
  <w:footnote w:id="6">
    <w:p w14:paraId="41F14B05" w14:textId="77777777" w:rsidR="007B4011" w:rsidRPr="008D5BF7" w:rsidRDefault="007B4011" w:rsidP="007B4011">
      <w:pPr>
        <w:autoSpaceDE w:val="0"/>
        <w:autoSpaceDN w:val="0"/>
        <w:adjustRightInd w:val="0"/>
        <w:ind w:left="270" w:hanging="270"/>
        <w:jc w:val="both"/>
        <w:rPr>
          <w:rFonts w:ascii="Arial" w:hAnsi="Arial" w:cs="Arial"/>
          <w:sz w:val="18"/>
          <w:szCs w:val="18"/>
          <w:lang w:val="en-US"/>
        </w:rPr>
      </w:pPr>
      <w:r w:rsidRPr="00FC45E6">
        <w:rPr>
          <w:rStyle w:val="FootnoteReference"/>
          <w:rFonts w:ascii="Arial" w:hAnsi="Arial" w:cs="Arial"/>
          <w:sz w:val="18"/>
          <w:szCs w:val="18"/>
        </w:rPr>
        <w:footnoteRef/>
      </w:r>
      <w:r w:rsidRPr="008D5BF7">
        <w:rPr>
          <w:rFonts w:ascii="Arial" w:hAnsi="Arial" w:cs="Arial"/>
          <w:sz w:val="18"/>
          <w:szCs w:val="18"/>
          <w:lang w:val="en-US"/>
        </w:rPr>
        <w:t xml:space="preserve"> </w:t>
      </w:r>
      <w:r w:rsidRPr="008D5BF7">
        <w:rPr>
          <w:rFonts w:ascii="Arial" w:hAnsi="Arial" w:cs="Arial"/>
          <w:sz w:val="18"/>
          <w:szCs w:val="18"/>
          <w:lang w:val="en-US"/>
        </w:rPr>
        <w:tab/>
        <w:t xml:space="preserve">OECD Digital Economy Outlook 2017; </w:t>
      </w:r>
      <w:proofErr w:type="spellStart"/>
      <w:r w:rsidRPr="008D5BF7">
        <w:rPr>
          <w:rFonts w:ascii="Arial" w:hAnsi="Arial" w:cs="Arial"/>
          <w:sz w:val="18"/>
          <w:szCs w:val="18"/>
          <w:lang w:val="en-US"/>
        </w:rPr>
        <w:t>Aboal</w:t>
      </w:r>
      <w:proofErr w:type="spellEnd"/>
      <w:r w:rsidRPr="008D5BF7">
        <w:rPr>
          <w:rFonts w:ascii="Arial" w:hAnsi="Arial" w:cs="Arial"/>
          <w:sz w:val="18"/>
          <w:szCs w:val="18"/>
          <w:lang w:val="en-US"/>
        </w:rPr>
        <w:t xml:space="preserve"> D. y </w:t>
      </w:r>
      <w:proofErr w:type="spellStart"/>
      <w:r w:rsidRPr="008D5BF7">
        <w:rPr>
          <w:rFonts w:ascii="Arial" w:hAnsi="Arial" w:cs="Arial"/>
          <w:sz w:val="18"/>
          <w:szCs w:val="18"/>
          <w:lang w:val="en-US"/>
        </w:rPr>
        <w:t>Taczir</w:t>
      </w:r>
      <w:proofErr w:type="spellEnd"/>
      <w:r w:rsidRPr="008D5BF7">
        <w:rPr>
          <w:rFonts w:ascii="Arial" w:hAnsi="Arial" w:cs="Arial"/>
          <w:sz w:val="18"/>
          <w:szCs w:val="18"/>
          <w:lang w:val="en-US"/>
        </w:rPr>
        <w:t xml:space="preserve"> E., </w:t>
      </w:r>
      <w:r w:rsidRPr="008D5BF7">
        <w:rPr>
          <w:rFonts w:ascii="Arial" w:hAnsi="Arial" w:cs="Arial"/>
          <w:i/>
          <w:sz w:val="18"/>
          <w:szCs w:val="18"/>
          <w:lang w:val="en-US"/>
        </w:rPr>
        <w:t>Innovation and Productivity in Services and Manufacturing: The Role of</w:t>
      </w:r>
      <w:r w:rsidRPr="008D5BF7">
        <w:rPr>
          <w:rFonts w:ascii="Arial" w:hAnsi="Arial" w:cs="Arial"/>
          <w:sz w:val="18"/>
          <w:szCs w:val="18"/>
          <w:lang w:val="en-US"/>
        </w:rPr>
        <w:t xml:space="preserve"> ICT2017).</w:t>
      </w:r>
    </w:p>
  </w:footnote>
  <w:footnote w:id="7">
    <w:p w14:paraId="60D7CE8A" w14:textId="77777777" w:rsidR="007B4011" w:rsidRPr="00DE3E4E" w:rsidRDefault="007B4011" w:rsidP="006707AF">
      <w:pPr>
        <w:pStyle w:val="FootnoteText"/>
        <w:ind w:left="270" w:hanging="270"/>
        <w:jc w:val="both"/>
        <w:rPr>
          <w:rFonts w:ascii="Arial" w:hAnsi="Arial" w:cs="Arial"/>
          <w:sz w:val="18"/>
          <w:szCs w:val="18"/>
          <w:lang w:val="en-US"/>
        </w:rPr>
      </w:pPr>
      <w:r w:rsidRPr="00FC45E6">
        <w:rPr>
          <w:rStyle w:val="FootnoteReference"/>
          <w:rFonts w:ascii="Arial" w:hAnsi="Arial" w:cs="Arial"/>
          <w:sz w:val="18"/>
          <w:szCs w:val="18"/>
        </w:rPr>
        <w:footnoteRef/>
      </w:r>
      <w:r>
        <w:rPr>
          <w:rFonts w:ascii="Arial" w:hAnsi="Arial" w:cs="Arial"/>
          <w:sz w:val="18"/>
          <w:szCs w:val="18"/>
          <w:lang w:val="en-US"/>
        </w:rPr>
        <w:tab/>
      </w:r>
      <w:r w:rsidRPr="00FC45E6">
        <w:rPr>
          <w:rFonts w:ascii="Arial" w:hAnsi="Arial" w:cs="Arial"/>
          <w:sz w:val="18"/>
          <w:szCs w:val="18"/>
          <w:lang w:val="en-US"/>
        </w:rPr>
        <w:t xml:space="preserve">OECD </w:t>
      </w:r>
      <w:r w:rsidRPr="00FC45E6">
        <w:rPr>
          <w:rFonts w:ascii="Arial" w:hAnsi="Arial" w:cs="Arial"/>
          <w:iCs/>
          <w:sz w:val="18"/>
          <w:szCs w:val="18"/>
          <w:lang w:val="en-US"/>
        </w:rPr>
        <w:t xml:space="preserve">Ministerial Meeting on the Digital Economy; Cancún 2016; </w:t>
      </w:r>
      <w:r w:rsidRPr="00FC45E6">
        <w:rPr>
          <w:rFonts w:ascii="Arial" w:hAnsi="Arial" w:cs="Arial"/>
          <w:sz w:val="18"/>
          <w:szCs w:val="18"/>
          <w:lang w:val="en-US"/>
        </w:rPr>
        <w:t xml:space="preserve">OECD </w:t>
      </w:r>
      <w:r w:rsidRPr="00FC45E6">
        <w:rPr>
          <w:rFonts w:ascii="Arial" w:hAnsi="Arial" w:cs="Arial"/>
          <w:i/>
          <w:sz w:val="18"/>
          <w:szCs w:val="18"/>
          <w:lang w:val="en-US"/>
        </w:rPr>
        <w:t>Digital Economy Outlook</w:t>
      </w:r>
      <w:r w:rsidRPr="00FC45E6">
        <w:rPr>
          <w:rFonts w:ascii="Arial" w:hAnsi="Arial" w:cs="Arial"/>
          <w:sz w:val="18"/>
          <w:szCs w:val="18"/>
          <w:lang w:val="en-US"/>
        </w:rPr>
        <w:t xml:space="preserve"> 2017.</w:t>
      </w:r>
    </w:p>
  </w:footnote>
  <w:footnote w:id="8">
    <w:p w14:paraId="2B5F5904" w14:textId="3E035437" w:rsidR="000052B4" w:rsidRPr="00FF0BA3" w:rsidRDefault="000052B4" w:rsidP="006707AF">
      <w:pPr>
        <w:pStyle w:val="FootnoteText"/>
        <w:ind w:left="270" w:hanging="270"/>
        <w:jc w:val="both"/>
        <w:rPr>
          <w:rFonts w:ascii="Arial" w:eastAsia="Arial" w:hAnsi="Arial" w:cs="Arial"/>
          <w:sz w:val="18"/>
          <w:szCs w:val="18"/>
          <w:lang w:val="en-US"/>
        </w:rPr>
      </w:pPr>
      <w:r w:rsidRPr="00FF0BA3">
        <w:rPr>
          <w:rFonts w:ascii="Arial" w:eastAsia="Arial" w:hAnsi="Arial" w:cs="Arial"/>
          <w:sz w:val="18"/>
          <w:szCs w:val="18"/>
          <w:vertAlign w:val="superscript"/>
        </w:rPr>
        <w:footnoteRef/>
      </w:r>
      <w:r w:rsidRPr="007454D5">
        <w:rPr>
          <w:rFonts w:ascii="Arial" w:hAnsi="Arial" w:cs="Arial"/>
          <w:sz w:val="18"/>
          <w:szCs w:val="18"/>
          <w:lang w:val="en-US"/>
        </w:rPr>
        <w:tab/>
      </w:r>
      <w:r w:rsidRPr="00FF0BA3">
        <w:rPr>
          <w:rFonts w:ascii="Arial" w:eastAsia="Arial" w:hAnsi="Arial" w:cs="Arial"/>
          <w:sz w:val="18"/>
          <w:szCs w:val="18"/>
          <w:lang w:val="en-US"/>
        </w:rPr>
        <w:t xml:space="preserve">García-Zaballos, A. / López-Rivas, R.: </w:t>
      </w:r>
      <w:r w:rsidRPr="4FAC66A2">
        <w:rPr>
          <w:rFonts w:ascii="Arial" w:eastAsia="Arial" w:hAnsi="Arial" w:cs="Arial"/>
          <w:i/>
          <w:iCs/>
          <w:sz w:val="18"/>
          <w:szCs w:val="18"/>
          <w:lang w:val="en-US"/>
        </w:rPr>
        <w:t>Governmental control</w:t>
      </w:r>
      <w:r w:rsidRPr="00FF0BA3">
        <w:rPr>
          <w:rFonts w:ascii="Arial" w:eastAsia="Arial" w:hAnsi="Arial" w:cs="Arial"/>
          <w:sz w:val="18"/>
          <w:szCs w:val="18"/>
          <w:lang w:val="en-US"/>
        </w:rPr>
        <w:t xml:space="preserve"> </w:t>
      </w:r>
      <w:r w:rsidRPr="4FAC66A2">
        <w:rPr>
          <w:rFonts w:ascii="Arial" w:eastAsia="Arial" w:hAnsi="Arial" w:cs="Arial"/>
          <w:i/>
          <w:iCs/>
          <w:sz w:val="18"/>
          <w:szCs w:val="18"/>
          <w:lang w:val="en-US"/>
        </w:rPr>
        <w:t>on socio-economic impact of broadband in LAC countries</w:t>
      </w:r>
      <w:r w:rsidRPr="00FF0BA3">
        <w:rPr>
          <w:rFonts w:ascii="Arial" w:eastAsia="Arial" w:hAnsi="Arial" w:cs="Arial"/>
          <w:sz w:val="18"/>
          <w:szCs w:val="18"/>
          <w:lang w:val="en-US"/>
        </w:rPr>
        <w:t>. IDB, 2012.</w:t>
      </w:r>
    </w:p>
  </w:footnote>
  <w:footnote w:id="9">
    <w:p w14:paraId="38C43AAD" w14:textId="77777777" w:rsidR="00C54C17" w:rsidRPr="00FF0BA3" w:rsidRDefault="00C54C17" w:rsidP="006707AF">
      <w:pPr>
        <w:pStyle w:val="FootnoteText"/>
        <w:ind w:left="270" w:hanging="270"/>
        <w:rPr>
          <w:rFonts w:ascii="Arial" w:eastAsia="Arial" w:hAnsi="Arial" w:cs="Arial"/>
          <w:sz w:val="18"/>
          <w:szCs w:val="18"/>
          <w:lang w:val="en-US"/>
        </w:rPr>
      </w:pPr>
      <w:r w:rsidRPr="00FF0BA3">
        <w:rPr>
          <w:rStyle w:val="FootnoteReference"/>
          <w:rFonts w:ascii="Arial" w:eastAsia="Arial" w:hAnsi="Arial" w:cs="Arial"/>
          <w:sz w:val="18"/>
          <w:szCs w:val="18"/>
        </w:rPr>
        <w:footnoteRef/>
      </w:r>
      <w:r>
        <w:rPr>
          <w:rFonts w:ascii="Arial" w:hAnsi="Arial" w:cs="Arial"/>
          <w:sz w:val="18"/>
          <w:szCs w:val="18"/>
          <w:lang w:val="en-US"/>
        </w:rPr>
        <w:tab/>
      </w:r>
      <w:r w:rsidRPr="00FF0BA3">
        <w:rPr>
          <w:rFonts w:ascii="Arial" w:eastAsia="Arial" w:hAnsi="Arial" w:cs="Arial"/>
          <w:sz w:val="18"/>
          <w:szCs w:val="18"/>
          <w:lang w:val="en-US"/>
        </w:rPr>
        <w:t xml:space="preserve">The economic impact of disruptions to Internet connectivity, </w:t>
      </w:r>
      <w:hyperlink r:id="rId4" w:history="1">
        <w:r w:rsidRPr="00F20EF4">
          <w:rPr>
            <w:rStyle w:val="Hyperlink"/>
            <w:rFonts w:ascii="Arial" w:eastAsia="Arial" w:hAnsi="Arial" w:cs="Arial"/>
            <w:sz w:val="18"/>
            <w:szCs w:val="18"/>
            <w:lang w:val="en-US"/>
          </w:rPr>
          <w:t>Deloitte 2016</w:t>
        </w:r>
      </w:hyperlink>
      <w:r w:rsidRPr="00FF0BA3">
        <w:rPr>
          <w:rFonts w:ascii="Arial" w:eastAsia="Arial" w:hAnsi="Arial" w:cs="Arial"/>
          <w:sz w:val="18"/>
          <w:szCs w:val="18"/>
          <w:lang w:val="en-US"/>
        </w:rPr>
        <w:t>.</w:t>
      </w:r>
    </w:p>
  </w:footnote>
  <w:footnote w:id="10">
    <w:p w14:paraId="13886AF4" w14:textId="77777777" w:rsidR="00A50718" w:rsidRPr="00FF0BA3" w:rsidRDefault="00A50718" w:rsidP="00D95F26">
      <w:pPr>
        <w:pStyle w:val="FootnoteText"/>
        <w:ind w:left="270" w:hanging="270"/>
        <w:jc w:val="both"/>
        <w:rPr>
          <w:rFonts w:ascii="Arial" w:eastAsia="Arial" w:hAnsi="Arial" w:cs="Arial"/>
          <w:sz w:val="18"/>
          <w:szCs w:val="18"/>
        </w:rPr>
      </w:pPr>
      <w:r w:rsidRPr="00FF0BA3">
        <w:rPr>
          <w:rStyle w:val="FootnoteReference"/>
          <w:rFonts w:ascii="Arial" w:eastAsia="Arial" w:hAnsi="Arial" w:cs="Arial"/>
          <w:sz w:val="18"/>
          <w:szCs w:val="18"/>
        </w:rPr>
        <w:footnoteRef/>
      </w:r>
      <w:r>
        <w:rPr>
          <w:rFonts w:ascii="Arial" w:hAnsi="Arial" w:cs="Arial"/>
          <w:sz w:val="18"/>
          <w:szCs w:val="18"/>
        </w:rPr>
        <w:tab/>
      </w:r>
      <w:r w:rsidRPr="00FF0BA3">
        <w:rPr>
          <w:rFonts w:ascii="Arial" w:eastAsia="Arial" w:hAnsi="Arial" w:cs="Arial"/>
          <w:sz w:val="18"/>
          <w:szCs w:val="18"/>
        </w:rPr>
        <w:t>Al mismo tiempo, los precios minoristas de los servicios (medidos como US$/MB</w:t>
      </w:r>
      <w:r>
        <w:rPr>
          <w:rFonts w:ascii="Arial" w:eastAsia="Arial" w:hAnsi="Arial" w:cs="Arial"/>
          <w:sz w:val="18"/>
          <w:szCs w:val="18"/>
        </w:rPr>
        <w:t>PS</w:t>
      </w:r>
      <w:r w:rsidRPr="00FF0BA3">
        <w:rPr>
          <w:rFonts w:ascii="Arial" w:eastAsia="Arial" w:hAnsi="Arial" w:cs="Arial"/>
          <w:sz w:val="18"/>
          <w:szCs w:val="18"/>
        </w:rPr>
        <w:t xml:space="preserve"> por mes) se redujeron desde US$18 (2012) hasta US$11,99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60F680C0" w14:textId="3E381E22" w:rsidR="00C40BA9" w:rsidRDefault="00C40BA9">
        <w:pPr>
          <w:pStyle w:val="Header"/>
          <w:jc w:val="right"/>
        </w:pPr>
        <w:r>
          <w:t xml:space="preserve">Página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107217DA" w14:textId="77777777" w:rsidR="007B4011" w:rsidRDefault="007B4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5384D"/>
    <w:multiLevelType w:val="hybridMultilevel"/>
    <w:tmpl w:val="1E3E87A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3B8650BB"/>
    <w:multiLevelType w:val="multilevel"/>
    <w:tmpl w:val="47C23C7E"/>
    <w:lvl w:ilvl="0">
      <w:start w:val="1"/>
      <w:numFmt w:val="upperRoman"/>
      <w:lvlText w:val="%1."/>
      <w:lvlJc w:val="right"/>
      <w:pPr>
        <w:ind w:left="720" w:hanging="360"/>
      </w:pPr>
    </w:lvl>
    <w:lvl w:ilvl="1">
      <w:start w:val="1"/>
      <w:numFmt w:val="decimal"/>
      <w:isLgl/>
      <w:lvlText w:val="%1.%2"/>
      <w:lvlJc w:val="left"/>
      <w:pPr>
        <w:ind w:left="1068" w:hanging="708"/>
      </w:pPr>
      <w:rPr>
        <w:rFonts w:hint="default"/>
        <w:i w:val="0"/>
        <w:vertAlign w:val="baseline"/>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FDD39F2"/>
    <w:multiLevelType w:val="hybridMultilevel"/>
    <w:tmpl w:val="6E0E9AC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ED1"/>
    <w:rsid w:val="000052B4"/>
    <w:rsid w:val="00096B88"/>
    <w:rsid w:val="000A6811"/>
    <w:rsid w:val="000B5DFF"/>
    <w:rsid w:val="000D1CA9"/>
    <w:rsid w:val="000E3A7A"/>
    <w:rsid w:val="000F793D"/>
    <w:rsid w:val="00136618"/>
    <w:rsid w:val="002016AD"/>
    <w:rsid w:val="002B50E3"/>
    <w:rsid w:val="002C7A41"/>
    <w:rsid w:val="002D12A8"/>
    <w:rsid w:val="002D7227"/>
    <w:rsid w:val="00311D77"/>
    <w:rsid w:val="00384913"/>
    <w:rsid w:val="003C22F4"/>
    <w:rsid w:val="003C2F1E"/>
    <w:rsid w:val="003E56F0"/>
    <w:rsid w:val="00403B9C"/>
    <w:rsid w:val="00416804"/>
    <w:rsid w:val="005D3176"/>
    <w:rsid w:val="006707AF"/>
    <w:rsid w:val="00685E62"/>
    <w:rsid w:val="00697A8F"/>
    <w:rsid w:val="00715716"/>
    <w:rsid w:val="007604C1"/>
    <w:rsid w:val="00762EBA"/>
    <w:rsid w:val="00796728"/>
    <w:rsid w:val="007B080D"/>
    <w:rsid w:val="007B4011"/>
    <w:rsid w:val="007F135F"/>
    <w:rsid w:val="00831B67"/>
    <w:rsid w:val="00844999"/>
    <w:rsid w:val="0086588C"/>
    <w:rsid w:val="00884B19"/>
    <w:rsid w:val="008A53C2"/>
    <w:rsid w:val="008C0ED1"/>
    <w:rsid w:val="008C7DAD"/>
    <w:rsid w:val="008D4805"/>
    <w:rsid w:val="009F38A7"/>
    <w:rsid w:val="00A04A41"/>
    <w:rsid w:val="00A40180"/>
    <w:rsid w:val="00A50718"/>
    <w:rsid w:val="00AF6058"/>
    <w:rsid w:val="00B07A6D"/>
    <w:rsid w:val="00B47B6E"/>
    <w:rsid w:val="00B9569A"/>
    <w:rsid w:val="00BB0B69"/>
    <w:rsid w:val="00BF24AD"/>
    <w:rsid w:val="00C40BA9"/>
    <w:rsid w:val="00C525DA"/>
    <w:rsid w:val="00C54C17"/>
    <w:rsid w:val="00C54D87"/>
    <w:rsid w:val="00C97E25"/>
    <w:rsid w:val="00CB10B0"/>
    <w:rsid w:val="00CE143B"/>
    <w:rsid w:val="00D95F26"/>
    <w:rsid w:val="00E62164"/>
    <w:rsid w:val="00E707A1"/>
    <w:rsid w:val="00FD3190"/>
    <w:rsid w:val="5CE70B33"/>
    <w:rsid w:val="642B826B"/>
    <w:rsid w:val="693F5C8F"/>
  </w:rsids>
  <m:mathPr>
    <m:mathFont m:val="Cambria Math"/>
    <m:brkBin m:val="before"/>
    <m:brkBinSub m:val="--"/>
    <m:smallFrac m:val="0"/>
    <m:dispDef/>
    <m:lMargin m:val="0"/>
    <m:rMargin m:val="0"/>
    <m:defJc m:val="centerGroup"/>
    <m:wrapIndent m:val="1440"/>
    <m:intLim m:val="subSup"/>
    <m:naryLim m:val="undOvr"/>
  </m:mathPr>
  <w:themeFontLang w:val="es-ES" w:eastAsia="es-ES_trad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7A066"/>
  <w15:chartTrackingRefBased/>
  <w15:docId w15:val="{A80B0569-F26D-4537-9685-A687DD60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ED1"/>
    <w:pPr>
      <w:ind w:left="720"/>
      <w:contextualSpacing/>
    </w:pPr>
  </w:style>
  <w:style w:type="paragraph" w:styleId="FootnoteText">
    <w:name w:val="footnote text"/>
    <w:basedOn w:val="Normal"/>
    <w:link w:val="FootnoteTextChar"/>
    <w:uiPriority w:val="99"/>
    <w:semiHidden/>
    <w:unhideWhenUsed/>
    <w:rsid w:val="002B50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0E3"/>
    <w:rPr>
      <w:sz w:val="20"/>
      <w:szCs w:val="20"/>
    </w:rPr>
  </w:style>
  <w:style w:type="character" w:styleId="Hyperlink">
    <w:name w:val="Hyperlink"/>
    <w:basedOn w:val="DefaultParagraphFont"/>
    <w:rsid w:val="002B50E3"/>
    <w:rPr>
      <w:color w:val="0000FF"/>
      <w:u w:val="single"/>
    </w:rPr>
  </w:style>
  <w:style w:type="character" w:styleId="FootnoteReference">
    <w:name w:val="footnote reference"/>
    <w:aliases w:val="titulo 2,16 Point,Superscript 6 Point,ftref,Fußnotenzeichen DISS,BVI fnr,Знак сноски 1,referencia nota al pie,FC,Footnote Referencefra,Ref. de nota al pie.,Style 24,Footnote Reference Number,Footnote,Ref,de nota al pie,fr,pie pddes"/>
    <w:basedOn w:val="DefaultParagraphFont"/>
    <w:uiPriority w:val="99"/>
    <w:qFormat/>
    <w:rsid w:val="002B50E3"/>
    <w:rPr>
      <w:vertAlign w:val="superscript"/>
    </w:rPr>
  </w:style>
  <w:style w:type="character" w:styleId="CommentReference">
    <w:name w:val="annotation reference"/>
    <w:basedOn w:val="DefaultParagraphFont"/>
    <w:uiPriority w:val="99"/>
    <w:semiHidden/>
    <w:unhideWhenUsed/>
    <w:rsid w:val="007B4011"/>
    <w:rPr>
      <w:sz w:val="16"/>
      <w:szCs w:val="16"/>
    </w:rPr>
  </w:style>
  <w:style w:type="paragraph" w:styleId="CommentText">
    <w:name w:val="annotation text"/>
    <w:basedOn w:val="Normal"/>
    <w:link w:val="CommentTextChar"/>
    <w:uiPriority w:val="99"/>
    <w:unhideWhenUsed/>
    <w:rsid w:val="007B4011"/>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B401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B40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4011"/>
    <w:rPr>
      <w:rFonts w:ascii="Segoe UI" w:hAnsi="Segoe UI" w:cs="Segoe UI"/>
      <w:sz w:val="18"/>
      <w:szCs w:val="18"/>
    </w:rPr>
  </w:style>
  <w:style w:type="paragraph" w:styleId="Header">
    <w:name w:val="header"/>
    <w:basedOn w:val="Normal"/>
    <w:link w:val="HeaderChar"/>
    <w:uiPriority w:val="99"/>
    <w:unhideWhenUsed/>
    <w:rsid w:val="007B4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4011"/>
  </w:style>
  <w:style w:type="paragraph" w:styleId="Footer">
    <w:name w:val="footer"/>
    <w:basedOn w:val="Normal"/>
    <w:link w:val="FooterChar"/>
    <w:uiPriority w:val="99"/>
    <w:unhideWhenUsed/>
    <w:rsid w:val="007B4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4011"/>
  </w:style>
  <w:style w:type="character" w:styleId="UnresolvedMention">
    <w:name w:val="Unresolved Mention"/>
    <w:basedOn w:val="DefaultParagraphFont"/>
    <w:uiPriority w:val="99"/>
    <w:semiHidden/>
    <w:unhideWhenUsed/>
    <w:rsid w:val="002D7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anii.org.uy/upcms/files/listado-documentos/documentos/informe-de-evaluaci-n-capital-semilla.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publications.iadb.org/handle/11319/8474" TargetMode="External"/><Relationship Id="rId2" Type="http://schemas.openxmlformats.org/officeDocument/2006/relationships/hyperlink" Target="https://publications.iadb.org/handle/11319/6912" TargetMode="External"/><Relationship Id="rId1" Type="http://schemas.openxmlformats.org/officeDocument/2006/relationships/hyperlink" Target="http://ec.europa.eu/smart-regulation/refit/admin_burden/index_en.htm" TargetMode="External"/><Relationship Id="rId4" Type="http://schemas.openxmlformats.org/officeDocument/2006/relationships/hyperlink" Target="https://www2.deloitte.com/content/dam/Deloitte/global/Documents/Technology-Media-Telecommunications/economic-impact-disruptions-to-internet-connectivity-deloit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R0002843451</Record_x0020_Number>
    <Key_x0020_Document xmlns="cdc7663a-08f0-4737-9e8c-148ce897a09c">false</Key_x0020_Document>
    <Division_x0020_or_x0020_Unit xmlns="cdc7663a-08f0-4737-9e8c-148ce897a09c">IFD/ICS</Division_x0020_or_x0020_Unit>
    <IDBDocs_x0020_Number xmlns="cdc7663a-08f0-4737-9e8c-148ce897a09c" xsi:nil="true"/>
    <Document_x0020_Author xmlns="cdc7663a-08f0-4737-9e8c-148ce897a09c">Rojas Gonzalez, Sonia Amalia</Document_x0020_Author>
    <_dlc_DocId xmlns="cdc7663a-08f0-4737-9e8c-148ce897a09c">EZSHARE-2066643345-56</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24</Value>
      <Value>29</Value>
      <Value>36</Value>
      <Value>1</Value>
      <Value>129</Value>
    </TaxCatchAll>
    <Fiscal_x0020_Year_x0020_IDB xmlns="cdc7663a-08f0-4737-9e8c-148ce897a09c" xsi:nil="true"/>
    <b26cdb1da78c4bb4b1c1bac2f6ac5911 xmlns="cdc7663a-08f0-4737-9e8c-148ce897a09c">
      <Terms xmlns="http://schemas.microsoft.com/office/infopath/2007/PartnerControls"/>
    </b26cdb1da78c4bb4b1c1bac2f6ac5911>
    <Project_x0020_Number xmlns="cdc7663a-08f0-4737-9e8c-148ce897a09c">PR-L1153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Document_x0020_Language_x0020_IDB xmlns="cdc7663a-08f0-4737-9e8c-148ce897a09c">Spanish</Document_x0020_Language_x0020_IDB>
    <_dlc_DocIdUrl xmlns="cdc7663a-08f0-4737-9e8c-148ce897a09c">
      <Url>https://idbg.sharepoint.com/teams/EZ-PR-LON/PR-L1153/_layouts/15/DocIdRedir.aspx?ID=EZSHARE-2066643345-56</Url>
      <Description>EZSHARE-2066643345-56</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AC4315CCA4B0D48BDD3221DFB19FAFD" ma:contentTypeVersion="199" ma:contentTypeDescription="A content type to manage public (operations) IDB documents" ma:contentTypeScope="" ma:versionID="82be3e8ab60d51001dcefb603cd68053">
  <xsd:schema xmlns:xsd="http://www.w3.org/2001/XMLSchema" xmlns:xs="http://www.w3.org/2001/XMLSchema" xmlns:p="http://schemas.microsoft.com/office/2006/metadata/properties" xmlns:ns2="cdc7663a-08f0-4737-9e8c-148ce897a09c" targetNamespace="http://schemas.microsoft.com/office/2006/metadata/properties" ma:root="true" ma:fieldsID="075a4176d68c64f4a4d2046ac6e6edb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EF8018E5-A65B-42D9-A93B-AE9391787133}">
  <ds:schemaRefs>
    <ds:schemaRef ds:uri="cdc7663a-08f0-4737-9e8c-148ce897a09c"/>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7332336-7628-4FC4-963A-663FC287A1FC}">
  <ds:schemaRefs>
    <ds:schemaRef ds:uri="http://schemas.microsoft.com/sharepoint/v3/contenttype/forms"/>
  </ds:schemaRefs>
</ds:datastoreItem>
</file>

<file path=customXml/itemProps3.xml><?xml version="1.0" encoding="utf-8"?>
<ds:datastoreItem xmlns:ds="http://schemas.openxmlformats.org/officeDocument/2006/customXml" ds:itemID="{EDF37A0B-1BDA-462B-9CB4-808200A80FC6}"/>
</file>

<file path=customXml/itemProps4.xml><?xml version="1.0" encoding="utf-8"?>
<ds:datastoreItem xmlns:ds="http://schemas.openxmlformats.org/officeDocument/2006/customXml" ds:itemID="{E234F478-3F4F-44BD-8AB4-C08D94276A48}">
  <ds:schemaRefs>
    <ds:schemaRef ds:uri="http://schemas.microsoft.com/sharepoint/events"/>
  </ds:schemaRefs>
</ds:datastoreItem>
</file>

<file path=customXml/itemProps5.xml><?xml version="1.0" encoding="utf-8"?>
<ds:datastoreItem xmlns:ds="http://schemas.openxmlformats.org/officeDocument/2006/customXml" ds:itemID="{0E274A30-241B-47FF-ABCC-6AC8FE1A22A3}">
  <ds:schemaRefs>
    <ds:schemaRef ds:uri="Microsoft.SharePoint.Taxonomy.ContentTypeSync"/>
  </ds:schemaRefs>
</ds:datastoreItem>
</file>

<file path=customXml/itemProps6.xml><?xml version="1.0" encoding="utf-8"?>
<ds:datastoreItem xmlns:ds="http://schemas.openxmlformats.org/officeDocument/2006/customXml" ds:itemID="{22440996-664E-4C9D-A586-61668E937954}"/>
</file>

<file path=docProps/app.xml><?xml version="1.0" encoding="utf-8"?>
<Properties xmlns="http://schemas.openxmlformats.org/officeDocument/2006/extended-properties" xmlns:vt="http://schemas.openxmlformats.org/officeDocument/2006/docPropsVTypes">
  <Template>Normal.dotm</Template>
  <TotalTime>1</TotalTime>
  <Pages>3</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Javier</dc:creator>
  <cp:keywords/>
  <dc:description/>
  <cp:lastModifiedBy>Rojas Gonzalez, Sonia Amalia</cp:lastModifiedBy>
  <cp:revision>2</cp:revision>
  <dcterms:created xsi:type="dcterms:W3CDTF">2018-10-04T20:18:00Z</dcterms:created>
  <dcterms:modified xsi:type="dcterms:W3CDTF">2018-10-04T20:18:00Z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129;#E-GOVERNMENT|281505e9-fdf9-47b0-b36a-d5df63f0fdea</vt:lpwstr>
  </property>
  <property fmtid="{D5CDD505-2E9C-101B-9397-08002B2CF9AE}" pid="7" name="Country">
    <vt:lpwstr>24;#Paraguay|50282442-27e7-4526-9d04-55bf5da33a10</vt:lpwstr>
  </property>
  <property fmtid="{D5CDD505-2E9C-101B-9397-08002B2CF9AE}" pid="8" name="Fund IDB">
    <vt:lpwstr>29;#ORC|c028a4b2-ad8b-4cf4-9cac-a2ae6a778e23</vt:lpwstr>
  </property>
  <property fmtid="{D5CDD505-2E9C-101B-9397-08002B2CF9AE}" pid="9" name="_dlc_DocIdItemGuid">
    <vt:lpwstr>6ae9662f-a9ff-4378-b597-f4774fdeeb72</vt:lpwstr>
  </property>
  <property fmtid="{D5CDD505-2E9C-101B-9397-08002B2CF9AE}" pid="10" name="Sector IDB">
    <vt:lpwstr>36;#REFORM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0x0101001A458A224826124E8B45B1D613300CFC003AC4315CCA4B0D48BDD3221DFB19FAFD</vt:lpwstr>
  </property>
</Properties>
</file>