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81F" w:rsidRPr="006E7FDB" w:rsidRDefault="00277488" w:rsidP="00277488">
      <w:pPr>
        <w:jc w:val="center"/>
        <w:rPr>
          <w:rFonts w:ascii="Times New Roman" w:hAnsi="Times New Roman" w:cs="Times New Roman"/>
          <w:b/>
          <w:sz w:val="24"/>
          <w:szCs w:val="24"/>
        </w:rPr>
      </w:pPr>
      <w:r w:rsidRPr="006E7FDB">
        <w:rPr>
          <w:rFonts w:ascii="Times New Roman" w:hAnsi="Times New Roman" w:cs="Times New Roman"/>
          <w:b/>
          <w:sz w:val="24"/>
          <w:szCs w:val="24"/>
        </w:rPr>
        <w:t>CRÉDITO DE INVERSIÓN PARA MIPYMES</w:t>
      </w:r>
    </w:p>
    <w:p w:rsidR="00277488" w:rsidRPr="006E7FDB" w:rsidRDefault="00277488" w:rsidP="00277488">
      <w:pPr>
        <w:jc w:val="center"/>
        <w:rPr>
          <w:rFonts w:ascii="Times New Roman" w:hAnsi="Times New Roman" w:cs="Times New Roman"/>
          <w:b/>
          <w:sz w:val="24"/>
          <w:szCs w:val="24"/>
        </w:rPr>
      </w:pPr>
      <w:r w:rsidRPr="006E7FDB">
        <w:rPr>
          <w:rFonts w:ascii="Times New Roman" w:hAnsi="Times New Roman" w:cs="Times New Roman"/>
          <w:b/>
          <w:sz w:val="24"/>
          <w:szCs w:val="24"/>
        </w:rPr>
        <w:t>Desempeño, coyuntura y perspectivas</w:t>
      </w:r>
    </w:p>
    <w:p w:rsidR="00B92AFC" w:rsidRDefault="00B92AFC" w:rsidP="004A419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Introducción</w:t>
      </w:r>
    </w:p>
    <w:p w:rsidR="00F40410" w:rsidRDefault="008B05C9"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Las micro</w:t>
      </w:r>
      <w:r w:rsidR="00616CC9">
        <w:rPr>
          <w:rFonts w:ascii="Times New Roman" w:hAnsi="Times New Roman" w:cs="Times New Roman"/>
          <w:sz w:val="24"/>
          <w:szCs w:val="24"/>
        </w:rPr>
        <w:t xml:space="preserve">, pequeñas y medianas empresas </w:t>
      </w:r>
      <w:r w:rsidR="006A3B95">
        <w:rPr>
          <w:rFonts w:ascii="Times New Roman" w:hAnsi="Times New Roman" w:cs="Times New Roman"/>
          <w:sz w:val="24"/>
          <w:szCs w:val="24"/>
        </w:rPr>
        <w:t>(</w:t>
      </w:r>
      <w:proofErr w:type="spellStart"/>
      <w:r w:rsidR="006A3B95">
        <w:rPr>
          <w:rFonts w:ascii="Times New Roman" w:hAnsi="Times New Roman" w:cs="Times New Roman"/>
          <w:sz w:val="24"/>
          <w:szCs w:val="24"/>
        </w:rPr>
        <w:t>Mipymes</w:t>
      </w:r>
      <w:proofErr w:type="spellEnd"/>
      <w:r w:rsidR="006A3B95">
        <w:rPr>
          <w:rFonts w:ascii="Times New Roman" w:hAnsi="Times New Roman" w:cs="Times New Roman"/>
          <w:sz w:val="24"/>
          <w:szCs w:val="24"/>
        </w:rPr>
        <w:t xml:space="preserve">, en adelante) </w:t>
      </w:r>
      <w:r>
        <w:rPr>
          <w:rFonts w:ascii="Times New Roman" w:hAnsi="Times New Roman" w:cs="Times New Roman"/>
          <w:sz w:val="24"/>
          <w:szCs w:val="24"/>
        </w:rPr>
        <w:t xml:space="preserve">constituyen  un segmento empresarial de gran importancia para las economías contemporáneas. En Colombia,  </w:t>
      </w:r>
      <w:r w:rsidR="00B442FB">
        <w:rPr>
          <w:rFonts w:ascii="Times New Roman" w:hAnsi="Times New Roman" w:cs="Times New Roman"/>
          <w:sz w:val="24"/>
          <w:szCs w:val="24"/>
        </w:rPr>
        <w:t>de acuerdo con el</w:t>
      </w:r>
      <w:r w:rsidR="00002480">
        <w:rPr>
          <w:rFonts w:ascii="Times New Roman" w:hAnsi="Times New Roman" w:cs="Times New Roman"/>
          <w:sz w:val="24"/>
          <w:szCs w:val="24"/>
        </w:rPr>
        <w:t xml:space="preserve"> </w:t>
      </w:r>
      <w:r w:rsidR="00A5147A">
        <w:rPr>
          <w:rFonts w:ascii="Times New Roman" w:hAnsi="Times New Roman" w:cs="Times New Roman"/>
          <w:sz w:val="24"/>
          <w:szCs w:val="24"/>
        </w:rPr>
        <w:t>T</w:t>
      </w:r>
      <w:r w:rsidR="00002480">
        <w:rPr>
          <w:rFonts w:ascii="Times New Roman" w:hAnsi="Times New Roman" w:cs="Times New Roman"/>
          <w:sz w:val="24"/>
          <w:szCs w:val="24"/>
        </w:rPr>
        <w:t xml:space="preserve">ercer Reporte de </w:t>
      </w:r>
      <w:proofErr w:type="spellStart"/>
      <w:r w:rsidR="00002480">
        <w:rPr>
          <w:rFonts w:ascii="Times New Roman" w:hAnsi="Times New Roman" w:cs="Times New Roman"/>
          <w:sz w:val="24"/>
          <w:szCs w:val="24"/>
        </w:rPr>
        <w:t>Mipymes</w:t>
      </w:r>
      <w:proofErr w:type="spellEnd"/>
      <w:r w:rsidR="00002480">
        <w:rPr>
          <w:rFonts w:ascii="Times New Roman" w:hAnsi="Times New Roman" w:cs="Times New Roman"/>
          <w:sz w:val="24"/>
          <w:szCs w:val="24"/>
        </w:rPr>
        <w:t xml:space="preserve"> realizado por el Ministerio de C</w:t>
      </w:r>
      <w:r w:rsidR="00B442FB">
        <w:rPr>
          <w:rFonts w:ascii="Times New Roman" w:hAnsi="Times New Roman" w:cs="Times New Roman"/>
          <w:sz w:val="24"/>
          <w:szCs w:val="24"/>
        </w:rPr>
        <w:t xml:space="preserve">omercio, </w:t>
      </w:r>
      <w:r>
        <w:rPr>
          <w:rFonts w:ascii="Times New Roman" w:hAnsi="Times New Roman" w:cs="Times New Roman"/>
          <w:sz w:val="24"/>
          <w:szCs w:val="24"/>
        </w:rPr>
        <w:t xml:space="preserve">las </w:t>
      </w:r>
      <w:proofErr w:type="spellStart"/>
      <w:r>
        <w:rPr>
          <w:rFonts w:ascii="Times New Roman" w:hAnsi="Times New Roman" w:cs="Times New Roman"/>
          <w:sz w:val="24"/>
          <w:szCs w:val="24"/>
        </w:rPr>
        <w:t>Mipymes</w:t>
      </w:r>
      <w:proofErr w:type="spellEnd"/>
      <w:r>
        <w:rPr>
          <w:rFonts w:ascii="Times New Roman" w:hAnsi="Times New Roman" w:cs="Times New Roman"/>
          <w:sz w:val="24"/>
          <w:szCs w:val="24"/>
        </w:rPr>
        <w:t xml:space="preserve"> tienen una gran importancia en la economía, p</w:t>
      </w:r>
      <w:r w:rsidR="00616CC9">
        <w:rPr>
          <w:rFonts w:ascii="Times New Roman" w:hAnsi="Times New Roman" w:cs="Times New Roman"/>
          <w:sz w:val="24"/>
          <w:szCs w:val="24"/>
        </w:rPr>
        <w:t xml:space="preserve">ues </w:t>
      </w:r>
      <w:r>
        <w:rPr>
          <w:rFonts w:ascii="Times New Roman" w:hAnsi="Times New Roman" w:cs="Times New Roman"/>
          <w:sz w:val="24"/>
          <w:szCs w:val="24"/>
        </w:rPr>
        <w:t xml:space="preserve">representan </w:t>
      </w:r>
      <w:r w:rsidRPr="008B05C9">
        <w:rPr>
          <w:rFonts w:ascii="Times New Roman" w:hAnsi="Times New Roman" w:cs="Times New Roman"/>
          <w:sz w:val="24"/>
          <w:szCs w:val="24"/>
        </w:rPr>
        <w:t>99</w:t>
      </w:r>
      <w:r w:rsidR="00002480">
        <w:rPr>
          <w:rFonts w:ascii="Times New Roman" w:hAnsi="Times New Roman" w:cs="Times New Roman"/>
          <w:sz w:val="24"/>
          <w:szCs w:val="24"/>
        </w:rPr>
        <w:t>,5</w:t>
      </w:r>
      <w:r w:rsidRPr="008B05C9">
        <w:rPr>
          <w:rFonts w:ascii="Times New Roman" w:hAnsi="Times New Roman" w:cs="Times New Roman"/>
          <w:sz w:val="24"/>
          <w:szCs w:val="24"/>
        </w:rPr>
        <w:t>% de las empresas del país</w:t>
      </w:r>
      <w:r w:rsidR="00A5147A">
        <w:rPr>
          <w:rFonts w:ascii="Times New Roman" w:hAnsi="Times New Roman" w:cs="Times New Roman"/>
          <w:sz w:val="24"/>
          <w:szCs w:val="24"/>
        </w:rPr>
        <w:t xml:space="preserve"> y generan el 80,8% del empleo</w:t>
      </w:r>
      <w:r>
        <w:rPr>
          <w:rFonts w:ascii="Times New Roman" w:hAnsi="Times New Roman" w:cs="Times New Roman"/>
          <w:sz w:val="24"/>
          <w:szCs w:val="24"/>
        </w:rPr>
        <w:t xml:space="preserve">. </w:t>
      </w:r>
      <w:r w:rsidR="00A5147A">
        <w:rPr>
          <w:rFonts w:ascii="Times New Roman" w:hAnsi="Times New Roman" w:cs="Times New Roman"/>
          <w:sz w:val="24"/>
          <w:szCs w:val="24"/>
        </w:rPr>
        <w:t>Por lo anterior,</w:t>
      </w:r>
      <w:r>
        <w:rPr>
          <w:rFonts w:ascii="Times New Roman" w:hAnsi="Times New Roman" w:cs="Times New Roman"/>
          <w:sz w:val="24"/>
          <w:szCs w:val="24"/>
        </w:rPr>
        <w:t xml:space="preserve"> </w:t>
      </w:r>
      <w:r w:rsidR="00A5147A">
        <w:rPr>
          <w:rFonts w:ascii="Times New Roman" w:hAnsi="Times New Roman" w:cs="Times New Roman"/>
          <w:sz w:val="24"/>
          <w:szCs w:val="24"/>
        </w:rPr>
        <w:t xml:space="preserve">el </w:t>
      </w:r>
      <w:r>
        <w:rPr>
          <w:rFonts w:ascii="Times New Roman" w:hAnsi="Times New Roman" w:cs="Times New Roman"/>
          <w:sz w:val="24"/>
          <w:szCs w:val="24"/>
        </w:rPr>
        <w:t>desempeño y estabilidad macroeconómic</w:t>
      </w:r>
      <w:r w:rsidR="00265201">
        <w:rPr>
          <w:rFonts w:ascii="Times New Roman" w:hAnsi="Times New Roman" w:cs="Times New Roman"/>
          <w:sz w:val="24"/>
          <w:szCs w:val="24"/>
        </w:rPr>
        <w:t>os</w:t>
      </w:r>
      <w:r>
        <w:rPr>
          <w:rFonts w:ascii="Times New Roman" w:hAnsi="Times New Roman" w:cs="Times New Roman"/>
          <w:sz w:val="24"/>
          <w:szCs w:val="24"/>
        </w:rPr>
        <w:t xml:space="preserve"> de Colombia está</w:t>
      </w:r>
      <w:r w:rsidR="00265201">
        <w:rPr>
          <w:rFonts w:ascii="Times New Roman" w:hAnsi="Times New Roman" w:cs="Times New Roman"/>
          <w:sz w:val="24"/>
          <w:szCs w:val="24"/>
        </w:rPr>
        <w:t>n</w:t>
      </w:r>
      <w:r>
        <w:rPr>
          <w:rFonts w:ascii="Times New Roman" w:hAnsi="Times New Roman" w:cs="Times New Roman"/>
          <w:sz w:val="24"/>
          <w:szCs w:val="24"/>
        </w:rPr>
        <w:t xml:space="preserve"> íntimamente </w:t>
      </w:r>
      <w:r w:rsidR="00265201">
        <w:rPr>
          <w:rFonts w:ascii="Times New Roman" w:hAnsi="Times New Roman" w:cs="Times New Roman"/>
          <w:sz w:val="24"/>
          <w:szCs w:val="24"/>
        </w:rPr>
        <w:t>ligados</w:t>
      </w:r>
      <w:r>
        <w:rPr>
          <w:rFonts w:ascii="Times New Roman" w:hAnsi="Times New Roman" w:cs="Times New Roman"/>
          <w:sz w:val="24"/>
          <w:szCs w:val="24"/>
        </w:rPr>
        <w:t xml:space="preserve"> a lo que ocurra con el s</w:t>
      </w:r>
      <w:r w:rsidR="00616CC9">
        <w:rPr>
          <w:rFonts w:ascii="Times New Roman" w:hAnsi="Times New Roman" w:cs="Times New Roman"/>
          <w:sz w:val="24"/>
          <w:szCs w:val="24"/>
        </w:rPr>
        <w:t>egmento empresarial</w:t>
      </w:r>
      <w:r>
        <w:rPr>
          <w:rFonts w:ascii="Times New Roman" w:hAnsi="Times New Roman" w:cs="Times New Roman"/>
          <w:sz w:val="24"/>
          <w:szCs w:val="24"/>
        </w:rPr>
        <w:t xml:space="preserve"> de marras. </w:t>
      </w:r>
    </w:p>
    <w:p w:rsidR="001C138E" w:rsidRDefault="008B05C9"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La falta de acceso a recursos financieros adecuados constituye uno de los pro</w:t>
      </w:r>
      <w:r w:rsidR="001C138E">
        <w:rPr>
          <w:rFonts w:ascii="Times New Roman" w:hAnsi="Times New Roman" w:cs="Times New Roman"/>
          <w:sz w:val="24"/>
          <w:szCs w:val="24"/>
        </w:rPr>
        <w:t xml:space="preserve">blemas principales que enfrentan estas empresas, dadas las mayores asimetrías de información </w:t>
      </w:r>
      <w:r w:rsidR="002974AC">
        <w:rPr>
          <w:rFonts w:ascii="Times New Roman" w:hAnsi="Times New Roman" w:cs="Times New Roman"/>
          <w:sz w:val="24"/>
          <w:szCs w:val="24"/>
        </w:rPr>
        <w:t>que enfrenta el sector financiero a la hora de evaluar sus solicitudes</w:t>
      </w:r>
      <w:r w:rsidR="00C83584">
        <w:rPr>
          <w:rFonts w:ascii="Times New Roman" w:hAnsi="Times New Roman" w:cs="Times New Roman"/>
          <w:sz w:val="24"/>
          <w:szCs w:val="24"/>
        </w:rPr>
        <w:t>, y que</w:t>
      </w:r>
      <w:r w:rsidR="001C138E">
        <w:rPr>
          <w:rFonts w:ascii="Times New Roman" w:hAnsi="Times New Roman" w:cs="Times New Roman"/>
          <w:sz w:val="24"/>
          <w:szCs w:val="24"/>
        </w:rPr>
        <w:t xml:space="preserve"> se traducen en mayores costos y exigibilidades para los empresarios. </w:t>
      </w:r>
      <w:r>
        <w:rPr>
          <w:rFonts w:ascii="Times New Roman" w:hAnsi="Times New Roman" w:cs="Times New Roman"/>
          <w:sz w:val="24"/>
          <w:szCs w:val="24"/>
        </w:rPr>
        <w:t>Por esta razón, es crucial analizar</w:t>
      </w:r>
      <w:r w:rsidR="001C138E">
        <w:rPr>
          <w:rFonts w:ascii="Times New Roman" w:hAnsi="Times New Roman" w:cs="Times New Roman"/>
          <w:sz w:val="24"/>
          <w:szCs w:val="24"/>
        </w:rPr>
        <w:t xml:space="preserve"> las condiciones del mercado financiero colombiano que </w:t>
      </w:r>
      <w:r w:rsidR="00616CC9">
        <w:rPr>
          <w:rFonts w:ascii="Times New Roman" w:hAnsi="Times New Roman" w:cs="Times New Roman"/>
          <w:sz w:val="24"/>
          <w:szCs w:val="24"/>
        </w:rPr>
        <w:t>determinan</w:t>
      </w:r>
      <w:r w:rsidR="001C138E">
        <w:rPr>
          <w:rFonts w:ascii="Times New Roman" w:hAnsi="Times New Roman" w:cs="Times New Roman"/>
          <w:sz w:val="24"/>
          <w:szCs w:val="24"/>
        </w:rPr>
        <w:t xml:space="preserve"> el desempeño de las </w:t>
      </w:r>
      <w:proofErr w:type="spellStart"/>
      <w:r w:rsidR="001C138E">
        <w:rPr>
          <w:rFonts w:ascii="Times New Roman" w:hAnsi="Times New Roman" w:cs="Times New Roman"/>
          <w:sz w:val="24"/>
          <w:szCs w:val="24"/>
        </w:rPr>
        <w:t>Mipymes</w:t>
      </w:r>
      <w:proofErr w:type="spellEnd"/>
      <w:r w:rsidR="001C138E">
        <w:rPr>
          <w:rFonts w:ascii="Times New Roman" w:hAnsi="Times New Roman" w:cs="Times New Roman"/>
          <w:sz w:val="24"/>
          <w:szCs w:val="24"/>
        </w:rPr>
        <w:t xml:space="preserve">. Este documento hace tal análisis, vinculando las condiciones estructurales del mercado de crédito con el desempeño y las características particulares de las </w:t>
      </w:r>
      <w:proofErr w:type="spellStart"/>
      <w:r w:rsidR="001C138E">
        <w:rPr>
          <w:rFonts w:ascii="Times New Roman" w:hAnsi="Times New Roman" w:cs="Times New Roman"/>
          <w:sz w:val="24"/>
          <w:szCs w:val="24"/>
        </w:rPr>
        <w:t>Mipymes</w:t>
      </w:r>
      <w:proofErr w:type="spellEnd"/>
      <w:r w:rsidR="001C138E">
        <w:rPr>
          <w:rFonts w:ascii="Times New Roman" w:hAnsi="Times New Roman" w:cs="Times New Roman"/>
          <w:sz w:val="24"/>
          <w:szCs w:val="24"/>
        </w:rPr>
        <w:t xml:space="preserve"> en Colombia.</w:t>
      </w:r>
    </w:p>
    <w:p w:rsidR="00B92AFC" w:rsidRDefault="001C138E"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A0749">
        <w:rPr>
          <w:rFonts w:ascii="Times New Roman" w:hAnsi="Times New Roman" w:cs="Times New Roman"/>
          <w:sz w:val="24"/>
          <w:szCs w:val="24"/>
        </w:rPr>
        <w:t>E</w:t>
      </w:r>
      <w:r w:rsidR="00CA6DCA">
        <w:rPr>
          <w:rFonts w:ascii="Times New Roman" w:hAnsi="Times New Roman" w:cs="Times New Roman"/>
          <w:sz w:val="24"/>
          <w:szCs w:val="24"/>
        </w:rPr>
        <w:t xml:space="preserve">l documento está dividido en </w:t>
      </w:r>
      <w:r w:rsidR="00616CC9">
        <w:rPr>
          <w:rFonts w:ascii="Times New Roman" w:hAnsi="Times New Roman" w:cs="Times New Roman"/>
          <w:sz w:val="24"/>
          <w:szCs w:val="24"/>
        </w:rPr>
        <w:t>las siguientes cinco secciones</w:t>
      </w:r>
      <w:r w:rsidR="00CA6DCA">
        <w:rPr>
          <w:rFonts w:ascii="Times New Roman" w:hAnsi="Times New Roman" w:cs="Times New Roman"/>
          <w:sz w:val="24"/>
          <w:szCs w:val="24"/>
        </w:rPr>
        <w:t xml:space="preserve">: En la segunda sección se analizan las tendencias del mercado financiero colombiano en términos del impacto y la profundización de la actividad crediticia. En la tercera sección se señalan las características y problemas puntuales que enfrentan las </w:t>
      </w:r>
      <w:proofErr w:type="spellStart"/>
      <w:r w:rsidR="00CA6DCA">
        <w:rPr>
          <w:rFonts w:ascii="Times New Roman" w:hAnsi="Times New Roman" w:cs="Times New Roman"/>
          <w:sz w:val="24"/>
          <w:szCs w:val="24"/>
        </w:rPr>
        <w:t>Mipymes</w:t>
      </w:r>
      <w:proofErr w:type="spellEnd"/>
      <w:r w:rsidR="001B4DB7">
        <w:rPr>
          <w:rFonts w:ascii="Times New Roman" w:hAnsi="Times New Roman" w:cs="Times New Roman"/>
          <w:sz w:val="24"/>
          <w:szCs w:val="24"/>
        </w:rPr>
        <w:t xml:space="preserve"> en Colombia</w:t>
      </w:r>
      <w:r w:rsidR="00CA6DCA">
        <w:rPr>
          <w:rFonts w:ascii="Times New Roman" w:hAnsi="Times New Roman" w:cs="Times New Roman"/>
          <w:sz w:val="24"/>
          <w:szCs w:val="24"/>
        </w:rPr>
        <w:t xml:space="preserve">. La cuarta sección </w:t>
      </w:r>
      <w:r w:rsidR="001B4DB7">
        <w:rPr>
          <w:rFonts w:ascii="Times New Roman" w:hAnsi="Times New Roman" w:cs="Times New Roman"/>
          <w:sz w:val="24"/>
          <w:szCs w:val="24"/>
        </w:rPr>
        <w:t xml:space="preserve">analiza la importancia de </w:t>
      </w:r>
      <w:proofErr w:type="spellStart"/>
      <w:r w:rsidR="001B4DB7">
        <w:rPr>
          <w:rFonts w:ascii="Times New Roman" w:hAnsi="Times New Roman" w:cs="Times New Roman"/>
          <w:sz w:val="24"/>
          <w:szCs w:val="24"/>
        </w:rPr>
        <w:t>Bancóldex</w:t>
      </w:r>
      <w:proofErr w:type="spellEnd"/>
      <w:r w:rsidR="001B4DB7">
        <w:rPr>
          <w:rFonts w:ascii="Times New Roman" w:hAnsi="Times New Roman" w:cs="Times New Roman"/>
          <w:sz w:val="24"/>
          <w:szCs w:val="24"/>
        </w:rPr>
        <w:t xml:space="preserve"> en el mercado financiero Colombiano, y particularmente en cuanto al desempeño de las </w:t>
      </w:r>
      <w:proofErr w:type="spellStart"/>
      <w:r w:rsidR="001B4DB7">
        <w:rPr>
          <w:rFonts w:ascii="Times New Roman" w:hAnsi="Times New Roman" w:cs="Times New Roman"/>
          <w:sz w:val="24"/>
          <w:szCs w:val="24"/>
        </w:rPr>
        <w:t>Mipymes</w:t>
      </w:r>
      <w:proofErr w:type="spellEnd"/>
      <w:r w:rsidR="001B4DB7">
        <w:rPr>
          <w:rFonts w:ascii="Times New Roman" w:hAnsi="Times New Roman" w:cs="Times New Roman"/>
          <w:sz w:val="24"/>
          <w:szCs w:val="24"/>
        </w:rPr>
        <w:t xml:space="preserve">. En la quinta sección se dimensiona el programa de financiamiento de </w:t>
      </w:r>
      <w:proofErr w:type="spellStart"/>
      <w:r w:rsidR="001B4DB7">
        <w:rPr>
          <w:rFonts w:ascii="Times New Roman" w:hAnsi="Times New Roman" w:cs="Times New Roman"/>
          <w:sz w:val="24"/>
          <w:szCs w:val="24"/>
        </w:rPr>
        <w:t>Bancóldex</w:t>
      </w:r>
      <w:proofErr w:type="spellEnd"/>
      <w:r w:rsidR="001B4DB7">
        <w:rPr>
          <w:rFonts w:ascii="Times New Roman" w:hAnsi="Times New Roman" w:cs="Times New Roman"/>
          <w:sz w:val="24"/>
          <w:szCs w:val="24"/>
        </w:rPr>
        <w:t xml:space="preserve"> por parte del Banco Interamericano de Desarrollo, de acuerdo a los</w:t>
      </w:r>
      <w:r w:rsidR="00785D43">
        <w:rPr>
          <w:rFonts w:ascii="Times New Roman" w:hAnsi="Times New Roman" w:cs="Times New Roman"/>
          <w:sz w:val="24"/>
          <w:szCs w:val="24"/>
        </w:rPr>
        <w:t xml:space="preserve"> datos señalados en la sección 4</w:t>
      </w:r>
      <w:r w:rsidR="001B4DB7">
        <w:rPr>
          <w:rFonts w:ascii="Times New Roman" w:hAnsi="Times New Roman" w:cs="Times New Roman"/>
          <w:sz w:val="24"/>
          <w:szCs w:val="24"/>
        </w:rPr>
        <w:t>. La sexta sección resume las ideas principales y concluye.</w:t>
      </w:r>
    </w:p>
    <w:p w:rsidR="00242006" w:rsidRDefault="005F7746"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El documento presenta tres resultados principales</w:t>
      </w:r>
      <w:r w:rsidR="00181485">
        <w:rPr>
          <w:rFonts w:ascii="Times New Roman" w:hAnsi="Times New Roman" w:cs="Times New Roman"/>
          <w:sz w:val="24"/>
          <w:szCs w:val="24"/>
        </w:rPr>
        <w:t xml:space="preserve">. En primer lugar, que Colombia tanto históricamente como en la actualidad se compara desfavorablemente </w:t>
      </w:r>
      <w:r>
        <w:rPr>
          <w:rFonts w:ascii="Times New Roman" w:hAnsi="Times New Roman" w:cs="Times New Roman"/>
          <w:sz w:val="24"/>
          <w:szCs w:val="24"/>
        </w:rPr>
        <w:t xml:space="preserve">con países similares de la región </w:t>
      </w:r>
      <w:r w:rsidR="00181485">
        <w:rPr>
          <w:rFonts w:ascii="Times New Roman" w:hAnsi="Times New Roman" w:cs="Times New Roman"/>
          <w:sz w:val="24"/>
          <w:szCs w:val="24"/>
        </w:rPr>
        <w:t>en cuanto a los indicadores gruesos de bancarización</w:t>
      </w:r>
      <w:r w:rsidR="00785D43">
        <w:rPr>
          <w:rFonts w:ascii="Times New Roman" w:hAnsi="Times New Roman" w:cs="Times New Roman"/>
          <w:sz w:val="24"/>
          <w:szCs w:val="24"/>
        </w:rPr>
        <w:t xml:space="preserve">. En segundo lugar - y </w:t>
      </w:r>
      <w:r w:rsidR="00785D43">
        <w:rPr>
          <w:rFonts w:ascii="Times New Roman" w:hAnsi="Times New Roman" w:cs="Times New Roman"/>
          <w:sz w:val="24"/>
          <w:szCs w:val="24"/>
        </w:rPr>
        <w:lastRenderedPageBreak/>
        <w:t xml:space="preserve">asociado con lo anterior - </w:t>
      </w:r>
      <w:r w:rsidR="004A0749">
        <w:rPr>
          <w:rFonts w:ascii="Times New Roman" w:hAnsi="Times New Roman" w:cs="Times New Roman"/>
          <w:sz w:val="24"/>
          <w:szCs w:val="24"/>
        </w:rPr>
        <w:t xml:space="preserve">que si bien las </w:t>
      </w:r>
      <w:proofErr w:type="spellStart"/>
      <w:r w:rsidR="004A0749">
        <w:rPr>
          <w:rFonts w:ascii="Times New Roman" w:hAnsi="Times New Roman" w:cs="Times New Roman"/>
          <w:sz w:val="24"/>
          <w:szCs w:val="24"/>
        </w:rPr>
        <w:t>Mipymes</w:t>
      </w:r>
      <w:proofErr w:type="spellEnd"/>
      <w:r w:rsidR="004A0749">
        <w:rPr>
          <w:rFonts w:ascii="Times New Roman" w:hAnsi="Times New Roman" w:cs="Times New Roman"/>
          <w:sz w:val="24"/>
          <w:szCs w:val="24"/>
        </w:rPr>
        <w:t xml:space="preserve"> enfrentan múltiples dificultades de carácter económico-financiero en Colombia, </w:t>
      </w:r>
      <w:r w:rsidR="00096C5B">
        <w:rPr>
          <w:rFonts w:ascii="Times New Roman" w:hAnsi="Times New Roman" w:cs="Times New Roman"/>
          <w:sz w:val="24"/>
          <w:szCs w:val="24"/>
        </w:rPr>
        <w:t xml:space="preserve">las condiciones de acceso al mercado de crédito han mejorado significativamente en los últimos años. Finalmente, el hecho de que entidades como </w:t>
      </w:r>
      <w:proofErr w:type="spellStart"/>
      <w:r w:rsidR="00096C5B">
        <w:rPr>
          <w:rFonts w:ascii="Times New Roman" w:hAnsi="Times New Roman" w:cs="Times New Roman"/>
          <w:sz w:val="24"/>
          <w:szCs w:val="24"/>
        </w:rPr>
        <w:t>Bancóldex</w:t>
      </w:r>
      <w:proofErr w:type="spellEnd"/>
      <w:r w:rsidR="00096C5B">
        <w:rPr>
          <w:rFonts w:ascii="Times New Roman" w:hAnsi="Times New Roman" w:cs="Times New Roman"/>
          <w:sz w:val="24"/>
          <w:szCs w:val="24"/>
        </w:rPr>
        <w:t xml:space="preserve"> </w:t>
      </w:r>
      <w:r w:rsidR="00B37598">
        <w:rPr>
          <w:rFonts w:ascii="Times New Roman" w:hAnsi="Times New Roman" w:cs="Times New Roman"/>
          <w:sz w:val="24"/>
          <w:szCs w:val="24"/>
        </w:rPr>
        <w:t xml:space="preserve">han </w:t>
      </w:r>
      <w:r w:rsidR="00A86B67">
        <w:rPr>
          <w:rFonts w:ascii="Times New Roman" w:hAnsi="Times New Roman" w:cs="Times New Roman"/>
          <w:sz w:val="24"/>
          <w:szCs w:val="24"/>
        </w:rPr>
        <w:t>impulsado</w:t>
      </w:r>
      <w:r w:rsidR="004A0749">
        <w:rPr>
          <w:rFonts w:ascii="Times New Roman" w:hAnsi="Times New Roman" w:cs="Times New Roman"/>
          <w:sz w:val="24"/>
          <w:szCs w:val="24"/>
        </w:rPr>
        <w:t xml:space="preserve"> mejoras sustanciales </w:t>
      </w:r>
      <w:r w:rsidR="00B37598">
        <w:rPr>
          <w:rFonts w:ascii="Times New Roman" w:hAnsi="Times New Roman" w:cs="Times New Roman"/>
          <w:sz w:val="24"/>
          <w:szCs w:val="24"/>
        </w:rPr>
        <w:t xml:space="preserve">tanto con relación al acceso creditico, como en lo relativo al </w:t>
      </w:r>
      <w:r w:rsidR="004A0749">
        <w:rPr>
          <w:rFonts w:ascii="Times New Roman" w:hAnsi="Times New Roman" w:cs="Times New Roman"/>
          <w:sz w:val="24"/>
          <w:szCs w:val="24"/>
        </w:rPr>
        <w:t>desempeño y sostenibilidad de tal segmento empresarial.</w:t>
      </w:r>
    </w:p>
    <w:p w:rsidR="00C62363" w:rsidRPr="00B92AFC" w:rsidRDefault="00C62363" w:rsidP="00C62363">
      <w:pPr>
        <w:spacing w:line="360" w:lineRule="auto"/>
        <w:jc w:val="both"/>
        <w:rPr>
          <w:rFonts w:ascii="Times New Roman" w:hAnsi="Times New Roman" w:cs="Times New Roman"/>
          <w:sz w:val="24"/>
          <w:szCs w:val="24"/>
        </w:rPr>
      </w:pPr>
    </w:p>
    <w:p w:rsidR="00277488" w:rsidRPr="004A419E" w:rsidRDefault="00277488" w:rsidP="00C62363">
      <w:pPr>
        <w:pStyle w:val="ListParagraph"/>
        <w:numPr>
          <w:ilvl w:val="0"/>
          <w:numId w:val="5"/>
        </w:numPr>
        <w:spacing w:line="360" w:lineRule="auto"/>
        <w:rPr>
          <w:rFonts w:ascii="Times New Roman" w:hAnsi="Times New Roman" w:cs="Times New Roman"/>
          <w:b/>
          <w:sz w:val="24"/>
          <w:szCs w:val="24"/>
        </w:rPr>
      </w:pPr>
      <w:r w:rsidRPr="004A419E">
        <w:rPr>
          <w:rFonts w:ascii="Times New Roman" w:hAnsi="Times New Roman" w:cs="Times New Roman"/>
          <w:b/>
          <w:sz w:val="24"/>
          <w:szCs w:val="24"/>
        </w:rPr>
        <w:t>Evolución Reciente del mercado de crédito en Colombia</w:t>
      </w:r>
    </w:p>
    <w:p w:rsidR="00277488" w:rsidRPr="006E7FDB" w:rsidRDefault="00277488" w:rsidP="00C62363">
      <w:pPr>
        <w:pStyle w:val="ListParagraph"/>
        <w:spacing w:line="360" w:lineRule="auto"/>
        <w:rPr>
          <w:rFonts w:ascii="Times New Roman" w:hAnsi="Times New Roman" w:cs="Times New Roman"/>
          <w:b/>
          <w:sz w:val="24"/>
          <w:szCs w:val="24"/>
        </w:rPr>
      </w:pPr>
    </w:p>
    <w:p w:rsidR="00277488" w:rsidRPr="006E7FDB" w:rsidRDefault="00277488" w:rsidP="00C62363">
      <w:pPr>
        <w:pStyle w:val="ListParagraph"/>
        <w:numPr>
          <w:ilvl w:val="0"/>
          <w:numId w:val="2"/>
        </w:numPr>
        <w:spacing w:line="360" w:lineRule="auto"/>
        <w:rPr>
          <w:rFonts w:ascii="Times New Roman" w:hAnsi="Times New Roman" w:cs="Times New Roman"/>
          <w:b/>
          <w:sz w:val="24"/>
          <w:szCs w:val="24"/>
        </w:rPr>
      </w:pPr>
      <w:r w:rsidRPr="006E7FDB">
        <w:rPr>
          <w:rFonts w:ascii="Times New Roman" w:hAnsi="Times New Roman" w:cs="Times New Roman"/>
          <w:b/>
          <w:sz w:val="24"/>
          <w:szCs w:val="24"/>
        </w:rPr>
        <w:t>Bancarización: Aspectos estructurales</w:t>
      </w:r>
    </w:p>
    <w:p w:rsidR="005252FB" w:rsidRDefault="00FD4499" w:rsidP="00C62363">
      <w:pPr>
        <w:spacing w:line="360" w:lineRule="auto"/>
        <w:jc w:val="both"/>
        <w:rPr>
          <w:rFonts w:ascii="Times New Roman" w:hAnsi="Times New Roman" w:cs="Times New Roman"/>
          <w:sz w:val="24"/>
          <w:szCs w:val="24"/>
        </w:rPr>
      </w:pPr>
      <w:r w:rsidRPr="006E7FDB">
        <w:rPr>
          <w:rFonts w:ascii="Times New Roman" w:hAnsi="Times New Roman" w:cs="Times New Roman"/>
          <w:sz w:val="24"/>
          <w:szCs w:val="24"/>
        </w:rPr>
        <w:t>Históricamente</w:t>
      </w:r>
      <w:r w:rsidR="009A4B92">
        <w:rPr>
          <w:rFonts w:ascii="Times New Roman" w:hAnsi="Times New Roman" w:cs="Times New Roman"/>
          <w:sz w:val="24"/>
          <w:szCs w:val="24"/>
        </w:rPr>
        <w:t>,</w:t>
      </w:r>
      <w:r w:rsidRPr="006E7FDB">
        <w:rPr>
          <w:rFonts w:ascii="Times New Roman" w:hAnsi="Times New Roman" w:cs="Times New Roman"/>
          <w:sz w:val="24"/>
          <w:szCs w:val="24"/>
        </w:rPr>
        <w:t xml:space="preserve"> Colombia se ha caracterizado por ser un país con bajos niveles de bancarización; esto es, </w:t>
      </w:r>
      <w:r w:rsidR="00504A34">
        <w:rPr>
          <w:rFonts w:ascii="Times New Roman" w:hAnsi="Times New Roman" w:cs="Times New Roman"/>
          <w:sz w:val="24"/>
          <w:szCs w:val="24"/>
        </w:rPr>
        <w:t xml:space="preserve">por </w:t>
      </w:r>
      <w:r w:rsidR="00883E3E" w:rsidRPr="006E7FDB">
        <w:rPr>
          <w:rFonts w:ascii="Times New Roman" w:hAnsi="Times New Roman" w:cs="Times New Roman"/>
          <w:sz w:val="24"/>
          <w:szCs w:val="24"/>
        </w:rPr>
        <w:t xml:space="preserve">una baja integración y penetración de los servicios financieros en la actividad económica del país y de sus habitantes. </w:t>
      </w:r>
      <w:r w:rsidR="00C07910" w:rsidRPr="006E7FDB">
        <w:rPr>
          <w:rFonts w:ascii="Times New Roman" w:hAnsi="Times New Roman" w:cs="Times New Roman"/>
          <w:sz w:val="24"/>
          <w:szCs w:val="24"/>
        </w:rPr>
        <w:t>Los niveles de bancarización han sido bajos comparados tanto con los niveles de países de la región y del mismo ingreso, como con países de may</w:t>
      </w:r>
      <w:r w:rsidR="00C13504" w:rsidRPr="006E7FDB">
        <w:rPr>
          <w:rFonts w:ascii="Times New Roman" w:hAnsi="Times New Roman" w:cs="Times New Roman"/>
          <w:sz w:val="24"/>
          <w:szCs w:val="24"/>
        </w:rPr>
        <w:t>or</w:t>
      </w:r>
      <w:r w:rsidR="002A3F8E">
        <w:rPr>
          <w:rFonts w:ascii="Times New Roman" w:hAnsi="Times New Roman" w:cs="Times New Roman"/>
          <w:sz w:val="24"/>
          <w:szCs w:val="24"/>
        </w:rPr>
        <w:t xml:space="preserve"> desarrollo industrial</w:t>
      </w:r>
      <w:r w:rsidR="00C13504" w:rsidRPr="006E7FDB">
        <w:rPr>
          <w:rFonts w:ascii="Times New Roman" w:hAnsi="Times New Roman" w:cs="Times New Roman"/>
          <w:sz w:val="24"/>
          <w:szCs w:val="24"/>
        </w:rPr>
        <w:t xml:space="preserve">. Pese a tal aspecto histórico, la tendencia en los últimos ocho años ha </w:t>
      </w:r>
      <w:r w:rsidR="00616CC9">
        <w:rPr>
          <w:rFonts w:ascii="Times New Roman" w:hAnsi="Times New Roman" w:cs="Times New Roman"/>
          <w:sz w:val="24"/>
          <w:szCs w:val="24"/>
        </w:rPr>
        <w:t xml:space="preserve">mostrado </w:t>
      </w:r>
      <w:r w:rsidR="00C13504" w:rsidRPr="006E7FDB">
        <w:rPr>
          <w:rFonts w:ascii="Times New Roman" w:hAnsi="Times New Roman" w:cs="Times New Roman"/>
          <w:sz w:val="24"/>
          <w:szCs w:val="24"/>
        </w:rPr>
        <w:t>una mejora sustancial en tales índices,</w:t>
      </w:r>
      <w:r w:rsidR="006E7FDB">
        <w:rPr>
          <w:rFonts w:ascii="Times New Roman" w:hAnsi="Times New Roman" w:cs="Times New Roman"/>
          <w:sz w:val="24"/>
          <w:szCs w:val="24"/>
        </w:rPr>
        <w:t xml:space="preserve"> pues</w:t>
      </w:r>
      <w:r w:rsidR="00C13504" w:rsidRPr="006E7FDB">
        <w:rPr>
          <w:rFonts w:ascii="Times New Roman" w:hAnsi="Times New Roman" w:cs="Times New Roman"/>
          <w:sz w:val="24"/>
          <w:szCs w:val="24"/>
        </w:rPr>
        <w:t xml:space="preserve"> ha habido aumentos significativos en la proporción entre los créditos brutos y el producto, así como sostenidas disminuciones en la proporción entre los costos administrativos </w:t>
      </w:r>
      <w:r w:rsidR="00616CC9">
        <w:rPr>
          <w:rFonts w:ascii="Times New Roman" w:hAnsi="Times New Roman" w:cs="Times New Roman"/>
          <w:sz w:val="24"/>
          <w:szCs w:val="24"/>
        </w:rPr>
        <w:t xml:space="preserve">del sistema financiero </w:t>
      </w:r>
      <w:r w:rsidR="00C13504" w:rsidRPr="006E7FDB">
        <w:rPr>
          <w:rFonts w:ascii="Times New Roman" w:hAnsi="Times New Roman" w:cs="Times New Roman"/>
          <w:sz w:val="24"/>
          <w:szCs w:val="24"/>
        </w:rPr>
        <w:t xml:space="preserve">y </w:t>
      </w:r>
      <w:r w:rsidR="00616CC9">
        <w:rPr>
          <w:rFonts w:ascii="Times New Roman" w:hAnsi="Times New Roman" w:cs="Times New Roman"/>
          <w:sz w:val="24"/>
          <w:szCs w:val="24"/>
        </w:rPr>
        <w:t xml:space="preserve">sus </w:t>
      </w:r>
      <w:r w:rsidR="00C13504" w:rsidRPr="006E7FDB">
        <w:rPr>
          <w:rFonts w:ascii="Times New Roman" w:hAnsi="Times New Roman" w:cs="Times New Roman"/>
          <w:sz w:val="24"/>
          <w:szCs w:val="24"/>
        </w:rPr>
        <w:t xml:space="preserve">activos. Así, en </w:t>
      </w:r>
      <w:r w:rsidR="00997525">
        <w:rPr>
          <w:rFonts w:ascii="Times New Roman" w:hAnsi="Times New Roman" w:cs="Times New Roman"/>
          <w:sz w:val="24"/>
          <w:szCs w:val="24"/>
        </w:rPr>
        <w:t>términos del valor total de los créditos otorgados al sector privado</w:t>
      </w:r>
      <w:r w:rsidR="00B66DBC">
        <w:rPr>
          <w:rFonts w:ascii="Times New Roman" w:hAnsi="Times New Roman" w:cs="Times New Roman"/>
          <w:sz w:val="24"/>
          <w:szCs w:val="24"/>
        </w:rPr>
        <w:t xml:space="preserve"> </w:t>
      </w:r>
      <w:r w:rsidR="006E7FDB" w:rsidRPr="006E7FDB">
        <w:rPr>
          <w:rFonts w:ascii="Times New Roman" w:hAnsi="Times New Roman" w:cs="Times New Roman"/>
          <w:sz w:val="24"/>
          <w:szCs w:val="24"/>
        </w:rPr>
        <w:t xml:space="preserve">como proporción del PIB, </w:t>
      </w:r>
      <w:r w:rsidR="00C13504" w:rsidRPr="006E7FDB">
        <w:rPr>
          <w:rFonts w:ascii="Times New Roman" w:hAnsi="Times New Roman" w:cs="Times New Roman"/>
          <w:sz w:val="24"/>
          <w:szCs w:val="24"/>
        </w:rPr>
        <w:t xml:space="preserve">el 2010 </w:t>
      </w:r>
      <w:r w:rsidR="006E7FDB" w:rsidRPr="006E7FDB">
        <w:rPr>
          <w:rFonts w:ascii="Times New Roman" w:hAnsi="Times New Roman" w:cs="Times New Roman"/>
          <w:sz w:val="24"/>
          <w:szCs w:val="24"/>
        </w:rPr>
        <w:t xml:space="preserve">fue el primer año </w:t>
      </w:r>
      <w:r w:rsidR="006E7FDB">
        <w:rPr>
          <w:rFonts w:ascii="Times New Roman" w:hAnsi="Times New Roman" w:cs="Times New Roman"/>
          <w:sz w:val="24"/>
          <w:szCs w:val="24"/>
        </w:rPr>
        <w:t xml:space="preserve">en más de una década </w:t>
      </w:r>
      <w:r w:rsidR="006E7FDB" w:rsidRPr="006E7FDB">
        <w:rPr>
          <w:rFonts w:ascii="Times New Roman" w:hAnsi="Times New Roman" w:cs="Times New Roman"/>
          <w:sz w:val="24"/>
          <w:szCs w:val="24"/>
        </w:rPr>
        <w:t xml:space="preserve">en que </w:t>
      </w:r>
      <w:r w:rsidR="00C13504" w:rsidRPr="006E7FDB">
        <w:rPr>
          <w:rFonts w:ascii="Times New Roman" w:hAnsi="Times New Roman" w:cs="Times New Roman"/>
          <w:sz w:val="24"/>
          <w:szCs w:val="24"/>
        </w:rPr>
        <w:t xml:space="preserve">Colombia exhibió </w:t>
      </w:r>
      <w:r w:rsidR="006E7FDB" w:rsidRPr="006E7FDB">
        <w:rPr>
          <w:rFonts w:ascii="Times New Roman" w:hAnsi="Times New Roman" w:cs="Times New Roman"/>
          <w:sz w:val="24"/>
          <w:szCs w:val="24"/>
        </w:rPr>
        <w:t>un índice que se ubicaba por encima del promedi</w:t>
      </w:r>
      <w:r w:rsidR="006E7FDB">
        <w:rPr>
          <w:rFonts w:ascii="Times New Roman" w:hAnsi="Times New Roman" w:cs="Times New Roman"/>
          <w:sz w:val="24"/>
          <w:szCs w:val="24"/>
        </w:rPr>
        <w:t xml:space="preserve">o latinoamericano. Por otro lado, en </w:t>
      </w:r>
      <w:r w:rsidR="006B094E">
        <w:rPr>
          <w:rFonts w:ascii="Times New Roman" w:hAnsi="Times New Roman" w:cs="Times New Roman"/>
          <w:sz w:val="24"/>
          <w:szCs w:val="24"/>
        </w:rPr>
        <w:t>ese</w:t>
      </w:r>
      <w:r w:rsidR="006E7FDB">
        <w:rPr>
          <w:rFonts w:ascii="Times New Roman" w:hAnsi="Times New Roman" w:cs="Times New Roman"/>
          <w:sz w:val="24"/>
          <w:szCs w:val="24"/>
        </w:rPr>
        <w:t xml:space="preserve"> mismo año la razón entre los costos administrativos de la banca colombiana y sus activos estuvo tan sólo 31 puntos básicos por encima del promedio latinoamericano, mientras que diez años atrás la diferencia era de 361 puntos básicos. Las referidas tendencias están ilustradas en las siguientes dos figuras</w:t>
      </w:r>
    </w:p>
    <w:p w:rsidR="001F02EF" w:rsidRPr="006E7FDB" w:rsidRDefault="001F02EF" w:rsidP="00C62363">
      <w:pPr>
        <w:spacing w:line="360" w:lineRule="auto"/>
        <w:jc w:val="both"/>
        <w:rPr>
          <w:rFonts w:ascii="Times New Roman" w:hAnsi="Times New Roman" w:cs="Times New Roman"/>
          <w:sz w:val="24"/>
          <w:szCs w:val="24"/>
        </w:rPr>
      </w:pPr>
    </w:p>
    <w:p w:rsidR="00277488" w:rsidRDefault="00997525"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extent cx="5167486" cy="2982724"/>
            <wp:effectExtent l="0" t="0" r="0" b="825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82627" cy="2991463"/>
                    </a:xfrm>
                    <a:prstGeom prst="rect">
                      <a:avLst/>
                    </a:prstGeom>
                    <a:noFill/>
                  </pic:spPr>
                </pic:pic>
              </a:graphicData>
            </a:graphic>
          </wp:inline>
        </w:drawing>
      </w:r>
    </w:p>
    <w:p w:rsidR="006E7FDB" w:rsidRDefault="005134DD"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5181600" cy="313186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1600" cy="3131862"/>
                    </a:xfrm>
                    <a:prstGeom prst="rect">
                      <a:avLst/>
                    </a:prstGeom>
                    <a:noFill/>
                  </pic:spPr>
                </pic:pic>
              </a:graphicData>
            </a:graphic>
          </wp:inline>
        </w:drawing>
      </w:r>
    </w:p>
    <w:p w:rsidR="006056C1" w:rsidRDefault="00504A34"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De los anteriores gráficos sobresale</w:t>
      </w:r>
      <w:r w:rsidR="00AA78F2">
        <w:rPr>
          <w:rFonts w:ascii="Times New Roman" w:hAnsi="Times New Roman" w:cs="Times New Roman"/>
          <w:sz w:val="24"/>
          <w:szCs w:val="24"/>
        </w:rPr>
        <w:t>n dos aspecto</w:t>
      </w:r>
      <w:r w:rsidR="00883C6C">
        <w:rPr>
          <w:rFonts w:ascii="Times New Roman" w:hAnsi="Times New Roman" w:cs="Times New Roman"/>
          <w:sz w:val="24"/>
          <w:szCs w:val="24"/>
        </w:rPr>
        <w:t>s. En primer lugar, se observa</w:t>
      </w:r>
      <w:r w:rsidR="00AA78F2">
        <w:rPr>
          <w:rFonts w:ascii="Times New Roman" w:hAnsi="Times New Roman" w:cs="Times New Roman"/>
          <w:sz w:val="24"/>
          <w:szCs w:val="24"/>
        </w:rPr>
        <w:t xml:space="preserve"> una prevalencia de los bajos niveles de bancarización en términos comparativos. Tal </w:t>
      </w:r>
      <w:proofErr w:type="spellStart"/>
      <w:r w:rsidR="00AA78F2">
        <w:rPr>
          <w:rFonts w:ascii="Times New Roman" w:hAnsi="Times New Roman" w:cs="Times New Roman"/>
          <w:sz w:val="24"/>
          <w:szCs w:val="24"/>
        </w:rPr>
        <w:t>desfavorabilidad</w:t>
      </w:r>
      <w:proofErr w:type="spellEnd"/>
      <w:r w:rsidR="00AA78F2">
        <w:rPr>
          <w:rFonts w:ascii="Times New Roman" w:hAnsi="Times New Roman" w:cs="Times New Roman"/>
          <w:sz w:val="24"/>
          <w:szCs w:val="24"/>
        </w:rPr>
        <w:t xml:space="preserve"> es aún mayor si se compara con países industrializados de altos ingresos como Estados Unidos: para el 2010 los costos administrativos como proporción de los activos colombianos eran superiores en 1.82% a aquellos de Estados Unidos, mientras que </w:t>
      </w:r>
      <w:r w:rsidR="00AA78F2">
        <w:rPr>
          <w:rFonts w:ascii="Times New Roman" w:hAnsi="Times New Roman" w:cs="Times New Roman"/>
          <w:sz w:val="24"/>
          <w:szCs w:val="24"/>
        </w:rPr>
        <w:lastRenderedPageBreak/>
        <w:t>la relación entre cartera bruta de crédito y PIB  en ese mismo año era 4,76 veces más grande en la nación norteamericana que en la latinoamericana</w:t>
      </w:r>
      <w:r w:rsidR="00AA78F2">
        <w:rPr>
          <w:rStyle w:val="FootnoteReference"/>
          <w:rFonts w:ascii="Times New Roman" w:hAnsi="Times New Roman" w:cs="Times New Roman"/>
          <w:sz w:val="24"/>
          <w:szCs w:val="24"/>
        </w:rPr>
        <w:footnoteReference w:id="1"/>
      </w:r>
      <w:r w:rsidR="00AA78F2">
        <w:rPr>
          <w:rFonts w:ascii="Times New Roman" w:hAnsi="Times New Roman" w:cs="Times New Roman"/>
          <w:sz w:val="24"/>
          <w:szCs w:val="24"/>
        </w:rPr>
        <w:t xml:space="preserve">. </w:t>
      </w:r>
    </w:p>
    <w:p w:rsidR="00CE7A77" w:rsidRDefault="00AA78F2"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Pese a tal aspecto negativo, </w:t>
      </w:r>
      <w:r w:rsidR="006056C1">
        <w:rPr>
          <w:rFonts w:ascii="Times New Roman" w:hAnsi="Times New Roman" w:cs="Times New Roman"/>
          <w:sz w:val="24"/>
          <w:szCs w:val="24"/>
        </w:rPr>
        <w:t xml:space="preserve">no se puede desconocer </w:t>
      </w:r>
      <w:r>
        <w:rPr>
          <w:rFonts w:ascii="Times New Roman" w:hAnsi="Times New Roman" w:cs="Times New Roman"/>
          <w:sz w:val="24"/>
          <w:szCs w:val="24"/>
        </w:rPr>
        <w:t xml:space="preserve">que </w:t>
      </w:r>
      <w:r w:rsidR="00504A34">
        <w:rPr>
          <w:rFonts w:ascii="Times New Roman" w:hAnsi="Times New Roman" w:cs="Times New Roman"/>
          <w:sz w:val="24"/>
          <w:szCs w:val="24"/>
        </w:rPr>
        <w:t>Colombia ha venido alcanzando a los países de la región latinoamericana en los índices más gruesos de bancarización</w:t>
      </w:r>
      <w:r w:rsidR="00F519C3">
        <w:rPr>
          <w:rFonts w:ascii="Times New Roman" w:hAnsi="Times New Roman" w:cs="Times New Roman"/>
          <w:sz w:val="24"/>
          <w:szCs w:val="24"/>
        </w:rPr>
        <w:t xml:space="preserve">. </w:t>
      </w:r>
      <w:r w:rsidR="00596B5B">
        <w:rPr>
          <w:rFonts w:ascii="Times New Roman" w:hAnsi="Times New Roman" w:cs="Times New Roman"/>
          <w:sz w:val="24"/>
          <w:szCs w:val="24"/>
        </w:rPr>
        <w:t xml:space="preserve">De igual forma, la brecha en los indicadores colombianos y aquellos de los países del mismo ingreso ha venido cerrándose en la última década. Lo anterior indica que el sistema financiero y bancario colombiano va por el camino adecuado en cuanto a su penetración e impacto en la actividad económica, si bien es cierto que aún hay espacio por mejorar. </w:t>
      </w:r>
      <w:r w:rsidR="00CE7A77">
        <w:rPr>
          <w:rFonts w:ascii="Times New Roman" w:hAnsi="Times New Roman" w:cs="Times New Roman"/>
          <w:sz w:val="24"/>
          <w:szCs w:val="24"/>
        </w:rPr>
        <w:t>Esta tendencia tenderá a mejorar en la medida en que se eliminen ciertas distorsiones al sistema financiero, como la proyectada erradicación del gravamen a los movimientos financieros, el cual es uno de</w:t>
      </w:r>
      <w:r w:rsidR="00F67BB5">
        <w:rPr>
          <w:rFonts w:ascii="Times New Roman" w:hAnsi="Times New Roman" w:cs="Times New Roman"/>
          <w:sz w:val="24"/>
          <w:szCs w:val="24"/>
        </w:rPr>
        <w:t xml:space="preserve"> los más altos de la región al</w:t>
      </w:r>
      <w:r w:rsidR="00CE7A77">
        <w:rPr>
          <w:rFonts w:ascii="Times New Roman" w:hAnsi="Times New Roman" w:cs="Times New Roman"/>
          <w:sz w:val="24"/>
          <w:szCs w:val="24"/>
        </w:rPr>
        <w:t xml:space="preserve"> ubicarse en niveles de 4/1000. </w:t>
      </w:r>
      <w:r w:rsidR="002974AC">
        <w:rPr>
          <w:rFonts w:ascii="Times New Roman" w:hAnsi="Times New Roman" w:cs="Times New Roman"/>
          <w:sz w:val="24"/>
          <w:szCs w:val="24"/>
        </w:rPr>
        <w:t>Según la legislación aprobada, en 2015 dicho gravamen se empezará a marchitar hasta desaparecer en 2018.</w:t>
      </w:r>
    </w:p>
    <w:p w:rsidR="00596B5B" w:rsidRDefault="00596B5B"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Al analizar puntualmente las tendencias colombianas de bancarización, se pueden entrever grandes diferencias regionales. Esto es precisamente lo que ilustra la siguiente figura.</w:t>
      </w:r>
    </w:p>
    <w:p w:rsidR="00596B5B" w:rsidRDefault="00781B12"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4953000" cy="2892938"/>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8742" cy="2896292"/>
                    </a:xfrm>
                    <a:prstGeom prst="rect">
                      <a:avLst/>
                    </a:prstGeom>
                    <a:noFill/>
                  </pic:spPr>
                </pic:pic>
              </a:graphicData>
            </a:graphic>
          </wp:inline>
        </w:drawing>
      </w:r>
    </w:p>
    <w:p w:rsidR="00896977" w:rsidRDefault="001664D6"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El gráfico anterior corresponde a los índices nacionales y regionales de bancarización, los cuales son calculados por el Banco de la República </w:t>
      </w:r>
      <w:r w:rsidR="00D51F1A">
        <w:rPr>
          <w:rFonts w:ascii="Times New Roman" w:hAnsi="Times New Roman" w:cs="Times New Roman"/>
          <w:sz w:val="24"/>
          <w:szCs w:val="24"/>
        </w:rPr>
        <w:t>a partir de</w:t>
      </w:r>
      <w:r w:rsidR="00BC49CF">
        <w:rPr>
          <w:rFonts w:ascii="Times New Roman" w:hAnsi="Times New Roman" w:cs="Times New Roman"/>
          <w:sz w:val="24"/>
          <w:szCs w:val="24"/>
        </w:rPr>
        <w:t xml:space="preserve"> indicadores de cobertura </w:t>
      </w:r>
      <w:r w:rsidR="000869DC">
        <w:rPr>
          <w:rFonts w:ascii="Times New Roman" w:hAnsi="Times New Roman" w:cs="Times New Roman"/>
          <w:sz w:val="24"/>
          <w:szCs w:val="24"/>
        </w:rPr>
        <w:t xml:space="preserve">e </w:t>
      </w:r>
      <w:r w:rsidR="00BC49CF">
        <w:rPr>
          <w:rFonts w:ascii="Times New Roman" w:hAnsi="Times New Roman" w:cs="Times New Roman"/>
          <w:sz w:val="24"/>
          <w:szCs w:val="24"/>
        </w:rPr>
        <w:t>indicadores de intensidad de uso</w:t>
      </w:r>
      <w:r w:rsidR="00BC49CF">
        <w:rPr>
          <w:rStyle w:val="FootnoteReference"/>
          <w:rFonts w:ascii="Times New Roman" w:hAnsi="Times New Roman" w:cs="Times New Roman"/>
          <w:sz w:val="24"/>
          <w:szCs w:val="24"/>
        </w:rPr>
        <w:footnoteReference w:id="2"/>
      </w:r>
      <w:r w:rsidR="00BC49CF">
        <w:rPr>
          <w:rFonts w:ascii="Times New Roman" w:hAnsi="Times New Roman" w:cs="Times New Roman"/>
          <w:sz w:val="24"/>
          <w:szCs w:val="24"/>
        </w:rPr>
        <w:t xml:space="preserve">. </w:t>
      </w:r>
      <w:r w:rsidR="005E52F4">
        <w:rPr>
          <w:rFonts w:ascii="Times New Roman" w:hAnsi="Times New Roman" w:cs="Times New Roman"/>
          <w:sz w:val="24"/>
          <w:szCs w:val="24"/>
        </w:rPr>
        <w:t>Pese a que en conjunto se observan mejoras en los índices de bancarización colombianos y regionales, las tendencias muestran una gran heterogeneidad entre las regiones.</w:t>
      </w:r>
      <w:r w:rsidR="00744318">
        <w:rPr>
          <w:rFonts w:ascii="Times New Roman" w:hAnsi="Times New Roman" w:cs="Times New Roman"/>
          <w:sz w:val="24"/>
          <w:szCs w:val="24"/>
        </w:rPr>
        <w:t xml:space="preserve"> Se destaca en particular el elevado nivel de bancarización en Bogotá en comparación con otras regiones, mientras que por otro lado se observan bajos niveles </w:t>
      </w:r>
      <w:r w:rsidR="00CD553B">
        <w:rPr>
          <w:rFonts w:ascii="Times New Roman" w:hAnsi="Times New Roman" w:cs="Times New Roman"/>
          <w:sz w:val="24"/>
          <w:szCs w:val="24"/>
        </w:rPr>
        <w:t>en los índices -</w:t>
      </w:r>
      <w:r w:rsidR="003F5717">
        <w:rPr>
          <w:rFonts w:ascii="Times New Roman" w:hAnsi="Times New Roman" w:cs="Times New Roman"/>
          <w:sz w:val="24"/>
          <w:szCs w:val="24"/>
        </w:rPr>
        <w:t xml:space="preserve"> </w:t>
      </w:r>
      <w:r w:rsidR="00CD553B">
        <w:rPr>
          <w:rFonts w:ascii="Times New Roman" w:hAnsi="Times New Roman" w:cs="Times New Roman"/>
          <w:sz w:val="24"/>
          <w:szCs w:val="24"/>
        </w:rPr>
        <w:t xml:space="preserve">y </w:t>
      </w:r>
      <w:r w:rsidR="00744318">
        <w:rPr>
          <w:rFonts w:ascii="Times New Roman" w:hAnsi="Times New Roman" w:cs="Times New Roman"/>
          <w:sz w:val="24"/>
          <w:szCs w:val="24"/>
        </w:rPr>
        <w:t>su crecimiento</w:t>
      </w:r>
      <w:r w:rsidR="003F5717">
        <w:rPr>
          <w:rFonts w:ascii="Times New Roman" w:hAnsi="Times New Roman" w:cs="Times New Roman"/>
          <w:sz w:val="24"/>
          <w:szCs w:val="24"/>
        </w:rPr>
        <w:t xml:space="preserve"> </w:t>
      </w:r>
      <w:r w:rsidR="00CD553B">
        <w:rPr>
          <w:rFonts w:ascii="Times New Roman" w:hAnsi="Times New Roman" w:cs="Times New Roman"/>
          <w:sz w:val="24"/>
          <w:szCs w:val="24"/>
        </w:rPr>
        <w:t>-</w:t>
      </w:r>
      <w:r w:rsidR="00744318">
        <w:rPr>
          <w:rFonts w:ascii="Times New Roman" w:hAnsi="Times New Roman" w:cs="Times New Roman"/>
          <w:sz w:val="24"/>
          <w:szCs w:val="24"/>
        </w:rPr>
        <w:t xml:space="preserve"> en las regiones </w:t>
      </w:r>
      <w:r w:rsidR="0069580B">
        <w:rPr>
          <w:rFonts w:ascii="Times New Roman" w:hAnsi="Times New Roman" w:cs="Times New Roman"/>
          <w:sz w:val="24"/>
          <w:szCs w:val="24"/>
        </w:rPr>
        <w:t>del P</w:t>
      </w:r>
      <w:r w:rsidR="00744318">
        <w:rPr>
          <w:rFonts w:ascii="Times New Roman" w:hAnsi="Times New Roman" w:cs="Times New Roman"/>
          <w:sz w:val="24"/>
          <w:szCs w:val="24"/>
        </w:rPr>
        <w:t xml:space="preserve">acífico y </w:t>
      </w:r>
      <w:r w:rsidR="0069580B">
        <w:rPr>
          <w:rFonts w:ascii="Times New Roman" w:hAnsi="Times New Roman" w:cs="Times New Roman"/>
          <w:sz w:val="24"/>
          <w:szCs w:val="24"/>
        </w:rPr>
        <w:t>la Amazonía</w:t>
      </w:r>
      <w:r w:rsidR="00744318">
        <w:rPr>
          <w:rFonts w:ascii="Times New Roman" w:hAnsi="Times New Roman" w:cs="Times New Roman"/>
          <w:sz w:val="24"/>
          <w:szCs w:val="24"/>
        </w:rPr>
        <w:t>.</w:t>
      </w:r>
      <w:r w:rsidR="0069580B">
        <w:rPr>
          <w:rFonts w:ascii="Times New Roman" w:hAnsi="Times New Roman" w:cs="Times New Roman"/>
          <w:sz w:val="24"/>
          <w:szCs w:val="24"/>
        </w:rPr>
        <w:t xml:space="preserve"> </w:t>
      </w:r>
    </w:p>
    <w:p w:rsidR="00771975" w:rsidRDefault="0069580B"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Siguiendo a </w:t>
      </w:r>
      <w:proofErr w:type="spellStart"/>
      <w:r>
        <w:rPr>
          <w:rFonts w:ascii="Times New Roman" w:hAnsi="Times New Roman" w:cs="Times New Roman"/>
          <w:sz w:val="24"/>
          <w:szCs w:val="24"/>
        </w:rPr>
        <w:t>Capera</w:t>
      </w:r>
      <w:proofErr w:type="spellEnd"/>
      <w:r>
        <w:rPr>
          <w:rFonts w:ascii="Times New Roman" w:hAnsi="Times New Roman" w:cs="Times New Roman"/>
          <w:sz w:val="24"/>
          <w:szCs w:val="24"/>
        </w:rPr>
        <w:t>-Romero y González-Arbeláez (2011), las mejoras en bancarización responden no sólo a un mejor desempeño de la industria financiera nacional, sino a políticas gubernamentales implementadas en los últimos tres años. Dentr</w:t>
      </w:r>
      <w:r w:rsidR="00D61D32">
        <w:rPr>
          <w:rFonts w:ascii="Times New Roman" w:hAnsi="Times New Roman" w:cs="Times New Roman"/>
          <w:sz w:val="24"/>
          <w:szCs w:val="24"/>
        </w:rPr>
        <w:t>o de e</w:t>
      </w:r>
      <w:r w:rsidR="00E30E12">
        <w:rPr>
          <w:rFonts w:ascii="Times New Roman" w:hAnsi="Times New Roman" w:cs="Times New Roman"/>
          <w:sz w:val="24"/>
          <w:szCs w:val="24"/>
        </w:rPr>
        <w:t xml:space="preserve">stas políticas se destacan los proyectos de ahorro de bajo monto y la regulación relativa </w:t>
      </w:r>
      <w:r w:rsidR="00C67D69">
        <w:rPr>
          <w:rFonts w:ascii="Times New Roman" w:hAnsi="Times New Roman" w:cs="Times New Roman"/>
          <w:sz w:val="24"/>
          <w:szCs w:val="24"/>
        </w:rPr>
        <w:t>al</w:t>
      </w:r>
      <w:r w:rsidR="00E30E12">
        <w:rPr>
          <w:rFonts w:ascii="Times New Roman" w:hAnsi="Times New Roman" w:cs="Times New Roman"/>
          <w:sz w:val="24"/>
          <w:szCs w:val="24"/>
        </w:rPr>
        <w:t xml:space="preserve"> número y operación de corresponsales bancarios.</w:t>
      </w:r>
      <w:r w:rsidR="00771975">
        <w:rPr>
          <w:rFonts w:ascii="Times New Roman" w:hAnsi="Times New Roman" w:cs="Times New Roman"/>
          <w:sz w:val="24"/>
          <w:szCs w:val="24"/>
        </w:rPr>
        <w:t xml:space="preserve"> </w:t>
      </w:r>
      <w:r w:rsidR="00D85366">
        <w:rPr>
          <w:rFonts w:ascii="Times New Roman" w:hAnsi="Times New Roman" w:cs="Times New Roman"/>
          <w:sz w:val="24"/>
          <w:szCs w:val="24"/>
        </w:rPr>
        <w:t xml:space="preserve">Adicionalmente, ha sido de particular importancia el desempeño y profundización de entidades como </w:t>
      </w:r>
      <w:proofErr w:type="spellStart"/>
      <w:r w:rsidR="00D85366">
        <w:rPr>
          <w:rFonts w:ascii="Times New Roman" w:hAnsi="Times New Roman" w:cs="Times New Roman"/>
          <w:sz w:val="24"/>
          <w:szCs w:val="24"/>
        </w:rPr>
        <w:t>Bancóldex</w:t>
      </w:r>
      <w:proofErr w:type="spellEnd"/>
      <w:r w:rsidR="00D85366">
        <w:rPr>
          <w:rFonts w:ascii="Times New Roman" w:hAnsi="Times New Roman" w:cs="Times New Roman"/>
          <w:sz w:val="24"/>
          <w:szCs w:val="24"/>
        </w:rPr>
        <w:t xml:space="preserve">, tal y como veremos más adelante. </w:t>
      </w:r>
      <w:r w:rsidR="00771975">
        <w:rPr>
          <w:rFonts w:ascii="Times New Roman" w:hAnsi="Times New Roman" w:cs="Times New Roman"/>
          <w:sz w:val="24"/>
          <w:szCs w:val="24"/>
        </w:rPr>
        <w:t xml:space="preserve">Sin embargo, la efectividad tanto de tales políticas </w:t>
      </w:r>
      <w:r w:rsidR="00CD553B">
        <w:rPr>
          <w:rFonts w:ascii="Times New Roman" w:hAnsi="Times New Roman" w:cs="Times New Roman"/>
          <w:sz w:val="24"/>
          <w:szCs w:val="24"/>
        </w:rPr>
        <w:t xml:space="preserve">gubernamentales </w:t>
      </w:r>
      <w:r w:rsidR="00771975">
        <w:rPr>
          <w:rFonts w:ascii="Times New Roman" w:hAnsi="Times New Roman" w:cs="Times New Roman"/>
          <w:sz w:val="24"/>
          <w:szCs w:val="24"/>
        </w:rPr>
        <w:t>como del accionar del sistema financiero ha estado directamente relacionada con el nivel de desarrollo económico y en particular de la infraestructura</w:t>
      </w:r>
      <w:r w:rsidR="00CD553B">
        <w:rPr>
          <w:rFonts w:ascii="Times New Roman" w:hAnsi="Times New Roman" w:cs="Times New Roman"/>
          <w:sz w:val="24"/>
          <w:szCs w:val="24"/>
        </w:rPr>
        <w:t xml:space="preserve"> de las regiones</w:t>
      </w:r>
      <w:r w:rsidR="00771975">
        <w:rPr>
          <w:rFonts w:ascii="Times New Roman" w:hAnsi="Times New Roman" w:cs="Times New Roman"/>
          <w:sz w:val="24"/>
          <w:szCs w:val="24"/>
        </w:rPr>
        <w:t xml:space="preserve">, motivo por el cual las </w:t>
      </w:r>
      <w:r w:rsidR="00CD553B">
        <w:rPr>
          <w:rFonts w:ascii="Times New Roman" w:hAnsi="Times New Roman" w:cs="Times New Roman"/>
          <w:sz w:val="24"/>
          <w:szCs w:val="24"/>
        </w:rPr>
        <w:t xml:space="preserve">zonas de frontera </w:t>
      </w:r>
      <w:r w:rsidR="00771975">
        <w:rPr>
          <w:rFonts w:ascii="Times New Roman" w:hAnsi="Times New Roman" w:cs="Times New Roman"/>
          <w:sz w:val="24"/>
          <w:szCs w:val="24"/>
        </w:rPr>
        <w:t>han exhibido exiguas mejoras en sus índices de bancarización, mientras que ciudades como Bogotá ha</w:t>
      </w:r>
      <w:r w:rsidR="00CD553B">
        <w:rPr>
          <w:rFonts w:ascii="Times New Roman" w:hAnsi="Times New Roman" w:cs="Times New Roman"/>
          <w:sz w:val="24"/>
          <w:szCs w:val="24"/>
        </w:rPr>
        <w:t>n</w:t>
      </w:r>
      <w:r w:rsidR="00771975">
        <w:rPr>
          <w:rFonts w:ascii="Times New Roman" w:hAnsi="Times New Roman" w:cs="Times New Roman"/>
          <w:sz w:val="24"/>
          <w:szCs w:val="24"/>
        </w:rPr>
        <w:t xml:space="preserve"> mostrado robusto</w:t>
      </w:r>
      <w:r w:rsidR="00CD553B">
        <w:rPr>
          <w:rFonts w:ascii="Times New Roman" w:hAnsi="Times New Roman" w:cs="Times New Roman"/>
          <w:sz w:val="24"/>
          <w:szCs w:val="24"/>
        </w:rPr>
        <w:t>s</w:t>
      </w:r>
      <w:r w:rsidR="00771975">
        <w:rPr>
          <w:rFonts w:ascii="Times New Roman" w:hAnsi="Times New Roman" w:cs="Times New Roman"/>
          <w:sz w:val="24"/>
          <w:szCs w:val="24"/>
        </w:rPr>
        <w:t xml:space="preserve"> crecimiento</w:t>
      </w:r>
      <w:r w:rsidR="00CD553B">
        <w:rPr>
          <w:rFonts w:ascii="Times New Roman" w:hAnsi="Times New Roman" w:cs="Times New Roman"/>
          <w:sz w:val="24"/>
          <w:szCs w:val="24"/>
        </w:rPr>
        <w:t>s</w:t>
      </w:r>
      <w:r w:rsidR="00771975">
        <w:rPr>
          <w:rFonts w:ascii="Times New Roman" w:hAnsi="Times New Roman" w:cs="Times New Roman"/>
          <w:sz w:val="24"/>
          <w:szCs w:val="24"/>
        </w:rPr>
        <w:t xml:space="preserve"> por tal concepto en los últimos años. </w:t>
      </w:r>
    </w:p>
    <w:p w:rsidR="00771975" w:rsidRDefault="00771975"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Un aspecto que podría afectar de forma positiva los índices de banca</w:t>
      </w:r>
      <w:r w:rsidR="00563B52">
        <w:rPr>
          <w:rFonts w:ascii="Times New Roman" w:hAnsi="Times New Roman" w:cs="Times New Roman"/>
          <w:sz w:val="24"/>
          <w:szCs w:val="24"/>
        </w:rPr>
        <w:t xml:space="preserve">rización agregados en Colombia - </w:t>
      </w:r>
      <w:r>
        <w:rPr>
          <w:rFonts w:ascii="Times New Roman" w:hAnsi="Times New Roman" w:cs="Times New Roman"/>
          <w:sz w:val="24"/>
          <w:szCs w:val="24"/>
        </w:rPr>
        <w:t>aunque quizá no aquellos de las regiones apartadas</w:t>
      </w:r>
      <w:r w:rsidR="00563B52">
        <w:rPr>
          <w:rFonts w:ascii="Times New Roman" w:hAnsi="Times New Roman" w:cs="Times New Roman"/>
          <w:sz w:val="24"/>
          <w:szCs w:val="24"/>
        </w:rPr>
        <w:t xml:space="preserve"> </w:t>
      </w:r>
      <w:r>
        <w:rPr>
          <w:rFonts w:ascii="Times New Roman" w:hAnsi="Times New Roman" w:cs="Times New Roman"/>
          <w:sz w:val="24"/>
          <w:szCs w:val="24"/>
        </w:rPr>
        <w:t>- es la implementación de formas alternativas de canales transaccionales como la telefonía móvil, los corresponsales bancarios, o el internet. En los últimos años</w:t>
      </w:r>
      <w:r w:rsidR="00563B52">
        <w:rPr>
          <w:rFonts w:ascii="Times New Roman" w:hAnsi="Times New Roman" w:cs="Times New Roman"/>
          <w:sz w:val="24"/>
          <w:szCs w:val="24"/>
        </w:rPr>
        <w:t>,</w:t>
      </w:r>
      <w:r>
        <w:rPr>
          <w:rFonts w:ascii="Times New Roman" w:hAnsi="Times New Roman" w:cs="Times New Roman"/>
          <w:sz w:val="24"/>
          <w:szCs w:val="24"/>
        </w:rPr>
        <w:t xml:space="preserve"> tales canales han cobrado mayor importancia </w:t>
      </w:r>
      <w:r>
        <w:rPr>
          <w:rFonts w:ascii="Times New Roman" w:hAnsi="Times New Roman" w:cs="Times New Roman"/>
          <w:sz w:val="24"/>
          <w:szCs w:val="24"/>
        </w:rPr>
        <w:lastRenderedPageBreak/>
        <w:t>relativa, lo cual podría llevar a una mayor penetración del sistema financiero en la actividad económica de mantenerse la tendencia.</w:t>
      </w:r>
      <w:r w:rsidR="00002DF2">
        <w:rPr>
          <w:rFonts w:ascii="Times New Roman" w:hAnsi="Times New Roman" w:cs="Times New Roman"/>
          <w:sz w:val="24"/>
          <w:szCs w:val="24"/>
        </w:rPr>
        <w:t xml:space="preserve"> Esto es precisamente lo que muestra el gráfico IV.</w:t>
      </w:r>
    </w:p>
    <w:p w:rsidR="00065707" w:rsidRDefault="00002DF2"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4977382" cy="292014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89737" cy="2927389"/>
                    </a:xfrm>
                    <a:prstGeom prst="rect">
                      <a:avLst/>
                    </a:prstGeom>
                    <a:noFill/>
                  </pic:spPr>
                </pic:pic>
              </a:graphicData>
            </a:graphic>
          </wp:inline>
        </w:drawing>
      </w:r>
    </w:p>
    <w:p w:rsidR="002974AC" w:rsidRDefault="002974AC" w:rsidP="00C62363">
      <w:pPr>
        <w:spacing w:line="360" w:lineRule="auto"/>
        <w:jc w:val="center"/>
        <w:rPr>
          <w:rFonts w:ascii="Times New Roman" w:hAnsi="Times New Roman" w:cs="Times New Roman"/>
          <w:sz w:val="24"/>
          <w:szCs w:val="24"/>
        </w:rPr>
      </w:pPr>
    </w:p>
    <w:p w:rsidR="00065707" w:rsidRPr="00CA6DCA" w:rsidRDefault="00993797" w:rsidP="00C62363">
      <w:pPr>
        <w:pStyle w:val="ListParagraph"/>
        <w:numPr>
          <w:ilvl w:val="0"/>
          <w:numId w:val="2"/>
        </w:numPr>
        <w:spacing w:line="360" w:lineRule="auto"/>
        <w:jc w:val="both"/>
        <w:rPr>
          <w:rFonts w:ascii="Times New Roman" w:hAnsi="Times New Roman" w:cs="Times New Roman"/>
          <w:b/>
          <w:sz w:val="24"/>
          <w:szCs w:val="24"/>
        </w:rPr>
      </w:pPr>
      <w:r w:rsidRPr="00CA6DCA">
        <w:rPr>
          <w:rFonts w:ascii="Times New Roman" w:hAnsi="Times New Roman" w:cs="Times New Roman"/>
          <w:b/>
          <w:sz w:val="24"/>
          <w:szCs w:val="24"/>
        </w:rPr>
        <w:t>Determinantes del Crédito: Situación Actual</w:t>
      </w:r>
    </w:p>
    <w:p w:rsidR="00993797" w:rsidRDefault="00993797" w:rsidP="00C62363">
      <w:pPr>
        <w:spacing w:line="360" w:lineRule="auto"/>
        <w:jc w:val="both"/>
        <w:rPr>
          <w:rFonts w:ascii="Times New Roman" w:hAnsi="Times New Roman" w:cs="Times New Roman"/>
          <w:i/>
          <w:sz w:val="24"/>
          <w:szCs w:val="24"/>
        </w:rPr>
      </w:pPr>
      <w:r w:rsidRPr="00993797">
        <w:rPr>
          <w:rFonts w:ascii="Times New Roman" w:hAnsi="Times New Roman" w:cs="Times New Roman"/>
          <w:i/>
          <w:sz w:val="24"/>
          <w:szCs w:val="24"/>
        </w:rPr>
        <w:t>Factores de Oferta</w:t>
      </w:r>
    </w:p>
    <w:p w:rsidR="004656AD" w:rsidRDefault="0093337E"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Para comprender los factores agregados que pueden afectar la oferta de créditos, es menester comenzar por el análisis de la capacidad de ahorro interno q</w:t>
      </w:r>
      <w:r w:rsidR="002974AC">
        <w:rPr>
          <w:rFonts w:ascii="Times New Roman" w:hAnsi="Times New Roman" w:cs="Times New Roman"/>
          <w:sz w:val="24"/>
          <w:szCs w:val="24"/>
        </w:rPr>
        <w:t>ue tiene el sistema financiero c</w:t>
      </w:r>
      <w:r>
        <w:rPr>
          <w:rFonts w:ascii="Times New Roman" w:hAnsi="Times New Roman" w:cs="Times New Roman"/>
          <w:sz w:val="24"/>
          <w:szCs w:val="24"/>
        </w:rPr>
        <w:t>olombiano, pues ello moldea y limita de forma crucial la cartera de créditos.</w:t>
      </w:r>
      <w:r w:rsidR="004656AD">
        <w:rPr>
          <w:rFonts w:ascii="Times New Roman" w:hAnsi="Times New Roman" w:cs="Times New Roman"/>
          <w:sz w:val="24"/>
          <w:szCs w:val="24"/>
        </w:rPr>
        <w:t xml:space="preserve"> La siguiente figura muestra cómo se compara la economía colombiana con respecto a otras economías en cuanto a la capacidad de generación interna de ahorro.</w:t>
      </w:r>
    </w:p>
    <w:p w:rsidR="0093337E" w:rsidRDefault="006F353A"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extent cx="4981574" cy="3007638"/>
            <wp:effectExtent l="0" t="0" r="0" b="254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80198" cy="3006807"/>
                    </a:xfrm>
                    <a:prstGeom prst="rect">
                      <a:avLst/>
                    </a:prstGeom>
                    <a:noFill/>
                  </pic:spPr>
                </pic:pic>
              </a:graphicData>
            </a:graphic>
          </wp:inline>
        </w:drawing>
      </w:r>
    </w:p>
    <w:p w:rsidR="00656CC3" w:rsidRDefault="00F46E19"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anterior gráfico muestra </w:t>
      </w:r>
      <w:r w:rsidR="0062078F">
        <w:rPr>
          <w:rFonts w:ascii="Times New Roman" w:hAnsi="Times New Roman" w:cs="Times New Roman"/>
          <w:sz w:val="24"/>
          <w:szCs w:val="24"/>
        </w:rPr>
        <w:t>que</w:t>
      </w:r>
      <w:r>
        <w:rPr>
          <w:rFonts w:ascii="Times New Roman" w:hAnsi="Times New Roman" w:cs="Times New Roman"/>
          <w:sz w:val="24"/>
          <w:szCs w:val="24"/>
        </w:rPr>
        <w:t xml:space="preserve"> Colombia se compara muy desfavorablemente tanto con países d</w:t>
      </w:r>
      <w:r w:rsidR="0062078F">
        <w:rPr>
          <w:rFonts w:ascii="Times New Roman" w:hAnsi="Times New Roman" w:cs="Times New Roman"/>
          <w:sz w:val="24"/>
          <w:szCs w:val="24"/>
        </w:rPr>
        <w:t>e la región, como con países de</w:t>
      </w:r>
      <w:r>
        <w:rPr>
          <w:rFonts w:ascii="Times New Roman" w:hAnsi="Times New Roman" w:cs="Times New Roman"/>
          <w:sz w:val="24"/>
          <w:szCs w:val="24"/>
        </w:rPr>
        <w:t xml:space="preserve"> ingresos</w:t>
      </w:r>
      <w:r w:rsidR="0062078F">
        <w:rPr>
          <w:rFonts w:ascii="Times New Roman" w:hAnsi="Times New Roman" w:cs="Times New Roman"/>
          <w:sz w:val="24"/>
          <w:szCs w:val="24"/>
        </w:rPr>
        <w:t xml:space="preserve"> similares</w:t>
      </w:r>
      <w:r>
        <w:rPr>
          <w:rFonts w:ascii="Times New Roman" w:hAnsi="Times New Roman" w:cs="Times New Roman"/>
          <w:sz w:val="24"/>
          <w:szCs w:val="24"/>
        </w:rPr>
        <w:t xml:space="preserve">. Lo </w:t>
      </w:r>
      <w:r w:rsidR="00F16E58">
        <w:rPr>
          <w:rFonts w:ascii="Times New Roman" w:hAnsi="Times New Roman" w:cs="Times New Roman"/>
          <w:sz w:val="24"/>
          <w:szCs w:val="24"/>
        </w:rPr>
        <w:t>anterior muestra que, en términos agregados, hay una baja capacidad de la economía colombiana para generar fondos internos que puedan ser redirigidos mediante el sistema financiero hacia el crédito.</w:t>
      </w:r>
      <w:r w:rsidR="00A53E5F">
        <w:rPr>
          <w:rFonts w:ascii="Times New Roman" w:hAnsi="Times New Roman" w:cs="Times New Roman"/>
          <w:sz w:val="24"/>
          <w:szCs w:val="24"/>
        </w:rPr>
        <w:t xml:space="preserve"> Tal y como se observa en el gráfico</w:t>
      </w:r>
      <w:r w:rsidR="00656CC3">
        <w:rPr>
          <w:rFonts w:ascii="Times New Roman" w:hAnsi="Times New Roman" w:cs="Times New Roman"/>
          <w:sz w:val="24"/>
          <w:szCs w:val="24"/>
        </w:rPr>
        <w:t xml:space="preserve"> VI</w:t>
      </w:r>
      <w:r w:rsidR="00A53E5F">
        <w:rPr>
          <w:rFonts w:ascii="Times New Roman" w:hAnsi="Times New Roman" w:cs="Times New Roman"/>
          <w:sz w:val="24"/>
          <w:szCs w:val="24"/>
        </w:rPr>
        <w:t xml:space="preserve">, </w:t>
      </w:r>
      <w:r w:rsidR="00656CC3">
        <w:rPr>
          <w:rFonts w:ascii="Times New Roman" w:hAnsi="Times New Roman" w:cs="Times New Roman"/>
          <w:sz w:val="24"/>
          <w:szCs w:val="24"/>
        </w:rPr>
        <w:t xml:space="preserve">la </w:t>
      </w:r>
      <w:proofErr w:type="spellStart"/>
      <w:r w:rsidR="00656CC3">
        <w:rPr>
          <w:rFonts w:ascii="Times New Roman" w:hAnsi="Times New Roman" w:cs="Times New Roman"/>
          <w:sz w:val="24"/>
          <w:szCs w:val="24"/>
        </w:rPr>
        <w:t>desfavorabilidad</w:t>
      </w:r>
      <w:proofErr w:type="spellEnd"/>
      <w:r w:rsidR="00656CC3">
        <w:rPr>
          <w:rFonts w:ascii="Times New Roman" w:hAnsi="Times New Roman" w:cs="Times New Roman"/>
          <w:sz w:val="24"/>
          <w:szCs w:val="24"/>
        </w:rPr>
        <w:t xml:space="preserve"> colombiana con respecto a otros países </w:t>
      </w:r>
      <w:r w:rsidR="00A53E5F">
        <w:rPr>
          <w:rFonts w:ascii="Times New Roman" w:hAnsi="Times New Roman" w:cs="Times New Roman"/>
          <w:sz w:val="24"/>
          <w:szCs w:val="24"/>
        </w:rPr>
        <w:t xml:space="preserve">no se </w:t>
      </w:r>
      <w:r w:rsidR="00656CC3">
        <w:rPr>
          <w:rFonts w:ascii="Times New Roman" w:hAnsi="Times New Roman" w:cs="Times New Roman"/>
          <w:sz w:val="24"/>
          <w:szCs w:val="24"/>
        </w:rPr>
        <w:t>explica porque la participación de los depósitos en la estructura de fondeo de los establecimientos de crédito sea baja; de hecho, históricamente los depósitos han sido la forma principal de financiación</w:t>
      </w:r>
      <w:r w:rsidR="0062078F">
        <w:rPr>
          <w:rFonts w:ascii="Times New Roman" w:hAnsi="Times New Roman" w:cs="Times New Roman"/>
          <w:sz w:val="24"/>
          <w:szCs w:val="24"/>
        </w:rPr>
        <w:t>, si bien es cierto que los títulos de deuda han adquirido importancia los últimos años</w:t>
      </w:r>
      <w:r w:rsidR="00656CC3">
        <w:rPr>
          <w:rFonts w:ascii="Times New Roman" w:hAnsi="Times New Roman" w:cs="Times New Roman"/>
          <w:sz w:val="24"/>
          <w:szCs w:val="24"/>
        </w:rPr>
        <w:t>.</w:t>
      </w:r>
      <w:r w:rsidR="00A53E5F">
        <w:rPr>
          <w:rFonts w:ascii="Times New Roman" w:hAnsi="Times New Roman" w:cs="Times New Roman"/>
          <w:sz w:val="24"/>
          <w:szCs w:val="24"/>
        </w:rPr>
        <w:t xml:space="preserve"> </w:t>
      </w:r>
      <w:r w:rsidR="00F16E58">
        <w:rPr>
          <w:rFonts w:ascii="Times New Roman" w:hAnsi="Times New Roman" w:cs="Times New Roman"/>
          <w:sz w:val="24"/>
          <w:szCs w:val="24"/>
        </w:rPr>
        <w:t xml:space="preserve"> </w:t>
      </w:r>
    </w:p>
    <w:p w:rsidR="003C4E0F" w:rsidRDefault="003C4E0F" w:rsidP="003C4E0F">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extent cx="5124450" cy="3044038"/>
            <wp:effectExtent l="0" t="0" r="0" b="444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35264" cy="3050462"/>
                    </a:xfrm>
                    <a:prstGeom prst="rect">
                      <a:avLst/>
                    </a:prstGeom>
                    <a:noFill/>
                  </pic:spPr>
                </pic:pic>
              </a:graphicData>
            </a:graphic>
          </wp:inline>
        </w:drawing>
      </w:r>
    </w:p>
    <w:p w:rsidR="00F16E58" w:rsidRDefault="00656CC3"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Por tanto, los bajos niveles de depósitos con relaci</w:t>
      </w:r>
      <w:r w:rsidR="00584253">
        <w:rPr>
          <w:rFonts w:ascii="Times New Roman" w:hAnsi="Times New Roman" w:cs="Times New Roman"/>
          <w:sz w:val="24"/>
          <w:szCs w:val="24"/>
        </w:rPr>
        <w:t xml:space="preserve">ón al producto interno bruto colombiano corresponde a una característica estructural del sistema financiero que revela </w:t>
      </w:r>
      <w:r w:rsidR="00D11816">
        <w:rPr>
          <w:rFonts w:ascii="Times New Roman" w:hAnsi="Times New Roman" w:cs="Times New Roman"/>
          <w:sz w:val="24"/>
          <w:szCs w:val="24"/>
        </w:rPr>
        <w:t>una baja capacidad</w:t>
      </w:r>
      <w:r w:rsidR="00584253">
        <w:rPr>
          <w:rFonts w:ascii="Times New Roman" w:hAnsi="Times New Roman" w:cs="Times New Roman"/>
          <w:sz w:val="24"/>
          <w:szCs w:val="24"/>
        </w:rPr>
        <w:t xml:space="preserve"> de generación interna de recursos, y no a una</w:t>
      </w:r>
      <w:r w:rsidR="002963BC">
        <w:rPr>
          <w:rFonts w:ascii="Times New Roman" w:hAnsi="Times New Roman" w:cs="Times New Roman"/>
          <w:sz w:val="24"/>
          <w:szCs w:val="24"/>
        </w:rPr>
        <w:t xml:space="preserve"> estrategia de </w:t>
      </w:r>
      <w:r w:rsidR="00584253">
        <w:rPr>
          <w:rFonts w:ascii="Times New Roman" w:hAnsi="Times New Roman" w:cs="Times New Roman"/>
          <w:sz w:val="24"/>
          <w:szCs w:val="24"/>
        </w:rPr>
        <w:t xml:space="preserve">fondeo </w:t>
      </w:r>
      <w:r>
        <w:rPr>
          <w:rFonts w:ascii="Times New Roman" w:hAnsi="Times New Roman" w:cs="Times New Roman"/>
          <w:sz w:val="24"/>
          <w:szCs w:val="24"/>
        </w:rPr>
        <w:t xml:space="preserve"> </w:t>
      </w:r>
      <w:r w:rsidR="002963BC">
        <w:rPr>
          <w:rFonts w:ascii="Times New Roman" w:hAnsi="Times New Roman" w:cs="Times New Roman"/>
          <w:sz w:val="24"/>
          <w:szCs w:val="24"/>
        </w:rPr>
        <w:t xml:space="preserve">por parte de los establecimientos de crédito colombianos. </w:t>
      </w:r>
      <w:r w:rsidR="00F16E58">
        <w:rPr>
          <w:rFonts w:ascii="Times New Roman" w:hAnsi="Times New Roman" w:cs="Times New Roman"/>
          <w:sz w:val="24"/>
          <w:szCs w:val="24"/>
        </w:rPr>
        <w:t>La forma en que tal situación determina la oferta de créditos en Colombia se puede comprender mejor a partir de la siguiente figura.</w:t>
      </w:r>
    </w:p>
    <w:p w:rsidR="00F16E58" w:rsidRDefault="005C065C"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5124450" cy="3097318"/>
            <wp:effectExtent l="0" t="0" r="0" b="825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23840" cy="3096949"/>
                    </a:xfrm>
                    <a:prstGeom prst="rect">
                      <a:avLst/>
                    </a:prstGeom>
                    <a:noFill/>
                  </pic:spPr>
                </pic:pic>
              </a:graphicData>
            </a:graphic>
          </wp:inline>
        </w:drawing>
      </w:r>
    </w:p>
    <w:p w:rsidR="00C128B2" w:rsidRDefault="009D2286"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Tal y como lo muestra el gráfico</w:t>
      </w:r>
      <w:r w:rsidR="008949E7">
        <w:rPr>
          <w:rFonts w:ascii="Times New Roman" w:hAnsi="Times New Roman" w:cs="Times New Roman"/>
          <w:sz w:val="24"/>
          <w:szCs w:val="24"/>
        </w:rPr>
        <w:t xml:space="preserve"> anterior</w:t>
      </w:r>
      <w:r>
        <w:rPr>
          <w:rFonts w:ascii="Times New Roman" w:hAnsi="Times New Roman" w:cs="Times New Roman"/>
          <w:sz w:val="24"/>
          <w:szCs w:val="24"/>
        </w:rPr>
        <w:t>, el crecimiento de la cartera bruta colombiana en los últimos die</w:t>
      </w:r>
      <w:r w:rsidR="008949E7">
        <w:rPr>
          <w:rFonts w:ascii="Times New Roman" w:hAnsi="Times New Roman" w:cs="Times New Roman"/>
          <w:sz w:val="24"/>
          <w:szCs w:val="24"/>
        </w:rPr>
        <w:t>z años no ha estado fundamentado</w:t>
      </w:r>
      <w:r>
        <w:rPr>
          <w:rFonts w:ascii="Times New Roman" w:hAnsi="Times New Roman" w:cs="Times New Roman"/>
          <w:sz w:val="24"/>
          <w:szCs w:val="24"/>
        </w:rPr>
        <w:t xml:space="preserve"> en un crecimiento subyacente de la </w:t>
      </w:r>
      <w:r>
        <w:rPr>
          <w:rFonts w:ascii="Times New Roman" w:hAnsi="Times New Roman" w:cs="Times New Roman"/>
          <w:sz w:val="24"/>
          <w:szCs w:val="24"/>
        </w:rPr>
        <w:lastRenderedPageBreak/>
        <w:t xml:space="preserve">capacidad interna de ahorro colombiano. Tal creciente desproporción explica los motivos por el cual los establecimientos de crédito tienen una marcada preferencia por las carteras de crédito que </w:t>
      </w:r>
      <w:r w:rsidR="00213D6F">
        <w:rPr>
          <w:rFonts w:ascii="Times New Roman" w:hAnsi="Times New Roman" w:cs="Times New Roman"/>
          <w:sz w:val="24"/>
          <w:szCs w:val="24"/>
        </w:rPr>
        <w:t xml:space="preserve">representan un menor riesgo </w:t>
      </w:r>
      <w:r w:rsidR="00213D6F" w:rsidRPr="00213D6F">
        <w:rPr>
          <w:rFonts w:ascii="Times New Roman" w:hAnsi="Times New Roman" w:cs="Times New Roman"/>
          <w:i/>
          <w:sz w:val="24"/>
          <w:szCs w:val="24"/>
        </w:rPr>
        <w:t>ex-ante</w:t>
      </w:r>
      <w:r w:rsidR="007D4263">
        <w:rPr>
          <w:rFonts w:ascii="Times New Roman" w:hAnsi="Times New Roman" w:cs="Times New Roman"/>
          <w:sz w:val="24"/>
          <w:szCs w:val="24"/>
        </w:rPr>
        <w:t>, pues de lo contrario lo</w:t>
      </w:r>
      <w:r w:rsidR="001E1F89">
        <w:rPr>
          <w:rFonts w:ascii="Times New Roman" w:hAnsi="Times New Roman" w:cs="Times New Roman"/>
          <w:sz w:val="24"/>
          <w:szCs w:val="24"/>
        </w:rPr>
        <w:t xml:space="preserve">s crecimientos en </w:t>
      </w:r>
      <w:r w:rsidR="007D4263">
        <w:rPr>
          <w:rFonts w:ascii="Times New Roman" w:hAnsi="Times New Roman" w:cs="Times New Roman"/>
          <w:sz w:val="24"/>
          <w:szCs w:val="24"/>
        </w:rPr>
        <w:t>la actividad de los establecimientos de crédito estarían asociados directamente a una mayor inestabilidad de los mismos</w:t>
      </w:r>
      <w:r w:rsidR="00213D6F">
        <w:rPr>
          <w:rFonts w:ascii="Times New Roman" w:hAnsi="Times New Roman" w:cs="Times New Roman"/>
          <w:sz w:val="24"/>
          <w:szCs w:val="24"/>
        </w:rPr>
        <w:t xml:space="preserve">. </w:t>
      </w:r>
      <w:r w:rsidR="007D4263">
        <w:rPr>
          <w:rFonts w:ascii="Times New Roman" w:hAnsi="Times New Roman" w:cs="Times New Roman"/>
          <w:sz w:val="24"/>
          <w:szCs w:val="24"/>
        </w:rPr>
        <w:t xml:space="preserve">Esto explica </w:t>
      </w:r>
      <w:r w:rsidR="00C128B2">
        <w:rPr>
          <w:rFonts w:ascii="Times New Roman" w:hAnsi="Times New Roman" w:cs="Times New Roman"/>
          <w:sz w:val="24"/>
          <w:szCs w:val="24"/>
        </w:rPr>
        <w:t xml:space="preserve">en parte </w:t>
      </w:r>
      <w:r w:rsidR="007D4263">
        <w:rPr>
          <w:rFonts w:ascii="Times New Roman" w:hAnsi="Times New Roman" w:cs="Times New Roman"/>
          <w:sz w:val="24"/>
          <w:szCs w:val="24"/>
        </w:rPr>
        <w:t xml:space="preserve">el motivo por el cual estructuralmente la cartera de microcrédito ha tenido una muy baja participación con respecto a la cartera bruta de créditos, pues tal modalidad de crédito se caracteriza por tener los peores indicadores de calidad, ya sea por vencimiento </w:t>
      </w:r>
      <w:r w:rsidR="00C41109">
        <w:rPr>
          <w:rFonts w:ascii="Times New Roman" w:hAnsi="Times New Roman" w:cs="Times New Roman"/>
          <w:sz w:val="24"/>
          <w:szCs w:val="24"/>
        </w:rPr>
        <w:t xml:space="preserve">(5,21% de los microcréditos están vencidos) </w:t>
      </w:r>
      <w:r w:rsidR="00BC1F18">
        <w:rPr>
          <w:rFonts w:ascii="Times New Roman" w:hAnsi="Times New Roman" w:cs="Times New Roman"/>
          <w:sz w:val="24"/>
          <w:szCs w:val="24"/>
        </w:rPr>
        <w:t>o por calificación</w:t>
      </w:r>
      <w:r w:rsidR="00C41109">
        <w:rPr>
          <w:rFonts w:ascii="Times New Roman" w:hAnsi="Times New Roman" w:cs="Times New Roman"/>
          <w:sz w:val="24"/>
          <w:szCs w:val="24"/>
        </w:rPr>
        <w:t xml:space="preserve"> (7,5% de los microcréditos son de baja calificación)</w:t>
      </w:r>
      <w:r w:rsidR="00CA1A6A">
        <w:rPr>
          <w:rStyle w:val="FootnoteReference"/>
          <w:rFonts w:ascii="Times New Roman" w:hAnsi="Times New Roman" w:cs="Times New Roman"/>
          <w:sz w:val="24"/>
          <w:szCs w:val="24"/>
        </w:rPr>
        <w:footnoteReference w:id="3"/>
      </w:r>
      <w:r w:rsidR="00BC1F18">
        <w:rPr>
          <w:rFonts w:ascii="Times New Roman" w:hAnsi="Times New Roman" w:cs="Times New Roman"/>
          <w:sz w:val="24"/>
          <w:szCs w:val="24"/>
        </w:rPr>
        <w:t xml:space="preserve">. </w:t>
      </w:r>
    </w:p>
    <w:p w:rsidR="00C128B2" w:rsidRDefault="00C128B2" w:rsidP="00C128B2">
      <w:pPr>
        <w:spacing w:line="360" w:lineRule="auto"/>
        <w:jc w:val="both"/>
        <w:rPr>
          <w:rFonts w:ascii="Times New Roman" w:hAnsi="Times New Roman" w:cs="Times New Roman"/>
          <w:i/>
          <w:sz w:val="24"/>
          <w:szCs w:val="24"/>
        </w:rPr>
      </w:pPr>
      <w:r w:rsidRPr="00633BA0">
        <w:rPr>
          <w:rFonts w:ascii="Times New Roman" w:hAnsi="Times New Roman" w:cs="Times New Roman"/>
          <w:i/>
          <w:sz w:val="24"/>
          <w:szCs w:val="24"/>
        </w:rPr>
        <w:t>Factores de demanda</w:t>
      </w:r>
    </w:p>
    <w:p w:rsidR="003544FE" w:rsidRDefault="00CE3CFC"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distribución del crédito tanto por criterios geográficos como por cartera responde en gran medida a factores de demanda, si bien es cierto que los factores de oferta inciden de forma importante. </w:t>
      </w:r>
      <w:r w:rsidR="003544FE">
        <w:rPr>
          <w:rFonts w:ascii="Times New Roman" w:hAnsi="Times New Roman" w:cs="Times New Roman"/>
          <w:sz w:val="24"/>
          <w:szCs w:val="24"/>
        </w:rPr>
        <w:t>La siguiente gráfica muestra la distribución de la cartera bruta</w:t>
      </w:r>
      <w:r>
        <w:rPr>
          <w:rFonts w:ascii="Times New Roman" w:hAnsi="Times New Roman" w:cs="Times New Roman"/>
          <w:sz w:val="24"/>
          <w:szCs w:val="24"/>
        </w:rPr>
        <w:t xml:space="preserve"> por tipo de crédito</w:t>
      </w:r>
      <w:r w:rsidR="003544FE">
        <w:rPr>
          <w:rFonts w:ascii="Times New Roman" w:hAnsi="Times New Roman" w:cs="Times New Roman"/>
          <w:sz w:val="24"/>
          <w:szCs w:val="24"/>
        </w:rPr>
        <w:t xml:space="preserve"> en la actualidad:</w:t>
      </w:r>
    </w:p>
    <w:p w:rsidR="003544FE" w:rsidRDefault="00CE3CFC"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4901116" cy="302966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06415" cy="3032937"/>
                    </a:xfrm>
                    <a:prstGeom prst="rect">
                      <a:avLst/>
                    </a:prstGeom>
                    <a:noFill/>
                  </pic:spPr>
                </pic:pic>
              </a:graphicData>
            </a:graphic>
          </wp:inline>
        </w:drawing>
      </w:r>
    </w:p>
    <w:p w:rsidR="003606CF" w:rsidRDefault="003544FE"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El hecho de que l</w:t>
      </w:r>
      <w:r w:rsidR="00CA1A6A">
        <w:rPr>
          <w:rFonts w:ascii="Times New Roman" w:hAnsi="Times New Roman" w:cs="Times New Roman"/>
          <w:sz w:val="24"/>
          <w:szCs w:val="24"/>
        </w:rPr>
        <w:t xml:space="preserve">a cartera de microcréditos históricamente haya sido la menos representativa de las modalidades de crédito </w:t>
      </w:r>
      <w:r w:rsidR="008C4A02">
        <w:rPr>
          <w:rFonts w:ascii="Times New Roman" w:hAnsi="Times New Roman" w:cs="Times New Roman"/>
          <w:sz w:val="24"/>
          <w:szCs w:val="24"/>
        </w:rPr>
        <w:t xml:space="preserve">tiene que ver en parte con que el valor </w:t>
      </w:r>
      <w:r w:rsidR="008C4A02">
        <w:rPr>
          <w:rFonts w:ascii="Times New Roman" w:hAnsi="Times New Roman" w:cs="Times New Roman"/>
          <w:sz w:val="24"/>
          <w:szCs w:val="24"/>
        </w:rPr>
        <w:lastRenderedPageBreak/>
        <w:t xml:space="preserve">monetario de las necesidades financieras comerciales es mayor para las empresas grandes que para las pequeñas. </w:t>
      </w:r>
    </w:p>
    <w:p w:rsidR="00DF2586" w:rsidRDefault="008C4A02"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Pese a su baja participación, el crecimiento de la cartera de microcréditos </w:t>
      </w:r>
      <w:r w:rsidR="002974AC">
        <w:rPr>
          <w:rFonts w:ascii="Times New Roman" w:hAnsi="Times New Roman" w:cs="Times New Roman"/>
          <w:sz w:val="24"/>
          <w:szCs w:val="24"/>
        </w:rPr>
        <w:t>se ha acelerado en los</w:t>
      </w:r>
      <w:r w:rsidR="00CA1A6A">
        <w:rPr>
          <w:rFonts w:ascii="Times New Roman" w:hAnsi="Times New Roman" w:cs="Times New Roman"/>
          <w:sz w:val="24"/>
          <w:szCs w:val="24"/>
        </w:rPr>
        <w:t xml:space="preserve"> últimos años. </w:t>
      </w:r>
      <w:r w:rsidR="00BF3D97">
        <w:rPr>
          <w:rFonts w:ascii="Times New Roman" w:hAnsi="Times New Roman" w:cs="Times New Roman"/>
          <w:sz w:val="24"/>
          <w:szCs w:val="24"/>
        </w:rPr>
        <w:t>Si bien es cierto que esto responde en parte a los mayores niveles de bancarización (lo cual se traduce en un aumento de la cuantía de las necesidades financieras de micro y pequeños empresarios que son canalizadas por el sistema financiero), también hay factores de oferta que están afectando la referida tendencia. S</w:t>
      </w:r>
      <w:r w:rsidR="00CA1A6A">
        <w:rPr>
          <w:rFonts w:ascii="Times New Roman" w:hAnsi="Times New Roman" w:cs="Times New Roman"/>
          <w:sz w:val="24"/>
          <w:szCs w:val="24"/>
        </w:rPr>
        <w:t xml:space="preserve">iguiendo a </w:t>
      </w:r>
      <w:proofErr w:type="spellStart"/>
      <w:r w:rsidR="00CA1A6A">
        <w:rPr>
          <w:rFonts w:ascii="Times New Roman" w:hAnsi="Times New Roman" w:cs="Times New Roman"/>
          <w:sz w:val="24"/>
          <w:szCs w:val="24"/>
        </w:rPr>
        <w:t>Capera</w:t>
      </w:r>
      <w:proofErr w:type="spellEnd"/>
      <w:r w:rsidR="00CA1A6A">
        <w:rPr>
          <w:rFonts w:ascii="Times New Roman" w:hAnsi="Times New Roman" w:cs="Times New Roman"/>
          <w:sz w:val="24"/>
          <w:szCs w:val="24"/>
        </w:rPr>
        <w:t>-Romero y González-Arbeláez (2011), los desembolsos por tal</w:t>
      </w:r>
      <w:r w:rsidR="00BF3D97">
        <w:rPr>
          <w:rFonts w:ascii="Times New Roman" w:hAnsi="Times New Roman" w:cs="Times New Roman"/>
          <w:sz w:val="24"/>
          <w:szCs w:val="24"/>
        </w:rPr>
        <w:t xml:space="preserve"> tipo de crédito han crecido en parte debido </w:t>
      </w:r>
      <w:r w:rsidR="00CA1A6A">
        <w:rPr>
          <w:rFonts w:ascii="Times New Roman" w:hAnsi="Times New Roman" w:cs="Times New Roman"/>
          <w:sz w:val="24"/>
          <w:szCs w:val="24"/>
        </w:rPr>
        <w:t>al ingres</w:t>
      </w:r>
      <w:r w:rsidR="00DF2586">
        <w:rPr>
          <w:rFonts w:ascii="Times New Roman" w:hAnsi="Times New Roman" w:cs="Times New Roman"/>
          <w:sz w:val="24"/>
          <w:szCs w:val="24"/>
        </w:rPr>
        <w:t>o</w:t>
      </w:r>
      <w:r w:rsidR="00BF3D97">
        <w:rPr>
          <w:rFonts w:ascii="Times New Roman" w:hAnsi="Times New Roman" w:cs="Times New Roman"/>
          <w:sz w:val="24"/>
          <w:szCs w:val="24"/>
        </w:rPr>
        <w:t xml:space="preserve"> de entidades bancarias dedicadas exclusivamente a tal actividad crediticia</w:t>
      </w:r>
      <w:r w:rsidR="00DF2586">
        <w:rPr>
          <w:rFonts w:ascii="Times New Roman" w:hAnsi="Times New Roman" w:cs="Times New Roman"/>
          <w:sz w:val="24"/>
          <w:szCs w:val="24"/>
        </w:rPr>
        <w:t xml:space="preserve"> al sistema. </w:t>
      </w:r>
      <w:r w:rsidR="00E1127A">
        <w:rPr>
          <w:rFonts w:ascii="Times New Roman" w:hAnsi="Times New Roman" w:cs="Times New Roman"/>
          <w:sz w:val="24"/>
          <w:szCs w:val="24"/>
        </w:rPr>
        <w:t>Por otro lado, tal modalidad de crédito también ha venido respondiendo positivamente a la redefinición hecha de ella en marzo del 2008, momento en el cual se amplió el tope máximo a prestar de 5.000 hasta 26.000 dólares</w:t>
      </w:r>
      <w:r w:rsidR="005E24CB">
        <w:rPr>
          <w:rFonts w:ascii="Times New Roman" w:hAnsi="Times New Roman" w:cs="Times New Roman"/>
          <w:sz w:val="24"/>
          <w:szCs w:val="24"/>
        </w:rPr>
        <w:t xml:space="preserve">, con lo cual </w:t>
      </w:r>
      <w:r w:rsidR="003606CF">
        <w:rPr>
          <w:rFonts w:ascii="Times New Roman" w:hAnsi="Times New Roman" w:cs="Times New Roman"/>
          <w:sz w:val="24"/>
          <w:szCs w:val="24"/>
        </w:rPr>
        <w:t xml:space="preserve">esa cartera </w:t>
      </w:r>
      <w:r w:rsidR="005E24CB">
        <w:rPr>
          <w:rFonts w:ascii="Times New Roman" w:hAnsi="Times New Roman" w:cs="Times New Roman"/>
          <w:sz w:val="24"/>
          <w:szCs w:val="24"/>
        </w:rPr>
        <w:t>ha absorbido una cuantía del crecimiento de lo que antes era considerado como crédito comercial</w:t>
      </w:r>
      <w:r w:rsidR="00CD553B">
        <w:rPr>
          <w:rFonts w:ascii="Times New Roman" w:hAnsi="Times New Roman" w:cs="Times New Roman"/>
          <w:sz w:val="24"/>
          <w:szCs w:val="24"/>
        </w:rPr>
        <w:t xml:space="preserve">. </w:t>
      </w:r>
      <w:r w:rsidR="00DF2586">
        <w:rPr>
          <w:rFonts w:ascii="Times New Roman" w:hAnsi="Times New Roman" w:cs="Times New Roman"/>
          <w:sz w:val="24"/>
          <w:szCs w:val="24"/>
        </w:rPr>
        <w:t>Tal comportamiento contrasta con lo que ha venido ocurriendo en las otras modalidades de crédito, como lo muestra el siguiente gráfico.</w:t>
      </w:r>
    </w:p>
    <w:p w:rsidR="003544FE" w:rsidRDefault="005E24CB"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5268566" cy="3110426"/>
            <wp:effectExtent l="0" t="0" r="889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76616" cy="3115179"/>
                    </a:xfrm>
                    <a:prstGeom prst="rect">
                      <a:avLst/>
                    </a:prstGeom>
                    <a:noFill/>
                  </pic:spPr>
                </pic:pic>
              </a:graphicData>
            </a:graphic>
          </wp:inline>
        </w:drawing>
      </w:r>
    </w:p>
    <w:p w:rsidR="00CF4495" w:rsidRDefault="00CF4495" w:rsidP="00CF449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reducción en los desembolsos observado en el gráfico </w:t>
      </w:r>
      <w:r w:rsidR="002974AC">
        <w:rPr>
          <w:rFonts w:ascii="Times New Roman" w:hAnsi="Times New Roman" w:cs="Times New Roman"/>
          <w:sz w:val="24"/>
          <w:szCs w:val="24"/>
        </w:rPr>
        <w:t>I</w:t>
      </w:r>
      <w:r>
        <w:rPr>
          <w:rFonts w:ascii="Times New Roman" w:hAnsi="Times New Roman" w:cs="Times New Roman"/>
          <w:sz w:val="24"/>
          <w:szCs w:val="24"/>
        </w:rPr>
        <w:t xml:space="preserve">X responde tanto a factores de demanda como a factores de oferta. En cuanto a los elementos de demanda, la </w:t>
      </w:r>
      <w:r>
        <w:rPr>
          <w:rFonts w:ascii="Times New Roman" w:hAnsi="Times New Roman" w:cs="Times New Roman"/>
          <w:sz w:val="24"/>
          <w:szCs w:val="24"/>
        </w:rPr>
        <w:lastRenderedPageBreak/>
        <w:t>desaceleración observada en el crecimiento del producto en el segundo semestre del 2012</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w:t>
      </w:r>
      <w:r w:rsidR="000879E4">
        <w:rPr>
          <w:rFonts w:ascii="Times New Roman" w:hAnsi="Times New Roman" w:cs="Times New Roman"/>
          <w:sz w:val="24"/>
          <w:szCs w:val="24"/>
        </w:rPr>
        <w:t>y el</w:t>
      </w:r>
      <w:r>
        <w:rPr>
          <w:rFonts w:ascii="Times New Roman" w:hAnsi="Times New Roman" w:cs="Times New Roman"/>
          <w:sz w:val="24"/>
          <w:szCs w:val="24"/>
        </w:rPr>
        <w:t xml:space="preserve"> ambiente internacional enrarecido</w:t>
      </w:r>
      <w:r w:rsidR="000879E4">
        <w:rPr>
          <w:rFonts w:ascii="Times New Roman" w:hAnsi="Times New Roman" w:cs="Times New Roman"/>
          <w:sz w:val="24"/>
          <w:szCs w:val="24"/>
        </w:rPr>
        <w:t>, pueden ser parte de la explicación del enfriamiento crediticio reciente</w:t>
      </w:r>
      <w:r>
        <w:rPr>
          <w:rFonts w:ascii="Times New Roman" w:hAnsi="Times New Roman" w:cs="Times New Roman"/>
          <w:sz w:val="24"/>
          <w:szCs w:val="24"/>
        </w:rPr>
        <w:t>. De acuerdo con recientes reportes por parte del Banco Central de Colombia, el enfriamiento reciente del producto es el resultado entre otros factores de la desaceleración en los índices de inversión por concepto de obras civiles y construcción. Lo anterior explica también la reducción en los desembolsos en la modalidad de crédito de vivienda.</w:t>
      </w:r>
    </w:p>
    <w:p w:rsidR="005344CC" w:rsidRDefault="00CF4495"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enfriamiento de la economía también pudo incidir en </w:t>
      </w:r>
      <w:r w:rsidR="00DF09C8">
        <w:rPr>
          <w:rFonts w:ascii="Times New Roman" w:hAnsi="Times New Roman" w:cs="Times New Roman"/>
          <w:sz w:val="24"/>
          <w:szCs w:val="24"/>
        </w:rPr>
        <w:t xml:space="preserve">la reducción de </w:t>
      </w:r>
      <w:r>
        <w:rPr>
          <w:rFonts w:ascii="Times New Roman" w:hAnsi="Times New Roman" w:cs="Times New Roman"/>
          <w:sz w:val="24"/>
          <w:szCs w:val="24"/>
        </w:rPr>
        <w:t xml:space="preserve">los desembolsos </w:t>
      </w:r>
      <w:r w:rsidR="00E744E3">
        <w:rPr>
          <w:rFonts w:ascii="Times New Roman" w:hAnsi="Times New Roman" w:cs="Times New Roman"/>
          <w:sz w:val="24"/>
          <w:szCs w:val="24"/>
        </w:rPr>
        <w:t xml:space="preserve"> </w:t>
      </w:r>
      <w:r w:rsidR="00DF09C8">
        <w:rPr>
          <w:rFonts w:ascii="Times New Roman" w:hAnsi="Times New Roman" w:cs="Times New Roman"/>
          <w:sz w:val="24"/>
          <w:szCs w:val="24"/>
        </w:rPr>
        <w:t xml:space="preserve">mediante factores de oferta. Lo anterior, </w:t>
      </w:r>
      <w:r w:rsidR="00E744E3">
        <w:rPr>
          <w:rFonts w:ascii="Times New Roman" w:hAnsi="Times New Roman" w:cs="Times New Roman"/>
          <w:sz w:val="24"/>
          <w:szCs w:val="24"/>
        </w:rPr>
        <w:t xml:space="preserve">pues el referido enfriamiento de la economía también lleva a que los bancos comerciales opten por políticas crediticias más </w:t>
      </w:r>
      <w:r w:rsidR="00540880">
        <w:rPr>
          <w:rFonts w:ascii="Times New Roman" w:hAnsi="Times New Roman" w:cs="Times New Roman"/>
          <w:sz w:val="24"/>
          <w:szCs w:val="24"/>
        </w:rPr>
        <w:t>cautelosas</w:t>
      </w:r>
      <w:r w:rsidR="00E744E3">
        <w:rPr>
          <w:rFonts w:ascii="Times New Roman" w:hAnsi="Times New Roman" w:cs="Times New Roman"/>
          <w:sz w:val="24"/>
          <w:szCs w:val="24"/>
        </w:rPr>
        <w:t xml:space="preserve"> en términos de montos y exigibilidades. </w:t>
      </w:r>
    </w:p>
    <w:p w:rsidR="000A4B8B" w:rsidRDefault="00DF09C8"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Pese a la existencia de </w:t>
      </w:r>
      <w:r w:rsidR="00ED7E0A">
        <w:rPr>
          <w:rFonts w:ascii="Times New Roman" w:hAnsi="Times New Roman" w:cs="Times New Roman"/>
          <w:sz w:val="24"/>
          <w:szCs w:val="24"/>
        </w:rPr>
        <w:t xml:space="preserve">factores </w:t>
      </w:r>
      <w:r w:rsidR="000879E4">
        <w:rPr>
          <w:rFonts w:ascii="Times New Roman" w:hAnsi="Times New Roman" w:cs="Times New Roman"/>
          <w:sz w:val="24"/>
          <w:szCs w:val="24"/>
        </w:rPr>
        <w:t>que han atenuado el crecimiento de la</w:t>
      </w:r>
      <w:r>
        <w:rPr>
          <w:rFonts w:ascii="Times New Roman" w:hAnsi="Times New Roman" w:cs="Times New Roman"/>
          <w:sz w:val="24"/>
          <w:szCs w:val="24"/>
        </w:rPr>
        <w:t xml:space="preserve"> actividad crediticia</w:t>
      </w:r>
      <w:r w:rsidR="00ED7E0A">
        <w:rPr>
          <w:rFonts w:ascii="Times New Roman" w:hAnsi="Times New Roman" w:cs="Times New Roman"/>
          <w:sz w:val="24"/>
          <w:szCs w:val="24"/>
        </w:rPr>
        <w:t>, l</w:t>
      </w:r>
      <w:r w:rsidR="005344CC">
        <w:rPr>
          <w:rFonts w:ascii="Times New Roman" w:hAnsi="Times New Roman" w:cs="Times New Roman"/>
          <w:sz w:val="24"/>
          <w:szCs w:val="24"/>
        </w:rPr>
        <w:t>as decisiones de política monetaria por parte</w:t>
      </w:r>
      <w:r w:rsidR="00ED7E0A">
        <w:rPr>
          <w:rFonts w:ascii="Times New Roman" w:hAnsi="Times New Roman" w:cs="Times New Roman"/>
          <w:sz w:val="24"/>
          <w:szCs w:val="24"/>
        </w:rPr>
        <w:t xml:space="preserve"> del Banco Central de Colombia pu</w:t>
      </w:r>
      <w:r w:rsidR="003606CF">
        <w:rPr>
          <w:rFonts w:ascii="Times New Roman" w:hAnsi="Times New Roman" w:cs="Times New Roman"/>
          <w:sz w:val="24"/>
          <w:szCs w:val="24"/>
        </w:rPr>
        <w:t>eden contrarrestar tales efectos</w:t>
      </w:r>
      <w:r w:rsidR="00ED7E0A">
        <w:rPr>
          <w:rFonts w:ascii="Times New Roman" w:hAnsi="Times New Roman" w:cs="Times New Roman"/>
          <w:sz w:val="24"/>
          <w:szCs w:val="24"/>
        </w:rPr>
        <w:t>. Así, la reducción observada en el último año en las tasas de intervención -</w:t>
      </w:r>
      <w:r w:rsidR="00920830">
        <w:rPr>
          <w:rFonts w:ascii="Times New Roman" w:hAnsi="Times New Roman" w:cs="Times New Roman"/>
          <w:sz w:val="24"/>
          <w:szCs w:val="24"/>
        </w:rPr>
        <w:t xml:space="preserve"> </w:t>
      </w:r>
      <w:r w:rsidR="00ED7E0A">
        <w:rPr>
          <w:rFonts w:ascii="Times New Roman" w:hAnsi="Times New Roman" w:cs="Times New Roman"/>
          <w:sz w:val="24"/>
          <w:szCs w:val="24"/>
        </w:rPr>
        <w:t>las</w:t>
      </w:r>
      <w:r w:rsidR="005344CC">
        <w:rPr>
          <w:rFonts w:ascii="Times New Roman" w:hAnsi="Times New Roman" w:cs="Times New Roman"/>
          <w:sz w:val="24"/>
          <w:szCs w:val="24"/>
        </w:rPr>
        <w:t xml:space="preserve"> cual</w:t>
      </w:r>
      <w:r w:rsidR="00ED7E0A">
        <w:rPr>
          <w:rFonts w:ascii="Times New Roman" w:hAnsi="Times New Roman" w:cs="Times New Roman"/>
          <w:sz w:val="24"/>
          <w:szCs w:val="24"/>
        </w:rPr>
        <w:t>es</w:t>
      </w:r>
      <w:r w:rsidR="005344CC">
        <w:rPr>
          <w:rFonts w:ascii="Times New Roman" w:hAnsi="Times New Roman" w:cs="Times New Roman"/>
          <w:sz w:val="24"/>
          <w:szCs w:val="24"/>
        </w:rPr>
        <w:t xml:space="preserve"> ha</w:t>
      </w:r>
      <w:r w:rsidR="00ED7E0A">
        <w:rPr>
          <w:rFonts w:ascii="Times New Roman" w:hAnsi="Times New Roman" w:cs="Times New Roman"/>
          <w:sz w:val="24"/>
          <w:szCs w:val="24"/>
        </w:rPr>
        <w:t>n</w:t>
      </w:r>
      <w:r w:rsidR="005344CC">
        <w:rPr>
          <w:rFonts w:ascii="Times New Roman" w:hAnsi="Times New Roman" w:cs="Times New Roman"/>
          <w:sz w:val="24"/>
          <w:szCs w:val="24"/>
        </w:rPr>
        <w:t xml:space="preserve"> bajado desde </w:t>
      </w:r>
      <w:r w:rsidR="00ED7E0A">
        <w:rPr>
          <w:rFonts w:ascii="Times New Roman" w:hAnsi="Times New Roman" w:cs="Times New Roman"/>
          <w:sz w:val="24"/>
          <w:szCs w:val="24"/>
        </w:rPr>
        <w:t xml:space="preserve">5,25% </w:t>
      </w:r>
      <w:r w:rsidR="005344CC">
        <w:rPr>
          <w:rFonts w:ascii="Times New Roman" w:hAnsi="Times New Roman" w:cs="Times New Roman"/>
          <w:sz w:val="24"/>
          <w:szCs w:val="24"/>
        </w:rPr>
        <w:t xml:space="preserve">hasta el nivel </w:t>
      </w:r>
      <w:r w:rsidR="00ED7E0A">
        <w:rPr>
          <w:rFonts w:ascii="Times New Roman" w:hAnsi="Times New Roman" w:cs="Times New Roman"/>
          <w:sz w:val="24"/>
          <w:szCs w:val="24"/>
        </w:rPr>
        <w:t>actual de</w:t>
      </w:r>
      <w:r w:rsidR="00CD553B">
        <w:rPr>
          <w:rFonts w:ascii="Times New Roman" w:hAnsi="Times New Roman" w:cs="Times New Roman"/>
          <w:sz w:val="24"/>
          <w:szCs w:val="24"/>
        </w:rPr>
        <w:t xml:space="preserve"> 3,75</w:t>
      </w:r>
      <w:r w:rsidR="005344CC">
        <w:rPr>
          <w:rFonts w:ascii="Times New Roman" w:hAnsi="Times New Roman" w:cs="Times New Roman"/>
          <w:sz w:val="24"/>
          <w:szCs w:val="24"/>
        </w:rPr>
        <w:t>%</w:t>
      </w:r>
      <w:r w:rsidR="00920830">
        <w:rPr>
          <w:rFonts w:ascii="Times New Roman" w:hAnsi="Times New Roman" w:cs="Times New Roman"/>
          <w:sz w:val="24"/>
          <w:szCs w:val="24"/>
        </w:rPr>
        <w:t xml:space="preserve"> </w:t>
      </w:r>
      <w:r w:rsidR="00ED7E0A">
        <w:rPr>
          <w:rFonts w:ascii="Times New Roman" w:hAnsi="Times New Roman" w:cs="Times New Roman"/>
          <w:sz w:val="24"/>
          <w:szCs w:val="24"/>
        </w:rPr>
        <w:t xml:space="preserve">- se puede analizar como un impulso a la actividad crediticia que puede surtir efecto en el futuro próximo. </w:t>
      </w:r>
      <w:r w:rsidR="00920830">
        <w:rPr>
          <w:rFonts w:ascii="Times New Roman" w:hAnsi="Times New Roman" w:cs="Times New Roman"/>
          <w:sz w:val="24"/>
          <w:szCs w:val="24"/>
        </w:rPr>
        <w:t>El gráfico X</w:t>
      </w:r>
      <w:r w:rsidR="00B11087">
        <w:rPr>
          <w:rFonts w:ascii="Times New Roman" w:hAnsi="Times New Roman" w:cs="Times New Roman"/>
          <w:sz w:val="24"/>
          <w:szCs w:val="24"/>
        </w:rPr>
        <w:t xml:space="preserve"> muestra cómo </w:t>
      </w:r>
      <w:r w:rsidR="000A4B8B">
        <w:rPr>
          <w:rFonts w:ascii="Times New Roman" w:hAnsi="Times New Roman" w:cs="Times New Roman"/>
          <w:sz w:val="24"/>
          <w:szCs w:val="24"/>
        </w:rPr>
        <w:t>la fluctuación en la tasa de intervención determina fluctuaciones en el mismo sentido de las tasas de interés cobradas por las distintas modalidades de crédito. El hecho de que ha habido reducciones en el último semestre, combinado con las probables reducciones que se avecinan en los próximos meses, implica que el costo del crédito probablemente se reducirá en el próximo año, motivo por el cual habrá incentivos para la ampliación de la demanda por créditos.</w:t>
      </w:r>
    </w:p>
    <w:p w:rsidR="000A4B8B" w:rsidRDefault="003606CF"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extent cx="4963884" cy="3657600"/>
            <wp:effectExtent l="0" t="0" r="825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67659" cy="3660381"/>
                    </a:xfrm>
                    <a:prstGeom prst="rect">
                      <a:avLst/>
                    </a:prstGeom>
                    <a:noFill/>
                  </pic:spPr>
                </pic:pic>
              </a:graphicData>
            </a:graphic>
          </wp:inline>
        </w:drawing>
      </w:r>
    </w:p>
    <w:p w:rsidR="00291B6E" w:rsidRDefault="002E5B21"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Pese a tal tendencia y proyección, la tasa de interés local </w:t>
      </w:r>
      <w:r w:rsidR="00291B6E">
        <w:rPr>
          <w:rFonts w:ascii="Times New Roman" w:hAnsi="Times New Roman" w:cs="Times New Roman"/>
          <w:sz w:val="24"/>
          <w:szCs w:val="24"/>
        </w:rPr>
        <w:t xml:space="preserve">sigue siendo </w:t>
      </w:r>
      <w:r>
        <w:rPr>
          <w:rFonts w:ascii="Times New Roman" w:hAnsi="Times New Roman" w:cs="Times New Roman"/>
          <w:sz w:val="24"/>
          <w:szCs w:val="24"/>
        </w:rPr>
        <w:t xml:space="preserve">elevada cuando se compara con tasas de interés de centros financieros como los de Estados Unidos y la Unión Europea (las cuales se encuentran en la actualidad en </w:t>
      </w:r>
      <w:r w:rsidR="0055239E">
        <w:rPr>
          <w:rFonts w:ascii="Times New Roman" w:hAnsi="Times New Roman" w:cs="Times New Roman"/>
          <w:sz w:val="24"/>
          <w:szCs w:val="24"/>
        </w:rPr>
        <w:t>0,75%)</w:t>
      </w:r>
      <w:r>
        <w:rPr>
          <w:rFonts w:ascii="Times New Roman" w:hAnsi="Times New Roman" w:cs="Times New Roman"/>
          <w:sz w:val="24"/>
          <w:szCs w:val="24"/>
        </w:rPr>
        <w:t xml:space="preserve">. </w:t>
      </w:r>
      <w:r w:rsidR="0055239E">
        <w:rPr>
          <w:rFonts w:ascii="Times New Roman" w:hAnsi="Times New Roman" w:cs="Times New Roman"/>
          <w:sz w:val="24"/>
          <w:szCs w:val="24"/>
        </w:rPr>
        <w:t>Lo anterior implica que</w:t>
      </w:r>
      <w:r w:rsidR="00291B6E">
        <w:rPr>
          <w:rFonts w:ascii="Times New Roman" w:hAnsi="Times New Roman" w:cs="Times New Roman"/>
          <w:sz w:val="24"/>
          <w:szCs w:val="24"/>
        </w:rPr>
        <w:t xml:space="preserve"> las empresas </w:t>
      </w:r>
      <w:r w:rsidR="00137ED7">
        <w:rPr>
          <w:rFonts w:ascii="Times New Roman" w:hAnsi="Times New Roman" w:cs="Times New Roman"/>
          <w:sz w:val="24"/>
          <w:szCs w:val="24"/>
        </w:rPr>
        <w:t xml:space="preserve">han tenido - </w:t>
      </w:r>
      <w:r w:rsidR="00834C1A">
        <w:rPr>
          <w:rFonts w:ascii="Times New Roman" w:hAnsi="Times New Roman" w:cs="Times New Roman"/>
          <w:sz w:val="24"/>
          <w:szCs w:val="24"/>
        </w:rPr>
        <w:t>y probablemente tendrán</w:t>
      </w:r>
      <w:r w:rsidR="00137ED7">
        <w:rPr>
          <w:rFonts w:ascii="Times New Roman" w:hAnsi="Times New Roman" w:cs="Times New Roman"/>
          <w:sz w:val="24"/>
          <w:szCs w:val="24"/>
        </w:rPr>
        <w:t xml:space="preserve"> </w:t>
      </w:r>
      <w:r w:rsidR="00834C1A">
        <w:rPr>
          <w:rFonts w:ascii="Times New Roman" w:hAnsi="Times New Roman" w:cs="Times New Roman"/>
          <w:sz w:val="24"/>
          <w:szCs w:val="24"/>
        </w:rPr>
        <w:t>-</w:t>
      </w:r>
      <w:r w:rsidR="00291B6E">
        <w:rPr>
          <w:rFonts w:ascii="Times New Roman" w:hAnsi="Times New Roman" w:cs="Times New Roman"/>
          <w:sz w:val="24"/>
          <w:szCs w:val="24"/>
        </w:rPr>
        <w:t xml:space="preserve"> un incentivo para recurrir a crédito </w:t>
      </w:r>
      <w:r w:rsidR="008F12A9">
        <w:rPr>
          <w:rFonts w:ascii="Times New Roman" w:hAnsi="Times New Roman" w:cs="Times New Roman"/>
          <w:sz w:val="24"/>
          <w:szCs w:val="24"/>
        </w:rPr>
        <w:t xml:space="preserve">en el </w:t>
      </w:r>
      <w:r w:rsidR="00291B6E">
        <w:rPr>
          <w:rFonts w:ascii="Times New Roman" w:hAnsi="Times New Roman" w:cs="Times New Roman"/>
          <w:sz w:val="24"/>
          <w:szCs w:val="24"/>
        </w:rPr>
        <w:t>exterior.</w:t>
      </w:r>
    </w:p>
    <w:p w:rsidR="00291B6E" w:rsidRPr="00CA6DCA" w:rsidRDefault="005576A1" w:rsidP="00C62363">
      <w:pPr>
        <w:pStyle w:val="ListParagraph"/>
        <w:numPr>
          <w:ilvl w:val="0"/>
          <w:numId w:val="5"/>
        </w:numPr>
        <w:spacing w:line="360" w:lineRule="auto"/>
        <w:jc w:val="both"/>
        <w:rPr>
          <w:rFonts w:ascii="Times New Roman" w:hAnsi="Times New Roman" w:cs="Times New Roman"/>
          <w:b/>
          <w:sz w:val="24"/>
          <w:szCs w:val="24"/>
        </w:rPr>
      </w:pPr>
      <w:r w:rsidRPr="00CA6DCA">
        <w:rPr>
          <w:rFonts w:ascii="Times New Roman" w:hAnsi="Times New Roman" w:cs="Times New Roman"/>
          <w:b/>
          <w:sz w:val="24"/>
          <w:szCs w:val="24"/>
        </w:rPr>
        <w:t xml:space="preserve">Las </w:t>
      </w:r>
      <w:proofErr w:type="spellStart"/>
      <w:r w:rsidRPr="00CA6DCA">
        <w:rPr>
          <w:rFonts w:ascii="Times New Roman" w:hAnsi="Times New Roman" w:cs="Times New Roman"/>
          <w:b/>
          <w:sz w:val="24"/>
          <w:szCs w:val="24"/>
        </w:rPr>
        <w:t>Mipymes</w:t>
      </w:r>
      <w:proofErr w:type="spellEnd"/>
      <w:r w:rsidRPr="00CA6DCA">
        <w:rPr>
          <w:rFonts w:ascii="Times New Roman" w:hAnsi="Times New Roman" w:cs="Times New Roman"/>
          <w:b/>
          <w:sz w:val="24"/>
          <w:szCs w:val="24"/>
        </w:rPr>
        <w:t xml:space="preserve"> en</w:t>
      </w:r>
      <w:r w:rsidR="00291B6E" w:rsidRPr="00CA6DCA">
        <w:rPr>
          <w:rFonts w:ascii="Times New Roman" w:hAnsi="Times New Roman" w:cs="Times New Roman"/>
          <w:b/>
          <w:sz w:val="24"/>
          <w:szCs w:val="24"/>
        </w:rPr>
        <w:t xml:space="preserve"> el mercado colombiano </w:t>
      </w:r>
    </w:p>
    <w:p w:rsidR="008F12A9" w:rsidRDefault="00D23C47" w:rsidP="008F12A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w:t>
      </w:r>
      <w:r w:rsidR="008F12A9">
        <w:rPr>
          <w:rFonts w:ascii="Times New Roman" w:hAnsi="Times New Roman" w:cs="Times New Roman"/>
          <w:sz w:val="24"/>
          <w:szCs w:val="24"/>
        </w:rPr>
        <w:t>legislación colombiana se basa en criterios universales para catalogar a las empresas por sus respectivos tamaños; esto es, se aplica una regla general en términos del valor de los activos y del número de empleados para determinar el tamaño de la empresa, en lugar de ubicar a la empresa en relación al tamaño de las empresas de su respectivo sector, como ocurre en Estados Unidos y Europa. Las empresas micro son aquellas que tienen menos de 10 empleados y activos por un valor menor a los 500 salarios mínimos mensuales vigentes</w:t>
      </w:r>
      <w:r w:rsidR="008F12A9">
        <w:rPr>
          <w:rStyle w:val="FootnoteReference"/>
          <w:rFonts w:ascii="Times New Roman" w:hAnsi="Times New Roman" w:cs="Times New Roman"/>
          <w:sz w:val="24"/>
          <w:szCs w:val="24"/>
        </w:rPr>
        <w:footnoteReference w:id="5"/>
      </w:r>
      <w:r w:rsidR="008F12A9">
        <w:rPr>
          <w:rFonts w:ascii="Times New Roman" w:hAnsi="Times New Roman" w:cs="Times New Roman"/>
          <w:sz w:val="24"/>
          <w:szCs w:val="24"/>
        </w:rPr>
        <w:t xml:space="preserve">. Las empresas pequeñas tienen entre 11 y 50 trabajadores, y tienen activos por un valor que está entre los 500 y los 5.000 salarios mínimos. Finalmente, una empresa se cataloga como </w:t>
      </w:r>
      <w:r w:rsidR="008F12A9">
        <w:rPr>
          <w:rFonts w:ascii="Times New Roman" w:hAnsi="Times New Roman" w:cs="Times New Roman"/>
          <w:sz w:val="24"/>
          <w:szCs w:val="24"/>
        </w:rPr>
        <w:lastRenderedPageBreak/>
        <w:t>mediana si tiene entre 51 y 200 trabajadores, y si tiene activos por un valor que esté entre los 5.000 y los 30.000 salarios mínimos.</w:t>
      </w:r>
    </w:p>
    <w:p w:rsidR="00C844B8" w:rsidRDefault="008F12A9" w:rsidP="008F12A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mayoría de las </w:t>
      </w:r>
      <w:proofErr w:type="spellStart"/>
      <w:r>
        <w:rPr>
          <w:rFonts w:ascii="Times New Roman" w:hAnsi="Times New Roman" w:cs="Times New Roman"/>
          <w:sz w:val="24"/>
          <w:szCs w:val="24"/>
        </w:rPr>
        <w:t>Mipymes</w:t>
      </w:r>
      <w:proofErr w:type="spellEnd"/>
      <w:r>
        <w:rPr>
          <w:rFonts w:ascii="Times New Roman" w:hAnsi="Times New Roman" w:cs="Times New Roman"/>
          <w:sz w:val="24"/>
          <w:szCs w:val="24"/>
        </w:rPr>
        <w:t xml:space="preserve"> se dedican a los sectores económicos de los servicios y el comercio, mientras que pocas de estas pertenecen al sector agrícola. Esto es precisamente lo que se observa en el gráfico XI.</w:t>
      </w:r>
    </w:p>
    <w:p w:rsidR="00825D3B" w:rsidRDefault="00AC3FE9"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4451194" cy="2657752"/>
            <wp:effectExtent l="0" t="0" r="698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60052" cy="2663041"/>
                    </a:xfrm>
                    <a:prstGeom prst="rect">
                      <a:avLst/>
                    </a:prstGeom>
                    <a:noFill/>
                  </pic:spPr>
                </pic:pic>
              </a:graphicData>
            </a:graphic>
          </wp:inline>
        </w:drawing>
      </w:r>
    </w:p>
    <w:p w:rsidR="00C25BE6" w:rsidRDefault="00825D3B"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25BE6">
        <w:rPr>
          <w:rFonts w:ascii="Times New Roman" w:hAnsi="Times New Roman" w:cs="Times New Roman"/>
          <w:sz w:val="24"/>
          <w:szCs w:val="24"/>
        </w:rPr>
        <w:t>E</w:t>
      </w:r>
      <w:r w:rsidR="00A64A8B">
        <w:rPr>
          <w:rFonts w:ascii="Times New Roman" w:hAnsi="Times New Roman" w:cs="Times New Roman"/>
          <w:sz w:val="24"/>
          <w:szCs w:val="24"/>
        </w:rPr>
        <w:t>l hecho de que</w:t>
      </w:r>
      <w:r w:rsidR="00C25BE6">
        <w:rPr>
          <w:rFonts w:ascii="Times New Roman" w:hAnsi="Times New Roman" w:cs="Times New Roman"/>
          <w:sz w:val="24"/>
          <w:szCs w:val="24"/>
        </w:rPr>
        <w:t xml:space="preserve"> </w:t>
      </w:r>
      <w:r w:rsidR="00A64A8B">
        <w:rPr>
          <w:rFonts w:ascii="Times New Roman" w:hAnsi="Times New Roman" w:cs="Times New Roman"/>
          <w:sz w:val="24"/>
          <w:szCs w:val="24"/>
        </w:rPr>
        <w:t xml:space="preserve">haya poca participación de </w:t>
      </w:r>
      <w:proofErr w:type="spellStart"/>
      <w:r w:rsidR="00A64A8B">
        <w:rPr>
          <w:rFonts w:ascii="Times New Roman" w:hAnsi="Times New Roman" w:cs="Times New Roman"/>
          <w:sz w:val="24"/>
          <w:szCs w:val="24"/>
        </w:rPr>
        <w:t>Mipymes</w:t>
      </w:r>
      <w:proofErr w:type="spellEnd"/>
      <w:r w:rsidR="00A64A8B">
        <w:rPr>
          <w:rFonts w:ascii="Times New Roman" w:hAnsi="Times New Roman" w:cs="Times New Roman"/>
          <w:sz w:val="24"/>
          <w:szCs w:val="24"/>
        </w:rPr>
        <w:t xml:space="preserve"> ocupadas en el agro tiene importantes implicaciones en </w:t>
      </w:r>
      <w:r w:rsidR="00C25BE6">
        <w:rPr>
          <w:rFonts w:ascii="Times New Roman" w:hAnsi="Times New Roman" w:cs="Times New Roman"/>
          <w:sz w:val="24"/>
          <w:szCs w:val="24"/>
        </w:rPr>
        <w:t xml:space="preserve">términos </w:t>
      </w:r>
      <w:r w:rsidR="00A64A8B">
        <w:rPr>
          <w:rFonts w:ascii="Times New Roman" w:hAnsi="Times New Roman" w:cs="Times New Roman"/>
          <w:sz w:val="24"/>
          <w:szCs w:val="24"/>
        </w:rPr>
        <w:t>de la distribución geográfica de tales empresas. Así, l</w:t>
      </w:r>
      <w:r w:rsidR="00C25BE6">
        <w:rPr>
          <w:rFonts w:ascii="Times New Roman" w:hAnsi="Times New Roman" w:cs="Times New Roman"/>
          <w:sz w:val="24"/>
          <w:szCs w:val="24"/>
        </w:rPr>
        <w:t xml:space="preserve">a gran mayoría de </w:t>
      </w:r>
      <w:r w:rsidR="00A51590">
        <w:rPr>
          <w:rFonts w:ascii="Times New Roman" w:hAnsi="Times New Roman" w:cs="Times New Roman"/>
          <w:sz w:val="24"/>
          <w:szCs w:val="24"/>
        </w:rPr>
        <w:t>e</w:t>
      </w:r>
      <w:r w:rsidR="00914744">
        <w:rPr>
          <w:rFonts w:ascii="Times New Roman" w:hAnsi="Times New Roman" w:cs="Times New Roman"/>
          <w:sz w:val="24"/>
          <w:szCs w:val="24"/>
        </w:rPr>
        <w:t xml:space="preserve">stas empresas se ubican en las </w:t>
      </w:r>
      <w:r w:rsidR="002C177F">
        <w:rPr>
          <w:rFonts w:ascii="Times New Roman" w:hAnsi="Times New Roman" w:cs="Times New Roman"/>
          <w:sz w:val="24"/>
          <w:szCs w:val="24"/>
        </w:rPr>
        <w:t xml:space="preserve">grandes </w:t>
      </w:r>
      <w:r w:rsidR="00914744">
        <w:rPr>
          <w:rFonts w:ascii="Times New Roman" w:hAnsi="Times New Roman" w:cs="Times New Roman"/>
          <w:sz w:val="24"/>
          <w:szCs w:val="24"/>
        </w:rPr>
        <w:t xml:space="preserve">ciudades </w:t>
      </w:r>
      <w:r w:rsidR="002C177F">
        <w:rPr>
          <w:rFonts w:ascii="Times New Roman" w:hAnsi="Times New Roman" w:cs="Times New Roman"/>
          <w:sz w:val="24"/>
          <w:szCs w:val="24"/>
        </w:rPr>
        <w:t>del país</w:t>
      </w:r>
      <w:r w:rsidR="00914744">
        <w:rPr>
          <w:rFonts w:ascii="Times New Roman" w:hAnsi="Times New Roman" w:cs="Times New Roman"/>
          <w:sz w:val="24"/>
          <w:szCs w:val="24"/>
        </w:rPr>
        <w:t xml:space="preserve">, con una </w:t>
      </w:r>
      <w:r w:rsidR="002C177F">
        <w:rPr>
          <w:rFonts w:ascii="Times New Roman" w:hAnsi="Times New Roman" w:cs="Times New Roman"/>
          <w:sz w:val="24"/>
          <w:szCs w:val="24"/>
        </w:rPr>
        <w:t xml:space="preserve">importante </w:t>
      </w:r>
      <w:r w:rsidR="00914744">
        <w:rPr>
          <w:rFonts w:ascii="Times New Roman" w:hAnsi="Times New Roman" w:cs="Times New Roman"/>
          <w:sz w:val="24"/>
          <w:szCs w:val="24"/>
        </w:rPr>
        <w:t>concentración en la ciudad de Bogotá.</w:t>
      </w:r>
      <w:r w:rsidR="00A51590">
        <w:rPr>
          <w:rFonts w:ascii="Times New Roman" w:hAnsi="Times New Roman" w:cs="Times New Roman"/>
          <w:sz w:val="24"/>
          <w:szCs w:val="24"/>
        </w:rPr>
        <w:t xml:space="preserve"> Esto se observa con más claridad en el gráfico XII.</w:t>
      </w:r>
    </w:p>
    <w:p w:rsidR="00684A29" w:rsidRDefault="00AC3FE9"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extent cx="4541320" cy="2907346"/>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41320" cy="2907346"/>
                    </a:xfrm>
                    <a:prstGeom prst="rect">
                      <a:avLst/>
                    </a:prstGeom>
                    <a:noFill/>
                  </pic:spPr>
                </pic:pic>
              </a:graphicData>
            </a:graphic>
          </wp:inline>
        </w:drawing>
      </w:r>
    </w:p>
    <w:p w:rsidR="00851E32" w:rsidRDefault="00285924"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Lo anterior implica que </w:t>
      </w:r>
      <w:r w:rsidR="006B26B2">
        <w:rPr>
          <w:rFonts w:ascii="Times New Roman" w:hAnsi="Times New Roman" w:cs="Times New Roman"/>
          <w:sz w:val="24"/>
          <w:szCs w:val="24"/>
        </w:rPr>
        <w:t xml:space="preserve">- </w:t>
      </w:r>
      <w:r w:rsidR="000D327F">
        <w:rPr>
          <w:rFonts w:ascii="Times New Roman" w:hAnsi="Times New Roman" w:cs="Times New Roman"/>
          <w:sz w:val="24"/>
          <w:szCs w:val="24"/>
        </w:rPr>
        <w:t xml:space="preserve">pese a que hay regiones como la Amazonía y la región Pacífico que </w:t>
      </w:r>
      <w:r w:rsidR="002C177F">
        <w:rPr>
          <w:rFonts w:ascii="Times New Roman" w:hAnsi="Times New Roman" w:cs="Times New Roman"/>
          <w:sz w:val="24"/>
          <w:szCs w:val="24"/>
        </w:rPr>
        <w:t xml:space="preserve">están </w:t>
      </w:r>
      <w:r w:rsidR="000D327F">
        <w:rPr>
          <w:rFonts w:ascii="Times New Roman" w:hAnsi="Times New Roman" w:cs="Times New Roman"/>
          <w:sz w:val="24"/>
          <w:szCs w:val="24"/>
        </w:rPr>
        <w:t>atrasadas y estancadas en términos de bancarización</w:t>
      </w:r>
      <w:r w:rsidR="006B26B2">
        <w:rPr>
          <w:rFonts w:ascii="Times New Roman" w:hAnsi="Times New Roman" w:cs="Times New Roman"/>
          <w:sz w:val="24"/>
          <w:szCs w:val="24"/>
        </w:rPr>
        <w:t xml:space="preserve"> </w:t>
      </w:r>
      <w:r w:rsidR="000D327F">
        <w:rPr>
          <w:rFonts w:ascii="Times New Roman" w:hAnsi="Times New Roman" w:cs="Times New Roman"/>
          <w:sz w:val="24"/>
          <w:szCs w:val="24"/>
        </w:rPr>
        <w:t xml:space="preserve">- </w:t>
      </w:r>
      <w:r>
        <w:rPr>
          <w:rFonts w:ascii="Times New Roman" w:hAnsi="Times New Roman" w:cs="Times New Roman"/>
          <w:sz w:val="24"/>
          <w:szCs w:val="24"/>
        </w:rPr>
        <w:t xml:space="preserve">las mejoras en los niveles de bancarización </w:t>
      </w:r>
      <w:r w:rsidR="000D327F">
        <w:rPr>
          <w:rFonts w:ascii="Times New Roman" w:hAnsi="Times New Roman" w:cs="Times New Roman"/>
          <w:sz w:val="24"/>
          <w:szCs w:val="24"/>
        </w:rPr>
        <w:t>nacional</w:t>
      </w:r>
      <w:r>
        <w:rPr>
          <w:rFonts w:ascii="Times New Roman" w:hAnsi="Times New Roman" w:cs="Times New Roman"/>
          <w:sz w:val="24"/>
          <w:szCs w:val="24"/>
        </w:rPr>
        <w:t xml:space="preserve">, y en particular los elevados índices en Bogotá, tenderán a favorecer a la gran mayoría de las </w:t>
      </w:r>
      <w:proofErr w:type="spellStart"/>
      <w:r>
        <w:rPr>
          <w:rFonts w:ascii="Times New Roman" w:hAnsi="Times New Roman" w:cs="Times New Roman"/>
          <w:sz w:val="24"/>
          <w:szCs w:val="24"/>
        </w:rPr>
        <w:t>Mipymes</w:t>
      </w:r>
      <w:proofErr w:type="spellEnd"/>
      <w:r>
        <w:rPr>
          <w:rFonts w:ascii="Times New Roman" w:hAnsi="Times New Roman" w:cs="Times New Roman"/>
          <w:sz w:val="24"/>
          <w:szCs w:val="24"/>
        </w:rPr>
        <w:t xml:space="preserve">. </w:t>
      </w:r>
    </w:p>
    <w:p w:rsidR="00A602AE" w:rsidRDefault="00EE5892"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Uno de los problemas </w:t>
      </w:r>
      <w:r w:rsidR="00192E9E">
        <w:rPr>
          <w:rFonts w:ascii="Times New Roman" w:hAnsi="Times New Roman" w:cs="Times New Roman"/>
          <w:sz w:val="24"/>
          <w:szCs w:val="24"/>
        </w:rPr>
        <w:t>a los que se enfrentan</w:t>
      </w:r>
      <w:r>
        <w:rPr>
          <w:rFonts w:ascii="Times New Roman" w:hAnsi="Times New Roman" w:cs="Times New Roman"/>
          <w:sz w:val="24"/>
          <w:szCs w:val="24"/>
        </w:rPr>
        <w:t xml:space="preserve"> las </w:t>
      </w:r>
      <w:proofErr w:type="spellStart"/>
      <w:r>
        <w:rPr>
          <w:rFonts w:ascii="Times New Roman" w:hAnsi="Times New Roman" w:cs="Times New Roman"/>
          <w:sz w:val="24"/>
          <w:szCs w:val="24"/>
        </w:rPr>
        <w:t>Mipymes</w:t>
      </w:r>
      <w:proofErr w:type="spellEnd"/>
      <w:r>
        <w:rPr>
          <w:rFonts w:ascii="Times New Roman" w:hAnsi="Times New Roman" w:cs="Times New Roman"/>
          <w:sz w:val="24"/>
          <w:szCs w:val="24"/>
        </w:rPr>
        <w:t xml:space="preserve"> es la obsolescencia tecnológica; esto es, el impacto que tiene el hecho de que </w:t>
      </w:r>
      <w:r w:rsidR="006506FF">
        <w:rPr>
          <w:rFonts w:ascii="Times New Roman" w:hAnsi="Times New Roman" w:cs="Times New Roman"/>
          <w:sz w:val="24"/>
          <w:szCs w:val="24"/>
        </w:rPr>
        <w:t xml:space="preserve">la mayoría de </w:t>
      </w:r>
      <w:r w:rsidR="008904CD">
        <w:rPr>
          <w:rFonts w:ascii="Times New Roman" w:hAnsi="Times New Roman" w:cs="Times New Roman"/>
          <w:sz w:val="24"/>
          <w:szCs w:val="24"/>
        </w:rPr>
        <w:t>estas</w:t>
      </w:r>
      <w:r w:rsidR="006506FF">
        <w:rPr>
          <w:rFonts w:ascii="Times New Roman" w:hAnsi="Times New Roman" w:cs="Times New Roman"/>
          <w:sz w:val="24"/>
          <w:szCs w:val="24"/>
        </w:rPr>
        <w:t xml:space="preserve"> empresas en Colombia </w:t>
      </w:r>
      <w:r>
        <w:rPr>
          <w:rFonts w:ascii="Times New Roman" w:hAnsi="Times New Roman" w:cs="Times New Roman"/>
          <w:sz w:val="24"/>
          <w:szCs w:val="24"/>
        </w:rPr>
        <w:t xml:space="preserve">tienen una maquinaria </w:t>
      </w:r>
      <w:r w:rsidR="00192E9E">
        <w:rPr>
          <w:rFonts w:ascii="Times New Roman" w:hAnsi="Times New Roman" w:cs="Times New Roman"/>
          <w:sz w:val="24"/>
          <w:szCs w:val="24"/>
        </w:rPr>
        <w:t xml:space="preserve">envejecida (Pérez-Uribe </w:t>
      </w:r>
      <w:r w:rsidR="00A06DAE">
        <w:rPr>
          <w:rFonts w:ascii="Times New Roman" w:hAnsi="Times New Roman" w:cs="Times New Roman"/>
          <w:sz w:val="24"/>
          <w:szCs w:val="24"/>
        </w:rPr>
        <w:t>et al</w:t>
      </w:r>
      <w:r w:rsidR="00192E9E">
        <w:rPr>
          <w:rFonts w:ascii="Times New Roman" w:hAnsi="Times New Roman" w:cs="Times New Roman"/>
          <w:sz w:val="24"/>
          <w:szCs w:val="24"/>
        </w:rPr>
        <w:t>., 2009)</w:t>
      </w:r>
      <w:r>
        <w:rPr>
          <w:rFonts w:ascii="Times New Roman" w:hAnsi="Times New Roman" w:cs="Times New Roman"/>
          <w:sz w:val="24"/>
          <w:szCs w:val="24"/>
        </w:rPr>
        <w:t xml:space="preserve">. Esto viene asociado al hecho de que </w:t>
      </w:r>
      <w:r w:rsidR="006506FF">
        <w:rPr>
          <w:rFonts w:ascii="Times New Roman" w:hAnsi="Times New Roman" w:cs="Times New Roman"/>
          <w:sz w:val="24"/>
          <w:szCs w:val="24"/>
        </w:rPr>
        <w:t xml:space="preserve">las </w:t>
      </w:r>
      <w:proofErr w:type="spellStart"/>
      <w:r w:rsidR="006506FF">
        <w:rPr>
          <w:rFonts w:ascii="Times New Roman" w:hAnsi="Times New Roman" w:cs="Times New Roman"/>
          <w:sz w:val="24"/>
          <w:szCs w:val="24"/>
        </w:rPr>
        <w:t>Mipymes</w:t>
      </w:r>
      <w:proofErr w:type="spellEnd"/>
      <w:r w:rsidR="006506FF">
        <w:rPr>
          <w:rFonts w:ascii="Times New Roman" w:hAnsi="Times New Roman" w:cs="Times New Roman"/>
          <w:sz w:val="24"/>
          <w:szCs w:val="24"/>
        </w:rPr>
        <w:t xml:space="preserve"> </w:t>
      </w:r>
      <w:r>
        <w:rPr>
          <w:rFonts w:ascii="Times New Roman" w:hAnsi="Times New Roman" w:cs="Times New Roman"/>
          <w:sz w:val="24"/>
          <w:szCs w:val="24"/>
        </w:rPr>
        <w:t xml:space="preserve">enfrentan </w:t>
      </w:r>
      <w:r w:rsidR="00B76E8B">
        <w:rPr>
          <w:rFonts w:ascii="Times New Roman" w:hAnsi="Times New Roman" w:cs="Times New Roman"/>
          <w:sz w:val="24"/>
          <w:szCs w:val="24"/>
        </w:rPr>
        <w:t>restricciones</w:t>
      </w:r>
      <w:r>
        <w:rPr>
          <w:rFonts w:ascii="Times New Roman" w:hAnsi="Times New Roman" w:cs="Times New Roman"/>
          <w:sz w:val="24"/>
          <w:szCs w:val="24"/>
        </w:rPr>
        <w:t xml:space="preserve"> financieras más severas que las grandes empresas, por cuanto las condiciones en las cuales pueden acceder a un crédito son más </w:t>
      </w:r>
      <w:r w:rsidR="00192E9E">
        <w:rPr>
          <w:rFonts w:ascii="Times New Roman" w:hAnsi="Times New Roman" w:cs="Times New Roman"/>
          <w:sz w:val="24"/>
          <w:szCs w:val="24"/>
        </w:rPr>
        <w:t xml:space="preserve">desfavorables </w:t>
      </w:r>
      <w:r>
        <w:rPr>
          <w:rFonts w:ascii="Times New Roman" w:hAnsi="Times New Roman" w:cs="Times New Roman"/>
          <w:sz w:val="24"/>
          <w:szCs w:val="24"/>
        </w:rPr>
        <w:t xml:space="preserve">en términos de tasas y </w:t>
      </w:r>
      <w:r w:rsidR="005B7557">
        <w:rPr>
          <w:rFonts w:ascii="Times New Roman" w:hAnsi="Times New Roman" w:cs="Times New Roman"/>
          <w:sz w:val="24"/>
          <w:szCs w:val="24"/>
        </w:rPr>
        <w:t>exigibilidades</w:t>
      </w:r>
      <w:r>
        <w:rPr>
          <w:rFonts w:ascii="Times New Roman" w:hAnsi="Times New Roman" w:cs="Times New Roman"/>
          <w:sz w:val="24"/>
          <w:szCs w:val="24"/>
        </w:rPr>
        <w:t>.</w:t>
      </w:r>
      <w:r w:rsidR="00192E9E">
        <w:rPr>
          <w:rFonts w:ascii="Times New Roman" w:hAnsi="Times New Roman" w:cs="Times New Roman"/>
          <w:sz w:val="24"/>
          <w:szCs w:val="24"/>
        </w:rPr>
        <w:t xml:space="preserve"> Lo anterior viene corroborado por el hecho de que las tasas de</w:t>
      </w:r>
      <w:r w:rsidR="00AD29DA">
        <w:rPr>
          <w:rFonts w:ascii="Times New Roman" w:hAnsi="Times New Roman" w:cs="Times New Roman"/>
          <w:sz w:val="24"/>
          <w:szCs w:val="24"/>
        </w:rPr>
        <w:t xml:space="preserve"> interés de</w:t>
      </w:r>
      <w:r w:rsidR="00192E9E">
        <w:rPr>
          <w:rFonts w:ascii="Times New Roman" w:hAnsi="Times New Roman" w:cs="Times New Roman"/>
          <w:sz w:val="24"/>
          <w:szCs w:val="24"/>
        </w:rPr>
        <w:t xml:space="preserve"> microcrédito son históricamente las más elevadas, </w:t>
      </w:r>
      <w:r w:rsidR="0016447F">
        <w:rPr>
          <w:rFonts w:ascii="Times New Roman" w:hAnsi="Times New Roman" w:cs="Times New Roman"/>
          <w:sz w:val="24"/>
          <w:szCs w:val="24"/>
        </w:rPr>
        <w:t xml:space="preserve">llegando actualmente a un nivel del 25% contra el 14,8% que se cobra en promedio por el crédito comercial. </w:t>
      </w:r>
      <w:r w:rsidR="00C1015F">
        <w:rPr>
          <w:rFonts w:ascii="Times New Roman" w:hAnsi="Times New Roman" w:cs="Times New Roman"/>
          <w:sz w:val="24"/>
          <w:szCs w:val="24"/>
        </w:rPr>
        <w:t xml:space="preserve">A la luz de </w:t>
      </w:r>
      <w:r w:rsidR="006506FF">
        <w:rPr>
          <w:rFonts w:ascii="Times New Roman" w:hAnsi="Times New Roman" w:cs="Times New Roman"/>
          <w:sz w:val="24"/>
          <w:szCs w:val="24"/>
        </w:rPr>
        <w:t xml:space="preserve">investigaciones como la de Eslava </w:t>
      </w:r>
      <w:r w:rsidR="00A06DAE">
        <w:rPr>
          <w:rFonts w:ascii="Times New Roman" w:hAnsi="Times New Roman" w:cs="Times New Roman"/>
          <w:sz w:val="24"/>
          <w:szCs w:val="24"/>
        </w:rPr>
        <w:t>et al</w:t>
      </w:r>
      <w:r w:rsidR="00F77AF4">
        <w:rPr>
          <w:rFonts w:ascii="Times New Roman" w:hAnsi="Times New Roman" w:cs="Times New Roman"/>
          <w:sz w:val="24"/>
          <w:szCs w:val="24"/>
        </w:rPr>
        <w:t>.</w:t>
      </w:r>
      <w:r w:rsidR="006506FF">
        <w:rPr>
          <w:rFonts w:ascii="Times New Roman" w:hAnsi="Times New Roman" w:cs="Times New Roman"/>
          <w:sz w:val="24"/>
          <w:szCs w:val="24"/>
        </w:rPr>
        <w:t xml:space="preserve"> </w:t>
      </w:r>
      <w:r w:rsidR="007734E7">
        <w:rPr>
          <w:rFonts w:ascii="Times New Roman" w:hAnsi="Times New Roman" w:cs="Times New Roman"/>
          <w:sz w:val="24"/>
          <w:szCs w:val="24"/>
        </w:rPr>
        <w:t>(2010</w:t>
      </w:r>
      <w:r w:rsidR="005B46C1">
        <w:rPr>
          <w:rFonts w:ascii="Times New Roman" w:hAnsi="Times New Roman" w:cs="Times New Roman"/>
          <w:sz w:val="24"/>
          <w:szCs w:val="24"/>
        </w:rPr>
        <w:t>)</w:t>
      </w:r>
      <w:r w:rsidR="00C1015F">
        <w:rPr>
          <w:rFonts w:ascii="Times New Roman" w:hAnsi="Times New Roman" w:cs="Times New Roman"/>
          <w:sz w:val="24"/>
          <w:szCs w:val="24"/>
        </w:rPr>
        <w:t xml:space="preserve">, esto tiene implicaciones nocivas para las </w:t>
      </w:r>
      <w:proofErr w:type="spellStart"/>
      <w:r w:rsidR="00C1015F">
        <w:rPr>
          <w:rFonts w:ascii="Times New Roman" w:hAnsi="Times New Roman" w:cs="Times New Roman"/>
          <w:sz w:val="24"/>
          <w:szCs w:val="24"/>
        </w:rPr>
        <w:t>Mipymes</w:t>
      </w:r>
      <w:proofErr w:type="spellEnd"/>
      <w:r w:rsidR="00C1015F">
        <w:rPr>
          <w:rFonts w:ascii="Times New Roman" w:hAnsi="Times New Roman" w:cs="Times New Roman"/>
          <w:sz w:val="24"/>
          <w:szCs w:val="24"/>
        </w:rPr>
        <w:t xml:space="preserve">, pues </w:t>
      </w:r>
      <w:r w:rsidR="008C4C66">
        <w:rPr>
          <w:rFonts w:ascii="Times New Roman" w:hAnsi="Times New Roman" w:cs="Times New Roman"/>
          <w:sz w:val="24"/>
          <w:szCs w:val="24"/>
        </w:rPr>
        <w:t xml:space="preserve">las firmas que tienen </w:t>
      </w:r>
      <w:r w:rsidR="00B76E8B">
        <w:rPr>
          <w:rFonts w:ascii="Times New Roman" w:hAnsi="Times New Roman" w:cs="Times New Roman"/>
          <w:sz w:val="24"/>
          <w:szCs w:val="24"/>
        </w:rPr>
        <w:t>restricciones</w:t>
      </w:r>
      <w:r w:rsidR="008C4C66">
        <w:rPr>
          <w:rFonts w:ascii="Times New Roman" w:hAnsi="Times New Roman" w:cs="Times New Roman"/>
          <w:sz w:val="24"/>
          <w:szCs w:val="24"/>
        </w:rPr>
        <w:t xml:space="preserve"> financieras sufren de una mayor probabilidad de salir </w:t>
      </w:r>
      <w:r w:rsidR="00C1015F">
        <w:rPr>
          <w:rFonts w:ascii="Times New Roman" w:hAnsi="Times New Roman" w:cs="Times New Roman"/>
          <w:sz w:val="24"/>
          <w:szCs w:val="24"/>
        </w:rPr>
        <w:t xml:space="preserve">del mercado, incluso </w:t>
      </w:r>
      <w:r w:rsidR="008C4C66">
        <w:rPr>
          <w:rFonts w:ascii="Times New Roman" w:hAnsi="Times New Roman" w:cs="Times New Roman"/>
          <w:sz w:val="24"/>
          <w:szCs w:val="24"/>
        </w:rPr>
        <w:t xml:space="preserve">si </w:t>
      </w:r>
      <w:r w:rsidR="00C1015F">
        <w:rPr>
          <w:rFonts w:ascii="Times New Roman" w:hAnsi="Times New Roman" w:cs="Times New Roman"/>
          <w:sz w:val="24"/>
          <w:szCs w:val="24"/>
        </w:rPr>
        <w:t xml:space="preserve">son más productivas que otras firmas que no enfrentan </w:t>
      </w:r>
      <w:r w:rsidR="00B76E8B">
        <w:rPr>
          <w:rFonts w:ascii="Times New Roman" w:hAnsi="Times New Roman" w:cs="Times New Roman"/>
          <w:sz w:val="24"/>
          <w:szCs w:val="24"/>
        </w:rPr>
        <w:t>restricción</w:t>
      </w:r>
      <w:r w:rsidR="002C177F">
        <w:rPr>
          <w:rFonts w:ascii="Times New Roman" w:hAnsi="Times New Roman" w:cs="Times New Roman"/>
          <w:sz w:val="24"/>
          <w:szCs w:val="24"/>
        </w:rPr>
        <w:t xml:space="preserve"> alguna</w:t>
      </w:r>
      <w:r w:rsidR="00C1015F">
        <w:rPr>
          <w:rFonts w:ascii="Times New Roman" w:hAnsi="Times New Roman" w:cs="Times New Roman"/>
          <w:sz w:val="24"/>
          <w:szCs w:val="24"/>
        </w:rPr>
        <w:t>.</w:t>
      </w:r>
      <w:r w:rsidR="00A61DBE">
        <w:rPr>
          <w:rFonts w:ascii="Times New Roman" w:hAnsi="Times New Roman" w:cs="Times New Roman"/>
          <w:sz w:val="24"/>
          <w:szCs w:val="24"/>
        </w:rPr>
        <w:t xml:space="preserve"> En ese orden de ideas, </w:t>
      </w:r>
      <w:r w:rsidR="006B26B2">
        <w:rPr>
          <w:rFonts w:ascii="Times New Roman" w:hAnsi="Times New Roman" w:cs="Times New Roman"/>
          <w:sz w:val="24"/>
          <w:szCs w:val="24"/>
        </w:rPr>
        <w:t>las</w:t>
      </w:r>
      <w:r w:rsidR="009413BE">
        <w:rPr>
          <w:rFonts w:ascii="Times New Roman" w:hAnsi="Times New Roman" w:cs="Times New Roman"/>
          <w:sz w:val="24"/>
          <w:szCs w:val="24"/>
        </w:rPr>
        <w:t xml:space="preserve"> </w:t>
      </w:r>
      <w:r w:rsidR="00A61DBE">
        <w:rPr>
          <w:rFonts w:ascii="Times New Roman" w:hAnsi="Times New Roman" w:cs="Times New Roman"/>
          <w:sz w:val="24"/>
          <w:szCs w:val="24"/>
        </w:rPr>
        <w:t>pol</w:t>
      </w:r>
      <w:r w:rsidR="009413BE">
        <w:rPr>
          <w:rFonts w:ascii="Times New Roman" w:hAnsi="Times New Roman" w:cs="Times New Roman"/>
          <w:sz w:val="24"/>
          <w:szCs w:val="24"/>
        </w:rPr>
        <w:t>íticas gubernamentales dirigida</w:t>
      </w:r>
      <w:r w:rsidR="00B85FC4">
        <w:rPr>
          <w:rFonts w:ascii="Times New Roman" w:hAnsi="Times New Roman" w:cs="Times New Roman"/>
          <w:sz w:val="24"/>
          <w:szCs w:val="24"/>
        </w:rPr>
        <w:t>s</w:t>
      </w:r>
      <w:r w:rsidR="00A61DBE">
        <w:rPr>
          <w:rFonts w:ascii="Times New Roman" w:hAnsi="Times New Roman" w:cs="Times New Roman"/>
          <w:sz w:val="24"/>
          <w:szCs w:val="24"/>
        </w:rPr>
        <w:t xml:space="preserve"> a reducir las </w:t>
      </w:r>
      <w:r w:rsidR="00B76E8B">
        <w:rPr>
          <w:rFonts w:ascii="Times New Roman" w:hAnsi="Times New Roman" w:cs="Times New Roman"/>
          <w:sz w:val="24"/>
          <w:szCs w:val="24"/>
        </w:rPr>
        <w:t>restricciones</w:t>
      </w:r>
      <w:r w:rsidR="00A61DBE">
        <w:rPr>
          <w:rFonts w:ascii="Times New Roman" w:hAnsi="Times New Roman" w:cs="Times New Roman"/>
          <w:sz w:val="24"/>
          <w:szCs w:val="24"/>
        </w:rPr>
        <w:t xml:space="preserve"> financieras</w:t>
      </w:r>
      <w:r w:rsidR="002C177F">
        <w:rPr>
          <w:rFonts w:ascii="Times New Roman" w:hAnsi="Times New Roman" w:cs="Times New Roman"/>
          <w:sz w:val="24"/>
          <w:szCs w:val="24"/>
        </w:rPr>
        <w:t xml:space="preserve"> son deseables</w:t>
      </w:r>
      <w:r w:rsidR="009413BE">
        <w:rPr>
          <w:rFonts w:ascii="Times New Roman" w:hAnsi="Times New Roman" w:cs="Times New Roman"/>
          <w:sz w:val="24"/>
          <w:szCs w:val="24"/>
        </w:rPr>
        <w:t>, pues de esta forma se evita la salida del mercado de firmas con buen desempeño y buenos fundamentos, pero con poco acceso a los mercados financieros.</w:t>
      </w:r>
    </w:p>
    <w:p w:rsidR="009413BE" w:rsidRDefault="009413BE"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Una pobre inserción y éxito en el sector exportador es otro de los problemas </w:t>
      </w:r>
      <w:r w:rsidR="007A096A">
        <w:rPr>
          <w:rFonts w:ascii="Times New Roman" w:hAnsi="Times New Roman" w:cs="Times New Roman"/>
          <w:sz w:val="24"/>
          <w:szCs w:val="24"/>
        </w:rPr>
        <w:t>que</w:t>
      </w:r>
      <w:r>
        <w:rPr>
          <w:rFonts w:ascii="Times New Roman" w:hAnsi="Times New Roman" w:cs="Times New Roman"/>
          <w:sz w:val="24"/>
          <w:szCs w:val="24"/>
        </w:rPr>
        <w:t xml:space="preserve"> enfrenta el segmento de empresas micro, pequeñas y medianas</w:t>
      </w:r>
      <w:r w:rsidR="00E61925">
        <w:rPr>
          <w:rFonts w:ascii="Times New Roman" w:hAnsi="Times New Roman" w:cs="Times New Roman"/>
          <w:sz w:val="24"/>
          <w:szCs w:val="24"/>
        </w:rPr>
        <w:t xml:space="preserve"> en Colombia</w:t>
      </w:r>
      <w:r>
        <w:rPr>
          <w:rFonts w:ascii="Times New Roman" w:hAnsi="Times New Roman" w:cs="Times New Roman"/>
          <w:sz w:val="24"/>
          <w:szCs w:val="24"/>
        </w:rPr>
        <w:t>. Siguiendo a Montoya et al. (2010)</w:t>
      </w:r>
      <w:r w:rsidR="00E61925">
        <w:rPr>
          <w:rFonts w:ascii="Times New Roman" w:hAnsi="Times New Roman" w:cs="Times New Roman"/>
          <w:sz w:val="24"/>
          <w:szCs w:val="24"/>
        </w:rPr>
        <w:t xml:space="preserve">, pese a que 50% del número total de firmas exportadoras están catalogadas como </w:t>
      </w:r>
      <w:proofErr w:type="spellStart"/>
      <w:r w:rsidR="00E61925">
        <w:rPr>
          <w:rFonts w:ascii="Times New Roman" w:hAnsi="Times New Roman" w:cs="Times New Roman"/>
          <w:sz w:val="24"/>
          <w:szCs w:val="24"/>
        </w:rPr>
        <w:t>Mipymes</w:t>
      </w:r>
      <w:proofErr w:type="spellEnd"/>
      <w:r w:rsidR="00E61925">
        <w:rPr>
          <w:rFonts w:ascii="Times New Roman" w:hAnsi="Times New Roman" w:cs="Times New Roman"/>
          <w:sz w:val="24"/>
          <w:szCs w:val="24"/>
        </w:rPr>
        <w:t>, sólo el 1</w:t>
      </w:r>
      <w:r w:rsidR="00141620">
        <w:rPr>
          <w:rFonts w:ascii="Times New Roman" w:hAnsi="Times New Roman" w:cs="Times New Roman"/>
          <w:sz w:val="24"/>
          <w:szCs w:val="24"/>
        </w:rPr>
        <w:t>8,</w:t>
      </w:r>
      <w:r w:rsidR="00E61925">
        <w:rPr>
          <w:rFonts w:ascii="Times New Roman" w:hAnsi="Times New Roman" w:cs="Times New Roman"/>
          <w:sz w:val="24"/>
          <w:szCs w:val="24"/>
        </w:rPr>
        <w:t xml:space="preserve">6% de </w:t>
      </w:r>
      <w:r w:rsidR="00141620">
        <w:rPr>
          <w:rFonts w:ascii="Times New Roman" w:hAnsi="Times New Roman" w:cs="Times New Roman"/>
          <w:sz w:val="24"/>
          <w:szCs w:val="24"/>
        </w:rPr>
        <w:t>estas</w:t>
      </w:r>
      <w:r w:rsidR="00E61925">
        <w:rPr>
          <w:rFonts w:ascii="Times New Roman" w:hAnsi="Times New Roman" w:cs="Times New Roman"/>
          <w:sz w:val="24"/>
          <w:szCs w:val="24"/>
        </w:rPr>
        <w:t xml:space="preserve"> empresas dicen vender exitosamente sus productos en el exterior. Más aún, investigaciones como la de </w:t>
      </w:r>
      <w:proofErr w:type="spellStart"/>
      <w:r w:rsidR="00E61925">
        <w:rPr>
          <w:rFonts w:ascii="Times New Roman" w:hAnsi="Times New Roman" w:cs="Times New Roman"/>
          <w:sz w:val="24"/>
          <w:szCs w:val="24"/>
        </w:rPr>
        <w:t>Eaton</w:t>
      </w:r>
      <w:proofErr w:type="spellEnd"/>
      <w:r w:rsidR="00E61925">
        <w:rPr>
          <w:rFonts w:ascii="Times New Roman" w:hAnsi="Times New Roman" w:cs="Times New Roman"/>
          <w:sz w:val="24"/>
          <w:szCs w:val="24"/>
        </w:rPr>
        <w:t xml:space="preserve"> et al. (2007) muestran que </w:t>
      </w:r>
      <w:r w:rsidR="00F14401">
        <w:rPr>
          <w:rFonts w:ascii="Times New Roman" w:hAnsi="Times New Roman" w:cs="Times New Roman"/>
          <w:sz w:val="24"/>
          <w:szCs w:val="24"/>
        </w:rPr>
        <w:t>las pequeñas firmas exportadoras, pese a tener una mayor participación sobre el número total de firmas que exportan, contribuyen muy poco en el valor agregado de las exportaciones, y en cambio tienen una altísima tasa de salida del mercado exportador</w:t>
      </w:r>
      <w:r w:rsidR="00F14401">
        <w:rPr>
          <w:rStyle w:val="FootnoteReference"/>
          <w:rFonts w:ascii="Times New Roman" w:hAnsi="Times New Roman" w:cs="Times New Roman"/>
          <w:sz w:val="24"/>
          <w:szCs w:val="24"/>
        </w:rPr>
        <w:footnoteReference w:id="6"/>
      </w:r>
      <w:r w:rsidR="00F14401">
        <w:rPr>
          <w:rFonts w:ascii="Times New Roman" w:hAnsi="Times New Roman" w:cs="Times New Roman"/>
          <w:sz w:val="24"/>
          <w:szCs w:val="24"/>
        </w:rPr>
        <w:t xml:space="preserve">.  </w:t>
      </w:r>
    </w:p>
    <w:p w:rsidR="00993797" w:rsidRDefault="00A06DAE"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Finalmente, el grupo empresarial de marras se enfrenta al problema de que sus gerentes usualmente carecen de la preparación y los conocimientos especializados que son requeridos para dirigir una empresa con éxito. De acuerdo con Pérez-Uribe et al. (2009), </w:t>
      </w:r>
      <w:r w:rsidR="00141620">
        <w:rPr>
          <w:rFonts w:ascii="Times New Roman" w:hAnsi="Times New Roman" w:cs="Times New Roman"/>
          <w:sz w:val="24"/>
          <w:szCs w:val="24"/>
        </w:rPr>
        <w:t>los problemas asociados a una inadecuada gestión en cuanto al capital de trabajo, o a errores de medición de costos por productos o procesos</w:t>
      </w:r>
      <w:r w:rsidR="005C3F85">
        <w:rPr>
          <w:rFonts w:ascii="Times New Roman" w:hAnsi="Times New Roman" w:cs="Times New Roman"/>
          <w:sz w:val="24"/>
          <w:szCs w:val="24"/>
        </w:rPr>
        <w:t>,</w:t>
      </w:r>
      <w:r w:rsidR="00B76E8B">
        <w:rPr>
          <w:rFonts w:ascii="Times New Roman" w:hAnsi="Times New Roman" w:cs="Times New Roman"/>
          <w:sz w:val="24"/>
          <w:szCs w:val="24"/>
        </w:rPr>
        <w:t xml:space="preserve"> son</w:t>
      </w:r>
      <w:r w:rsidR="00141620">
        <w:rPr>
          <w:rFonts w:ascii="Times New Roman" w:hAnsi="Times New Roman" w:cs="Times New Roman"/>
          <w:sz w:val="24"/>
          <w:szCs w:val="24"/>
        </w:rPr>
        <w:t xml:space="preserve"> </w:t>
      </w:r>
      <w:r w:rsidR="005C3F85">
        <w:rPr>
          <w:rFonts w:ascii="Times New Roman" w:hAnsi="Times New Roman" w:cs="Times New Roman"/>
          <w:sz w:val="24"/>
          <w:szCs w:val="24"/>
        </w:rPr>
        <w:t xml:space="preserve">elementos </w:t>
      </w:r>
      <w:r w:rsidR="00141620">
        <w:rPr>
          <w:rFonts w:ascii="Times New Roman" w:hAnsi="Times New Roman" w:cs="Times New Roman"/>
          <w:sz w:val="24"/>
          <w:szCs w:val="24"/>
        </w:rPr>
        <w:t xml:space="preserve">nocivos para el desempeño de tales empresas. Tras hacer seguimiento a un grupo de empresas micro y pequeñas, del cual una porción fue intervenida para mejorar sus prácticas gerenciales y financieras, los autores de tal estudio encuentran que hay mejoras estadísticamente significativas en aquellas empresas que perfeccionaron sus prácticas empresariales. </w:t>
      </w:r>
    </w:p>
    <w:p w:rsidR="00B76E8B" w:rsidRDefault="00640D21"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L</w:t>
      </w:r>
      <w:r w:rsidR="0075464A">
        <w:rPr>
          <w:rFonts w:ascii="Times New Roman" w:hAnsi="Times New Roman" w:cs="Times New Roman"/>
          <w:sz w:val="24"/>
          <w:szCs w:val="24"/>
        </w:rPr>
        <w:t xml:space="preserve">as opiniones </w:t>
      </w:r>
      <w:r w:rsidR="00F445A5">
        <w:rPr>
          <w:rFonts w:ascii="Times New Roman" w:hAnsi="Times New Roman" w:cs="Times New Roman"/>
          <w:sz w:val="24"/>
          <w:szCs w:val="24"/>
        </w:rPr>
        <w:t xml:space="preserve">de </w:t>
      </w:r>
      <w:r w:rsidR="00B76E8B">
        <w:rPr>
          <w:rFonts w:ascii="Times New Roman" w:hAnsi="Times New Roman" w:cs="Times New Roman"/>
          <w:sz w:val="24"/>
          <w:szCs w:val="24"/>
        </w:rPr>
        <w:t xml:space="preserve">algunos </w:t>
      </w:r>
      <w:r w:rsidR="003A5501">
        <w:rPr>
          <w:rFonts w:ascii="Times New Roman" w:hAnsi="Times New Roman" w:cs="Times New Roman"/>
          <w:sz w:val="24"/>
          <w:szCs w:val="24"/>
        </w:rPr>
        <w:t xml:space="preserve">empresarios </w:t>
      </w:r>
      <w:r w:rsidR="00F445A5">
        <w:rPr>
          <w:rFonts w:ascii="Times New Roman" w:hAnsi="Times New Roman" w:cs="Times New Roman"/>
          <w:sz w:val="24"/>
          <w:szCs w:val="24"/>
        </w:rPr>
        <w:t xml:space="preserve">del segmento </w:t>
      </w:r>
      <w:proofErr w:type="spellStart"/>
      <w:r w:rsidR="00F445A5">
        <w:rPr>
          <w:rFonts w:ascii="Times New Roman" w:hAnsi="Times New Roman" w:cs="Times New Roman"/>
          <w:sz w:val="24"/>
          <w:szCs w:val="24"/>
        </w:rPr>
        <w:t>Mipymes</w:t>
      </w:r>
      <w:proofErr w:type="spellEnd"/>
      <w:r w:rsidR="00F445A5">
        <w:rPr>
          <w:rFonts w:ascii="Times New Roman" w:hAnsi="Times New Roman" w:cs="Times New Roman"/>
          <w:sz w:val="24"/>
          <w:szCs w:val="24"/>
        </w:rPr>
        <w:t xml:space="preserve"> dan algunas luces sobre l</w:t>
      </w:r>
      <w:r w:rsidR="00FF7C8E">
        <w:rPr>
          <w:rFonts w:ascii="Times New Roman" w:hAnsi="Times New Roman" w:cs="Times New Roman"/>
          <w:sz w:val="24"/>
          <w:szCs w:val="24"/>
        </w:rPr>
        <w:t>a relevancia del tema crediticio</w:t>
      </w:r>
      <w:r w:rsidR="00F445A5">
        <w:rPr>
          <w:rFonts w:ascii="Times New Roman" w:hAnsi="Times New Roman" w:cs="Times New Roman"/>
          <w:sz w:val="24"/>
          <w:szCs w:val="24"/>
        </w:rPr>
        <w:t xml:space="preserve"> entre sus preocupaciones. </w:t>
      </w:r>
      <w:r w:rsidR="008469DF">
        <w:rPr>
          <w:rFonts w:ascii="Times New Roman" w:hAnsi="Times New Roman" w:cs="Times New Roman"/>
          <w:sz w:val="24"/>
          <w:szCs w:val="24"/>
        </w:rPr>
        <w:t>Tales percepciones</w:t>
      </w:r>
      <w:r w:rsidR="00F445A5">
        <w:rPr>
          <w:rFonts w:ascii="Times New Roman" w:hAnsi="Times New Roman" w:cs="Times New Roman"/>
          <w:sz w:val="24"/>
          <w:szCs w:val="24"/>
        </w:rPr>
        <w:t xml:space="preserve"> están cuantificadas por la </w:t>
      </w:r>
      <w:r w:rsidR="00923294">
        <w:rPr>
          <w:rFonts w:ascii="Times New Roman" w:hAnsi="Times New Roman" w:cs="Times New Roman"/>
          <w:sz w:val="24"/>
          <w:szCs w:val="24"/>
        </w:rPr>
        <w:t>“</w:t>
      </w:r>
      <w:r w:rsidR="003A5501">
        <w:rPr>
          <w:rFonts w:ascii="Times New Roman" w:hAnsi="Times New Roman" w:cs="Times New Roman"/>
          <w:sz w:val="24"/>
          <w:szCs w:val="24"/>
        </w:rPr>
        <w:t>Gran Encuesta Pyme</w:t>
      </w:r>
      <w:r w:rsidR="00923294">
        <w:rPr>
          <w:rFonts w:ascii="Times New Roman" w:hAnsi="Times New Roman" w:cs="Times New Roman"/>
          <w:sz w:val="24"/>
          <w:szCs w:val="24"/>
        </w:rPr>
        <w:t>”</w:t>
      </w:r>
      <w:r w:rsidR="003A5501">
        <w:rPr>
          <w:rFonts w:ascii="Times New Roman" w:hAnsi="Times New Roman" w:cs="Times New Roman"/>
          <w:sz w:val="24"/>
          <w:szCs w:val="24"/>
        </w:rPr>
        <w:t xml:space="preserve"> del segundo semestre del 2012, </w:t>
      </w:r>
      <w:r w:rsidR="00923294">
        <w:rPr>
          <w:rFonts w:ascii="Times New Roman" w:hAnsi="Times New Roman" w:cs="Times New Roman"/>
          <w:sz w:val="24"/>
          <w:szCs w:val="24"/>
        </w:rPr>
        <w:t xml:space="preserve">conducida por la Asociación Nacional de Instituciones Financieras (ANIF) </w:t>
      </w:r>
      <w:r w:rsidR="003A5501">
        <w:rPr>
          <w:rFonts w:ascii="Times New Roman" w:hAnsi="Times New Roman" w:cs="Times New Roman"/>
          <w:sz w:val="24"/>
          <w:szCs w:val="24"/>
        </w:rPr>
        <w:t xml:space="preserve">a 1636 empresarios </w:t>
      </w:r>
      <w:r w:rsidR="00923294">
        <w:rPr>
          <w:rFonts w:ascii="Times New Roman" w:hAnsi="Times New Roman" w:cs="Times New Roman"/>
          <w:sz w:val="24"/>
          <w:szCs w:val="24"/>
        </w:rPr>
        <w:t>de pequeñas y medianas empresas</w:t>
      </w:r>
      <w:r w:rsidR="00F445A5">
        <w:rPr>
          <w:rFonts w:ascii="Times New Roman" w:hAnsi="Times New Roman" w:cs="Times New Roman"/>
          <w:sz w:val="24"/>
          <w:szCs w:val="24"/>
        </w:rPr>
        <w:t>.</w:t>
      </w:r>
      <w:r w:rsidR="00B76E8B">
        <w:rPr>
          <w:rFonts w:ascii="Times New Roman" w:hAnsi="Times New Roman" w:cs="Times New Roman"/>
          <w:sz w:val="24"/>
          <w:szCs w:val="24"/>
        </w:rPr>
        <w:t xml:space="preserve"> </w:t>
      </w:r>
      <w:r w:rsidR="00F445A5">
        <w:rPr>
          <w:rFonts w:ascii="Times New Roman" w:hAnsi="Times New Roman" w:cs="Times New Roman"/>
          <w:sz w:val="24"/>
          <w:szCs w:val="24"/>
        </w:rPr>
        <w:t xml:space="preserve">De acuerdo con tal reporte, </w:t>
      </w:r>
      <w:r w:rsidR="00923294">
        <w:rPr>
          <w:rFonts w:ascii="Times New Roman" w:hAnsi="Times New Roman" w:cs="Times New Roman"/>
          <w:sz w:val="24"/>
          <w:szCs w:val="24"/>
        </w:rPr>
        <w:t xml:space="preserve">el </w:t>
      </w:r>
      <w:r w:rsidR="00F9112B">
        <w:rPr>
          <w:rFonts w:ascii="Times New Roman" w:hAnsi="Times New Roman" w:cs="Times New Roman"/>
          <w:sz w:val="24"/>
          <w:szCs w:val="24"/>
        </w:rPr>
        <w:t xml:space="preserve">58% de los </w:t>
      </w:r>
      <w:r w:rsidR="00923294">
        <w:rPr>
          <w:rFonts w:ascii="Times New Roman" w:hAnsi="Times New Roman" w:cs="Times New Roman"/>
          <w:sz w:val="24"/>
          <w:szCs w:val="24"/>
        </w:rPr>
        <w:t xml:space="preserve">consultados </w:t>
      </w:r>
      <w:r w:rsidR="00F9112B">
        <w:rPr>
          <w:rFonts w:ascii="Times New Roman" w:hAnsi="Times New Roman" w:cs="Times New Roman"/>
          <w:sz w:val="24"/>
          <w:szCs w:val="24"/>
        </w:rPr>
        <w:t xml:space="preserve">habían pedido crédito en el semestre en curso, de los cuales 96% recibieron el </w:t>
      </w:r>
      <w:r w:rsidR="00AC3505">
        <w:rPr>
          <w:rFonts w:ascii="Times New Roman" w:hAnsi="Times New Roman" w:cs="Times New Roman"/>
          <w:sz w:val="24"/>
          <w:szCs w:val="24"/>
        </w:rPr>
        <w:t>préstamo</w:t>
      </w:r>
      <w:r w:rsidR="00F9112B">
        <w:rPr>
          <w:rFonts w:ascii="Times New Roman" w:hAnsi="Times New Roman" w:cs="Times New Roman"/>
          <w:sz w:val="24"/>
          <w:szCs w:val="24"/>
        </w:rPr>
        <w:t xml:space="preserve"> solicitado. </w:t>
      </w:r>
      <w:r w:rsidR="00B76E8B">
        <w:rPr>
          <w:rFonts w:ascii="Times New Roman" w:hAnsi="Times New Roman" w:cs="Times New Roman"/>
          <w:sz w:val="24"/>
          <w:szCs w:val="24"/>
        </w:rPr>
        <w:t>Si bien</w:t>
      </w:r>
      <w:r w:rsidR="00F9112B">
        <w:rPr>
          <w:rFonts w:ascii="Times New Roman" w:hAnsi="Times New Roman" w:cs="Times New Roman"/>
          <w:sz w:val="24"/>
          <w:szCs w:val="24"/>
        </w:rPr>
        <w:t xml:space="preserve"> </w:t>
      </w:r>
      <w:r w:rsidR="00953B70">
        <w:rPr>
          <w:rFonts w:ascii="Times New Roman" w:hAnsi="Times New Roman" w:cs="Times New Roman"/>
          <w:sz w:val="24"/>
          <w:szCs w:val="24"/>
        </w:rPr>
        <w:t>el 93% de quienes solicitaron el crédito se mostraron satisfechos con el monto y el plazo recibido</w:t>
      </w:r>
      <w:r w:rsidR="002E3277">
        <w:rPr>
          <w:rFonts w:ascii="Times New Roman" w:hAnsi="Times New Roman" w:cs="Times New Roman"/>
          <w:sz w:val="24"/>
          <w:szCs w:val="24"/>
        </w:rPr>
        <w:t xml:space="preserve">, </w:t>
      </w:r>
      <w:r w:rsidR="00B76E8B">
        <w:rPr>
          <w:rFonts w:ascii="Times New Roman" w:hAnsi="Times New Roman" w:cs="Times New Roman"/>
          <w:sz w:val="24"/>
          <w:szCs w:val="24"/>
        </w:rPr>
        <w:t>el 24</w:t>
      </w:r>
      <w:r w:rsidR="002E3277">
        <w:rPr>
          <w:rFonts w:ascii="Times New Roman" w:hAnsi="Times New Roman" w:cs="Times New Roman"/>
          <w:sz w:val="24"/>
          <w:szCs w:val="24"/>
        </w:rPr>
        <w:t xml:space="preserve">% </w:t>
      </w:r>
      <w:r w:rsidR="00B76E8B">
        <w:rPr>
          <w:rFonts w:ascii="Times New Roman" w:hAnsi="Times New Roman" w:cs="Times New Roman"/>
          <w:sz w:val="24"/>
          <w:szCs w:val="24"/>
        </w:rPr>
        <w:t xml:space="preserve">no </w:t>
      </w:r>
      <w:r w:rsidR="002E3277">
        <w:rPr>
          <w:rFonts w:ascii="Times New Roman" w:hAnsi="Times New Roman" w:cs="Times New Roman"/>
          <w:sz w:val="24"/>
          <w:szCs w:val="24"/>
        </w:rPr>
        <w:t xml:space="preserve">se vio satisfecho con la tasa a la </w:t>
      </w:r>
      <w:r w:rsidR="00923294">
        <w:rPr>
          <w:rFonts w:ascii="Times New Roman" w:hAnsi="Times New Roman" w:cs="Times New Roman"/>
          <w:sz w:val="24"/>
          <w:szCs w:val="24"/>
        </w:rPr>
        <w:t xml:space="preserve">cual </w:t>
      </w:r>
      <w:r w:rsidR="007A096A">
        <w:rPr>
          <w:rFonts w:ascii="Times New Roman" w:hAnsi="Times New Roman" w:cs="Times New Roman"/>
          <w:sz w:val="24"/>
          <w:szCs w:val="24"/>
        </w:rPr>
        <w:t>recibió</w:t>
      </w:r>
      <w:r w:rsidR="002E3277">
        <w:rPr>
          <w:rFonts w:ascii="Times New Roman" w:hAnsi="Times New Roman" w:cs="Times New Roman"/>
          <w:sz w:val="24"/>
          <w:szCs w:val="24"/>
        </w:rPr>
        <w:t xml:space="preserve"> el </w:t>
      </w:r>
      <w:r w:rsidR="00AC3505">
        <w:rPr>
          <w:rFonts w:ascii="Times New Roman" w:hAnsi="Times New Roman" w:cs="Times New Roman"/>
          <w:sz w:val="24"/>
          <w:szCs w:val="24"/>
        </w:rPr>
        <w:t>préstamo</w:t>
      </w:r>
      <w:r w:rsidR="002E3277">
        <w:rPr>
          <w:rFonts w:ascii="Times New Roman" w:hAnsi="Times New Roman" w:cs="Times New Roman"/>
          <w:sz w:val="24"/>
          <w:szCs w:val="24"/>
        </w:rPr>
        <w:t xml:space="preserve">. </w:t>
      </w:r>
    </w:p>
    <w:p w:rsidR="002C78DD" w:rsidRDefault="00171113"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Análogamente, del 42% de los encuestados que declaró no haber solicitado crédito, 76%</w:t>
      </w:r>
      <w:r w:rsidR="00953B70">
        <w:rPr>
          <w:rFonts w:ascii="Times New Roman" w:hAnsi="Times New Roman" w:cs="Times New Roman"/>
          <w:sz w:val="24"/>
          <w:szCs w:val="24"/>
        </w:rPr>
        <w:t xml:space="preserve"> </w:t>
      </w:r>
      <w:r>
        <w:rPr>
          <w:rFonts w:ascii="Times New Roman" w:hAnsi="Times New Roman" w:cs="Times New Roman"/>
          <w:sz w:val="24"/>
          <w:szCs w:val="24"/>
        </w:rPr>
        <w:t>afirmó que no lo hizo simplemente porque no lo necesitaba</w:t>
      </w:r>
      <w:r w:rsidR="00B76E8B">
        <w:rPr>
          <w:rFonts w:ascii="Times New Roman" w:hAnsi="Times New Roman" w:cs="Times New Roman"/>
          <w:sz w:val="24"/>
          <w:szCs w:val="24"/>
        </w:rPr>
        <w:t xml:space="preserve">. Preocupa saber que </w:t>
      </w:r>
      <w:r>
        <w:rPr>
          <w:rFonts w:ascii="Times New Roman" w:hAnsi="Times New Roman" w:cs="Times New Roman"/>
          <w:sz w:val="24"/>
          <w:szCs w:val="24"/>
        </w:rPr>
        <w:t xml:space="preserve">el 19% </w:t>
      </w:r>
      <w:r>
        <w:rPr>
          <w:rFonts w:ascii="Times New Roman" w:hAnsi="Times New Roman" w:cs="Times New Roman"/>
          <w:sz w:val="24"/>
          <w:szCs w:val="24"/>
        </w:rPr>
        <w:lastRenderedPageBreak/>
        <w:t xml:space="preserve">afirmó que no lo hacía por los elevados costos financieros. </w:t>
      </w:r>
      <w:r w:rsidR="00B76E8B">
        <w:rPr>
          <w:rFonts w:ascii="Times New Roman" w:hAnsi="Times New Roman" w:cs="Times New Roman"/>
          <w:sz w:val="24"/>
          <w:szCs w:val="24"/>
        </w:rPr>
        <w:t xml:space="preserve">Finalmente, </w:t>
      </w:r>
      <w:r w:rsidR="002C78DD">
        <w:rPr>
          <w:rFonts w:ascii="Times New Roman" w:hAnsi="Times New Roman" w:cs="Times New Roman"/>
          <w:sz w:val="24"/>
          <w:szCs w:val="24"/>
        </w:rPr>
        <w:t>el 8% declaró que su mayor problema era la falta de liquidez o insuficiencia de capital de trabajo</w:t>
      </w:r>
      <w:r w:rsidR="00B76E8B">
        <w:rPr>
          <w:rFonts w:ascii="Times New Roman" w:hAnsi="Times New Roman" w:cs="Times New Roman"/>
          <w:sz w:val="24"/>
          <w:szCs w:val="24"/>
        </w:rPr>
        <w:t>.</w:t>
      </w:r>
    </w:p>
    <w:p w:rsidR="00777244" w:rsidRDefault="00B76E8B"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Si bien la encuesta señala que los problemas crediticos son relevantes en las </w:t>
      </w:r>
      <w:proofErr w:type="spellStart"/>
      <w:r>
        <w:rPr>
          <w:rFonts w:ascii="Times New Roman" w:hAnsi="Times New Roman" w:cs="Times New Roman"/>
          <w:sz w:val="24"/>
          <w:szCs w:val="24"/>
        </w:rPr>
        <w:t>Mipymes</w:t>
      </w:r>
      <w:proofErr w:type="spellEnd"/>
      <w:r>
        <w:rPr>
          <w:rFonts w:ascii="Times New Roman" w:hAnsi="Times New Roman" w:cs="Times New Roman"/>
          <w:sz w:val="24"/>
          <w:szCs w:val="24"/>
        </w:rPr>
        <w:t xml:space="preserve">, es posible que los órdenes de magnitud sean menores a los esperados. </w:t>
      </w:r>
      <w:r w:rsidR="002C78DD">
        <w:rPr>
          <w:rFonts w:ascii="Times New Roman" w:hAnsi="Times New Roman" w:cs="Times New Roman"/>
          <w:sz w:val="24"/>
          <w:szCs w:val="24"/>
        </w:rPr>
        <w:t xml:space="preserve">Las diferencias entre lo que señalan los resultados empíricos y la opinión de los micro, pequeños y medianos empresarios puede deberse a </w:t>
      </w:r>
      <w:r w:rsidR="004E6191">
        <w:rPr>
          <w:rFonts w:ascii="Times New Roman" w:hAnsi="Times New Roman" w:cs="Times New Roman"/>
          <w:sz w:val="24"/>
          <w:szCs w:val="24"/>
        </w:rPr>
        <w:t>cuatro</w:t>
      </w:r>
      <w:r w:rsidR="00923294">
        <w:rPr>
          <w:rFonts w:ascii="Times New Roman" w:hAnsi="Times New Roman" w:cs="Times New Roman"/>
          <w:sz w:val="24"/>
          <w:szCs w:val="24"/>
        </w:rPr>
        <w:t xml:space="preserve"> </w:t>
      </w:r>
      <w:r w:rsidR="002C78DD">
        <w:rPr>
          <w:rFonts w:ascii="Times New Roman" w:hAnsi="Times New Roman" w:cs="Times New Roman"/>
          <w:sz w:val="24"/>
          <w:szCs w:val="24"/>
        </w:rPr>
        <w:t xml:space="preserve">factores. En primer lugar, </w:t>
      </w:r>
      <w:r w:rsidR="00923294">
        <w:rPr>
          <w:rFonts w:ascii="Times New Roman" w:hAnsi="Times New Roman" w:cs="Times New Roman"/>
          <w:sz w:val="24"/>
          <w:szCs w:val="24"/>
        </w:rPr>
        <w:t xml:space="preserve">podría haber algún tipo de sesgo en la encuesta, como lo muestra el hecho de que la distribución de los consultados difiere de la distribución real de las </w:t>
      </w:r>
      <w:proofErr w:type="spellStart"/>
      <w:r w:rsidR="00923294">
        <w:rPr>
          <w:rFonts w:ascii="Times New Roman" w:hAnsi="Times New Roman" w:cs="Times New Roman"/>
          <w:sz w:val="24"/>
          <w:szCs w:val="24"/>
        </w:rPr>
        <w:t>Mipyme</w:t>
      </w:r>
      <w:proofErr w:type="spellEnd"/>
      <w:r w:rsidR="00923294">
        <w:rPr>
          <w:rFonts w:ascii="Times New Roman" w:hAnsi="Times New Roman" w:cs="Times New Roman"/>
          <w:sz w:val="24"/>
          <w:szCs w:val="24"/>
        </w:rPr>
        <w:t xml:space="preserve"> en Colombia, con 57% de los encuestados siendo parte de la industria (cuando </w:t>
      </w:r>
      <w:r w:rsidR="006B094E">
        <w:rPr>
          <w:rFonts w:ascii="Times New Roman" w:hAnsi="Times New Roman" w:cs="Times New Roman"/>
          <w:sz w:val="24"/>
          <w:szCs w:val="24"/>
        </w:rPr>
        <w:t>estos</w:t>
      </w:r>
      <w:r w:rsidR="00923294">
        <w:rPr>
          <w:rFonts w:ascii="Times New Roman" w:hAnsi="Times New Roman" w:cs="Times New Roman"/>
          <w:sz w:val="24"/>
          <w:szCs w:val="24"/>
        </w:rPr>
        <w:t xml:space="preserve"> representan tan sólo el 22% de las </w:t>
      </w:r>
      <w:proofErr w:type="spellStart"/>
      <w:r w:rsidR="00923294">
        <w:rPr>
          <w:rFonts w:ascii="Times New Roman" w:hAnsi="Times New Roman" w:cs="Times New Roman"/>
          <w:sz w:val="24"/>
          <w:szCs w:val="24"/>
        </w:rPr>
        <w:t>Mipymes</w:t>
      </w:r>
      <w:proofErr w:type="spellEnd"/>
      <w:r w:rsidR="00923294">
        <w:rPr>
          <w:rFonts w:ascii="Times New Roman" w:hAnsi="Times New Roman" w:cs="Times New Roman"/>
          <w:sz w:val="24"/>
          <w:szCs w:val="24"/>
        </w:rPr>
        <w:t>) y sin consultas a los empresarios del agro.</w:t>
      </w:r>
      <w:r w:rsidR="00F37E56">
        <w:rPr>
          <w:rFonts w:ascii="Times New Roman" w:hAnsi="Times New Roman" w:cs="Times New Roman"/>
          <w:sz w:val="24"/>
          <w:szCs w:val="24"/>
        </w:rPr>
        <w:t xml:space="preserve"> </w:t>
      </w:r>
    </w:p>
    <w:p w:rsidR="00777244" w:rsidRDefault="00D52F5A"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segundo lugar, </w:t>
      </w:r>
      <w:r w:rsidR="002C78DD">
        <w:rPr>
          <w:rFonts w:ascii="Times New Roman" w:hAnsi="Times New Roman" w:cs="Times New Roman"/>
          <w:sz w:val="24"/>
          <w:szCs w:val="24"/>
        </w:rPr>
        <w:t>los hallazgos comentados anteriormente de Pérez-Uribe et al. (2009)</w:t>
      </w:r>
      <w:r>
        <w:rPr>
          <w:rFonts w:ascii="Times New Roman" w:hAnsi="Times New Roman" w:cs="Times New Roman"/>
          <w:sz w:val="24"/>
          <w:szCs w:val="24"/>
        </w:rPr>
        <w:t xml:space="preserve"> pueden estar jugando un papel en este aspecto</w:t>
      </w:r>
      <w:r w:rsidR="002C78DD">
        <w:rPr>
          <w:rFonts w:ascii="Times New Roman" w:hAnsi="Times New Roman" w:cs="Times New Roman"/>
          <w:sz w:val="24"/>
          <w:szCs w:val="24"/>
        </w:rPr>
        <w:t>, en cuanto a que puede que el</w:t>
      </w:r>
      <w:r w:rsidR="002B45E4">
        <w:rPr>
          <w:rFonts w:ascii="Times New Roman" w:hAnsi="Times New Roman" w:cs="Times New Roman"/>
          <w:sz w:val="24"/>
          <w:szCs w:val="24"/>
        </w:rPr>
        <w:t xml:space="preserve"> manejo gerencial de muchos de e</w:t>
      </w:r>
      <w:r w:rsidR="002C78DD">
        <w:rPr>
          <w:rFonts w:ascii="Times New Roman" w:hAnsi="Times New Roman" w:cs="Times New Roman"/>
          <w:sz w:val="24"/>
          <w:szCs w:val="24"/>
        </w:rPr>
        <w:t xml:space="preserve">stos </w:t>
      </w:r>
      <w:r w:rsidR="00236A37">
        <w:rPr>
          <w:rFonts w:ascii="Times New Roman" w:hAnsi="Times New Roman" w:cs="Times New Roman"/>
          <w:sz w:val="24"/>
          <w:szCs w:val="24"/>
        </w:rPr>
        <w:t xml:space="preserve">empresarios no </w:t>
      </w:r>
      <w:r w:rsidR="007A096A">
        <w:rPr>
          <w:rFonts w:ascii="Times New Roman" w:hAnsi="Times New Roman" w:cs="Times New Roman"/>
          <w:sz w:val="24"/>
          <w:szCs w:val="24"/>
        </w:rPr>
        <w:t xml:space="preserve">sea </w:t>
      </w:r>
      <w:r w:rsidR="00236A37">
        <w:rPr>
          <w:rFonts w:ascii="Times New Roman" w:hAnsi="Times New Roman" w:cs="Times New Roman"/>
          <w:sz w:val="24"/>
          <w:szCs w:val="24"/>
        </w:rPr>
        <w:t>óptimo</w:t>
      </w:r>
      <w:r w:rsidR="009237E0">
        <w:rPr>
          <w:rFonts w:ascii="Times New Roman" w:hAnsi="Times New Roman" w:cs="Times New Roman"/>
          <w:sz w:val="24"/>
          <w:szCs w:val="24"/>
        </w:rPr>
        <w:t xml:space="preserve"> en términos financieros - </w:t>
      </w:r>
      <w:r w:rsidR="002C78DD">
        <w:rPr>
          <w:rFonts w:ascii="Times New Roman" w:hAnsi="Times New Roman" w:cs="Times New Roman"/>
          <w:sz w:val="24"/>
          <w:szCs w:val="24"/>
        </w:rPr>
        <w:t xml:space="preserve">lo cual explicaría su desatención a </w:t>
      </w:r>
      <w:r w:rsidR="006B094E">
        <w:rPr>
          <w:rFonts w:ascii="Times New Roman" w:hAnsi="Times New Roman" w:cs="Times New Roman"/>
          <w:sz w:val="24"/>
          <w:szCs w:val="24"/>
        </w:rPr>
        <w:t>estos</w:t>
      </w:r>
      <w:r w:rsidR="002C78DD">
        <w:rPr>
          <w:rFonts w:ascii="Times New Roman" w:hAnsi="Times New Roman" w:cs="Times New Roman"/>
          <w:sz w:val="24"/>
          <w:szCs w:val="24"/>
        </w:rPr>
        <w:t xml:space="preserve"> factores a l</w:t>
      </w:r>
      <w:r w:rsidR="009237E0">
        <w:rPr>
          <w:rFonts w:ascii="Times New Roman" w:hAnsi="Times New Roman" w:cs="Times New Roman"/>
          <w:sz w:val="24"/>
          <w:szCs w:val="24"/>
        </w:rPr>
        <w:t>a hora de señalar sus problemas -</w:t>
      </w:r>
      <w:r w:rsidR="002C78DD">
        <w:rPr>
          <w:rFonts w:ascii="Times New Roman" w:hAnsi="Times New Roman" w:cs="Times New Roman"/>
          <w:sz w:val="24"/>
          <w:szCs w:val="24"/>
        </w:rPr>
        <w:t xml:space="preserve">. </w:t>
      </w:r>
    </w:p>
    <w:p w:rsidR="00777244" w:rsidRDefault="002C78DD"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Otra razón que puede explicar esto </w:t>
      </w:r>
      <w:r w:rsidR="004E6191">
        <w:rPr>
          <w:rFonts w:ascii="Times New Roman" w:hAnsi="Times New Roman" w:cs="Times New Roman"/>
          <w:sz w:val="24"/>
          <w:szCs w:val="24"/>
        </w:rPr>
        <w:t xml:space="preserve">está señalada por </w:t>
      </w:r>
      <w:proofErr w:type="spellStart"/>
      <w:r w:rsidR="004E6191">
        <w:rPr>
          <w:rFonts w:ascii="Times New Roman" w:hAnsi="Times New Roman" w:cs="Times New Roman"/>
          <w:sz w:val="24"/>
          <w:szCs w:val="24"/>
        </w:rPr>
        <w:t>Finkelstein-Shapiro</w:t>
      </w:r>
      <w:proofErr w:type="spellEnd"/>
      <w:r w:rsidR="004E6191">
        <w:rPr>
          <w:rFonts w:ascii="Times New Roman" w:hAnsi="Times New Roman" w:cs="Times New Roman"/>
          <w:sz w:val="24"/>
          <w:szCs w:val="24"/>
        </w:rPr>
        <w:t xml:space="preserve"> (2012), quien muestra que </w:t>
      </w:r>
      <w:r w:rsidR="00D7431F">
        <w:rPr>
          <w:rFonts w:ascii="Times New Roman" w:hAnsi="Times New Roman" w:cs="Times New Roman"/>
          <w:sz w:val="24"/>
          <w:szCs w:val="24"/>
        </w:rPr>
        <w:t xml:space="preserve">en momentos de enfriamiento económico la </w:t>
      </w:r>
      <w:r w:rsidR="00777244">
        <w:rPr>
          <w:rFonts w:ascii="Times New Roman" w:hAnsi="Times New Roman" w:cs="Times New Roman"/>
          <w:sz w:val="24"/>
          <w:szCs w:val="24"/>
        </w:rPr>
        <w:t>cantidad</w:t>
      </w:r>
      <w:r w:rsidR="00D7431F">
        <w:rPr>
          <w:rFonts w:ascii="Times New Roman" w:hAnsi="Times New Roman" w:cs="Times New Roman"/>
          <w:sz w:val="24"/>
          <w:szCs w:val="24"/>
        </w:rPr>
        <w:t xml:space="preserve"> de empleo por cuenta propia </w:t>
      </w:r>
      <w:r w:rsidR="00A07DC9">
        <w:rPr>
          <w:rFonts w:ascii="Times New Roman" w:hAnsi="Times New Roman" w:cs="Times New Roman"/>
          <w:sz w:val="24"/>
          <w:szCs w:val="24"/>
        </w:rPr>
        <w:t xml:space="preserve">- </w:t>
      </w:r>
      <w:r w:rsidR="003934B3">
        <w:rPr>
          <w:rFonts w:ascii="Times New Roman" w:hAnsi="Times New Roman" w:cs="Times New Roman"/>
          <w:sz w:val="24"/>
          <w:szCs w:val="24"/>
        </w:rPr>
        <w:t>que constituye una porción importante de las micro y pequeñas empresas</w:t>
      </w:r>
      <w:r w:rsidR="00A07DC9">
        <w:rPr>
          <w:rFonts w:ascii="Times New Roman" w:hAnsi="Times New Roman" w:cs="Times New Roman"/>
          <w:sz w:val="24"/>
          <w:szCs w:val="24"/>
        </w:rPr>
        <w:t xml:space="preserve"> </w:t>
      </w:r>
      <w:r w:rsidR="003934B3">
        <w:rPr>
          <w:rFonts w:ascii="Times New Roman" w:hAnsi="Times New Roman" w:cs="Times New Roman"/>
          <w:sz w:val="24"/>
          <w:szCs w:val="24"/>
        </w:rPr>
        <w:t xml:space="preserve">- </w:t>
      </w:r>
      <w:r w:rsidR="00D7431F">
        <w:rPr>
          <w:rFonts w:ascii="Times New Roman" w:hAnsi="Times New Roman" w:cs="Times New Roman"/>
          <w:sz w:val="24"/>
          <w:szCs w:val="24"/>
        </w:rPr>
        <w:t xml:space="preserve">aumenta considerablemente, y que tal </w:t>
      </w:r>
      <w:r w:rsidR="003C6D2C">
        <w:rPr>
          <w:rFonts w:ascii="Times New Roman" w:hAnsi="Times New Roman" w:cs="Times New Roman"/>
          <w:sz w:val="24"/>
          <w:szCs w:val="24"/>
        </w:rPr>
        <w:t xml:space="preserve">proceso es sostenible dado que las firmas más grandes </w:t>
      </w:r>
      <w:r w:rsidR="003934B3">
        <w:rPr>
          <w:rFonts w:ascii="Times New Roman" w:hAnsi="Times New Roman" w:cs="Times New Roman"/>
          <w:sz w:val="24"/>
          <w:szCs w:val="24"/>
        </w:rPr>
        <w:t xml:space="preserve">suministran una </w:t>
      </w:r>
      <w:r w:rsidR="003C6D2C">
        <w:rPr>
          <w:rFonts w:ascii="Times New Roman" w:hAnsi="Times New Roman" w:cs="Times New Roman"/>
          <w:sz w:val="24"/>
          <w:szCs w:val="24"/>
        </w:rPr>
        <w:t xml:space="preserve">porción de los fondos </w:t>
      </w:r>
      <w:r w:rsidR="009D794B">
        <w:rPr>
          <w:rFonts w:ascii="Times New Roman" w:hAnsi="Times New Roman" w:cs="Times New Roman"/>
          <w:sz w:val="24"/>
          <w:szCs w:val="24"/>
        </w:rPr>
        <w:t xml:space="preserve">salariales inutilizados </w:t>
      </w:r>
      <w:r w:rsidR="003934B3">
        <w:rPr>
          <w:rFonts w:ascii="Times New Roman" w:hAnsi="Times New Roman" w:cs="Times New Roman"/>
          <w:sz w:val="24"/>
          <w:szCs w:val="24"/>
        </w:rPr>
        <w:t>a los referidos trabajadores.</w:t>
      </w:r>
      <w:r w:rsidR="006B094E">
        <w:rPr>
          <w:rFonts w:ascii="Times New Roman" w:hAnsi="Times New Roman" w:cs="Times New Roman"/>
          <w:sz w:val="24"/>
          <w:szCs w:val="24"/>
        </w:rPr>
        <w:t xml:space="preserve"> En el caso de la economía c</w:t>
      </w:r>
      <w:r w:rsidR="00777244">
        <w:rPr>
          <w:rFonts w:ascii="Times New Roman" w:hAnsi="Times New Roman" w:cs="Times New Roman"/>
          <w:sz w:val="24"/>
          <w:szCs w:val="24"/>
        </w:rPr>
        <w:t xml:space="preserve">olombiana, el </w:t>
      </w:r>
      <w:r w:rsidR="00467CDA">
        <w:rPr>
          <w:rFonts w:ascii="Times New Roman" w:hAnsi="Times New Roman" w:cs="Times New Roman"/>
          <w:sz w:val="24"/>
          <w:szCs w:val="24"/>
        </w:rPr>
        <w:t xml:space="preserve">reciente </w:t>
      </w:r>
      <w:r w:rsidR="00777244">
        <w:rPr>
          <w:rFonts w:ascii="Times New Roman" w:hAnsi="Times New Roman" w:cs="Times New Roman"/>
          <w:sz w:val="24"/>
          <w:szCs w:val="24"/>
        </w:rPr>
        <w:t xml:space="preserve">enfriamiento de la economía </w:t>
      </w:r>
      <w:r w:rsidR="00A07DC9">
        <w:rPr>
          <w:rFonts w:ascii="Times New Roman" w:hAnsi="Times New Roman" w:cs="Times New Roman"/>
          <w:sz w:val="24"/>
          <w:szCs w:val="24"/>
        </w:rPr>
        <w:t>pudo haber facilitado el proceso mediante el cual las firmas más grandes suministran fondos financieros</w:t>
      </w:r>
      <w:r w:rsidR="00777244">
        <w:rPr>
          <w:rFonts w:ascii="Times New Roman" w:hAnsi="Times New Roman" w:cs="Times New Roman"/>
          <w:sz w:val="24"/>
          <w:szCs w:val="24"/>
        </w:rPr>
        <w:t xml:space="preserve"> a un</w:t>
      </w:r>
      <w:r w:rsidR="00A07DC9">
        <w:rPr>
          <w:rFonts w:ascii="Times New Roman" w:hAnsi="Times New Roman" w:cs="Times New Roman"/>
          <w:sz w:val="24"/>
          <w:szCs w:val="24"/>
        </w:rPr>
        <w:t>a p</w:t>
      </w:r>
      <w:r w:rsidR="00777244">
        <w:rPr>
          <w:rFonts w:ascii="Times New Roman" w:hAnsi="Times New Roman" w:cs="Times New Roman"/>
          <w:sz w:val="24"/>
          <w:szCs w:val="24"/>
        </w:rPr>
        <w:t>o</w:t>
      </w:r>
      <w:r w:rsidR="00A07DC9">
        <w:rPr>
          <w:rFonts w:ascii="Times New Roman" w:hAnsi="Times New Roman" w:cs="Times New Roman"/>
          <w:sz w:val="24"/>
          <w:szCs w:val="24"/>
        </w:rPr>
        <w:t>r</w:t>
      </w:r>
      <w:r w:rsidR="00777244">
        <w:rPr>
          <w:rFonts w:ascii="Times New Roman" w:hAnsi="Times New Roman" w:cs="Times New Roman"/>
          <w:sz w:val="24"/>
          <w:szCs w:val="24"/>
        </w:rPr>
        <w:t xml:space="preserve">ción importante de trabajadores por cuenta propia, lo que a su vez pudo haber repercutido de forma positiva </w:t>
      </w:r>
      <w:r w:rsidR="00A07DC9">
        <w:rPr>
          <w:rFonts w:ascii="Times New Roman" w:hAnsi="Times New Roman" w:cs="Times New Roman"/>
          <w:sz w:val="24"/>
          <w:szCs w:val="24"/>
        </w:rPr>
        <w:t xml:space="preserve">en </w:t>
      </w:r>
      <w:r w:rsidR="00777244">
        <w:rPr>
          <w:rFonts w:ascii="Times New Roman" w:hAnsi="Times New Roman" w:cs="Times New Roman"/>
          <w:sz w:val="24"/>
          <w:szCs w:val="24"/>
        </w:rPr>
        <w:t xml:space="preserve">las percepciones </w:t>
      </w:r>
      <w:r w:rsidR="00A07DC9">
        <w:rPr>
          <w:rFonts w:ascii="Times New Roman" w:hAnsi="Times New Roman" w:cs="Times New Roman"/>
          <w:sz w:val="24"/>
          <w:szCs w:val="24"/>
        </w:rPr>
        <w:t xml:space="preserve">de los micro y pequeños empresarios </w:t>
      </w:r>
      <w:r w:rsidR="00777244">
        <w:rPr>
          <w:rFonts w:ascii="Times New Roman" w:hAnsi="Times New Roman" w:cs="Times New Roman"/>
          <w:sz w:val="24"/>
          <w:szCs w:val="24"/>
        </w:rPr>
        <w:t>en cuanto al acceso a</w:t>
      </w:r>
      <w:r w:rsidR="00A07DC9">
        <w:rPr>
          <w:rFonts w:ascii="Times New Roman" w:hAnsi="Times New Roman" w:cs="Times New Roman"/>
          <w:sz w:val="24"/>
          <w:szCs w:val="24"/>
        </w:rPr>
        <w:t xml:space="preserve"> fuentes de financiamiento</w:t>
      </w:r>
      <w:r w:rsidR="00777244">
        <w:rPr>
          <w:rFonts w:ascii="Times New Roman" w:hAnsi="Times New Roman" w:cs="Times New Roman"/>
          <w:sz w:val="24"/>
          <w:szCs w:val="24"/>
        </w:rPr>
        <w:t>.</w:t>
      </w:r>
      <w:r w:rsidR="003934B3">
        <w:rPr>
          <w:rFonts w:ascii="Times New Roman" w:hAnsi="Times New Roman" w:cs="Times New Roman"/>
          <w:sz w:val="24"/>
          <w:szCs w:val="24"/>
        </w:rPr>
        <w:t xml:space="preserve"> </w:t>
      </w:r>
    </w:p>
    <w:p w:rsidR="002C78DD" w:rsidRDefault="003934B3"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Finalmente, el resultado paradójico también </w:t>
      </w:r>
      <w:r w:rsidR="002C78DD">
        <w:rPr>
          <w:rFonts w:ascii="Times New Roman" w:hAnsi="Times New Roman" w:cs="Times New Roman"/>
          <w:sz w:val="24"/>
          <w:szCs w:val="24"/>
        </w:rPr>
        <w:t xml:space="preserve">puede estar </w:t>
      </w:r>
      <w:r>
        <w:rPr>
          <w:rFonts w:ascii="Times New Roman" w:hAnsi="Times New Roman" w:cs="Times New Roman"/>
          <w:sz w:val="24"/>
          <w:szCs w:val="24"/>
        </w:rPr>
        <w:t>explicado en parte</w:t>
      </w:r>
      <w:r w:rsidR="002C78DD">
        <w:rPr>
          <w:rFonts w:ascii="Times New Roman" w:hAnsi="Times New Roman" w:cs="Times New Roman"/>
          <w:sz w:val="24"/>
          <w:szCs w:val="24"/>
        </w:rPr>
        <w:t xml:space="preserve"> por el éxito de los programas gubernamentales que, como </w:t>
      </w:r>
      <w:r w:rsidR="00467CDA">
        <w:rPr>
          <w:rFonts w:ascii="Times New Roman" w:hAnsi="Times New Roman" w:cs="Times New Roman"/>
          <w:sz w:val="24"/>
          <w:szCs w:val="24"/>
        </w:rPr>
        <w:t xml:space="preserve">los de </w:t>
      </w:r>
      <w:proofErr w:type="spellStart"/>
      <w:r w:rsidR="002C78DD">
        <w:rPr>
          <w:rFonts w:ascii="Times New Roman" w:hAnsi="Times New Roman" w:cs="Times New Roman"/>
          <w:sz w:val="24"/>
          <w:szCs w:val="24"/>
        </w:rPr>
        <w:t>Bancóldex</w:t>
      </w:r>
      <w:proofErr w:type="spellEnd"/>
      <w:r w:rsidR="002C78DD">
        <w:rPr>
          <w:rFonts w:ascii="Times New Roman" w:hAnsi="Times New Roman" w:cs="Times New Roman"/>
          <w:sz w:val="24"/>
          <w:szCs w:val="24"/>
        </w:rPr>
        <w:t xml:space="preserve">, están dirigidos a acompañar y facilitar la gestión de las </w:t>
      </w:r>
      <w:proofErr w:type="spellStart"/>
      <w:r w:rsidR="002C78DD">
        <w:rPr>
          <w:rFonts w:ascii="Times New Roman" w:hAnsi="Times New Roman" w:cs="Times New Roman"/>
          <w:sz w:val="24"/>
          <w:szCs w:val="24"/>
        </w:rPr>
        <w:t>Mipymes</w:t>
      </w:r>
      <w:proofErr w:type="spellEnd"/>
      <w:r w:rsidR="002C78DD">
        <w:rPr>
          <w:rFonts w:ascii="Times New Roman" w:hAnsi="Times New Roman" w:cs="Times New Roman"/>
          <w:sz w:val="24"/>
          <w:szCs w:val="24"/>
        </w:rPr>
        <w:t xml:space="preserve"> en Colombia. </w:t>
      </w:r>
      <w:r w:rsidR="006B094E">
        <w:rPr>
          <w:rFonts w:ascii="Times New Roman" w:hAnsi="Times New Roman" w:cs="Times New Roman"/>
          <w:sz w:val="24"/>
          <w:szCs w:val="24"/>
        </w:rPr>
        <w:t>Esta</w:t>
      </w:r>
      <w:r w:rsidR="002C78DD">
        <w:rPr>
          <w:rFonts w:ascii="Times New Roman" w:hAnsi="Times New Roman" w:cs="Times New Roman"/>
          <w:sz w:val="24"/>
          <w:szCs w:val="24"/>
        </w:rPr>
        <w:t xml:space="preserve"> segunda posibilidad es precisamente la que se examina en la siguiente sección. </w:t>
      </w:r>
    </w:p>
    <w:p w:rsidR="00802BB1" w:rsidRDefault="00802BB1" w:rsidP="00C62363">
      <w:pPr>
        <w:spacing w:line="360" w:lineRule="auto"/>
        <w:jc w:val="both"/>
        <w:rPr>
          <w:rFonts w:ascii="Times New Roman" w:hAnsi="Times New Roman" w:cs="Times New Roman"/>
          <w:sz w:val="24"/>
          <w:szCs w:val="24"/>
        </w:rPr>
      </w:pPr>
    </w:p>
    <w:p w:rsidR="000A6419" w:rsidRPr="00CA6DCA" w:rsidRDefault="000A6419" w:rsidP="00C62363">
      <w:pPr>
        <w:pStyle w:val="ListParagraph"/>
        <w:numPr>
          <w:ilvl w:val="0"/>
          <w:numId w:val="5"/>
        </w:numPr>
        <w:spacing w:line="360" w:lineRule="auto"/>
        <w:jc w:val="both"/>
        <w:rPr>
          <w:rFonts w:ascii="Times New Roman" w:hAnsi="Times New Roman" w:cs="Times New Roman"/>
          <w:b/>
          <w:sz w:val="24"/>
          <w:szCs w:val="24"/>
        </w:rPr>
      </w:pPr>
      <w:r w:rsidRPr="00CA6DCA">
        <w:rPr>
          <w:rFonts w:ascii="Times New Roman" w:hAnsi="Times New Roman" w:cs="Times New Roman"/>
          <w:b/>
          <w:sz w:val="24"/>
          <w:szCs w:val="24"/>
        </w:rPr>
        <w:lastRenderedPageBreak/>
        <w:t xml:space="preserve">Importancia de </w:t>
      </w:r>
      <w:proofErr w:type="spellStart"/>
      <w:r w:rsidRPr="00CA6DCA">
        <w:rPr>
          <w:rFonts w:ascii="Times New Roman" w:hAnsi="Times New Roman" w:cs="Times New Roman"/>
          <w:b/>
          <w:sz w:val="24"/>
          <w:szCs w:val="24"/>
        </w:rPr>
        <w:t>Bancóldex</w:t>
      </w:r>
      <w:proofErr w:type="spellEnd"/>
      <w:r w:rsidRPr="00CA6DCA">
        <w:rPr>
          <w:rFonts w:ascii="Times New Roman" w:hAnsi="Times New Roman" w:cs="Times New Roman"/>
          <w:b/>
          <w:sz w:val="24"/>
          <w:szCs w:val="24"/>
        </w:rPr>
        <w:t xml:space="preserve"> en el mercado de crédito colombiano</w:t>
      </w:r>
    </w:p>
    <w:p w:rsidR="002A54C5" w:rsidRDefault="00851775" w:rsidP="00C62363">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Bancóldex</w:t>
      </w:r>
      <w:proofErr w:type="spellEnd"/>
      <w:r>
        <w:rPr>
          <w:rFonts w:ascii="Times New Roman" w:hAnsi="Times New Roman" w:cs="Times New Roman"/>
          <w:sz w:val="24"/>
          <w:szCs w:val="24"/>
        </w:rPr>
        <w:t xml:space="preserve"> fue concebido en 1992 como una entidad financiera dirigida a fomentar la exportación</w:t>
      </w:r>
      <w:r w:rsidR="000C1650">
        <w:rPr>
          <w:rFonts w:ascii="Times New Roman" w:hAnsi="Times New Roman" w:cs="Times New Roman"/>
          <w:sz w:val="24"/>
          <w:szCs w:val="24"/>
        </w:rPr>
        <w:t xml:space="preserve"> en Colombia</w:t>
      </w:r>
      <w:r>
        <w:rPr>
          <w:rFonts w:ascii="Times New Roman" w:hAnsi="Times New Roman" w:cs="Times New Roman"/>
          <w:sz w:val="24"/>
          <w:szCs w:val="24"/>
        </w:rPr>
        <w:t xml:space="preserve">. A partir del año 2003, sin embargo, su misión abarcó también aquella de fomentar el desarrollo empresarial e industrial en Colombia, motivo por el cual </w:t>
      </w:r>
      <w:r w:rsidR="0008468C">
        <w:rPr>
          <w:rFonts w:ascii="Times New Roman" w:hAnsi="Times New Roman" w:cs="Times New Roman"/>
          <w:sz w:val="24"/>
          <w:szCs w:val="24"/>
        </w:rPr>
        <w:t>el</w:t>
      </w:r>
      <w:r w:rsidR="00CA7ECF">
        <w:rPr>
          <w:rFonts w:ascii="Times New Roman" w:hAnsi="Times New Roman" w:cs="Times New Roman"/>
          <w:sz w:val="24"/>
          <w:szCs w:val="24"/>
        </w:rPr>
        <w:t xml:space="preserve"> número y tipo de clientes se amplió de forma considerable. </w:t>
      </w:r>
      <w:r w:rsidR="000C1650">
        <w:rPr>
          <w:rFonts w:ascii="Times New Roman" w:hAnsi="Times New Roman" w:cs="Times New Roman"/>
          <w:sz w:val="24"/>
          <w:szCs w:val="24"/>
        </w:rPr>
        <w:t>En particular, el cambio en los propósitos de la ent</w:t>
      </w:r>
      <w:r w:rsidR="00DA484C">
        <w:rPr>
          <w:rFonts w:ascii="Times New Roman" w:hAnsi="Times New Roman" w:cs="Times New Roman"/>
          <w:sz w:val="24"/>
          <w:szCs w:val="24"/>
        </w:rPr>
        <w:t xml:space="preserve">idad fue el que permitió que hubiese un aumento significativo en cuanto al número de </w:t>
      </w:r>
      <w:proofErr w:type="spellStart"/>
      <w:r w:rsidR="00DA484C">
        <w:rPr>
          <w:rFonts w:ascii="Times New Roman" w:hAnsi="Times New Roman" w:cs="Times New Roman"/>
          <w:sz w:val="24"/>
          <w:szCs w:val="24"/>
        </w:rPr>
        <w:t>Mipymes</w:t>
      </w:r>
      <w:proofErr w:type="spellEnd"/>
      <w:r w:rsidR="00DA484C">
        <w:rPr>
          <w:rFonts w:ascii="Times New Roman" w:hAnsi="Times New Roman" w:cs="Times New Roman"/>
          <w:sz w:val="24"/>
          <w:szCs w:val="24"/>
        </w:rPr>
        <w:t xml:space="preserve"> financiadas, tal y como lo demuestra el hecho de que</w:t>
      </w:r>
      <w:r w:rsidR="00056A77">
        <w:rPr>
          <w:rFonts w:ascii="Times New Roman" w:hAnsi="Times New Roman" w:cs="Times New Roman"/>
          <w:sz w:val="24"/>
          <w:szCs w:val="24"/>
        </w:rPr>
        <w:t xml:space="preserve"> entre el 2003</w:t>
      </w:r>
      <w:r w:rsidR="00372AE7">
        <w:rPr>
          <w:rFonts w:ascii="Times New Roman" w:hAnsi="Times New Roman" w:cs="Times New Roman"/>
          <w:sz w:val="24"/>
          <w:szCs w:val="24"/>
        </w:rPr>
        <w:t xml:space="preserve"> y el 2009 </w:t>
      </w:r>
      <w:r w:rsidR="00DA484C">
        <w:rPr>
          <w:rFonts w:ascii="Times New Roman" w:hAnsi="Times New Roman" w:cs="Times New Roman"/>
          <w:sz w:val="24"/>
          <w:szCs w:val="24"/>
        </w:rPr>
        <w:t xml:space="preserve"> </w:t>
      </w:r>
      <w:r w:rsidR="00372AE7">
        <w:rPr>
          <w:rFonts w:ascii="Times New Roman" w:hAnsi="Times New Roman" w:cs="Times New Roman"/>
          <w:sz w:val="24"/>
          <w:szCs w:val="24"/>
        </w:rPr>
        <w:t>las micro, pequeñas y medianas</w:t>
      </w:r>
      <w:r w:rsidR="001E5917">
        <w:rPr>
          <w:rFonts w:ascii="Times New Roman" w:hAnsi="Times New Roman" w:cs="Times New Roman"/>
          <w:sz w:val="24"/>
          <w:szCs w:val="24"/>
        </w:rPr>
        <w:t xml:space="preserve"> empresas beneficiadas aumentaron</w:t>
      </w:r>
      <w:r w:rsidR="00372AE7">
        <w:rPr>
          <w:rFonts w:ascii="Times New Roman" w:hAnsi="Times New Roman" w:cs="Times New Roman"/>
          <w:sz w:val="24"/>
          <w:szCs w:val="24"/>
        </w:rPr>
        <w:t xml:space="preserve"> en un </w:t>
      </w:r>
      <w:r w:rsidR="00056A77">
        <w:rPr>
          <w:rFonts w:ascii="Times New Roman" w:hAnsi="Times New Roman" w:cs="Times New Roman"/>
          <w:sz w:val="24"/>
          <w:szCs w:val="24"/>
        </w:rPr>
        <w:t>1545</w:t>
      </w:r>
      <w:r w:rsidR="00372AE7">
        <w:rPr>
          <w:rFonts w:ascii="Times New Roman" w:hAnsi="Times New Roman" w:cs="Times New Roman"/>
          <w:sz w:val="24"/>
          <w:szCs w:val="24"/>
        </w:rPr>
        <w:t>%,</w:t>
      </w:r>
      <w:r w:rsidR="00187EF1">
        <w:rPr>
          <w:rFonts w:ascii="Times New Roman" w:hAnsi="Times New Roman" w:cs="Times New Roman"/>
          <w:sz w:val="24"/>
          <w:szCs w:val="24"/>
        </w:rPr>
        <w:t xml:space="preserve"> </w:t>
      </w:r>
      <w:r w:rsidR="00056A77">
        <w:rPr>
          <w:rFonts w:ascii="Times New Roman" w:hAnsi="Times New Roman" w:cs="Times New Roman"/>
          <w:sz w:val="24"/>
          <w:szCs w:val="24"/>
        </w:rPr>
        <w:t>1</w:t>
      </w:r>
      <w:r w:rsidR="00187EF1">
        <w:rPr>
          <w:rFonts w:ascii="Times New Roman" w:hAnsi="Times New Roman" w:cs="Times New Roman"/>
          <w:sz w:val="24"/>
          <w:szCs w:val="24"/>
        </w:rPr>
        <w:t>20</w:t>
      </w:r>
      <w:r w:rsidR="00372AE7">
        <w:rPr>
          <w:rFonts w:ascii="Times New Roman" w:hAnsi="Times New Roman" w:cs="Times New Roman"/>
          <w:sz w:val="24"/>
          <w:szCs w:val="24"/>
        </w:rPr>
        <w:t xml:space="preserve">% y </w:t>
      </w:r>
      <w:r w:rsidR="00056A77">
        <w:rPr>
          <w:rFonts w:ascii="Times New Roman" w:hAnsi="Times New Roman" w:cs="Times New Roman"/>
          <w:sz w:val="24"/>
          <w:szCs w:val="24"/>
        </w:rPr>
        <w:t>76</w:t>
      </w:r>
      <w:r w:rsidR="001E5917">
        <w:rPr>
          <w:rFonts w:ascii="Times New Roman" w:hAnsi="Times New Roman" w:cs="Times New Roman"/>
          <w:sz w:val="24"/>
          <w:szCs w:val="24"/>
        </w:rPr>
        <w:t>%,</w:t>
      </w:r>
      <w:r w:rsidR="0008468C">
        <w:rPr>
          <w:rFonts w:ascii="Times New Roman" w:hAnsi="Times New Roman" w:cs="Times New Roman"/>
          <w:sz w:val="24"/>
          <w:szCs w:val="24"/>
        </w:rPr>
        <w:t xml:space="preserve"> respectivamente,</w:t>
      </w:r>
      <w:r w:rsidR="001E5917">
        <w:rPr>
          <w:rFonts w:ascii="Times New Roman" w:hAnsi="Times New Roman" w:cs="Times New Roman"/>
          <w:sz w:val="24"/>
          <w:szCs w:val="24"/>
        </w:rPr>
        <w:t xml:space="preserve"> mientras que el número de grand</w:t>
      </w:r>
      <w:r w:rsidR="00187EF1">
        <w:rPr>
          <w:rFonts w:ascii="Times New Roman" w:hAnsi="Times New Roman" w:cs="Times New Roman"/>
          <w:sz w:val="24"/>
          <w:szCs w:val="24"/>
        </w:rPr>
        <w:t xml:space="preserve">es empresas sólo aumentó en un </w:t>
      </w:r>
      <w:r w:rsidR="00056A77">
        <w:rPr>
          <w:rFonts w:ascii="Times New Roman" w:hAnsi="Times New Roman" w:cs="Times New Roman"/>
          <w:sz w:val="24"/>
          <w:szCs w:val="24"/>
        </w:rPr>
        <w:t>15</w:t>
      </w:r>
      <w:r w:rsidR="001E5917">
        <w:rPr>
          <w:rFonts w:ascii="Times New Roman" w:hAnsi="Times New Roman" w:cs="Times New Roman"/>
          <w:sz w:val="24"/>
          <w:szCs w:val="24"/>
        </w:rPr>
        <w:t>%</w:t>
      </w:r>
      <w:r w:rsidR="00187EF1">
        <w:rPr>
          <w:rFonts w:ascii="Times New Roman" w:hAnsi="Times New Roman" w:cs="Times New Roman"/>
          <w:sz w:val="24"/>
          <w:szCs w:val="24"/>
        </w:rPr>
        <w:t xml:space="preserve"> (Eslava et al., 2012)</w:t>
      </w:r>
      <w:r w:rsidR="001E5917">
        <w:rPr>
          <w:rFonts w:ascii="Times New Roman" w:hAnsi="Times New Roman" w:cs="Times New Roman"/>
          <w:sz w:val="24"/>
          <w:szCs w:val="24"/>
        </w:rPr>
        <w:t>.</w:t>
      </w:r>
      <w:r w:rsidR="00056A77">
        <w:rPr>
          <w:rFonts w:ascii="Times New Roman" w:hAnsi="Times New Roman" w:cs="Times New Roman"/>
          <w:sz w:val="24"/>
          <w:szCs w:val="24"/>
        </w:rPr>
        <w:t xml:space="preserve"> Esta tendencia se puede visualizar mejor en la siguien</w:t>
      </w:r>
      <w:r w:rsidR="002A54C5">
        <w:rPr>
          <w:rFonts w:ascii="Times New Roman" w:hAnsi="Times New Roman" w:cs="Times New Roman"/>
          <w:sz w:val="24"/>
          <w:szCs w:val="24"/>
        </w:rPr>
        <w:t>te figura.</w:t>
      </w:r>
    </w:p>
    <w:p w:rsidR="0075464A" w:rsidRDefault="003D0130"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5191124" cy="3016008"/>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06376" cy="3024869"/>
                    </a:xfrm>
                    <a:prstGeom prst="rect">
                      <a:avLst/>
                    </a:prstGeom>
                    <a:noFill/>
                  </pic:spPr>
                </pic:pic>
              </a:graphicData>
            </a:graphic>
          </wp:inline>
        </w:drawing>
      </w:r>
    </w:p>
    <w:p w:rsidR="00707E55" w:rsidRDefault="007B6C05"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aumento de </w:t>
      </w:r>
      <w:r w:rsidR="00246C51">
        <w:rPr>
          <w:rFonts w:ascii="Times New Roman" w:hAnsi="Times New Roman" w:cs="Times New Roman"/>
          <w:sz w:val="24"/>
          <w:szCs w:val="24"/>
        </w:rPr>
        <w:t xml:space="preserve">financiamiento a </w:t>
      </w:r>
      <w:proofErr w:type="spellStart"/>
      <w:r w:rsidR="00246C51">
        <w:rPr>
          <w:rFonts w:ascii="Times New Roman" w:hAnsi="Times New Roman" w:cs="Times New Roman"/>
          <w:sz w:val="24"/>
          <w:szCs w:val="24"/>
        </w:rPr>
        <w:t>Mipymes</w:t>
      </w:r>
      <w:proofErr w:type="spellEnd"/>
      <w:r w:rsidR="00246C51">
        <w:rPr>
          <w:rFonts w:ascii="Times New Roman" w:hAnsi="Times New Roman" w:cs="Times New Roman"/>
          <w:sz w:val="24"/>
          <w:szCs w:val="24"/>
        </w:rPr>
        <w:t xml:space="preserve"> implica un claro objetivo </w:t>
      </w:r>
      <w:r w:rsidR="00B85FC4">
        <w:rPr>
          <w:rFonts w:ascii="Times New Roman" w:hAnsi="Times New Roman" w:cs="Times New Roman"/>
          <w:sz w:val="24"/>
          <w:szCs w:val="24"/>
        </w:rPr>
        <w:t>para</w:t>
      </w:r>
      <w:r w:rsidR="00246C51">
        <w:rPr>
          <w:rFonts w:ascii="Times New Roman" w:hAnsi="Times New Roman" w:cs="Times New Roman"/>
          <w:sz w:val="24"/>
          <w:szCs w:val="24"/>
        </w:rPr>
        <w:t xml:space="preserve"> </w:t>
      </w:r>
      <w:r w:rsidR="00B85FC4">
        <w:rPr>
          <w:rFonts w:ascii="Times New Roman" w:hAnsi="Times New Roman" w:cs="Times New Roman"/>
          <w:sz w:val="24"/>
          <w:szCs w:val="24"/>
        </w:rPr>
        <w:t xml:space="preserve">lograr una reducción en las </w:t>
      </w:r>
      <w:r w:rsidR="002664D0">
        <w:rPr>
          <w:rFonts w:ascii="Times New Roman" w:hAnsi="Times New Roman" w:cs="Times New Roman"/>
          <w:sz w:val="24"/>
          <w:szCs w:val="24"/>
        </w:rPr>
        <w:t xml:space="preserve">asimetrías y </w:t>
      </w:r>
      <w:r w:rsidR="00B76E8B">
        <w:rPr>
          <w:rFonts w:ascii="Times New Roman" w:hAnsi="Times New Roman" w:cs="Times New Roman"/>
          <w:sz w:val="24"/>
          <w:szCs w:val="24"/>
        </w:rPr>
        <w:t>restricciones</w:t>
      </w:r>
      <w:r w:rsidR="00246C51">
        <w:rPr>
          <w:rFonts w:ascii="Times New Roman" w:hAnsi="Times New Roman" w:cs="Times New Roman"/>
          <w:sz w:val="24"/>
          <w:szCs w:val="24"/>
        </w:rPr>
        <w:t xml:space="preserve"> a</w:t>
      </w:r>
      <w:r w:rsidR="00B85FC4">
        <w:rPr>
          <w:rFonts w:ascii="Times New Roman" w:hAnsi="Times New Roman" w:cs="Times New Roman"/>
          <w:sz w:val="24"/>
          <w:szCs w:val="24"/>
        </w:rPr>
        <w:t xml:space="preserve"> las cuales se ve</w:t>
      </w:r>
      <w:r w:rsidR="00246C51">
        <w:rPr>
          <w:rFonts w:ascii="Times New Roman" w:hAnsi="Times New Roman" w:cs="Times New Roman"/>
          <w:sz w:val="24"/>
          <w:szCs w:val="24"/>
        </w:rPr>
        <w:t xml:space="preserve"> expuesto este importante sector empresarial. Tal ha sido </w:t>
      </w:r>
      <w:r w:rsidR="00571A31">
        <w:rPr>
          <w:rFonts w:ascii="Times New Roman" w:hAnsi="Times New Roman" w:cs="Times New Roman"/>
          <w:sz w:val="24"/>
          <w:szCs w:val="24"/>
        </w:rPr>
        <w:t xml:space="preserve">la importancia </w:t>
      </w:r>
      <w:r w:rsidR="00C97F9D">
        <w:rPr>
          <w:rFonts w:ascii="Times New Roman" w:hAnsi="Times New Roman" w:cs="Times New Roman"/>
          <w:sz w:val="24"/>
          <w:szCs w:val="24"/>
        </w:rPr>
        <w:t xml:space="preserve">de </w:t>
      </w:r>
      <w:proofErr w:type="spellStart"/>
      <w:r w:rsidR="00C97F9D">
        <w:rPr>
          <w:rFonts w:ascii="Times New Roman" w:hAnsi="Times New Roman" w:cs="Times New Roman"/>
          <w:sz w:val="24"/>
          <w:szCs w:val="24"/>
        </w:rPr>
        <w:t>Bancóldex</w:t>
      </w:r>
      <w:proofErr w:type="spellEnd"/>
      <w:r w:rsidR="00C97F9D">
        <w:rPr>
          <w:rFonts w:ascii="Times New Roman" w:hAnsi="Times New Roman" w:cs="Times New Roman"/>
          <w:sz w:val="24"/>
          <w:szCs w:val="24"/>
        </w:rPr>
        <w:t xml:space="preserve"> en el financiamiento </w:t>
      </w:r>
      <w:r w:rsidR="00816AE3">
        <w:rPr>
          <w:rFonts w:ascii="Times New Roman" w:hAnsi="Times New Roman" w:cs="Times New Roman"/>
          <w:sz w:val="24"/>
          <w:szCs w:val="24"/>
        </w:rPr>
        <w:t xml:space="preserve">del sector empresarial de marras, que para el 2009 </w:t>
      </w:r>
      <w:r w:rsidR="006B094E">
        <w:rPr>
          <w:rFonts w:ascii="Times New Roman" w:hAnsi="Times New Roman" w:cs="Times New Roman"/>
          <w:sz w:val="24"/>
          <w:szCs w:val="24"/>
        </w:rPr>
        <w:t>esta</w:t>
      </w:r>
      <w:r w:rsidR="00816AE3">
        <w:rPr>
          <w:rFonts w:ascii="Times New Roman" w:hAnsi="Times New Roman" w:cs="Times New Roman"/>
          <w:sz w:val="24"/>
          <w:szCs w:val="24"/>
        </w:rPr>
        <w:t xml:space="preserve"> entidad </w:t>
      </w:r>
      <w:r w:rsidR="00ED303E">
        <w:rPr>
          <w:rFonts w:ascii="Times New Roman" w:hAnsi="Times New Roman" w:cs="Times New Roman"/>
          <w:sz w:val="24"/>
          <w:szCs w:val="24"/>
        </w:rPr>
        <w:t>manejaba</w:t>
      </w:r>
      <w:r w:rsidR="00816AE3">
        <w:rPr>
          <w:rFonts w:ascii="Times New Roman" w:hAnsi="Times New Roman" w:cs="Times New Roman"/>
          <w:sz w:val="24"/>
          <w:szCs w:val="24"/>
        </w:rPr>
        <w:t xml:space="preserve"> </w:t>
      </w:r>
      <w:r w:rsidR="00571A31">
        <w:rPr>
          <w:rFonts w:ascii="Times New Roman" w:hAnsi="Times New Roman" w:cs="Times New Roman"/>
          <w:sz w:val="24"/>
          <w:szCs w:val="24"/>
        </w:rPr>
        <w:t>más del</w:t>
      </w:r>
      <w:r w:rsidR="00816AE3">
        <w:rPr>
          <w:rFonts w:ascii="Times New Roman" w:hAnsi="Times New Roman" w:cs="Times New Roman"/>
          <w:sz w:val="24"/>
          <w:szCs w:val="24"/>
        </w:rPr>
        <w:t xml:space="preserve"> 12% de las relaciones crediticias del país</w:t>
      </w:r>
      <w:r w:rsidR="00571A31">
        <w:rPr>
          <w:rFonts w:ascii="Times New Roman" w:hAnsi="Times New Roman" w:cs="Times New Roman"/>
          <w:sz w:val="24"/>
          <w:szCs w:val="24"/>
        </w:rPr>
        <w:t xml:space="preserve"> (Eslava et al., 2012). </w:t>
      </w:r>
    </w:p>
    <w:p w:rsidR="002C62F2" w:rsidRDefault="00E435BD" w:rsidP="00C62363">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Bancóldex</w:t>
      </w:r>
      <w:proofErr w:type="spellEnd"/>
      <w:r>
        <w:rPr>
          <w:rFonts w:ascii="Times New Roman" w:hAnsi="Times New Roman" w:cs="Times New Roman"/>
          <w:sz w:val="24"/>
          <w:szCs w:val="24"/>
        </w:rPr>
        <w:t xml:space="preserve"> opera como una “banca de segundo piso”; esto es, una entidad financiera cuyo</w:t>
      </w:r>
      <w:r w:rsidR="00972E16">
        <w:rPr>
          <w:rFonts w:ascii="Times New Roman" w:hAnsi="Times New Roman" w:cs="Times New Roman"/>
          <w:sz w:val="24"/>
          <w:szCs w:val="24"/>
        </w:rPr>
        <w:t>s</w:t>
      </w:r>
      <w:r>
        <w:rPr>
          <w:rFonts w:ascii="Times New Roman" w:hAnsi="Times New Roman" w:cs="Times New Roman"/>
          <w:sz w:val="24"/>
          <w:szCs w:val="24"/>
        </w:rPr>
        <w:t xml:space="preserve"> </w:t>
      </w:r>
      <w:r w:rsidR="00F445A5">
        <w:rPr>
          <w:rFonts w:ascii="Times New Roman" w:hAnsi="Times New Roman" w:cs="Times New Roman"/>
          <w:sz w:val="24"/>
          <w:szCs w:val="24"/>
        </w:rPr>
        <w:t>préstamos</w:t>
      </w:r>
      <w:r>
        <w:rPr>
          <w:rFonts w:ascii="Times New Roman" w:hAnsi="Times New Roman" w:cs="Times New Roman"/>
          <w:sz w:val="24"/>
          <w:szCs w:val="24"/>
        </w:rPr>
        <w:t xml:space="preserve"> no se otorgan de forma directa, sino que </w:t>
      </w:r>
      <w:r w:rsidR="00C8525D">
        <w:rPr>
          <w:rFonts w:ascii="Times New Roman" w:hAnsi="Times New Roman" w:cs="Times New Roman"/>
          <w:sz w:val="24"/>
          <w:szCs w:val="24"/>
        </w:rPr>
        <w:t xml:space="preserve">se entregan por intermedio de </w:t>
      </w:r>
      <w:r w:rsidR="00972E16">
        <w:rPr>
          <w:rFonts w:ascii="Times New Roman" w:hAnsi="Times New Roman" w:cs="Times New Roman"/>
          <w:sz w:val="24"/>
          <w:szCs w:val="24"/>
        </w:rPr>
        <w:t xml:space="preserve">entidades </w:t>
      </w:r>
      <w:r w:rsidR="00972E16">
        <w:rPr>
          <w:rFonts w:ascii="Times New Roman" w:hAnsi="Times New Roman" w:cs="Times New Roman"/>
          <w:sz w:val="24"/>
          <w:szCs w:val="24"/>
        </w:rPr>
        <w:lastRenderedPageBreak/>
        <w:t xml:space="preserve">financieras de primer nivel como las compañías de financiamiento o los bancos comerciales. </w:t>
      </w:r>
      <w:r w:rsidR="001474A5">
        <w:rPr>
          <w:rFonts w:ascii="Times New Roman" w:hAnsi="Times New Roman" w:cs="Times New Roman"/>
          <w:sz w:val="24"/>
          <w:szCs w:val="24"/>
        </w:rPr>
        <w:t xml:space="preserve">El anterior mecanismo tiene importantes beneficios, </w:t>
      </w:r>
      <w:r w:rsidR="0008468C">
        <w:rPr>
          <w:rFonts w:ascii="Times New Roman" w:hAnsi="Times New Roman" w:cs="Times New Roman"/>
          <w:sz w:val="24"/>
          <w:szCs w:val="24"/>
        </w:rPr>
        <w:t>pues</w:t>
      </w:r>
      <w:r w:rsidR="001474A5">
        <w:rPr>
          <w:rFonts w:ascii="Times New Roman" w:hAnsi="Times New Roman" w:cs="Times New Roman"/>
          <w:sz w:val="24"/>
          <w:szCs w:val="24"/>
        </w:rPr>
        <w:t xml:space="preserve"> el hecho de que </w:t>
      </w:r>
      <w:r w:rsidR="006D7DC6">
        <w:rPr>
          <w:rFonts w:ascii="Times New Roman" w:hAnsi="Times New Roman" w:cs="Times New Roman"/>
          <w:sz w:val="24"/>
          <w:szCs w:val="24"/>
        </w:rPr>
        <w:t xml:space="preserve">los créditos se otorguen mediante entidades privadas especializadas en tales operaciones evita que se incurra en prácticas erráticas a las que son proclives los bancos gubernamentales de primer nivel, como lo son los desembolsos sin suficiente consideración técnica, y/o los planes aprobados por consideraciones políticas (Cole, 2009). Las operaciones de </w:t>
      </w:r>
      <w:proofErr w:type="spellStart"/>
      <w:r w:rsidR="006D7DC6">
        <w:rPr>
          <w:rFonts w:ascii="Times New Roman" w:hAnsi="Times New Roman" w:cs="Times New Roman"/>
          <w:sz w:val="24"/>
          <w:szCs w:val="24"/>
        </w:rPr>
        <w:t>Bancóldex</w:t>
      </w:r>
      <w:proofErr w:type="spellEnd"/>
      <w:r w:rsidR="006D7DC6">
        <w:rPr>
          <w:rFonts w:ascii="Times New Roman" w:hAnsi="Times New Roman" w:cs="Times New Roman"/>
          <w:sz w:val="24"/>
          <w:szCs w:val="24"/>
        </w:rPr>
        <w:t xml:space="preserve"> se hacen principalmente por intermedio de bancos comerciales que operan en Colombia y por medio de leasing</w:t>
      </w:r>
      <w:r w:rsidR="002C62F2">
        <w:rPr>
          <w:rFonts w:ascii="Times New Roman" w:hAnsi="Times New Roman" w:cs="Times New Roman"/>
          <w:sz w:val="24"/>
          <w:szCs w:val="24"/>
        </w:rPr>
        <w:t xml:space="preserve">. Por otro lado, la cuantía de créditos que se otorgan directamente por la entidad son muy pocos, como lo demuestra el hecho de que el promedio histórico de la participación de tal forma de otorgamiento de crédito es de tan sólo el 0,71%. </w:t>
      </w:r>
    </w:p>
    <w:p w:rsidR="002C62F2" w:rsidRDefault="008E61F7"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5153024" cy="3033936"/>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54190" cy="3034623"/>
                    </a:xfrm>
                    <a:prstGeom prst="rect">
                      <a:avLst/>
                    </a:prstGeom>
                    <a:noFill/>
                  </pic:spPr>
                </pic:pic>
              </a:graphicData>
            </a:graphic>
          </wp:inline>
        </w:drawing>
      </w:r>
    </w:p>
    <w:p w:rsidR="00CB61B0" w:rsidRDefault="002C62F2"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27F98">
        <w:rPr>
          <w:rFonts w:ascii="Times New Roman" w:hAnsi="Times New Roman" w:cs="Times New Roman"/>
          <w:sz w:val="24"/>
          <w:szCs w:val="24"/>
        </w:rPr>
        <w:t xml:space="preserve">La </w:t>
      </w:r>
      <w:r w:rsidR="00E435BD">
        <w:rPr>
          <w:rFonts w:ascii="Times New Roman" w:hAnsi="Times New Roman" w:cs="Times New Roman"/>
          <w:sz w:val="24"/>
          <w:szCs w:val="24"/>
        </w:rPr>
        <w:t>operación hecha</w:t>
      </w:r>
      <w:r w:rsidR="00827F98">
        <w:rPr>
          <w:rFonts w:ascii="Times New Roman" w:hAnsi="Times New Roman" w:cs="Times New Roman"/>
          <w:sz w:val="24"/>
          <w:szCs w:val="24"/>
        </w:rPr>
        <w:t xml:space="preserve"> por </w:t>
      </w:r>
      <w:proofErr w:type="spellStart"/>
      <w:r w:rsidR="00827F98">
        <w:rPr>
          <w:rFonts w:ascii="Times New Roman" w:hAnsi="Times New Roman" w:cs="Times New Roman"/>
          <w:sz w:val="24"/>
          <w:szCs w:val="24"/>
        </w:rPr>
        <w:t>Bancóldex</w:t>
      </w:r>
      <w:proofErr w:type="spellEnd"/>
      <w:r w:rsidR="00827F98">
        <w:rPr>
          <w:rFonts w:ascii="Times New Roman" w:hAnsi="Times New Roman" w:cs="Times New Roman"/>
          <w:sz w:val="24"/>
          <w:szCs w:val="24"/>
        </w:rPr>
        <w:t xml:space="preserve"> tiene varias modalidades </w:t>
      </w:r>
      <w:r w:rsidR="00DF248E">
        <w:rPr>
          <w:rFonts w:ascii="Times New Roman" w:hAnsi="Times New Roman" w:cs="Times New Roman"/>
          <w:sz w:val="24"/>
          <w:szCs w:val="24"/>
        </w:rPr>
        <w:t xml:space="preserve">de crédito, las cuales están dirigidas a reducir los problemas </w:t>
      </w:r>
      <w:r w:rsidR="00BF4331">
        <w:rPr>
          <w:rFonts w:ascii="Times New Roman" w:hAnsi="Times New Roman" w:cs="Times New Roman"/>
          <w:sz w:val="24"/>
          <w:szCs w:val="24"/>
        </w:rPr>
        <w:t xml:space="preserve">que enfrentan </w:t>
      </w:r>
      <w:r w:rsidR="00DF248E">
        <w:rPr>
          <w:rFonts w:ascii="Times New Roman" w:hAnsi="Times New Roman" w:cs="Times New Roman"/>
          <w:sz w:val="24"/>
          <w:szCs w:val="24"/>
        </w:rPr>
        <w:t>los distintos segmentos empresariales</w:t>
      </w:r>
      <w:r w:rsidR="00BF4331">
        <w:rPr>
          <w:rFonts w:ascii="Times New Roman" w:hAnsi="Times New Roman" w:cs="Times New Roman"/>
          <w:sz w:val="24"/>
          <w:szCs w:val="24"/>
        </w:rPr>
        <w:t xml:space="preserve">. </w:t>
      </w:r>
      <w:r w:rsidR="00BA6D72">
        <w:rPr>
          <w:rFonts w:ascii="Times New Roman" w:hAnsi="Times New Roman" w:cs="Times New Roman"/>
          <w:sz w:val="24"/>
          <w:szCs w:val="24"/>
        </w:rPr>
        <w:t xml:space="preserve">Así, la referida entidad dispone de recursos para empresas afectadas por las lluvias en Colombia, para </w:t>
      </w:r>
      <w:r w:rsidR="00280CB2">
        <w:rPr>
          <w:rFonts w:ascii="Times New Roman" w:hAnsi="Times New Roman" w:cs="Times New Roman"/>
          <w:sz w:val="24"/>
          <w:szCs w:val="24"/>
        </w:rPr>
        <w:t>solventar problemas cíclicos de liquidez</w:t>
      </w:r>
      <w:r w:rsidR="00CA17D4">
        <w:rPr>
          <w:rFonts w:ascii="Times New Roman" w:hAnsi="Times New Roman" w:cs="Times New Roman"/>
          <w:sz w:val="24"/>
          <w:szCs w:val="24"/>
        </w:rPr>
        <w:t xml:space="preserve">, para empresarios otrora desplazados de sus lugares originarios por el conflicto interno, </w:t>
      </w:r>
      <w:r w:rsidR="00733457">
        <w:rPr>
          <w:rFonts w:ascii="Times New Roman" w:hAnsi="Times New Roman" w:cs="Times New Roman"/>
          <w:sz w:val="24"/>
          <w:szCs w:val="24"/>
        </w:rPr>
        <w:t xml:space="preserve">entre otras. </w:t>
      </w:r>
    </w:p>
    <w:p w:rsidR="004400F3" w:rsidRDefault="00733457"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Hay cuatro modalidades de financiamiento que se destacan tanto por su importancia en términos de valor, como por las bondades que representan en términos teóricos. </w:t>
      </w:r>
      <w:r w:rsidR="007E019D">
        <w:rPr>
          <w:rFonts w:ascii="Times New Roman" w:hAnsi="Times New Roman" w:cs="Times New Roman"/>
          <w:sz w:val="24"/>
          <w:szCs w:val="24"/>
        </w:rPr>
        <w:t xml:space="preserve">La primera de ellas se denomina </w:t>
      </w:r>
      <w:r w:rsidR="00BA6D72">
        <w:rPr>
          <w:rFonts w:ascii="Times New Roman" w:hAnsi="Times New Roman" w:cs="Times New Roman"/>
          <w:sz w:val="24"/>
          <w:szCs w:val="24"/>
        </w:rPr>
        <w:t>“Capital de trabajo y sostenimiento empresarial”</w:t>
      </w:r>
      <w:r w:rsidR="007E019D">
        <w:rPr>
          <w:rFonts w:ascii="Times New Roman" w:hAnsi="Times New Roman" w:cs="Times New Roman"/>
          <w:sz w:val="24"/>
          <w:szCs w:val="24"/>
        </w:rPr>
        <w:t xml:space="preserve">, </w:t>
      </w:r>
      <w:r w:rsidR="00880E94">
        <w:rPr>
          <w:rFonts w:ascii="Times New Roman" w:hAnsi="Times New Roman" w:cs="Times New Roman"/>
          <w:sz w:val="24"/>
          <w:szCs w:val="24"/>
        </w:rPr>
        <w:t xml:space="preserve">la cual busca </w:t>
      </w:r>
      <w:r w:rsidR="008E6D2F">
        <w:rPr>
          <w:rFonts w:ascii="Times New Roman" w:hAnsi="Times New Roman" w:cs="Times New Roman"/>
          <w:sz w:val="24"/>
          <w:szCs w:val="24"/>
        </w:rPr>
        <w:t xml:space="preserve">impedir </w:t>
      </w:r>
      <w:r w:rsidR="00880E94">
        <w:rPr>
          <w:rFonts w:ascii="Times New Roman" w:hAnsi="Times New Roman" w:cs="Times New Roman"/>
          <w:sz w:val="24"/>
          <w:szCs w:val="24"/>
        </w:rPr>
        <w:t xml:space="preserve">que la falta de liquidez </w:t>
      </w:r>
      <w:r w:rsidR="008E6D2F">
        <w:rPr>
          <w:rFonts w:ascii="Times New Roman" w:hAnsi="Times New Roman" w:cs="Times New Roman"/>
          <w:sz w:val="24"/>
          <w:szCs w:val="24"/>
        </w:rPr>
        <w:t xml:space="preserve">frene o paralice la operación rutinaria de la empresa. </w:t>
      </w:r>
      <w:r w:rsidR="005347B8">
        <w:rPr>
          <w:rFonts w:ascii="Times New Roman" w:hAnsi="Times New Roman" w:cs="Times New Roman"/>
          <w:sz w:val="24"/>
          <w:szCs w:val="24"/>
        </w:rPr>
        <w:t xml:space="preserve">Este </w:t>
      </w:r>
      <w:r w:rsidR="005347B8">
        <w:rPr>
          <w:rFonts w:ascii="Times New Roman" w:hAnsi="Times New Roman" w:cs="Times New Roman"/>
          <w:sz w:val="24"/>
          <w:szCs w:val="24"/>
        </w:rPr>
        <w:lastRenderedPageBreak/>
        <w:t>programa comenzó en septiembre de 2011, y con un crecimiento anual de cerca de 2207% hoy en día representa cerca del 19% de la cartera total de la entidad</w:t>
      </w:r>
      <w:r w:rsidR="00D12782">
        <w:rPr>
          <w:rFonts w:ascii="Times New Roman" w:hAnsi="Times New Roman" w:cs="Times New Roman"/>
          <w:sz w:val="24"/>
          <w:szCs w:val="24"/>
        </w:rPr>
        <w:t xml:space="preserve"> (COP$ </w:t>
      </w:r>
      <w:r w:rsidR="004E48AF">
        <w:rPr>
          <w:rFonts w:ascii="Times New Roman" w:hAnsi="Times New Roman" w:cs="Times New Roman"/>
          <w:sz w:val="24"/>
          <w:szCs w:val="24"/>
        </w:rPr>
        <w:t>849.</w:t>
      </w:r>
      <w:r w:rsidR="00D12782">
        <w:rPr>
          <w:rFonts w:ascii="Times New Roman" w:hAnsi="Times New Roman" w:cs="Times New Roman"/>
          <w:sz w:val="24"/>
          <w:szCs w:val="24"/>
        </w:rPr>
        <w:t>3</w:t>
      </w:r>
      <w:r w:rsidR="004E48AF">
        <w:rPr>
          <w:rFonts w:ascii="Times New Roman" w:hAnsi="Times New Roman" w:cs="Times New Roman"/>
          <w:sz w:val="24"/>
          <w:szCs w:val="24"/>
        </w:rPr>
        <w:t>75</w:t>
      </w:r>
      <w:r w:rsidR="00D12782">
        <w:rPr>
          <w:rFonts w:ascii="Times New Roman" w:hAnsi="Times New Roman" w:cs="Times New Roman"/>
          <w:sz w:val="24"/>
          <w:szCs w:val="24"/>
        </w:rPr>
        <w:t xml:space="preserve"> millones)</w:t>
      </w:r>
      <w:r w:rsidR="005347B8">
        <w:rPr>
          <w:rFonts w:ascii="Times New Roman" w:hAnsi="Times New Roman" w:cs="Times New Roman"/>
          <w:sz w:val="24"/>
          <w:szCs w:val="24"/>
        </w:rPr>
        <w:t xml:space="preserve">. </w:t>
      </w:r>
      <w:r w:rsidR="00236A37">
        <w:rPr>
          <w:rFonts w:ascii="Times New Roman" w:hAnsi="Times New Roman" w:cs="Times New Roman"/>
          <w:sz w:val="24"/>
          <w:szCs w:val="24"/>
        </w:rPr>
        <w:t xml:space="preserve">La segunda modalidad de financiamiento que se destaca se denomina “Modernización empresarial”, la cual comenzó a operar en septiembre de 2011 también. Esta línea de crédito está dirigida a reducir los problemas de la obsolescencia tecnológica a los cuales se enfrentan las </w:t>
      </w:r>
      <w:proofErr w:type="spellStart"/>
      <w:r w:rsidR="00236A37">
        <w:rPr>
          <w:rFonts w:ascii="Times New Roman" w:hAnsi="Times New Roman" w:cs="Times New Roman"/>
          <w:sz w:val="24"/>
          <w:szCs w:val="24"/>
        </w:rPr>
        <w:t>Mipymes</w:t>
      </w:r>
      <w:proofErr w:type="spellEnd"/>
      <w:r w:rsidR="00236A37">
        <w:rPr>
          <w:rFonts w:ascii="Times New Roman" w:hAnsi="Times New Roman" w:cs="Times New Roman"/>
          <w:sz w:val="24"/>
          <w:szCs w:val="24"/>
        </w:rPr>
        <w:t xml:space="preserve">, con lo cual se reducen las dificultades operativas a las que están expuestas tales empresas como resultado de las </w:t>
      </w:r>
      <w:r w:rsidR="00B76E8B">
        <w:rPr>
          <w:rFonts w:ascii="Times New Roman" w:hAnsi="Times New Roman" w:cs="Times New Roman"/>
          <w:sz w:val="24"/>
          <w:szCs w:val="24"/>
        </w:rPr>
        <w:t>restricciones</w:t>
      </w:r>
      <w:r w:rsidR="00236A37">
        <w:rPr>
          <w:rFonts w:ascii="Times New Roman" w:hAnsi="Times New Roman" w:cs="Times New Roman"/>
          <w:sz w:val="24"/>
          <w:szCs w:val="24"/>
        </w:rPr>
        <w:t xml:space="preserve"> financieras. En la actualidad tal modalidad representa más del 30% de la cartera bruta de </w:t>
      </w:r>
      <w:proofErr w:type="spellStart"/>
      <w:r w:rsidR="00236A37">
        <w:rPr>
          <w:rFonts w:ascii="Times New Roman" w:hAnsi="Times New Roman" w:cs="Times New Roman"/>
          <w:sz w:val="24"/>
          <w:szCs w:val="24"/>
        </w:rPr>
        <w:t>Bancóldex</w:t>
      </w:r>
      <w:proofErr w:type="spellEnd"/>
      <w:r w:rsidR="00D12782">
        <w:rPr>
          <w:rFonts w:ascii="Times New Roman" w:hAnsi="Times New Roman" w:cs="Times New Roman"/>
          <w:sz w:val="24"/>
          <w:szCs w:val="24"/>
        </w:rPr>
        <w:t xml:space="preserve"> (COP $ 1.264.424 millones)</w:t>
      </w:r>
      <w:r w:rsidR="00236A37">
        <w:rPr>
          <w:rFonts w:ascii="Times New Roman" w:hAnsi="Times New Roman" w:cs="Times New Roman"/>
          <w:sz w:val="24"/>
          <w:szCs w:val="24"/>
        </w:rPr>
        <w:t xml:space="preserve">. </w:t>
      </w:r>
      <w:r w:rsidR="008E6D2F">
        <w:rPr>
          <w:rFonts w:ascii="Times New Roman" w:hAnsi="Times New Roman" w:cs="Times New Roman"/>
          <w:sz w:val="24"/>
          <w:szCs w:val="24"/>
        </w:rPr>
        <w:t xml:space="preserve"> </w:t>
      </w:r>
      <w:r w:rsidR="000A3963">
        <w:rPr>
          <w:rFonts w:ascii="Times New Roman" w:hAnsi="Times New Roman" w:cs="Times New Roman"/>
          <w:sz w:val="24"/>
          <w:szCs w:val="24"/>
        </w:rPr>
        <w:t xml:space="preserve">La tercera línea de crédito de gran participación en la cartera bruta es llamada “Apoyo en productividad y competitividad”, representando </w:t>
      </w:r>
      <w:r w:rsidR="00CB61B0">
        <w:rPr>
          <w:rFonts w:ascii="Times New Roman" w:hAnsi="Times New Roman" w:cs="Times New Roman"/>
          <w:sz w:val="24"/>
          <w:szCs w:val="24"/>
        </w:rPr>
        <w:t>21% de la misma. Finalmente, una línea cuya participación es menor -</w:t>
      </w:r>
      <w:r w:rsidR="00A467DC">
        <w:rPr>
          <w:rFonts w:ascii="Times New Roman" w:hAnsi="Times New Roman" w:cs="Times New Roman"/>
          <w:sz w:val="24"/>
          <w:szCs w:val="24"/>
        </w:rPr>
        <w:t xml:space="preserve"> </w:t>
      </w:r>
      <w:r w:rsidR="00CB61B0">
        <w:rPr>
          <w:rFonts w:ascii="Times New Roman" w:hAnsi="Times New Roman" w:cs="Times New Roman"/>
          <w:sz w:val="24"/>
          <w:szCs w:val="24"/>
        </w:rPr>
        <w:t>pero no por ello su importancia lo es</w:t>
      </w:r>
      <w:r w:rsidR="00A467DC">
        <w:rPr>
          <w:rFonts w:ascii="Times New Roman" w:hAnsi="Times New Roman" w:cs="Times New Roman"/>
          <w:sz w:val="24"/>
          <w:szCs w:val="24"/>
        </w:rPr>
        <w:t xml:space="preserve"> </w:t>
      </w:r>
      <w:r w:rsidR="00CB61B0">
        <w:rPr>
          <w:rFonts w:ascii="Times New Roman" w:hAnsi="Times New Roman" w:cs="Times New Roman"/>
          <w:sz w:val="24"/>
          <w:szCs w:val="24"/>
        </w:rPr>
        <w:t xml:space="preserve">- está dirigida a asistir financieramente a las </w:t>
      </w:r>
      <w:proofErr w:type="spellStart"/>
      <w:r w:rsidR="00CB61B0">
        <w:rPr>
          <w:rFonts w:ascii="Times New Roman" w:hAnsi="Times New Roman" w:cs="Times New Roman"/>
          <w:sz w:val="24"/>
          <w:szCs w:val="24"/>
        </w:rPr>
        <w:t>mipymes</w:t>
      </w:r>
      <w:proofErr w:type="spellEnd"/>
      <w:r w:rsidR="00CB61B0">
        <w:rPr>
          <w:rFonts w:ascii="Times New Roman" w:hAnsi="Times New Roman" w:cs="Times New Roman"/>
          <w:sz w:val="24"/>
          <w:szCs w:val="24"/>
        </w:rPr>
        <w:t xml:space="preserve"> que buscan formalizar sus operaciones y contrataciones. Pese a que tal</w:t>
      </w:r>
      <w:r w:rsidR="004400F3">
        <w:rPr>
          <w:rFonts w:ascii="Times New Roman" w:hAnsi="Times New Roman" w:cs="Times New Roman"/>
          <w:sz w:val="24"/>
          <w:szCs w:val="24"/>
        </w:rPr>
        <w:t xml:space="preserve"> línea de crédito representa menos del 1% de la cartera bruta, su crecimiento anual es del orden de 15</w:t>
      </w:r>
      <w:r w:rsidR="00A467DC">
        <w:rPr>
          <w:rFonts w:ascii="Times New Roman" w:hAnsi="Times New Roman" w:cs="Times New Roman"/>
          <w:sz w:val="24"/>
          <w:szCs w:val="24"/>
        </w:rPr>
        <w:t>.</w:t>
      </w:r>
      <w:r w:rsidR="004400F3">
        <w:rPr>
          <w:rFonts w:ascii="Times New Roman" w:hAnsi="Times New Roman" w:cs="Times New Roman"/>
          <w:sz w:val="24"/>
          <w:szCs w:val="24"/>
        </w:rPr>
        <w:t>988%, pasando de proveer 17 millones en octubre de 2011, a cerca de 2735 millones un año después.</w:t>
      </w:r>
    </w:p>
    <w:p w:rsidR="00F93E7D" w:rsidRDefault="00C81240"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Las operaciones de crédito de </w:t>
      </w:r>
      <w:proofErr w:type="spellStart"/>
      <w:r>
        <w:rPr>
          <w:rFonts w:ascii="Times New Roman" w:hAnsi="Times New Roman" w:cs="Times New Roman"/>
          <w:sz w:val="24"/>
          <w:szCs w:val="24"/>
        </w:rPr>
        <w:t>Bancóldex</w:t>
      </w:r>
      <w:proofErr w:type="spellEnd"/>
      <w:r>
        <w:rPr>
          <w:rFonts w:ascii="Times New Roman" w:hAnsi="Times New Roman" w:cs="Times New Roman"/>
          <w:sz w:val="24"/>
          <w:szCs w:val="24"/>
        </w:rPr>
        <w:t xml:space="preserve"> han tendido a concentrarse en los </w:t>
      </w:r>
      <w:r w:rsidR="00F445A5">
        <w:rPr>
          <w:rFonts w:ascii="Times New Roman" w:hAnsi="Times New Roman" w:cs="Times New Roman"/>
          <w:sz w:val="24"/>
          <w:szCs w:val="24"/>
        </w:rPr>
        <w:t>préstamos</w:t>
      </w:r>
      <w:r>
        <w:rPr>
          <w:rFonts w:ascii="Times New Roman" w:hAnsi="Times New Roman" w:cs="Times New Roman"/>
          <w:sz w:val="24"/>
          <w:szCs w:val="24"/>
        </w:rPr>
        <w:t xml:space="preserve"> otorgados a plazos de </w:t>
      </w:r>
      <w:r w:rsidR="00F93E7D">
        <w:rPr>
          <w:rFonts w:ascii="Times New Roman" w:hAnsi="Times New Roman" w:cs="Times New Roman"/>
          <w:sz w:val="24"/>
          <w:szCs w:val="24"/>
        </w:rPr>
        <w:t xml:space="preserve">más de </w:t>
      </w:r>
      <w:r>
        <w:rPr>
          <w:rFonts w:ascii="Times New Roman" w:hAnsi="Times New Roman" w:cs="Times New Roman"/>
          <w:sz w:val="24"/>
          <w:szCs w:val="24"/>
        </w:rPr>
        <w:t>cuatro años, representando en la actualidad cerca del 45% de la cartera. Por el contrario, la participación de los créditos con vencimiento a un año ha venido decayendo de forma importante, pasando de representar el 18% de la cartera en septiembre de 2010 a representar menos del 1% en octubre de 2012. Esta tendencia implica un relajamiento aún más importante de las</w:t>
      </w:r>
      <w:r w:rsidR="00F93E7D">
        <w:rPr>
          <w:rFonts w:ascii="Times New Roman" w:hAnsi="Times New Roman" w:cs="Times New Roman"/>
          <w:sz w:val="24"/>
          <w:szCs w:val="24"/>
        </w:rPr>
        <w:t xml:space="preserve"> </w:t>
      </w:r>
      <w:r w:rsidR="00B76E8B">
        <w:rPr>
          <w:rFonts w:ascii="Times New Roman" w:hAnsi="Times New Roman" w:cs="Times New Roman"/>
          <w:sz w:val="24"/>
          <w:szCs w:val="24"/>
        </w:rPr>
        <w:t>restricciones</w:t>
      </w:r>
      <w:r w:rsidR="00F93E7D">
        <w:rPr>
          <w:rFonts w:ascii="Times New Roman" w:hAnsi="Times New Roman" w:cs="Times New Roman"/>
          <w:sz w:val="24"/>
          <w:szCs w:val="24"/>
        </w:rPr>
        <w:t xml:space="preserve"> financieras de las empresas financiadas por </w:t>
      </w:r>
      <w:proofErr w:type="spellStart"/>
      <w:r w:rsidR="00F93E7D">
        <w:rPr>
          <w:rFonts w:ascii="Times New Roman" w:hAnsi="Times New Roman" w:cs="Times New Roman"/>
          <w:sz w:val="24"/>
          <w:szCs w:val="24"/>
        </w:rPr>
        <w:t>Bancóldex</w:t>
      </w:r>
      <w:proofErr w:type="spellEnd"/>
      <w:r w:rsidR="00F93E7D">
        <w:rPr>
          <w:rFonts w:ascii="Times New Roman" w:hAnsi="Times New Roman" w:cs="Times New Roman"/>
          <w:sz w:val="24"/>
          <w:szCs w:val="24"/>
        </w:rPr>
        <w:t xml:space="preserve">, por cuanto hay una reducción en los requerimientos de liquidez para responder por los créditos contraídos. </w:t>
      </w:r>
    </w:p>
    <w:p w:rsidR="00A34443" w:rsidRDefault="008E61F7"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extent cx="5145826" cy="3125612"/>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51452" cy="3129029"/>
                    </a:xfrm>
                    <a:prstGeom prst="rect">
                      <a:avLst/>
                    </a:prstGeom>
                    <a:noFill/>
                  </pic:spPr>
                </pic:pic>
              </a:graphicData>
            </a:graphic>
          </wp:inline>
        </w:drawing>
      </w:r>
    </w:p>
    <w:p w:rsidR="0074267E" w:rsidRDefault="0074267E"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efectividad de </w:t>
      </w:r>
      <w:proofErr w:type="spellStart"/>
      <w:r>
        <w:rPr>
          <w:rFonts w:ascii="Times New Roman" w:hAnsi="Times New Roman" w:cs="Times New Roman"/>
          <w:sz w:val="24"/>
          <w:szCs w:val="24"/>
        </w:rPr>
        <w:t>Bancóldex</w:t>
      </w:r>
      <w:proofErr w:type="spellEnd"/>
      <w:r>
        <w:rPr>
          <w:rFonts w:ascii="Times New Roman" w:hAnsi="Times New Roman" w:cs="Times New Roman"/>
          <w:sz w:val="24"/>
          <w:szCs w:val="24"/>
        </w:rPr>
        <w:t xml:space="preserve"> en cuanto al fomento y desarrollo empresarial ha sido examinada empíricamente reciente</w:t>
      </w:r>
      <w:r w:rsidR="00A467DC">
        <w:rPr>
          <w:rFonts w:ascii="Times New Roman" w:hAnsi="Times New Roman" w:cs="Times New Roman"/>
          <w:sz w:val="24"/>
          <w:szCs w:val="24"/>
        </w:rPr>
        <w:t>mente</w:t>
      </w:r>
      <w:r>
        <w:rPr>
          <w:rFonts w:ascii="Times New Roman" w:hAnsi="Times New Roman" w:cs="Times New Roman"/>
          <w:sz w:val="24"/>
          <w:szCs w:val="24"/>
        </w:rPr>
        <w:t xml:space="preserve"> </w:t>
      </w:r>
      <w:r w:rsidR="00A467DC">
        <w:rPr>
          <w:rFonts w:ascii="Times New Roman" w:hAnsi="Times New Roman" w:cs="Times New Roman"/>
          <w:sz w:val="24"/>
          <w:szCs w:val="24"/>
        </w:rPr>
        <w:t xml:space="preserve">en la </w:t>
      </w:r>
      <w:r>
        <w:rPr>
          <w:rFonts w:ascii="Times New Roman" w:hAnsi="Times New Roman" w:cs="Times New Roman"/>
          <w:sz w:val="24"/>
          <w:szCs w:val="24"/>
        </w:rPr>
        <w:t xml:space="preserve">literatura. Utilizando una metodología econométrica de efectos fijos, así como un </w:t>
      </w:r>
      <w:proofErr w:type="spellStart"/>
      <w:r>
        <w:rPr>
          <w:rFonts w:ascii="Times New Roman" w:hAnsi="Times New Roman" w:cs="Times New Roman"/>
          <w:i/>
          <w:sz w:val="24"/>
          <w:szCs w:val="24"/>
        </w:rPr>
        <w:t>Propensity</w:t>
      </w:r>
      <w:proofErr w:type="spellEnd"/>
      <w:r>
        <w:rPr>
          <w:rFonts w:ascii="Times New Roman" w:hAnsi="Times New Roman" w:cs="Times New Roman"/>
          <w:i/>
          <w:sz w:val="24"/>
          <w:szCs w:val="24"/>
        </w:rPr>
        <w:t xml:space="preserve"> Score </w:t>
      </w:r>
      <w:proofErr w:type="spellStart"/>
      <w:r>
        <w:rPr>
          <w:rFonts w:ascii="Times New Roman" w:hAnsi="Times New Roman" w:cs="Times New Roman"/>
          <w:i/>
          <w:sz w:val="24"/>
          <w:szCs w:val="24"/>
        </w:rPr>
        <w:t>M</w:t>
      </w:r>
      <w:r w:rsidRPr="0074267E">
        <w:rPr>
          <w:rFonts w:ascii="Times New Roman" w:hAnsi="Times New Roman" w:cs="Times New Roman"/>
          <w:i/>
          <w:sz w:val="24"/>
          <w:szCs w:val="24"/>
        </w:rPr>
        <w:t>atch</w:t>
      </w:r>
      <w:r>
        <w:rPr>
          <w:rFonts w:ascii="Times New Roman" w:hAnsi="Times New Roman" w:cs="Times New Roman"/>
          <w:i/>
          <w:sz w:val="24"/>
          <w:szCs w:val="24"/>
        </w:rPr>
        <w:t>ing</w:t>
      </w:r>
      <w:proofErr w:type="spellEnd"/>
      <w:r>
        <w:rPr>
          <w:rFonts w:ascii="Times New Roman" w:hAnsi="Times New Roman" w:cs="Times New Roman"/>
          <w:sz w:val="24"/>
          <w:szCs w:val="24"/>
        </w:rPr>
        <w:t xml:space="preserve">, Eslava et al. (2012) encuentran que las firmas que contraen relaciones crediticias con </w:t>
      </w:r>
      <w:proofErr w:type="spellStart"/>
      <w:r>
        <w:rPr>
          <w:rFonts w:ascii="Times New Roman" w:hAnsi="Times New Roman" w:cs="Times New Roman"/>
          <w:sz w:val="24"/>
          <w:szCs w:val="24"/>
        </w:rPr>
        <w:t>Bancóldex</w:t>
      </w:r>
      <w:proofErr w:type="spellEnd"/>
      <w:r>
        <w:rPr>
          <w:rFonts w:ascii="Times New Roman" w:hAnsi="Times New Roman" w:cs="Times New Roman"/>
          <w:sz w:val="24"/>
          <w:szCs w:val="24"/>
        </w:rPr>
        <w:t xml:space="preserve"> muestran un mejor desempeño y una mayor inserción al sistema financiero. Así, las firmas </w:t>
      </w:r>
      <w:r w:rsidR="002B25EC">
        <w:rPr>
          <w:rFonts w:ascii="Times New Roman" w:hAnsi="Times New Roman" w:cs="Times New Roman"/>
          <w:sz w:val="24"/>
          <w:szCs w:val="24"/>
        </w:rPr>
        <w:t xml:space="preserve">que tuvieron acceso a las líneas de crédito de la entidad de marras tuvieron en promedio </w:t>
      </w:r>
      <w:r w:rsidR="00B92065">
        <w:rPr>
          <w:rFonts w:ascii="Times New Roman" w:hAnsi="Times New Roman" w:cs="Times New Roman"/>
          <w:sz w:val="24"/>
          <w:szCs w:val="24"/>
        </w:rPr>
        <w:t xml:space="preserve">unos niveles de </w:t>
      </w:r>
      <w:r w:rsidR="002B25EC">
        <w:rPr>
          <w:rFonts w:ascii="Times New Roman" w:hAnsi="Times New Roman" w:cs="Times New Roman"/>
          <w:sz w:val="24"/>
          <w:szCs w:val="24"/>
        </w:rPr>
        <w:t>empleo</w:t>
      </w:r>
      <w:r w:rsidR="00B92065">
        <w:rPr>
          <w:rFonts w:ascii="Times New Roman" w:hAnsi="Times New Roman" w:cs="Times New Roman"/>
          <w:sz w:val="24"/>
          <w:szCs w:val="24"/>
        </w:rPr>
        <w:t xml:space="preserve"> y productividad laboral 11 y 12% superiores, respectivamente, a aquellos de las empresas semejantes </w:t>
      </w:r>
      <w:r w:rsidR="00C83584">
        <w:rPr>
          <w:rFonts w:ascii="Times New Roman" w:hAnsi="Times New Roman" w:cs="Times New Roman"/>
          <w:sz w:val="24"/>
          <w:szCs w:val="24"/>
        </w:rPr>
        <w:t xml:space="preserve">pero </w:t>
      </w:r>
      <w:r w:rsidR="00B92065">
        <w:rPr>
          <w:rFonts w:ascii="Times New Roman" w:hAnsi="Times New Roman" w:cs="Times New Roman"/>
          <w:sz w:val="24"/>
          <w:szCs w:val="24"/>
        </w:rPr>
        <w:t xml:space="preserve">que no accedieron al crédito. Más aún, los niveles de inversión y producción </w:t>
      </w:r>
      <w:r w:rsidR="002B25EC">
        <w:rPr>
          <w:rFonts w:ascii="Times New Roman" w:hAnsi="Times New Roman" w:cs="Times New Roman"/>
          <w:sz w:val="24"/>
          <w:szCs w:val="24"/>
        </w:rPr>
        <w:t xml:space="preserve"> </w:t>
      </w:r>
      <w:r w:rsidR="00B92065">
        <w:rPr>
          <w:rFonts w:ascii="Times New Roman" w:hAnsi="Times New Roman" w:cs="Times New Roman"/>
          <w:sz w:val="24"/>
          <w:szCs w:val="24"/>
        </w:rPr>
        <w:t xml:space="preserve">de las firmas que accedieron a los referidos créditos fueron superiores en un 70% y 24% respectivamente. De igual forma, </w:t>
      </w:r>
      <w:r w:rsidR="005E4787">
        <w:rPr>
          <w:rFonts w:ascii="Times New Roman" w:hAnsi="Times New Roman" w:cs="Times New Roman"/>
          <w:sz w:val="24"/>
          <w:szCs w:val="24"/>
        </w:rPr>
        <w:t xml:space="preserve">los beneficios de recibir </w:t>
      </w:r>
      <w:r w:rsidR="00B92065">
        <w:rPr>
          <w:rFonts w:ascii="Times New Roman" w:hAnsi="Times New Roman" w:cs="Times New Roman"/>
          <w:sz w:val="24"/>
          <w:szCs w:val="24"/>
        </w:rPr>
        <w:t xml:space="preserve">créditos de </w:t>
      </w:r>
      <w:proofErr w:type="spellStart"/>
      <w:r w:rsidR="00B92065">
        <w:rPr>
          <w:rFonts w:ascii="Times New Roman" w:hAnsi="Times New Roman" w:cs="Times New Roman"/>
          <w:sz w:val="24"/>
          <w:szCs w:val="24"/>
        </w:rPr>
        <w:t>Bancóldex</w:t>
      </w:r>
      <w:proofErr w:type="spellEnd"/>
      <w:r w:rsidR="00B92065">
        <w:rPr>
          <w:rFonts w:ascii="Times New Roman" w:hAnsi="Times New Roman" w:cs="Times New Roman"/>
          <w:sz w:val="24"/>
          <w:szCs w:val="24"/>
        </w:rPr>
        <w:t xml:space="preserve"> no </w:t>
      </w:r>
      <w:r w:rsidR="005E4787">
        <w:rPr>
          <w:rFonts w:ascii="Times New Roman" w:hAnsi="Times New Roman" w:cs="Times New Roman"/>
          <w:sz w:val="24"/>
          <w:szCs w:val="24"/>
        </w:rPr>
        <w:t xml:space="preserve">se limitan a </w:t>
      </w:r>
      <w:r w:rsidR="00B92065">
        <w:rPr>
          <w:rFonts w:ascii="Times New Roman" w:hAnsi="Times New Roman" w:cs="Times New Roman"/>
          <w:sz w:val="24"/>
          <w:szCs w:val="24"/>
        </w:rPr>
        <w:t xml:space="preserve">un crédito de mayor valor y menor costo, </w:t>
      </w:r>
      <w:r w:rsidR="00F2420A">
        <w:rPr>
          <w:rFonts w:ascii="Times New Roman" w:hAnsi="Times New Roman" w:cs="Times New Roman"/>
          <w:sz w:val="24"/>
          <w:szCs w:val="24"/>
        </w:rPr>
        <w:t xml:space="preserve">sino </w:t>
      </w:r>
      <w:r w:rsidR="005E4787">
        <w:rPr>
          <w:rFonts w:ascii="Times New Roman" w:hAnsi="Times New Roman" w:cs="Times New Roman"/>
          <w:sz w:val="24"/>
          <w:szCs w:val="24"/>
        </w:rPr>
        <w:t xml:space="preserve">también aumenta la </w:t>
      </w:r>
      <w:r w:rsidR="00B92065">
        <w:rPr>
          <w:rFonts w:ascii="Times New Roman" w:hAnsi="Times New Roman" w:cs="Times New Roman"/>
          <w:sz w:val="24"/>
          <w:szCs w:val="24"/>
        </w:rPr>
        <w:t xml:space="preserve">probabilidad de </w:t>
      </w:r>
      <w:r w:rsidR="005E4787">
        <w:rPr>
          <w:rFonts w:ascii="Times New Roman" w:hAnsi="Times New Roman" w:cs="Times New Roman"/>
          <w:sz w:val="24"/>
          <w:szCs w:val="24"/>
        </w:rPr>
        <w:t xml:space="preserve">contraer créditos de distintas fuentes en el futuro. </w:t>
      </w:r>
      <w:r w:rsidR="00CC2BAE">
        <w:rPr>
          <w:rFonts w:ascii="Times New Roman" w:hAnsi="Times New Roman" w:cs="Times New Roman"/>
          <w:sz w:val="24"/>
          <w:szCs w:val="24"/>
        </w:rPr>
        <w:t xml:space="preserve">En suma, </w:t>
      </w:r>
      <w:proofErr w:type="spellStart"/>
      <w:r w:rsidR="00126A85">
        <w:rPr>
          <w:rFonts w:ascii="Times New Roman" w:hAnsi="Times New Roman" w:cs="Times New Roman"/>
          <w:sz w:val="24"/>
          <w:szCs w:val="24"/>
        </w:rPr>
        <w:t>Bancóldex</w:t>
      </w:r>
      <w:proofErr w:type="spellEnd"/>
      <w:r w:rsidR="00126A85">
        <w:rPr>
          <w:rFonts w:ascii="Times New Roman" w:hAnsi="Times New Roman" w:cs="Times New Roman"/>
          <w:sz w:val="24"/>
          <w:szCs w:val="24"/>
        </w:rPr>
        <w:t xml:space="preserve"> ha sido exitoso como entidad que fomenta el desarrollo empresarial y que relaja las restricciones financieras de las </w:t>
      </w:r>
      <w:proofErr w:type="spellStart"/>
      <w:r w:rsidR="00126A85">
        <w:rPr>
          <w:rFonts w:ascii="Times New Roman" w:hAnsi="Times New Roman" w:cs="Times New Roman"/>
          <w:sz w:val="24"/>
          <w:szCs w:val="24"/>
        </w:rPr>
        <w:t>Mipymes</w:t>
      </w:r>
      <w:proofErr w:type="spellEnd"/>
      <w:r w:rsidR="00126A85">
        <w:rPr>
          <w:rFonts w:ascii="Times New Roman" w:hAnsi="Times New Roman" w:cs="Times New Roman"/>
          <w:sz w:val="24"/>
          <w:szCs w:val="24"/>
        </w:rPr>
        <w:t xml:space="preserve"> que acceden a sus líneas de crédito.</w:t>
      </w:r>
    </w:p>
    <w:p w:rsidR="00A73FB8" w:rsidRDefault="00126A85"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Pese a los méritos de la banca de marras</w:t>
      </w:r>
      <w:r w:rsidR="004400F3">
        <w:rPr>
          <w:rFonts w:ascii="Times New Roman" w:hAnsi="Times New Roman" w:cs="Times New Roman"/>
          <w:sz w:val="24"/>
          <w:szCs w:val="24"/>
        </w:rPr>
        <w:t>,</w:t>
      </w:r>
      <w:r w:rsidR="00F47E16">
        <w:rPr>
          <w:rFonts w:ascii="Times New Roman" w:hAnsi="Times New Roman" w:cs="Times New Roman"/>
          <w:sz w:val="24"/>
          <w:szCs w:val="24"/>
        </w:rPr>
        <w:t xml:space="preserve"> y pese al</w:t>
      </w:r>
      <w:r>
        <w:rPr>
          <w:rFonts w:ascii="Times New Roman" w:hAnsi="Times New Roman" w:cs="Times New Roman"/>
          <w:sz w:val="24"/>
          <w:szCs w:val="24"/>
        </w:rPr>
        <w:t xml:space="preserve"> creciente acceso que han tenido </w:t>
      </w:r>
      <w:r w:rsidR="00F47E16">
        <w:rPr>
          <w:rFonts w:ascii="Times New Roman" w:hAnsi="Times New Roman" w:cs="Times New Roman"/>
          <w:sz w:val="24"/>
          <w:szCs w:val="24"/>
        </w:rPr>
        <w:t xml:space="preserve">las </w:t>
      </w:r>
      <w:proofErr w:type="spellStart"/>
      <w:r w:rsidR="00F47E16">
        <w:rPr>
          <w:rFonts w:ascii="Times New Roman" w:hAnsi="Times New Roman" w:cs="Times New Roman"/>
          <w:sz w:val="24"/>
          <w:szCs w:val="24"/>
        </w:rPr>
        <w:t>Mipymes</w:t>
      </w:r>
      <w:proofErr w:type="spellEnd"/>
      <w:r w:rsidR="00F47E16">
        <w:rPr>
          <w:rFonts w:ascii="Times New Roman" w:hAnsi="Times New Roman" w:cs="Times New Roman"/>
          <w:sz w:val="24"/>
          <w:szCs w:val="24"/>
        </w:rPr>
        <w:t xml:space="preserve"> a sus modalidades de pr</w:t>
      </w:r>
      <w:r w:rsidR="006B094E">
        <w:rPr>
          <w:rFonts w:ascii="Times New Roman" w:hAnsi="Times New Roman" w:cs="Times New Roman"/>
          <w:sz w:val="24"/>
          <w:szCs w:val="24"/>
        </w:rPr>
        <w:t>ésta</w:t>
      </w:r>
      <w:r w:rsidR="00F47E16">
        <w:rPr>
          <w:rFonts w:ascii="Times New Roman" w:hAnsi="Times New Roman" w:cs="Times New Roman"/>
          <w:sz w:val="24"/>
          <w:szCs w:val="24"/>
        </w:rPr>
        <w:t>mo,</w:t>
      </w:r>
      <w:r w:rsidR="004400F3">
        <w:rPr>
          <w:rFonts w:ascii="Times New Roman" w:hAnsi="Times New Roman" w:cs="Times New Roman"/>
          <w:sz w:val="24"/>
          <w:szCs w:val="24"/>
        </w:rPr>
        <w:t xml:space="preserve"> </w:t>
      </w:r>
      <w:r w:rsidR="00F47E16">
        <w:rPr>
          <w:rFonts w:ascii="Times New Roman" w:hAnsi="Times New Roman" w:cs="Times New Roman"/>
          <w:sz w:val="24"/>
          <w:szCs w:val="24"/>
        </w:rPr>
        <w:t xml:space="preserve">la importancia relativa de </w:t>
      </w:r>
      <w:r w:rsidR="00186DB4">
        <w:rPr>
          <w:rFonts w:ascii="Times New Roman" w:hAnsi="Times New Roman" w:cs="Times New Roman"/>
          <w:sz w:val="24"/>
          <w:szCs w:val="24"/>
        </w:rPr>
        <w:t xml:space="preserve">tal entidad en el mercado de crédito de Colombia ha disminuido en los últimos años. </w:t>
      </w:r>
      <w:r w:rsidR="00D414DD">
        <w:rPr>
          <w:rFonts w:ascii="Times New Roman" w:hAnsi="Times New Roman" w:cs="Times New Roman"/>
          <w:sz w:val="24"/>
          <w:szCs w:val="24"/>
        </w:rPr>
        <w:t>Lo anterior</w:t>
      </w:r>
      <w:r w:rsidR="00186DB4">
        <w:rPr>
          <w:rFonts w:ascii="Times New Roman" w:hAnsi="Times New Roman" w:cs="Times New Roman"/>
          <w:sz w:val="24"/>
          <w:szCs w:val="24"/>
        </w:rPr>
        <w:t>,</w:t>
      </w:r>
      <w:r w:rsidR="00D414DD">
        <w:rPr>
          <w:rFonts w:ascii="Times New Roman" w:hAnsi="Times New Roman" w:cs="Times New Roman"/>
          <w:sz w:val="24"/>
          <w:szCs w:val="24"/>
        </w:rPr>
        <w:t xml:space="preserve"> pues </w:t>
      </w:r>
      <w:r w:rsidR="00186DB4">
        <w:rPr>
          <w:rFonts w:ascii="Times New Roman" w:hAnsi="Times New Roman" w:cs="Times New Roman"/>
          <w:sz w:val="24"/>
          <w:szCs w:val="24"/>
        </w:rPr>
        <w:t>el valor real de su cartera bruta ha caído</w:t>
      </w:r>
      <w:r w:rsidR="000A776E">
        <w:rPr>
          <w:rFonts w:ascii="Times New Roman" w:hAnsi="Times New Roman" w:cs="Times New Roman"/>
          <w:sz w:val="24"/>
          <w:szCs w:val="24"/>
        </w:rPr>
        <w:t xml:space="preserve"> en los últimos 3 años</w:t>
      </w:r>
      <w:r w:rsidR="004A33EB">
        <w:rPr>
          <w:rFonts w:ascii="Times New Roman" w:hAnsi="Times New Roman" w:cs="Times New Roman"/>
          <w:sz w:val="24"/>
          <w:szCs w:val="24"/>
        </w:rPr>
        <w:t xml:space="preserve">. Por otro lado, </w:t>
      </w:r>
      <w:r w:rsidR="00D414DD">
        <w:rPr>
          <w:rFonts w:ascii="Times New Roman" w:hAnsi="Times New Roman" w:cs="Times New Roman"/>
          <w:sz w:val="24"/>
          <w:szCs w:val="24"/>
        </w:rPr>
        <w:t xml:space="preserve">su participación en cuanto a la cartera </w:t>
      </w:r>
      <w:r w:rsidR="001E52E1">
        <w:rPr>
          <w:rFonts w:ascii="Times New Roman" w:hAnsi="Times New Roman" w:cs="Times New Roman"/>
          <w:sz w:val="24"/>
          <w:szCs w:val="24"/>
        </w:rPr>
        <w:t xml:space="preserve">comercial y de microcréditos </w:t>
      </w:r>
      <w:r w:rsidR="00D414DD">
        <w:rPr>
          <w:rFonts w:ascii="Times New Roman" w:hAnsi="Times New Roman" w:cs="Times New Roman"/>
          <w:sz w:val="24"/>
          <w:szCs w:val="24"/>
        </w:rPr>
        <w:t xml:space="preserve">bruta </w:t>
      </w:r>
      <w:r w:rsidR="00A73FB8">
        <w:rPr>
          <w:rFonts w:ascii="Times New Roman" w:hAnsi="Times New Roman" w:cs="Times New Roman"/>
          <w:sz w:val="24"/>
          <w:szCs w:val="24"/>
        </w:rPr>
        <w:t xml:space="preserve">agregada </w:t>
      </w:r>
      <w:r w:rsidR="004A33EB">
        <w:rPr>
          <w:rFonts w:ascii="Times New Roman" w:hAnsi="Times New Roman" w:cs="Times New Roman"/>
          <w:sz w:val="24"/>
          <w:szCs w:val="24"/>
        </w:rPr>
        <w:t xml:space="preserve">- el tipo de créditos que </w:t>
      </w:r>
      <w:r w:rsidR="004A33EB">
        <w:rPr>
          <w:rFonts w:ascii="Times New Roman" w:hAnsi="Times New Roman" w:cs="Times New Roman"/>
          <w:sz w:val="24"/>
          <w:szCs w:val="24"/>
        </w:rPr>
        <w:lastRenderedPageBreak/>
        <w:t xml:space="preserve">concede </w:t>
      </w:r>
      <w:proofErr w:type="spellStart"/>
      <w:r w:rsidR="004A33EB">
        <w:rPr>
          <w:rFonts w:ascii="Times New Roman" w:hAnsi="Times New Roman" w:cs="Times New Roman"/>
          <w:sz w:val="24"/>
          <w:szCs w:val="24"/>
        </w:rPr>
        <w:t>Bancóldex</w:t>
      </w:r>
      <w:proofErr w:type="spellEnd"/>
      <w:r w:rsidR="004A33EB">
        <w:rPr>
          <w:rFonts w:ascii="Times New Roman" w:hAnsi="Times New Roman" w:cs="Times New Roman"/>
          <w:sz w:val="24"/>
          <w:szCs w:val="24"/>
        </w:rPr>
        <w:t xml:space="preserve"> -, </w:t>
      </w:r>
      <w:r w:rsidR="00D414DD">
        <w:rPr>
          <w:rFonts w:ascii="Times New Roman" w:hAnsi="Times New Roman" w:cs="Times New Roman"/>
          <w:sz w:val="24"/>
          <w:szCs w:val="24"/>
        </w:rPr>
        <w:t>y en cuanto al total de activos</w:t>
      </w:r>
      <w:r w:rsidR="004A33EB">
        <w:rPr>
          <w:rFonts w:ascii="Times New Roman" w:hAnsi="Times New Roman" w:cs="Times New Roman"/>
          <w:sz w:val="24"/>
          <w:szCs w:val="24"/>
        </w:rPr>
        <w:t>,</w:t>
      </w:r>
      <w:r w:rsidR="00D414DD">
        <w:rPr>
          <w:rFonts w:ascii="Times New Roman" w:hAnsi="Times New Roman" w:cs="Times New Roman"/>
          <w:sz w:val="24"/>
          <w:szCs w:val="24"/>
        </w:rPr>
        <w:t xml:space="preserve"> ha disminuido</w:t>
      </w:r>
      <w:r w:rsidR="00186DB4">
        <w:rPr>
          <w:rFonts w:ascii="Times New Roman" w:hAnsi="Times New Roman" w:cs="Times New Roman"/>
          <w:sz w:val="24"/>
          <w:szCs w:val="24"/>
        </w:rPr>
        <w:t>.</w:t>
      </w:r>
      <w:r w:rsidR="00D414DD">
        <w:rPr>
          <w:rFonts w:ascii="Times New Roman" w:hAnsi="Times New Roman" w:cs="Times New Roman"/>
          <w:sz w:val="24"/>
          <w:szCs w:val="24"/>
        </w:rPr>
        <w:t xml:space="preserve"> Así</w:t>
      </w:r>
      <w:r w:rsidR="000A776E">
        <w:rPr>
          <w:rFonts w:ascii="Times New Roman" w:hAnsi="Times New Roman" w:cs="Times New Roman"/>
          <w:sz w:val="24"/>
          <w:szCs w:val="24"/>
        </w:rPr>
        <w:t>,</w:t>
      </w:r>
      <w:r w:rsidR="00D414DD">
        <w:rPr>
          <w:rFonts w:ascii="Times New Roman" w:hAnsi="Times New Roman" w:cs="Times New Roman"/>
          <w:sz w:val="24"/>
          <w:szCs w:val="24"/>
        </w:rPr>
        <w:t xml:space="preserve"> la participación de la cartera de </w:t>
      </w:r>
      <w:proofErr w:type="spellStart"/>
      <w:r w:rsidR="00D414DD">
        <w:rPr>
          <w:rFonts w:ascii="Times New Roman" w:hAnsi="Times New Roman" w:cs="Times New Roman"/>
          <w:sz w:val="24"/>
          <w:szCs w:val="24"/>
        </w:rPr>
        <w:t>Bancóldex</w:t>
      </w:r>
      <w:proofErr w:type="spellEnd"/>
      <w:r w:rsidR="00D414DD">
        <w:rPr>
          <w:rFonts w:ascii="Times New Roman" w:hAnsi="Times New Roman" w:cs="Times New Roman"/>
          <w:sz w:val="24"/>
          <w:szCs w:val="24"/>
        </w:rPr>
        <w:t xml:space="preserve"> en l</w:t>
      </w:r>
      <w:r w:rsidR="00A72A1F">
        <w:rPr>
          <w:rFonts w:ascii="Times New Roman" w:hAnsi="Times New Roman" w:cs="Times New Roman"/>
          <w:sz w:val="24"/>
          <w:szCs w:val="24"/>
        </w:rPr>
        <w:t xml:space="preserve">a cartera </w:t>
      </w:r>
      <w:r w:rsidR="001E52E1">
        <w:rPr>
          <w:rFonts w:ascii="Times New Roman" w:hAnsi="Times New Roman" w:cs="Times New Roman"/>
          <w:sz w:val="24"/>
          <w:szCs w:val="24"/>
        </w:rPr>
        <w:t xml:space="preserve">de microcréditos y comercial del </w:t>
      </w:r>
      <w:r w:rsidR="00A72A1F">
        <w:rPr>
          <w:rFonts w:ascii="Times New Roman" w:hAnsi="Times New Roman" w:cs="Times New Roman"/>
          <w:sz w:val="24"/>
          <w:szCs w:val="24"/>
        </w:rPr>
        <w:t>sistema financiero</w:t>
      </w:r>
      <w:r w:rsidR="00D414DD">
        <w:rPr>
          <w:rFonts w:ascii="Times New Roman" w:hAnsi="Times New Roman" w:cs="Times New Roman"/>
          <w:sz w:val="24"/>
          <w:szCs w:val="24"/>
        </w:rPr>
        <w:t xml:space="preserve"> pasó de representar el </w:t>
      </w:r>
      <w:r w:rsidR="001E52E1">
        <w:rPr>
          <w:rFonts w:ascii="Times New Roman" w:hAnsi="Times New Roman" w:cs="Times New Roman"/>
          <w:sz w:val="24"/>
          <w:szCs w:val="24"/>
        </w:rPr>
        <w:t>5,48% en octubre de 2008, al 3,8</w:t>
      </w:r>
      <w:r w:rsidR="00D414DD">
        <w:rPr>
          <w:rFonts w:ascii="Times New Roman" w:hAnsi="Times New Roman" w:cs="Times New Roman"/>
          <w:sz w:val="24"/>
          <w:szCs w:val="24"/>
        </w:rPr>
        <w:t xml:space="preserve">% en octubre </w:t>
      </w:r>
      <w:r w:rsidR="00B14704">
        <w:rPr>
          <w:rFonts w:ascii="Times New Roman" w:hAnsi="Times New Roman" w:cs="Times New Roman"/>
          <w:sz w:val="24"/>
          <w:szCs w:val="24"/>
        </w:rPr>
        <w:t xml:space="preserve">de 2012. Asimismo, en el mismo periodo los activos de la entidad pasaron de representar el 2,51% de los activos totales de los establecimientos de crédito, a representar </w:t>
      </w:r>
      <w:r w:rsidR="003E5AC5">
        <w:rPr>
          <w:rFonts w:ascii="Times New Roman" w:hAnsi="Times New Roman" w:cs="Times New Roman"/>
          <w:sz w:val="24"/>
          <w:szCs w:val="24"/>
        </w:rPr>
        <w:t xml:space="preserve">el 1,8%. </w:t>
      </w:r>
      <w:r w:rsidR="00E01EAD">
        <w:rPr>
          <w:rFonts w:ascii="Times New Roman" w:hAnsi="Times New Roman" w:cs="Times New Roman"/>
          <w:sz w:val="24"/>
          <w:szCs w:val="24"/>
        </w:rPr>
        <w:t xml:space="preserve">Pese a tales tendencias, no sobra destacar que la referida entidad sigue siendo una de las principales fuentes de fondeo para las </w:t>
      </w:r>
      <w:proofErr w:type="spellStart"/>
      <w:r w:rsidR="00E01EAD">
        <w:rPr>
          <w:rFonts w:ascii="Times New Roman" w:hAnsi="Times New Roman" w:cs="Times New Roman"/>
          <w:sz w:val="24"/>
          <w:szCs w:val="24"/>
        </w:rPr>
        <w:t>Mipymes</w:t>
      </w:r>
      <w:proofErr w:type="spellEnd"/>
      <w:r w:rsidR="00E01EAD">
        <w:rPr>
          <w:rFonts w:ascii="Times New Roman" w:hAnsi="Times New Roman" w:cs="Times New Roman"/>
          <w:sz w:val="24"/>
          <w:szCs w:val="24"/>
        </w:rPr>
        <w:t xml:space="preserve"> en cuanto a los créditos de inversi</w:t>
      </w:r>
      <w:r w:rsidR="00342A3E">
        <w:rPr>
          <w:rFonts w:ascii="Times New Roman" w:hAnsi="Times New Roman" w:cs="Times New Roman"/>
          <w:sz w:val="24"/>
          <w:szCs w:val="24"/>
        </w:rPr>
        <w:t>ón de</w:t>
      </w:r>
      <w:r w:rsidR="00E01EAD">
        <w:rPr>
          <w:rFonts w:ascii="Times New Roman" w:hAnsi="Times New Roman" w:cs="Times New Roman"/>
          <w:sz w:val="24"/>
          <w:szCs w:val="24"/>
        </w:rPr>
        <w:t xml:space="preserve"> mediano y largo plazo.</w:t>
      </w:r>
    </w:p>
    <w:p w:rsidR="00827F98" w:rsidRDefault="001E52E1"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69F0F69C">
            <wp:extent cx="5143500" cy="306700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55230" cy="3073997"/>
                    </a:xfrm>
                    <a:prstGeom prst="rect">
                      <a:avLst/>
                    </a:prstGeom>
                    <a:noFill/>
                  </pic:spPr>
                </pic:pic>
              </a:graphicData>
            </a:graphic>
          </wp:inline>
        </w:drawing>
      </w:r>
    </w:p>
    <w:p w:rsidR="00A73FB8" w:rsidRDefault="001E52E1" w:rsidP="00C62363">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7B2C4C30">
            <wp:extent cx="5145930" cy="30792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53936" cy="3084010"/>
                    </a:xfrm>
                    <a:prstGeom prst="rect">
                      <a:avLst/>
                    </a:prstGeom>
                    <a:noFill/>
                  </pic:spPr>
                </pic:pic>
              </a:graphicData>
            </a:graphic>
          </wp:inline>
        </w:drawing>
      </w:r>
    </w:p>
    <w:p w:rsidR="007A5CA4" w:rsidRDefault="00475205"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Si bien es cierto que el aumento en el número de establecimientos financiados por </w:t>
      </w:r>
      <w:proofErr w:type="spellStart"/>
      <w:r>
        <w:rPr>
          <w:rFonts w:ascii="Times New Roman" w:hAnsi="Times New Roman" w:cs="Times New Roman"/>
          <w:sz w:val="24"/>
          <w:szCs w:val="24"/>
        </w:rPr>
        <w:t>Bancóldex</w:t>
      </w:r>
      <w:proofErr w:type="spellEnd"/>
      <w:r>
        <w:rPr>
          <w:rFonts w:ascii="Times New Roman" w:hAnsi="Times New Roman" w:cs="Times New Roman"/>
          <w:sz w:val="24"/>
          <w:szCs w:val="24"/>
        </w:rPr>
        <w:t xml:space="preserve"> ha</w:t>
      </w:r>
      <w:r w:rsidR="00E01EAD">
        <w:rPr>
          <w:rFonts w:ascii="Times New Roman" w:hAnsi="Times New Roman" w:cs="Times New Roman"/>
          <w:sz w:val="24"/>
          <w:szCs w:val="24"/>
        </w:rPr>
        <w:t xml:space="preserve"> aumentado en los últimos años - </w:t>
      </w:r>
      <w:r>
        <w:rPr>
          <w:rFonts w:ascii="Times New Roman" w:hAnsi="Times New Roman" w:cs="Times New Roman"/>
          <w:sz w:val="24"/>
          <w:szCs w:val="24"/>
        </w:rPr>
        <w:t>y por tanto la penetración y efectividad de tal entidad</w:t>
      </w:r>
      <w:r w:rsidR="00E01EAD">
        <w:rPr>
          <w:rFonts w:ascii="Times New Roman" w:hAnsi="Times New Roman" w:cs="Times New Roman"/>
          <w:sz w:val="24"/>
          <w:szCs w:val="24"/>
        </w:rPr>
        <w:t xml:space="preserve"> </w:t>
      </w:r>
      <w:r>
        <w:rPr>
          <w:rFonts w:ascii="Times New Roman" w:hAnsi="Times New Roman" w:cs="Times New Roman"/>
          <w:sz w:val="24"/>
          <w:szCs w:val="24"/>
        </w:rPr>
        <w:t xml:space="preserve">-, el hecho de que tanto la cartera real como la participación de </w:t>
      </w:r>
      <w:r w:rsidR="006B094E">
        <w:rPr>
          <w:rFonts w:ascii="Times New Roman" w:hAnsi="Times New Roman" w:cs="Times New Roman"/>
          <w:sz w:val="24"/>
          <w:szCs w:val="24"/>
        </w:rPr>
        <w:t>esta</w:t>
      </w:r>
      <w:r>
        <w:rPr>
          <w:rFonts w:ascii="Times New Roman" w:hAnsi="Times New Roman" w:cs="Times New Roman"/>
          <w:sz w:val="24"/>
          <w:szCs w:val="24"/>
        </w:rPr>
        <w:t xml:space="preserve"> en aquella del sistema agregado haya disminuido en los últimos años es indicativo de</w:t>
      </w:r>
      <w:r w:rsidR="004A419E">
        <w:rPr>
          <w:rFonts w:ascii="Times New Roman" w:hAnsi="Times New Roman" w:cs="Times New Roman"/>
          <w:sz w:val="24"/>
          <w:szCs w:val="24"/>
        </w:rPr>
        <w:t xml:space="preserve"> que </w:t>
      </w:r>
      <w:r w:rsidR="00B92AFC">
        <w:rPr>
          <w:rFonts w:ascii="Times New Roman" w:hAnsi="Times New Roman" w:cs="Times New Roman"/>
          <w:sz w:val="24"/>
          <w:szCs w:val="24"/>
        </w:rPr>
        <w:t xml:space="preserve">la </w:t>
      </w:r>
      <w:r w:rsidR="004A419E">
        <w:rPr>
          <w:rFonts w:ascii="Times New Roman" w:hAnsi="Times New Roman" w:cs="Times New Roman"/>
          <w:sz w:val="24"/>
          <w:szCs w:val="24"/>
        </w:rPr>
        <w:t xml:space="preserve">entidad </w:t>
      </w:r>
      <w:r w:rsidR="006B094E">
        <w:rPr>
          <w:rFonts w:ascii="Times New Roman" w:hAnsi="Times New Roman" w:cs="Times New Roman"/>
          <w:sz w:val="24"/>
          <w:szCs w:val="24"/>
        </w:rPr>
        <w:t>puede estar</w:t>
      </w:r>
      <w:r w:rsidR="004A419E">
        <w:rPr>
          <w:rFonts w:ascii="Times New Roman" w:hAnsi="Times New Roman" w:cs="Times New Roman"/>
          <w:sz w:val="24"/>
          <w:szCs w:val="24"/>
        </w:rPr>
        <w:t xml:space="preserve"> creciendo</w:t>
      </w:r>
      <w:r w:rsidR="00B92AFC">
        <w:rPr>
          <w:rFonts w:ascii="Times New Roman" w:hAnsi="Times New Roman" w:cs="Times New Roman"/>
          <w:sz w:val="24"/>
          <w:szCs w:val="24"/>
        </w:rPr>
        <w:t xml:space="preserve"> por debajo de </w:t>
      </w:r>
      <w:r w:rsidR="004A419E">
        <w:rPr>
          <w:rFonts w:ascii="Times New Roman" w:hAnsi="Times New Roman" w:cs="Times New Roman"/>
          <w:sz w:val="24"/>
          <w:szCs w:val="24"/>
        </w:rPr>
        <w:t xml:space="preserve">las crecientes necesidades </w:t>
      </w:r>
      <w:r w:rsidR="00C83584">
        <w:rPr>
          <w:rFonts w:ascii="Times New Roman" w:hAnsi="Times New Roman" w:cs="Times New Roman"/>
          <w:sz w:val="24"/>
          <w:szCs w:val="24"/>
        </w:rPr>
        <w:t>financieras de los agentes económicos en Colombia</w:t>
      </w:r>
      <w:r w:rsidR="004A419E">
        <w:rPr>
          <w:rFonts w:ascii="Times New Roman" w:hAnsi="Times New Roman" w:cs="Times New Roman"/>
          <w:sz w:val="24"/>
          <w:szCs w:val="24"/>
        </w:rPr>
        <w:t xml:space="preserve">. </w:t>
      </w:r>
    </w:p>
    <w:p w:rsidR="004A419E" w:rsidRDefault="004A419E" w:rsidP="00C62363">
      <w:pPr>
        <w:pStyle w:val="ListParagraph"/>
        <w:numPr>
          <w:ilvl w:val="0"/>
          <w:numId w:val="5"/>
        </w:numPr>
        <w:spacing w:line="360" w:lineRule="auto"/>
        <w:jc w:val="both"/>
        <w:rPr>
          <w:rFonts w:ascii="Times New Roman" w:hAnsi="Times New Roman" w:cs="Times New Roman"/>
          <w:b/>
          <w:sz w:val="24"/>
          <w:szCs w:val="24"/>
        </w:rPr>
      </w:pPr>
      <w:r>
        <w:rPr>
          <w:rFonts w:ascii="Times New Roman" w:hAnsi="Times New Roman" w:cs="Times New Roman"/>
          <w:b/>
          <w:sz w:val="24"/>
          <w:szCs w:val="24"/>
        </w:rPr>
        <w:t>Dimensionamiento del programa BID-</w:t>
      </w:r>
      <w:proofErr w:type="spellStart"/>
      <w:r>
        <w:rPr>
          <w:rFonts w:ascii="Times New Roman" w:hAnsi="Times New Roman" w:cs="Times New Roman"/>
          <w:b/>
          <w:sz w:val="24"/>
          <w:szCs w:val="24"/>
        </w:rPr>
        <w:t>Bancóldex</w:t>
      </w:r>
      <w:proofErr w:type="spellEnd"/>
    </w:p>
    <w:p w:rsidR="00D85366" w:rsidRPr="00246502" w:rsidRDefault="000A776E"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programa propuesto para la financiación de </w:t>
      </w:r>
      <w:proofErr w:type="spellStart"/>
      <w:r>
        <w:rPr>
          <w:rFonts w:ascii="Times New Roman" w:hAnsi="Times New Roman" w:cs="Times New Roman"/>
          <w:sz w:val="24"/>
          <w:szCs w:val="24"/>
        </w:rPr>
        <w:t>Bancóldex</w:t>
      </w:r>
      <w:proofErr w:type="spellEnd"/>
      <w:r>
        <w:rPr>
          <w:rFonts w:ascii="Times New Roman" w:hAnsi="Times New Roman" w:cs="Times New Roman"/>
          <w:sz w:val="24"/>
          <w:szCs w:val="24"/>
        </w:rPr>
        <w:t xml:space="preserve"> con respecto al Banco Interamericano de Desarrollo se eleva a la suma de US$ 3</w:t>
      </w:r>
      <w:r w:rsidR="00483E75">
        <w:rPr>
          <w:rFonts w:ascii="Times New Roman" w:hAnsi="Times New Roman" w:cs="Times New Roman"/>
          <w:sz w:val="24"/>
          <w:szCs w:val="24"/>
        </w:rPr>
        <w:t>86</w:t>
      </w:r>
      <w:r>
        <w:rPr>
          <w:rFonts w:ascii="Times New Roman" w:hAnsi="Times New Roman" w:cs="Times New Roman"/>
          <w:sz w:val="24"/>
          <w:szCs w:val="24"/>
        </w:rPr>
        <w:t xml:space="preserve"> millones</w:t>
      </w:r>
      <w:r w:rsidR="00565733">
        <w:rPr>
          <w:rFonts w:ascii="Times New Roman" w:hAnsi="Times New Roman" w:cs="Times New Roman"/>
          <w:sz w:val="24"/>
          <w:szCs w:val="24"/>
        </w:rPr>
        <w:t xml:space="preserve">, o alternativamente </w:t>
      </w:r>
      <w:r w:rsidR="00D85366">
        <w:rPr>
          <w:rFonts w:ascii="Times New Roman" w:hAnsi="Times New Roman" w:cs="Times New Roman"/>
          <w:sz w:val="24"/>
          <w:szCs w:val="24"/>
        </w:rPr>
        <w:t xml:space="preserve">a </w:t>
      </w:r>
      <w:r w:rsidR="00565733">
        <w:rPr>
          <w:rFonts w:ascii="Times New Roman" w:hAnsi="Times New Roman" w:cs="Times New Roman"/>
          <w:sz w:val="24"/>
          <w:szCs w:val="24"/>
        </w:rPr>
        <w:t xml:space="preserve">COP$ </w:t>
      </w:r>
      <w:r w:rsidR="00926A78">
        <w:rPr>
          <w:rFonts w:ascii="Times New Roman" w:hAnsi="Times New Roman" w:cs="Times New Roman"/>
          <w:sz w:val="24"/>
          <w:szCs w:val="24"/>
        </w:rPr>
        <w:t>720</w:t>
      </w:r>
      <w:r w:rsidR="00565733">
        <w:rPr>
          <w:rFonts w:ascii="Times New Roman" w:hAnsi="Times New Roman" w:cs="Times New Roman"/>
          <w:sz w:val="24"/>
          <w:szCs w:val="24"/>
        </w:rPr>
        <w:t>.</w:t>
      </w:r>
      <w:r w:rsidR="00926A78">
        <w:rPr>
          <w:rFonts w:ascii="Times New Roman" w:hAnsi="Times New Roman" w:cs="Times New Roman"/>
          <w:sz w:val="24"/>
          <w:szCs w:val="24"/>
        </w:rPr>
        <w:t>0</w:t>
      </w:r>
      <w:r w:rsidR="00565733">
        <w:rPr>
          <w:rFonts w:ascii="Times New Roman" w:hAnsi="Times New Roman" w:cs="Times New Roman"/>
          <w:sz w:val="24"/>
          <w:szCs w:val="24"/>
        </w:rPr>
        <w:t xml:space="preserve">00 </w:t>
      </w:r>
      <w:r w:rsidR="00565733" w:rsidRPr="00246502">
        <w:rPr>
          <w:rFonts w:ascii="Times New Roman" w:hAnsi="Times New Roman" w:cs="Times New Roman"/>
          <w:sz w:val="24"/>
          <w:szCs w:val="24"/>
        </w:rPr>
        <w:t>millones a la tasa de cambio vigente</w:t>
      </w:r>
      <w:r w:rsidR="006447AF">
        <w:rPr>
          <w:rFonts w:ascii="Times New Roman" w:hAnsi="Times New Roman" w:cs="Times New Roman"/>
          <w:sz w:val="24"/>
          <w:szCs w:val="24"/>
        </w:rPr>
        <w:t>.</w:t>
      </w:r>
      <w:r w:rsidR="00565733" w:rsidRPr="00246502">
        <w:rPr>
          <w:rStyle w:val="FootnoteReference"/>
          <w:rFonts w:ascii="Times New Roman" w:hAnsi="Times New Roman" w:cs="Times New Roman"/>
          <w:sz w:val="24"/>
          <w:szCs w:val="24"/>
        </w:rPr>
        <w:footnoteReference w:id="7"/>
      </w:r>
      <w:r w:rsidRPr="00246502">
        <w:rPr>
          <w:rFonts w:ascii="Times New Roman" w:hAnsi="Times New Roman" w:cs="Times New Roman"/>
          <w:sz w:val="24"/>
          <w:szCs w:val="24"/>
        </w:rPr>
        <w:t xml:space="preserve"> </w:t>
      </w:r>
      <w:r w:rsidR="00CC29C7" w:rsidRPr="00246502">
        <w:rPr>
          <w:rFonts w:ascii="Times New Roman" w:hAnsi="Times New Roman" w:cs="Times New Roman"/>
          <w:sz w:val="24"/>
          <w:szCs w:val="24"/>
        </w:rPr>
        <w:t xml:space="preserve">Tal monto equivale al </w:t>
      </w:r>
      <w:r w:rsidR="00926A78">
        <w:rPr>
          <w:rFonts w:ascii="Times New Roman" w:hAnsi="Times New Roman" w:cs="Times New Roman"/>
          <w:sz w:val="24"/>
          <w:szCs w:val="24"/>
        </w:rPr>
        <w:t>15,8</w:t>
      </w:r>
      <w:r w:rsidR="00CC29C7" w:rsidRPr="00246502">
        <w:rPr>
          <w:rFonts w:ascii="Times New Roman" w:hAnsi="Times New Roman" w:cs="Times New Roman"/>
          <w:sz w:val="24"/>
          <w:szCs w:val="24"/>
        </w:rPr>
        <w:t>% de la cartera bruta de la entidad.</w:t>
      </w:r>
      <w:r w:rsidR="00246502" w:rsidRPr="00246502">
        <w:rPr>
          <w:rFonts w:ascii="Times New Roman" w:hAnsi="Times New Roman" w:cs="Times New Roman"/>
          <w:sz w:val="24"/>
          <w:szCs w:val="24"/>
        </w:rPr>
        <w:t xml:space="preserve"> Se trata de un nivel de apalancamiento que, pese a que significativo, no es desproporcionado en términos del valor de los activos y de la cartera bruta.</w:t>
      </w:r>
      <w:r w:rsidR="00CC29C7" w:rsidRPr="00246502">
        <w:rPr>
          <w:rFonts w:ascii="Times New Roman" w:hAnsi="Times New Roman" w:cs="Times New Roman"/>
          <w:sz w:val="24"/>
          <w:szCs w:val="24"/>
        </w:rPr>
        <w:t xml:space="preserve"> </w:t>
      </w:r>
    </w:p>
    <w:p w:rsidR="004A419E" w:rsidRDefault="00246502" w:rsidP="00C62363">
      <w:pPr>
        <w:spacing w:line="360" w:lineRule="auto"/>
        <w:jc w:val="both"/>
        <w:rPr>
          <w:rFonts w:ascii="Times New Roman" w:hAnsi="Times New Roman" w:cs="Times New Roman"/>
          <w:sz w:val="24"/>
          <w:szCs w:val="24"/>
        </w:rPr>
      </w:pPr>
      <w:r w:rsidRPr="00246502">
        <w:rPr>
          <w:rFonts w:ascii="Times New Roman" w:hAnsi="Times New Roman" w:cs="Times New Roman"/>
          <w:sz w:val="24"/>
          <w:szCs w:val="24"/>
        </w:rPr>
        <w:t xml:space="preserve">Para dimensionar </w:t>
      </w:r>
      <w:r w:rsidR="00483E75">
        <w:rPr>
          <w:rFonts w:ascii="Times New Roman" w:hAnsi="Times New Roman" w:cs="Times New Roman"/>
          <w:sz w:val="24"/>
          <w:szCs w:val="24"/>
        </w:rPr>
        <w:t xml:space="preserve">el tamaño relativo </w:t>
      </w:r>
      <w:r w:rsidRPr="00246502">
        <w:rPr>
          <w:rFonts w:ascii="Times New Roman" w:hAnsi="Times New Roman" w:cs="Times New Roman"/>
          <w:sz w:val="24"/>
          <w:szCs w:val="24"/>
        </w:rPr>
        <w:t xml:space="preserve">de tal </w:t>
      </w:r>
      <w:r w:rsidR="004B08C6" w:rsidRPr="00246502">
        <w:rPr>
          <w:rFonts w:ascii="Times New Roman" w:hAnsi="Times New Roman" w:cs="Times New Roman"/>
          <w:sz w:val="24"/>
          <w:szCs w:val="24"/>
        </w:rPr>
        <w:t xml:space="preserve">programa </w:t>
      </w:r>
      <w:r w:rsidRPr="00246502">
        <w:rPr>
          <w:rFonts w:ascii="Times New Roman" w:hAnsi="Times New Roman" w:cs="Times New Roman"/>
          <w:sz w:val="24"/>
          <w:szCs w:val="24"/>
        </w:rPr>
        <w:t xml:space="preserve">es menester tener en cuenta </w:t>
      </w:r>
      <w:r w:rsidR="004B08C6" w:rsidRPr="00246502">
        <w:rPr>
          <w:rFonts w:ascii="Times New Roman" w:hAnsi="Times New Roman" w:cs="Times New Roman"/>
          <w:sz w:val="24"/>
          <w:szCs w:val="24"/>
        </w:rPr>
        <w:t xml:space="preserve">que </w:t>
      </w:r>
      <w:r w:rsidR="00483E75">
        <w:rPr>
          <w:rFonts w:ascii="Times New Roman" w:hAnsi="Times New Roman" w:cs="Times New Roman"/>
          <w:sz w:val="24"/>
          <w:szCs w:val="24"/>
        </w:rPr>
        <w:t xml:space="preserve">en los últimos cuatro años los desembolsos </w:t>
      </w:r>
      <w:r w:rsidR="00483E75" w:rsidRPr="00926A78">
        <w:rPr>
          <w:rFonts w:ascii="Times New Roman" w:hAnsi="Times New Roman" w:cs="Times New Roman"/>
          <w:sz w:val="24"/>
          <w:szCs w:val="24"/>
          <w:u w:val="single"/>
        </w:rPr>
        <w:t>anuales promedios</w:t>
      </w:r>
      <w:r w:rsidR="00483E75">
        <w:rPr>
          <w:rFonts w:ascii="Times New Roman" w:hAnsi="Times New Roman" w:cs="Times New Roman"/>
          <w:sz w:val="24"/>
          <w:szCs w:val="24"/>
        </w:rPr>
        <w:t xml:space="preserve"> realizados por </w:t>
      </w:r>
      <w:proofErr w:type="spellStart"/>
      <w:r w:rsidR="00483E75">
        <w:rPr>
          <w:rFonts w:ascii="Times New Roman" w:hAnsi="Times New Roman" w:cs="Times New Roman"/>
          <w:sz w:val="24"/>
          <w:szCs w:val="24"/>
        </w:rPr>
        <w:t>Bancóldex</w:t>
      </w:r>
      <w:proofErr w:type="spellEnd"/>
      <w:r w:rsidR="00483E75">
        <w:rPr>
          <w:rFonts w:ascii="Times New Roman" w:hAnsi="Times New Roman" w:cs="Times New Roman"/>
          <w:sz w:val="24"/>
          <w:szCs w:val="24"/>
        </w:rPr>
        <w:t xml:space="preserve"> en las líneas de crédito para inversión que serían elegibles bajo éste Tercer Programa fueron de US$258 millones</w:t>
      </w:r>
      <w:r w:rsidR="006447AF">
        <w:rPr>
          <w:rFonts w:ascii="Times New Roman" w:hAnsi="Times New Roman" w:cs="Times New Roman"/>
          <w:sz w:val="24"/>
          <w:szCs w:val="24"/>
        </w:rPr>
        <w:t>.</w:t>
      </w:r>
      <w:r w:rsidR="006447AF">
        <w:rPr>
          <w:rStyle w:val="FootnoteReference"/>
          <w:rFonts w:ascii="Times New Roman" w:hAnsi="Times New Roman" w:cs="Times New Roman"/>
          <w:sz w:val="24"/>
          <w:szCs w:val="24"/>
        </w:rPr>
        <w:footnoteReference w:id="8"/>
      </w:r>
      <w:r w:rsidR="00483E75">
        <w:rPr>
          <w:rFonts w:ascii="Times New Roman" w:hAnsi="Times New Roman" w:cs="Times New Roman"/>
          <w:sz w:val="24"/>
          <w:szCs w:val="24"/>
        </w:rPr>
        <w:t xml:space="preserve"> Asumiendo</w:t>
      </w:r>
      <w:r w:rsidR="00926A78">
        <w:rPr>
          <w:rFonts w:ascii="Times New Roman" w:hAnsi="Times New Roman" w:cs="Times New Roman"/>
          <w:sz w:val="24"/>
          <w:szCs w:val="24"/>
        </w:rPr>
        <w:t xml:space="preserve"> que este promedio se mantuviera</w:t>
      </w:r>
      <w:r w:rsidR="00483E75">
        <w:rPr>
          <w:rFonts w:ascii="Times New Roman" w:hAnsi="Times New Roman" w:cs="Times New Roman"/>
          <w:sz w:val="24"/>
          <w:szCs w:val="24"/>
        </w:rPr>
        <w:t xml:space="preserve"> en los próximos cuatro años</w:t>
      </w:r>
      <w:r w:rsidR="00926A78">
        <w:rPr>
          <w:rFonts w:ascii="Times New Roman" w:hAnsi="Times New Roman" w:cs="Times New Roman"/>
          <w:sz w:val="24"/>
          <w:szCs w:val="24"/>
        </w:rPr>
        <w:t>,</w:t>
      </w:r>
      <w:r w:rsidR="00483E75">
        <w:rPr>
          <w:rFonts w:ascii="Times New Roman" w:hAnsi="Times New Roman" w:cs="Times New Roman"/>
          <w:sz w:val="24"/>
          <w:szCs w:val="24"/>
        </w:rPr>
        <w:t xml:space="preserve"> y que los recursos del programa, incluyendo la contrapartida de </w:t>
      </w:r>
      <w:proofErr w:type="spellStart"/>
      <w:r w:rsidR="00483E75">
        <w:rPr>
          <w:rFonts w:ascii="Times New Roman" w:hAnsi="Times New Roman" w:cs="Times New Roman"/>
          <w:sz w:val="24"/>
          <w:szCs w:val="24"/>
        </w:rPr>
        <w:t>Bancóldex</w:t>
      </w:r>
      <w:proofErr w:type="spellEnd"/>
      <w:r w:rsidR="00483E75">
        <w:rPr>
          <w:rFonts w:ascii="Times New Roman" w:hAnsi="Times New Roman" w:cs="Times New Roman"/>
          <w:sz w:val="24"/>
          <w:szCs w:val="24"/>
        </w:rPr>
        <w:t>, se ejecutarán a razón de US$</w:t>
      </w:r>
      <w:r w:rsidR="00926A78">
        <w:rPr>
          <w:rFonts w:ascii="Times New Roman" w:hAnsi="Times New Roman" w:cs="Times New Roman"/>
          <w:sz w:val="24"/>
          <w:szCs w:val="24"/>
        </w:rPr>
        <w:t>100</w:t>
      </w:r>
      <w:r w:rsidR="00483E75">
        <w:rPr>
          <w:rFonts w:ascii="Times New Roman" w:hAnsi="Times New Roman" w:cs="Times New Roman"/>
          <w:sz w:val="24"/>
          <w:szCs w:val="24"/>
        </w:rPr>
        <w:t xml:space="preserve"> millones por año, tal nivel de</w:t>
      </w:r>
      <w:r w:rsidR="00926A78">
        <w:rPr>
          <w:rFonts w:ascii="Times New Roman" w:hAnsi="Times New Roman" w:cs="Times New Roman"/>
          <w:sz w:val="24"/>
          <w:szCs w:val="24"/>
        </w:rPr>
        <w:t xml:space="preserve"> desembolsos representaría un 38,3% del desembolso anual promedio (o demanda revelada anual) aludido</w:t>
      </w:r>
      <w:r w:rsidR="00724176">
        <w:rPr>
          <w:rFonts w:ascii="Times New Roman" w:hAnsi="Times New Roman" w:cs="Times New Roman"/>
          <w:sz w:val="24"/>
          <w:szCs w:val="24"/>
        </w:rPr>
        <w:t xml:space="preserve"> previamente. </w:t>
      </w:r>
      <w:r w:rsidR="005D2CF7">
        <w:rPr>
          <w:rFonts w:ascii="Times New Roman" w:hAnsi="Times New Roman" w:cs="Times New Roman"/>
          <w:sz w:val="24"/>
          <w:szCs w:val="24"/>
        </w:rPr>
        <w:t>Se trata de una cifra importante que puede ampliar</w:t>
      </w:r>
      <w:r w:rsidR="00926A78">
        <w:rPr>
          <w:rFonts w:ascii="Times New Roman" w:hAnsi="Times New Roman" w:cs="Times New Roman"/>
          <w:sz w:val="24"/>
          <w:szCs w:val="24"/>
        </w:rPr>
        <w:t xml:space="preserve"> el apoyo a las </w:t>
      </w:r>
      <w:proofErr w:type="spellStart"/>
      <w:r w:rsidR="00926A78">
        <w:rPr>
          <w:rFonts w:ascii="Times New Roman" w:hAnsi="Times New Roman" w:cs="Times New Roman"/>
          <w:sz w:val="24"/>
          <w:szCs w:val="24"/>
        </w:rPr>
        <w:t>Mipymes</w:t>
      </w:r>
      <w:proofErr w:type="spellEnd"/>
      <w:r w:rsidR="00926A78">
        <w:rPr>
          <w:rFonts w:ascii="Times New Roman" w:hAnsi="Times New Roman" w:cs="Times New Roman"/>
          <w:sz w:val="24"/>
          <w:szCs w:val="24"/>
        </w:rPr>
        <w:t xml:space="preserve"> que enfrentan</w:t>
      </w:r>
      <w:r w:rsidR="005D2CF7">
        <w:rPr>
          <w:rFonts w:ascii="Times New Roman" w:hAnsi="Times New Roman" w:cs="Times New Roman"/>
          <w:sz w:val="24"/>
          <w:szCs w:val="24"/>
        </w:rPr>
        <w:t xml:space="preserve"> problemas como el de la obsolescencia tecnológica</w:t>
      </w:r>
      <w:r w:rsidR="00402716">
        <w:rPr>
          <w:rFonts w:ascii="Times New Roman" w:hAnsi="Times New Roman" w:cs="Times New Roman"/>
          <w:sz w:val="24"/>
          <w:szCs w:val="24"/>
        </w:rPr>
        <w:t xml:space="preserve"> (</w:t>
      </w:r>
      <w:proofErr w:type="gramStart"/>
      <w:r w:rsidR="00402716">
        <w:rPr>
          <w:rFonts w:ascii="Times New Roman" w:hAnsi="Times New Roman" w:cs="Times New Roman"/>
          <w:sz w:val="24"/>
          <w:szCs w:val="24"/>
        </w:rPr>
        <w:t>analizado</w:t>
      </w:r>
      <w:proofErr w:type="gramEnd"/>
      <w:r w:rsidR="00402716">
        <w:rPr>
          <w:rFonts w:ascii="Times New Roman" w:hAnsi="Times New Roman" w:cs="Times New Roman"/>
          <w:sz w:val="24"/>
          <w:szCs w:val="24"/>
        </w:rPr>
        <w:t xml:space="preserve"> en la sección 3)</w:t>
      </w:r>
      <w:r w:rsidR="005D2CF7">
        <w:rPr>
          <w:rFonts w:ascii="Times New Roman" w:hAnsi="Times New Roman" w:cs="Times New Roman"/>
          <w:sz w:val="24"/>
          <w:szCs w:val="24"/>
        </w:rPr>
        <w:t xml:space="preserve">. La importancia del programa es aún mayor si se considera la tendencia actual de reducción en la participación de </w:t>
      </w:r>
      <w:proofErr w:type="spellStart"/>
      <w:r w:rsidR="005D2CF7">
        <w:rPr>
          <w:rFonts w:ascii="Times New Roman" w:hAnsi="Times New Roman" w:cs="Times New Roman"/>
          <w:sz w:val="24"/>
          <w:szCs w:val="24"/>
        </w:rPr>
        <w:t>Bancóldex</w:t>
      </w:r>
      <w:proofErr w:type="spellEnd"/>
      <w:r w:rsidR="005D2CF7">
        <w:rPr>
          <w:rFonts w:ascii="Times New Roman" w:hAnsi="Times New Roman" w:cs="Times New Roman"/>
          <w:sz w:val="24"/>
          <w:szCs w:val="24"/>
        </w:rPr>
        <w:t xml:space="preserve"> sobre el agregado de los establecimientos de crédito.</w:t>
      </w:r>
    </w:p>
    <w:p w:rsidR="00F445A5" w:rsidRDefault="00926A78"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Asimismo, e</w:t>
      </w:r>
      <w:bookmarkStart w:id="0" w:name="_GoBack"/>
      <w:bookmarkEnd w:id="0"/>
      <w:r w:rsidR="00EB2B75" w:rsidRPr="00EB2B75">
        <w:rPr>
          <w:rFonts w:ascii="Times New Roman" w:hAnsi="Times New Roman" w:cs="Times New Roman"/>
          <w:sz w:val="24"/>
          <w:szCs w:val="24"/>
        </w:rPr>
        <w:t xml:space="preserve">l programa cobra especial trascendencia si se analiza la coyuntura </w:t>
      </w:r>
      <w:r w:rsidR="00402716">
        <w:rPr>
          <w:rFonts w:ascii="Times New Roman" w:hAnsi="Times New Roman" w:cs="Times New Roman"/>
          <w:sz w:val="24"/>
          <w:szCs w:val="24"/>
        </w:rPr>
        <w:t xml:space="preserve">económica </w:t>
      </w:r>
      <w:r w:rsidR="00EB2B75" w:rsidRPr="00EB2B75">
        <w:rPr>
          <w:rFonts w:ascii="Times New Roman" w:hAnsi="Times New Roman" w:cs="Times New Roman"/>
          <w:sz w:val="24"/>
          <w:szCs w:val="24"/>
        </w:rPr>
        <w:t xml:space="preserve">actual. Por un lado, se trata de un financiamiento que puede contrarrestar las potenciales reducciones en la oferta de crédito a </w:t>
      </w:r>
      <w:proofErr w:type="spellStart"/>
      <w:r w:rsidR="00EB2B75" w:rsidRPr="00EB2B75">
        <w:rPr>
          <w:rFonts w:ascii="Times New Roman" w:hAnsi="Times New Roman" w:cs="Times New Roman"/>
          <w:sz w:val="24"/>
          <w:szCs w:val="24"/>
        </w:rPr>
        <w:t>Mipymes</w:t>
      </w:r>
      <w:proofErr w:type="spellEnd"/>
      <w:r w:rsidR="00402716">
        <w:rPr>
          <w:rFonts w:ascii="Times New Roman" w:hAnsi="Times New Roman" w:cs="Times New Roman"/>
          <w:sz w:val="24"/>
          <w:szCs w:val="24"/>
        </w:rPr>
        <w:t>, las cuales estarían</w:t>
      </w:r>
      <w:r w:rsidR="00EB2B75" w:rsidRPr="00EB2B75">
        <w:rPr>
          <w:rFonts w:ascii="Times New Roman" w:hAnsi="Times New Roman" w:cs="Times New Roman"/>
          <w:sz w:val="24"/>
          <w:szCs w:val="24"/>
        </w:rPr>
        <w:t xml:space="preserve"> asociadas </w:t>
      </w:r>
      <w:r w:rsidR="00D85366" w:rsidRPr="00EB2B75">
        <w:rPr>
          <w:rFonts w:ascii="Times New Roman" w:hAnsi="Times New Roman" w:cs="Times New Roman"/>
          <w:sz w:val="24"/>
          <w:szCs w:val="24"/>
        </w:rPr>
        <w:t xml:space="preserve">al </w:t>
      </w:r>
      <w:r w:rsidR="00402716">
        <w:rPr>
          <w:rFonts w:ascii="Times New Roman" w:hAnsi="Times New Roman" w:cs="Times New Roman"/>
          <w:sz w:val="24"/>
          <w:szCs w:val="24"/>
        </w:rPr>
        <w:t xml:space="preserve">reciente </w:t>
      </w:r>
      <w:r w:rsidR="00D85366" w:rsidRPr="00EB2B75">
        <w:rPr>
          <w:rFonts w:ascii="Times New Roman" w:hAnsi="Times New Roman" w:cs="Times New Roman"/>
          <w:sz w:val="24"/>
          <w:szCs w:val="24"/>
        </w:rPr>
        <w:t>enfriamiento de la economía</w:t>
      </w:r>
      <w:r w:rsidR="00EB2B75" w:rsidRPr="00EB2B75">
        <w:rPr>
          <w:rFonts w:ascii="Times New Roman" w:hAnsi="Times New Roman" w:cs="Times New Roman"/>
          <w:sz w:val="24"/>
          <w:szCs w:val="24"/>
        </w:rPr>
        <w:t xml:space="preserve">. Por otro lado, el relajamiento progresivo de las condiciones </w:t>
      </w:r>
      <w:r w:rsidR="00EB2B75" w:rsidRPr="00EB2B75">
        <w:rPr>
          <w:rFonts w:ascii="Times New Roman" w:hAnsi="Times New Roman" w:cs="Times New Roman"/>
          <w:sz w:val="24"/>
          <w:szCs w:val="24"/>
        </w:rPr>
        <w:lastRenderedPageBreak/>
        <w:t>monetarias en Colombia puede llevar a que en el corto y mediano plazo haya un impulso a la demanda de créditos</w:t>
      </w:r>
      <w:r w:rsidR="00402716">
        <w:rPr>
          <w:rFonts w:ascii="Times New Roman" w:hAnsi="Times New Roman" w:cs="Times New Roman"/>
          <w:sz w:val="24"/>
          <w:szCs w:val="24"/>
        </w:rPr>
        <w:t xml:space="preserve">, haciendo necesaria una mayor capacidad financiera por parte de </w:t>
      </w:r>
      <w:proofErr w:type="spellStart"/>
      <w:r w:rsidR="00402716">
        <w:rPr>
          <w:rFonts w:ascii="Times New Roman" w:hAnsi="Times New Roman" w:cs="Times New Roman"/>
          <w:sz w:val="24"/>
          <w:szCs w:val="24"/>
        </w:rPr>
        <w:t>Bancóldex</w:t>
      </w:r>
      <w:proofErr w:type="spellEnd"/>
      <w:r w:rsidR="00EB2B75" w:rsidRPr="00EB2B75">
        <w:rPr>
          <w:rFonts w:ascii="Times New Roman" w:hAnsi="Times New Roman" w:cs="Times New Roman"/>
          <w:sz w:val="24"/>
          <w:szCs w:val="24"/>
        </w:rPr>
        <w:t>. En suma, el programa BID-</w:t>
      </w:r>
      <w:proofErr w:type="spellStart"/>
      <w:r w:rsidR="00EB2B75" w:rsidRPr="00EB2B75">
        <w:rPr>
          <w:rFonts w:ascii="Times New Roman" w:hAnsi="Times New Roman" w:cs="Times New Roman"/>
          <w:sz w:val="24"/>
          <w:szCs w:val="24"/>
        </w:rPr>
        <w:t>Bancóldex</w:t>
      </w:r>
      <w:proofErr w:type="spellEnd"/>
      <w:r w:rsidR="00EB2B75" w:rsidRPr="00EB2B75">
        <w:rPr>
          <w:rFonts w:ascii="Times New Roman" w:hAnsi="Times New Roman" w:cs="Times New Roman"/>
          <w:sz w:val="24"/>
          <w:szCs w:val="24"/>
        </w:rPr>
        <w:t xml:space="preserve"> puede resultar de especial provecho en las condiciones actuales del mercado de crédito colombiano.</w:t>
      </w:r>
      <w:r w:rsidR="00EB2B75">
        <w:rPr>
          <w:rFonts w:ascii="Times New Roman" w:hAnsi="Times New Roman" w:cs="Times New Roman"/>
          <w:sz w:val="24"/>
          <w:szCs w:val="24"/>
        </w:rPr>
        <w:t xml:space="preserve"> </w:t>
      </w:r>
    </w:p>
    <w:p w:rsidR="00B92AFC" w:rsidRDefault="00B92AFC" w:rsidP="00C62363">
      <w:pPr>
        <w:pStyle w:val="ListParagraph"/>
        <w:numPr>
          <w:ilvl w:val="0"/>
          <w:numId w:val="5"/>
        </w:numPr>
        <w:spacing w:line="360" w:lineRule="auto"/>
        <w:jc w:val="both"/>
        <w:rPr>
          <w:rFonts w:ascii="Times New Roman" w:hAnsi="Times New Roman" w:cs="Times New Roman"/>
          <w:b/>
          <w:sz w:val="24"/>
          <w:szCs w:val="24"/>
        </w:rPr>
      </w:pPr>
      <w:r>
        <w:rPr>
          <w:rFonts w:ascii="Times New Roman" w:hAnsi="Times New Roman" w:cs="Times New Roman"/>
          <w:b/>
          <w:sz w:val="24"/>
          <w:szCs w:val="24"/>
        </w:rPr>
        <w:t>Conclusión</w:t>
      </w:r>
    </w:p>
    <w:p w:rsidR="00E75695" w:rsidRDefault="00B92AFC"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presente documento mostró que el mercado de crédito de inversión para </w:t>
      </w:r>
      <w:proofErr w:type="spellStart"/>
      <w:r>
        <w:rPr>
          <w:rFonts w:ascii="Times New Roman" w:hAnsi="Times New Roman" w:cs="Times New Roman"/>
          <w:sz w:val="24"/>
          <w:szCs w:val="24"/>
        </w:rPr>
        <w:t>Mipymes</w:t>
      </w:r>
      <w:proofErr w:type="spellEnd"/>
      <w:r>
        <w:rPr>
          <w:rFonts w:ascii="Times New Roman" w:hAnsi="Times New Roman" w:cs="Times New Roman"/>
          <w:sz w:val="24"/>
          <w:szCs w:val="24"/>
        </w:rPr>
        <w:t xml:space="preserve"> ha venido profundizándose en los últimos años, si bien internacionalmente Colombia sigue comparándose desfavorablemente </w:t>
      </w:r>
      <w:r w:rsidR="00D40EF2">
        <w:rPr>
          <w:rFonts w:ascii="Times New Roman" w:hAnsi="Times New Roman" w:cs="Times New Roman"/>
          <w:sz w:val="24"/>
          <w:szCs w:val="24"/>
        </w:rPr>
        <w:t xml:space="preserve">con otras economías similares. </w:t>
      </w:r>
    </w:p>
    <w:p w:rsidR="00D85366" w:rsidRDefault="00E75695"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la segunda sección se mostró que las condiciones de bancarización han mejorado en Colombia en los últimos años, </w:t>
      </w:r>
      <w:r w:rsidR="009A17E5">
        <w:rPr>
          <w:rFonts w:ascii="Times New Roman" w:hAnsi="Times New Roman" w:cs="Times New Roman"/>
          <w:sz w:val="24"/>
          <w:szCs w:val="24"/>
        </w:rPr>
        <w:t xml:space="preserve">pese a que sigue habiendo rigideces que dificultan el acceso a crédito para </w:t>
      </w:r>
      <w:proofErr w:type="spellStart"/>
      <w:r w:rsidR="009A17E5">
        <w:rPr>
          <w:rFonts w:ascii="Times New Roman" w:hAnsi="Times New Roman" w:cs="Times New Roman"/>
          <w:sz w:val="24"/>
          <w:szCs w:val="24"/>
        </w:rPr>
        <w:t>Mipymes</w:t>
      </w:r>
      <w:proofErr w:type="spellEnd"/>
      <w:r w:rsidR="009A17E5">
        <w:rPr>
          <w:rFonts w:ascii="Times New Roman" w:hAnsi="Times New Roman" w:cs="Times New Roman"/>
          <w:sz w:val="24"/>
          <w:szCs w:val="24"/>
        </w:rPr>
        <w:t>.</w:t>
      </w:r>
      <w:r w:rsidR="00C83584">
        <w:rPr>
          <w:rFonts w:ascii="Times New Roman" w:hAnsi="Times New Roman" w:cs="Times New Roman"/>
          <w:sz w:val="24"/>
          <w:szCs w:val="24"/>
        </w:rPr>
        <w:t xml:space="preserve"> En la tercera sección se señalaron</w:t>
      </w:r>
      <w:r w:rsidR="009A17E5">
        <w:rPr>
          <w:rFonts w:ascii="Times New Roman" w:hAnsi="Times New Roman" w:cs="Times New Roman"/>
          <w:sz w:val="24"/>
          <w:szCs w:val="24"/>
        </w:rPr>
        <w:t xml:space="preserve"> las distintas dificultades a las que se enfrentan las micro, pequeñas y medianas empresas, como lo es las dificultades para conseguir crédito adecuado, la pobre inserción en los mercados internacionales, y la baja preparación de quienes dirigen tales firmas. </w:t>
      </w:r>
    </w:p>
    <w:p w:rsidR="002C3FF7" w:rsidRDefault="00766A52" w:rsidP="00C6236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quinta sección explicó el funcionamiento de </w:t>
      </w:r>
      <w:proofErr w:type="spellStart"/>
      <w:r>
        <w:rPr>
          <w:rFonts w:ascii="Times New Roman" w:hAnsi="Times New Roman" w:cs="Times New Roman"/>
          <w:sz w:val="24"/>
          <w:szCs w:val="24"/>
        </w:rPr>
        <w:t>Bancóldex</w:t>
      </w:r>
      <w:proofErr w:type="spellEnd"/>
      <w:r>
        <w:rPr>
          <w:rFonts w:ascii="Times New Roman" w:hAnsi="Times New Roman" w:cs="Times New Roman"/>
          <w:sz w:val="24"/>
          <w:szCs w:val="24"/>
        </w:rPr>
        <w:t xml:space="preserve"> en el mercado de crédito </w:t>
      </w:r>
      <w:r w:rsidR="006B094E">
        <w:rPr>
          <w:rFonts w:ascii="Times New Roman" w:hAnsi="Times New Roman" w:cs="Times New Roman"/>
          <w:sz w:val="24"/>
          <w:szCs w:val="24"/>
        </w:rPr>
        <w:t>c</w:t>
      </w:r>
      <w:r>
        <w:rPr>
          <w:rFonts w:ascii="Times New Roman" w:hAnsi="Times New Roman" w:cs="Times New Roman"/>
          <w:sz w:val="24"/>
          <w:szCs w:val="24"/>
        </w:rPr>
        <w:t xml:space="preserve">olombiano, y mostró que tal entidad ha logrado resultados positivos no solo en términos de mejorar el acceso a crédito de las </w:t>
      </w:r>
      <w:proofErr w:type="spellStart"/>
      <w:r>
        <w:rPr>
          <w:rFonts w:ascii="Times New Roman" w:hAnsi="Times New Roman" w:cs="Times New Roman"/>
          <w:sz w:val="24"/>
          <w:szCs w:val="24"/>
        </w:rPr>
        <w:t>Mipymes</w:t>
      </w:r>
      <w:proofErr w:type="spellEnd"/>
      <w:r>
        <w:rPr>
          <w:rFonts w:ascii="Times New Roman" w:hAnsi="Times New Roman" w:cs="Times New Roman"/>
          <w:sz w:val="24"/>
          <w:szCs w:val="24"/>
        </w:rPr>
        <w:t xml:space="preserve">, sino también el mismo desempeño de estas. Así, el mejoramiento de las condiciones de crédito para </w:t>
      </w:r>
      <w:proofErr w:type="spellStart"/>
      <w:r>
        <w:rPr>
          <w:rFonts w:ascii="Times New Roman" w:hAnsi="Times New Roman" w:cs="Times New Roman"/>
          <w:sz w:val="24"/>
          <w:szCs w:val="24"/>
        </w:rPr>
        <w:t>Mipymes</w:t>
      </w:r>
      <w:proofErr w:type="spellEnd"/>
      <w:r>
        <w:rPr>
          <w:rFonts w:ascii="Times New Roman" w:hAnsi="Times New Roman" w:cs="Times New Roman"/>
          <w:sz w:val="24"/>
          <w:szCs w:val="24"/>
        </w:rPr>
        <w:t xml:space="preserve"> se ha traducido en mejoras significativas en términos de nivel de empleo, producción e inversión, lo cual pone de presente que profundizaciones posteriores en tales tipos de mecanismos son deseables para un mejor desempeño de la economía colombiana, y particularmente del referido sector. </w:t>
      </w:r>
      <w:r w:rsidR="00E75695">
        <w:rPr>
          <w:rFonts w:ascii="Times New Roman" w:hAnsi="Times New Roman" w:cs="Times New Roman"/>
          <w:sz w:val="24"/>
          <w:szCs w:val="24"/>
        </w:rPr>
        <w:t xml:space="preserve"> </w:t>
      </w:r>
    </w:p>
    <w:p w:rsidR="002C3FF7" w:rsidRDefault="002C3FF7" w:rsidP="00C62363">
      <w:pPr>
        <w:spacing w:line="360" w:lineRule="auto"/>
        <w:jc w:val="both"/>
        <w:rPr>
          <w:rFonts w:ascii="Times New Roman" w:hAnsi="Times New Roman" w:cs="Times New Roman"/>
          <w:sz w:val="24"/>
          <w:szCs w:val="24"/>
        </w:rPr>
      </w:pPr>
    </w:p>
    <w:p w:rsidR="006B094E" w:rsidRDefault="006B094E">
      <w:pPr>
        <w:rPr>
          <w:rFonts w:ascii="Times New Roman" w:hAnsi="Times New Roman" w:cs="Times New Roman"/>
          <w:b/>
          <w:sz w:val="24"/>
          <w:szCs w:val="24"/>
        </w:rPr>
      </w:pPr>
      <w:r>
        <w:rPr>
          <w:rFonts w:ascii="Times New Roman" w:hAnsi="Times New Roman" w:cs="Times New Roman"/>
          <w:b/>
          <w:sz w:val="24"/>
          <w:szCs w:val="24"/>
        </w:rPr>
        <w:br w:type="page"/>
      </w:r>
    </w:p>
    <w:p w:rsidR="006D4417" w:rsidRDefault="006D4417" w:rsidP="00C62363">
      <w:pPr>
        <w:pStyle w:val="ListParagraph"/>
        <w:numPr>
          <w:ilvl w:val="0"/>
          <w:numId w:val="5"/>
        </w:num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Referencias</w:t>
      </w:r>
    </w:p>
    <w:p w:rsidR="006D4417" w:rsidRPr="00D6488F" w:rsidRDefault="006D4417" w:rsidP="00C62363">
      <w:pPr>
        <w:spacing w:line="360" w:lineRule="auto"/>
        <w:jc w:val="both"/>
        <w:rPr>
          <w:rFonts w:ascii="Times New Roman" w:hAnsi="Times New Roman" w:cs="Times New Roman"/>
          <w:b/>
          <w:sz w:val="20"/>
          <w:szCs w:val="24"/>
          <w:u w:val="single"/>
        </w:rPr>
      </w:pPr>
      <w:r w:rsidRPr="00D6488F">
        <w:rPr>
          <w:rFonts w:ascii="Times New Roman" w:hAnsi="Times New Roman" w:cs="Times New Roman"/>
          <w:b/>
          <w:sz w:val="20"/>
          <w:szCs w:val="24"/>
          <w:u w:val="single"/>
        </w:rPr>
        <w:t>Series estadísticas y fuentes primarias</w:t>
      </w:r>
    </w:p>
    <w:p w:rsidR="006D4417" w:rsidRPr="00072A78" w:rsidRDefault="006D4417" w:rsidP="00B36696">
      <w:pPr>
        <w:pStyle w:val="ListParagraph"/>
        <w:numPr>
          <w:ilvl w:val="0"/>
          <w:numId w:val="6"/>
        </w:numPr>
        <w:spacing w:line="360" w:lineRule="auto"/>
        <w:rPr>
          <w:rFonts w:ascii="Times New Roman" w:hAnsi="Times New Roman" w:cs="Times New Roman"/>
          <w:sz w:val="20"/>
        </w:rPr>
      </w:pPr>
      <w:r w:rsidRPr="00072A78">
        <w:rPr>
          <w:rFonts w:ascii="Times New Roman" w:hAnsi="Times New Roman" w:cs="Times New Roman"/>
          <w:sz w:val="20"/>
        </w:rPr>
        <w:t xml:space="preserve">Datos de bancarización internacional: Banco Mundial, Base de datos de estructura financiera internacional. Tomada de  </w:t>
      </w:r>
      <w:hyperlink r:id="rId26" w:history="1">
        <w:r w:rsidRPr="00072A78">
          <w:rPr>
            <w:rStyle w:val="Hyperlink"/>
            <w:rFonts w:ascii="Times New Roman" w:hAnsi="Times New Roman" w:cs="Times New Roman"/>
            <w:sz w:val="20"/>
          </w:rPr>
          <w:t>http://econ.worldbank.org/WBSITE/EXTERNAL/EXTDEC/EXTRESEARCH/0,,contentMDK:20696167~pagePK:64214825~piPK:64214943~theSitePK:469382,00.html</w:t>
        </w:r>
      </w:hyperlink>
      <w:r w:rsidRPr="00072A78">
        <w:rPr>
          <w:rFonts w:ascii="Times New Roman" w:hAnsi="Times New Roman" w:cs="Times New Roman"/>
          <w:sz w:val="20"/>
        </w:rPr>
        <w:t>, consultada el 18 de febrero de 2013.</w:t>
      </w:r>
    </w:p>
    <w:p w:rsidR="006D4417" w:rsidRPr="00072A78" w:rsidRDefault="006D4417" w:rsidP="00B36696">
      <w:pPr>
        <w:pStyle w:val="ListParagraph"/>
        <w:numPr>
          <w:ilvl w:val="0"/>
          <w:numId w:val="6"/>
        </w:numPr>
        <w:spacing w:line="360" w:lineRule="auto"/>
        <w:rPr>
          <w:rFonts w:ascii="Times New Roman" w:hAnsi="Times New Roman" w:cs="Times New Roman"/>
          <w:sz w:val="20"/>
        </w:rPr>
      </w:pPr>
      <w:r w:rsidRPr="00072A78">
        <w:rPr>
          <w:rFonts w:ascii="Times New Roman" w:hAnsi="Times New Roman" w:cs="Times New Roman"/>
          <w:sz w:val="20"/>
        </w:rPr>
        <w:t xml:space="preserve">Índices de bancarización nacional y regional en Colombia: Banco de la República, Reporte de Estabilidad Financiera, Septiémbre-2011. Tomado de </w:t>
      </w:r>
      <w:hyperlink r:id="rId27" w:history="1">
        <w:r w:rsidRPr="00072A78">
          <w:rPr>
            <w:rStyle w:val="Hyperlink"/>
            <w:rFonts w:ascii="Times New Roman" w:hAnsi="Times New Roman" w:cs="Times New Roman"/>
            <w:sz w:val="20"/>
          </w:rPr>
          <w:t>http://www.banrep.gov.co/publicaciones/pub_es_fin.htm</w:t>
        </w:r>
      </w:hyperlink>
      <w:r w:rsidRPr="00072A78">
        <w:rPr>
          <w:rFonts w:ascii="Times New Roman" w:hAnsi="Times New Roman" w:cs="Times New Roman"/>
          <w:sz w:val="20"/>
        </w:rPr>
        <w:t>, consultado el 17 de febrero de 2013.</w:t>
      </w:r>
    </w:p>
    <w:p w:rsidR="006D4417" w:rsidRPr="00072A78" w:rsidRDefault="006D4417" w:rsidP="00B36696">
      <w:pPr>
        <w:pStyle w:val="ListParagraph"/>
        <w:numPr>
          <w:ilvl w:val="0"/>
          <w:numId w:val="6"/>
        </w:numPr>
        <w:spacing w:line="360" w:lineRule="auto"/>
        <w:rPr>
          <w:rFonts w:ascii="Times New Roman" w:hAnsi="Times New Roman" w:cs="Times New Roman"/>
          <w:sz w:val="20"/>
        </w:rPr>
      </w:pPr>
      <w:r w:rsidRPr="00072A78">
        <w:rPr>
          <w:rFonts w:ascii="Times New Roman" w:hAnsi="Times New Roman" w:cs="Times New Roman"/>
          <w:sz w:val="20"/>
        </w:rPr>
        <w:t xml:space="preserve">Datos de participación y desembolsos por modalidades de crédito tomadas de </w:t>
      </w:r>
      <w:hyperlink r:id="rId28" w:history="1">
        <w:r w:rsidRPr="00072A78">
          <w:rPr>
            <w:rStyle w:val="Hyperlink"/>
            <w:rFonts w:ascii="Times New Roman" w:hAnsi="Times New Roman" w:cs="Times New Roman"/>
            <w:sz w:val="20"/>
            <w:u w:val="none"/>
          </w:rPr>
          <w:t>http://www.superfinanciera.gov.co/ComunicadosyPublicaciones/comsectorfinanciero112012.pdf</w:t>
        </w:r>
      </w:hyperlink>
      <w:r w:rsidR="00E529A0" w:rsidRPr="00072A78">
        <w:rPr>
          <w:rFonts w:ascii="Times New Roman" w:hAnsi="Times New Roman" w:cs="Times New Roman"/>
          <w:sz w:val="20"/>
        </w:rPr>
        <w:t>, consultado el 17 de febrero de 2013.</w:t>
      </w:r>
    </w:p>
    <w:p w:rsidR="006D4417" w:rsidRPr="00072A78" w:rsidRDefault="00B765F1" w:rsidP="00B36696">
      <w:pPr>
        <w:pStyle w:val="ListParagraph"/>
        <w:numPr>
          <w:ilvl w:val="0"/>
          <w:numId w:val="6"/>
        </w:numPr>
        <w:spacing w:line="360" w:lineRule="auto"/>
        <w:rPr>
          <w:rFonts w:ascii="Times New Roman" w:hAnsi="Times New Roman" w:cs="Times New Roman"/>
          <w:sz w:val="20"/>
        </w:rPr>
      </w:pPr>
      <w:r w:rsidRPr="00072A78">
        <w:rPr>
          <w:rFonts w:ascii="Times New Roman" w:hAnsi="Times New Roman" w:cs="Times New Roman"/>
          <w:sz w:val="20"/>
        </w:rPr>
        <w:t>Información de tasas de interés y de intervención tomada de:</w:t>
      </w:r>
    </w:p>
    <w:p w:rsidR="00B765F1" w:rsidRPr="00072A78" w:rsidRDefault="00926A78" w:rsidP="00B36696">
      <w:pPr>
        <w:pStyle w:val="ListParagraph"/>
        <w:spacing w:line="360" w:lineRule="auto"/>
        <w:rPr>
          <w:rFonts w:ascii="Times New Roman" w:hAnsi="Times New Roman" w:cs="Times New Roman"/>
          <w:sz w:val="20"/>
        </w:rPr>
      </w:pPr>
      <w:hyperlink r:id="rId29" w:history="1">
        <w:r w:rsidR="00E529A0" w:rsidRPr="00072A78">
          <w:rPr>
            <w:rStyle w:val="Hyperlink"/>
            <w:rFonts w:ascii="Times New Roman" w:hAnsi="Times New Roman" w:cs="Times New Roman"/>
            <w:sz w:val="20"/>
          </w:rPr>
          <w:t>http://www.banrep.gov.co/series-estadisticas/see_tas_inter.htm</w:t>
        </w:r>
      </w:hyperlink>
      <w:r w:rsidR="00E529A0" w:rsidRPr="00072A78">
        <w:rPr>
          <w:rFonts w:ascii="Times New Roman" w:hAnsi="Times New Roman" w:cs="Times New Roman"/>
          <w:sz w:val="20"/>
        </w:rPr>
        <w:t>, consultada el 17 de febrero de 2013.</w:t>
      </w:r>
    </w:p>
    <w:p w:rsidR="00A64BB8" w:rsidRDefault="00E529A0" w:rsidP="00B36696">
      <w:pPr>
        <w:pStyle w:val="ListParagraph"/>
        <w:numPr>
          <w:ilvl w:val="0"/>
          <w:numId w:val="6"/>
        </w:numPr>
        <w:spacing w:line="360" w:lineRule="auto"/>
        <w:rPr>
          <w:rFonts w:ascii="Times New Roman" w:hAnsi="Times New Roman" w:cs="Times New Roman"/>
          <w:sz w:val="20"/>
        </w:rPr>
      </w:pPr>
      <w:r w:rsidRPr="00072A78">
        <w:rPr>
          <w:rFonts w:ascii="Times New Roman" w:hAnsi="Times New Roman" w:cs="Times New Roman"/>
          <w:sz w:val="20"/>
        </w:rPr>
        <w:t xml:space="preserve">Información de créditos de </w:t>
      </w:r>
      <w:proofErr w:type="spellStart"/>
      <w:r w:rsidRPr="00072A78">
        <w:rPr>
          <w:rFonts w:ascii="Times New Roman" w:hAnsi="Times New Roman" w:cs="Times New Roman"/>
          <w:sz w:val="20"/>
        </w:rPr>
        <w:t>Bancóldex</w:t>
      </w:r>
      <w:proofErr w:type="spellEnd"/>
      <w:r w:rsidRPr="00072A78">
        <w:rPr>
          <w:rFonts w:ascii="Times New Roman" w:hAnsi="Times New Roman" w:cs="Times New Roman"/>
          <w:sz w:val="20"/>
        </w:rPr>
        <w:t xml:space="preserve"> por vencimiento y tipo de institución, así como </w:t>
      </w:r>
      <w:r w:rsidR="00A64BB8" w:rsidRPr="00072A78">
        <w:rPr>
          <w:rFonts w:ascii="Times New Roman" w:hAnsi="Times New Roman" w:cs="Times New Roman"/>
          <w:sz w:val="20"/>
        </w:rPr>
        <w:t xml:space="preserve">datos relacionados al balance de la entidad, tomados de </w:t>
      </w:r>
      <w:hyperlink r:id="rId30" w:history="1">
        <w:r w:rsidR="00A64BB8" w:rsidRPr="00072A78">
          <w:rPr>
            <w:rStyle w:val="Hyperlink"/>
            <w:rFonts w:ascii="Times New Roman" w:hAnsi="Times New Roman" w:cs="Times New Roman"/>
            <w:sz w:val="20"/>
          </w:rPr>
          <w:t>http://www.bancoldex.com/contenido/contenido.aspx?catID=321&amp;conID=925</w:t>
        </w:r>
      </w:hyperlink>
      <w:r w:rsidR="00A64BB8" w:rsidRPr="00072A78">
        <w:rPr>
          <w:rFonts w:ascii="Times New Roman" w:hAnsi="Times New Roman" w:cs="Times New Roman"/>
          <w:sz w:val="20"/>
        </w:rPr>
        <w:t xml:space="preserve"> </w:t>
      </w:r>
    </w:p>
    <w:p w:rsidR="00E529A0" w:rsidRPr="00D6488F" w:rsidRDefault="00D6488F" w:rsidP="00C62363">
      <w:pPr>
        <w:spacing w:line="360" w:lineRule="auto"/>
        <w:jc w:val="both"/>
        <w:rPr>
          <w:rFonts w:ascii="Times New Roman" w:hAnsi="Times New Roman" w:cs="Times New Roman"/>
          <w:sz w:val="20"/>
        </w:rPr>
      </w:pPr>
      <w:r>
        <w:rPr>
          <w:rFonts w:ascii="Times New Roman" w:hAnsi="Times New Roman" w:cs="Times New Roman"/>
          <w:b/>
          <w:sz w:val="20"/>
          <w:u w:val="single"/>
        </w:rPr>
        <w:t>Referencias adicionales</w:t>
      </w:r>
    </w:p>
    <w:p w:rsidR="004623B0" w:rsidRPr="00072A78" w:rsidRDefault="004623B0" w:rsidP="004623B0">
      <w:pPr>
        <w:pStyle w:val="ListParagraph"/>
        <w:numPr>
          <w:ilvl w:val="0"/>
          <w:numId w:val="8"/>
        </w:numPr>
        <w:spacing w:line="360" w:lineRule="auto"/>
        <w:rPr>
          <w:rFonts w:ascii="Times New Roman" w:hAnsi="Times New Roman" w:cs="Times New Roman"/>
          <w:sz w:val="20"/>
        </w:rPr>
      </w:pPr>
      <w:proofErr w:type="spellStart"/>
      <w:r w:rsidRPr="00072A78">
        <w:rPr>
          <w:rFonts w:ascii="Times New Roman" w:hAnsi="Times New Roman" w:cs="Times New Roman"/>
          <w:sz w:val="20"/>
        </w:rPr>
        <w:t>Capera</w:t>
      </w:r>
      <w:proofErr w:type="spellEnd"/>
      <w:r w:rsidRPr="00072A78">
        <w:rPr>
          <w:rFonts w:ascii="Times New Roman" w:hAnsi="Times New Roman" w:cs="Times New Roman"/>
          <w:sz w:val="20"/>
        </w:rPr>
        <w:t xml:space="preserve">-Romero, Laura &amp; González-Arbeláez, Ángela (2011) “Un índice de bancarización para Colombia”. Reportes de Estabilidad Financiera, Banco de la República. </w:t>
      </w:r>
    </w:p>
    <w:p w:rsidR="004623B0" w:rsidRPr="004623B0" w:rsidRDefault="004623B0" w:rsidP="004623B0">
      <w:pPr>
        <w:pStyle w:val="ListParagraph"/>
        <w:numPr>
          <w:ilvl w:val="0"/>
          <w:numId w:val="8"/>
        </w:numPr>
        <w:spacing w:line="360" w:lineRule="auto"/>
        <w:rPr>
          <w:rFonts w:ascii="Times New Roman" w:hAnsi="Times New Roman" w:cs="Times New Roman"/>
          <w:sz w:val="20"/>
          <w:lang w:val="en-US"/>
        </w:rPr>
      </w:pPr>
      <w:r w:rsidRPr="00072A78">
        <w:rPr>
          <w:rFonts w:ascii="Times New Roman" w:hAnsi="Times New Roman" w:cs="Times New Roman"/>
          <w:sz w:val="20"/>
          <w:lang w:val="en-US"/>
        </w:rPr>
        <w:t>Cole S. (2009), “Fixing Market Failures or Fixing Elections? Agricultural Credit in India”, American Economic Journal: Applied Economics: 1: 219–50.</w:t>
      </w:r>
    </w:p>
    <w:p w:rsidR="00000E1C" w:rsidRPr="00072A78" w:rsidRDefault="00000E1C" w:rsidP="00C62363">
      <w:pPr>
        <w:pStyle w:val="ListParagraph"/>
        <w:numPr>
          <w:ilvl w:val="0"/>
          <w:numId w:val="8"/>
        </w:numPr>
        <w:spacing w:line="360" w:lineRule="auto"/>
        <w:rPr>
          <w:rFonts w:ascii="Times New Roman" w:hAnsi="Times New Roman" w:cs="Times New Roman"/>
          <w:sz w:val="20"/>
          <w:lang w:val="en-US"/>
        </w:rPr>
      </w:pPr>
      <w:r w:rsidRPr="00072A78">
        <w:rPr>
          <w:rFonts w:ascii="Times New Roman" w:hAnsi="Times New Roman" w:cs="Times New Roman"/>
          <w:sz w:val="20"/>
          <w:lang w:val="en-US"/>
        </w:rPr>
        <w:t xml:space="preserve">Eaton, J., M. Eslava, M. </w:t>
      </w:r>
      <w:proofErr w:type="spellStart"/>
      <w:r w:rsidRPr="00072A78">
        <w:rPr>
          <w:rFonts w:ascii="Times New Roman" w:hAnsi="Times New Roman" w:cs="Times New Roman"/>
          <w:sz w:val="20"/>
          <w:lang w:val="en-US"/>
        </w:rPr>
        <w:t>Kugler</w:t>
      </w:r>
      <w:proofErr w:type="spellEnd"/>
      <w:r w:rsidRPr="00072A78">
        <w:rPr>
          <w:rFonts w:ascii="Times New Roman" w:hAnsi="Times New Roman" w:cs="Times New Roman"/>
          <w:sz w:val="20"/>
          <w:lang w:val="en-US"/>
        </w:rPr>
        <w:t xml:space="preserve">, and J. </w:t>
      </w:r>
      <w:proofErr w:type="spellStart"/>
      <w:r w:rsidRPr="00072A78">
        <w:rPr>
          <w:rFonts w:ascii="Times New Roman" w:hAnsi="Times New Roman" w:cs="Times New Roman"/>
          <w:sz w:val="20"/>
          <w:lang w:val="en-US"/>
        </w:rPr>
        <w:t>Tybout</w:t>
      </w:r>
      <w:proofErr w:type="spellEnd"/>
      <w:r w:rsidRPr="00072A78">
        <w:rPr>
          <w:rFonts w:ascii="Times New Roman" w:hAnsi="Times New Roman" w:cs="Times New Roman"/>
          <w:sz w:val="20"/>
          <w:lang w:val="en-US"/>
        </w:rPr>
        <w:t xml:space="preserve"> (2008) “Export Dynamics in Colombia: Firm Level Evidence,” in </w:t>
      </w:r>
      <w:proofErr w:type="gramStart"/>
      <w:r w:rsidRPr="00072A78">
        <w:rPr>
          <w:rFonts w:ascii="Times New Roman" w:hAnsi="Times New Roman" w:cs="Times New Roman"/>
          <w:sz w:val="20"/>
          <w:lang w:val="en-US"/>
        </w:rPr>
        <w:t>The</w:t>
      </w:r>
      <w:proofErr w:type="gramEnd"/>
      <w:r w:rsidRPr="00072A78">
        <w:rPr>
          <w:rFonts w:ascii="Times New Roman" w:hAnsi="Times New Roman" w:cs="Times New Roman"/>
          <w:sz w:val="20"/>
          <w:lang w:val="en-US"/>
        </w:rPr>
        <w:t xml:space="preserve"> Organization of Firms in a Global Economy, pp. 231-72. Edited by Elhanan </w:t>
      </w:r>
      <w:proofErr w:type="spellStart"/>
      <w:r w:rsidRPr="00072A78">
        <w:rPr>
          <w:rFonts w:ascii="Times New Roman" w:hAnsi="Times New Roman" w:cs="Times New Roman"/>
          <w:sz w:val="20"/>
          <w:lang w:val="en-US"/>
        </w:rPr>
        <w:t>Helpman</w:t>
      </w:r>
      <w:proofErr w:type="spellEnd"/>
      <w:r w:rsidRPr="00072A78">
        <w:rPr>
          <w:rFonts w:ascii="Times New Roman" w:hAnsi="Times New Roman" w:cs="Times New Roman"/>
          <w:sz w:val="20"/>
          <w:lang w:val="en-US"/>
        </w:rPr>
        <w:t xml:space="preserve">, Dalia Marin, and Thierry </w:t>
      </w:r>
      <w:proofErr w:type="spellStart"/>
      <w:r w:rsidRPr="00072A78">
        <w:rPr>
          <w:rFonts w:ascii="Times New Roman" w:hAnsi="Times New Roman" w:cs="Times New Roman"/>
          <w:sz w:val="20"/>
          <w:lang w:val="en-US"/>
        </w:rPr>
        <w:t>Verdier</w:t>
      </w:r>
      <w:proofErr w:type="spellEnd"/>
      <w:r w:rsidRPr="00072A78">
        <w:rPr>
          <w:rFonts w:ascii="Times New Roman" w:hAnsi="Times New Roman" w:cs="Times New Roman"/>
          <w:sz w:val="20"/>
          <w:lang w:val="en-US"/>
        </w:rPr>
        <w:t>. Cambridge: Harvard University Press.</w:t>
      </w:r>
    </w:p>
    <w:p w:rsidR="00B31D3D" w:rsidRPr="00072A78" w:rsidRDefault="00B31D3D" w:rsidP="00C62363">
      <w:pPr>
        <w:pStyle w:val="ListParagraph"/>
        <w:numPr>
          <w:ilvl w:val="0"/>
          <w:numId w:val="8"/>
        </w:numPr>
        <w:autoSpaceDE w:val="0"/>
        <w:autoSpaceDN w:val="0"/>
        <w:adjustRightInd w:val="0"/>
        <w:spacing w:after="0" w:line="360" w:lineRule="auto"/>
        <w:rPr>
          <w:rFonts w:ascii="Times New Roman" w:hAnsi="Times New Roman" w:cs="Times New Roman"/>
          <w:sz w:val="20"/>
          <w:lang w:val="en-US"/>
        </w:rPr>
      </w:pPr>
      <w:r w:rsidRPr="00072A78">
        <w:rPr>
          <w:rFonts w:ascii="Times New Roman" w:hAnsi="Times New Roman" w:cs="Times New Roman"/>
          <w:sz w:val="20"/>
          <w:lang w:val="en-US"/>
        </w:rPr>
        <w:t xml:space="preserve">Eslava, M., A. Galindo, M. </w:t>
      </w:r>
      <w:proofErr w:type="spellStart"/>
      <w:r w:rsidRPr="00072A78">
        <w:rPr>
          <w:rFonts w:ascii="Times New Roman" w:hAnsi="Times New Roman" w:cs="Times New Roman"/>
          <w:sz w:val="20"/>
          <w:lang w:val="en-US"/>
        </w:rPr>
        <w:t>Hofstetter</w:t>
      </w:r>
      <w:proofErr w:type="spellEnd"/>
      <w:r w:rsidRPr="00072A78">
        <w:rPr>
          <w:rFonts w:ascii="Times New Roman" w:hAnsi="Times New Roman" w:cs="Times New Roman"/>
          <w:sz w:val="20"/>
          <w:lang w:val="en-US"/>
        </w:rPr>
        <w:t xml:space="preserve"> &amp;A. Izquierdo (2010), “Scarring Recessions and Credit Constraints: Evidence from Colombian Firm Dynamics”, </w:t>
      </w:r>
      <w:proofErr w:type="spellStart"/>
      <w:r w:rsidRPr="00072A78">
        <w:rPr>
          <w:rFonts w:ascii="Times New Roman" w:hAnsi="Times New Roman" w:cs="Times New Roman"/>
          <w:sz w:val="20"/>
          <w:lang w:val="en-US"/>
        </w:rPr>
        <w:t>Documento</w:t>
      </w:r>
      <w:proofErr w:type="spellEnd"/>
      <w:r w:rsidRPr="00072A78">
        <w:rPr>
          <w:rFonts w:ascii="Times New Roman" w:hAnsi="Times New Roman" w:cs="Times New Roman"/>
          <w:sz w:val="20"/>
          <w:lang w:val="en-US"/>
        </w:rPr>
        <w:t xml:space="preserve"> CEDE 2010-27 (Universidad de Los Andes). </w:t>
      </w:r>
    </w:p>
    <w:p w:rsidR="00A64BB8" w:rsidRDefault="00A64BB8" w:rsidP="00C62363">
      <w:pPr>
        <w:pStyle w:val="ListParagraph"/>
        <w:numPr>
          <w:ilvl w:val="0"/>
          <w:numId w:val="8"/>
        </w:numPr>
        <w:spacing w:line="360" w:lineRule="auto"/>
        <w:rPr>
          <w:rFonts w:ascii="Times New Roman" w:hAnsi="Times New Roman" w:cs="Times New Roman"/>
          <w:sz w:val="20"/>
          <w:lang w:val="en-US"/>
        </w:rPr>
      </w:pPr>
      <w:r w:rsidRPr="00072A78">
        <w:rPr>
          <w:rFonts w:ascii="Times New Roman" w:hAnsi="Times New Roman" w:cs="Times New Roman"/>
          <w:sz w:val="20"/>
          <w:lang w:val="en-US"/>
        </w:rPr>
        <w:t xml:space="preserve">Eslava M., A. Maffioli &amp; M. </w:t>
      </w:r>
      <w:proofErr w:type="spellStart"/>
      <w:r w:rsidRPr="00072A78">
        <w:rPr>
          <w:rFonts w:ascii="Times New Roman" w:hAnsi="Times New Roman" w:cs="Times New Roman"/>
          <w:sz w:val="20"/>
          <w:lang w:val="en-US"/>
        </w:rPr>
        <w:t>Meléndez</w:t>
      </w:r>
      <w:proofErr w:type="spellEnd"/>
      <w:r w:rsidRPr="00072A78">
        <w:rPr>
          <w:rFonts w:ascii="Times New Roman" w:hAnsi="Times New Roman" w:cs="Times New Roman"/>
          <w:sz w:val="20"/>
          <w:lang w:val="en-US"/>
        </w:rPr>
        <w:t xml:space="preserve"> (2012), “Second-tier Government Banks and Firm Performance: Micro Evidence from Colombia”, Working Paper, Inter-American Development Bank, Washington DC.</w:t>
      </w:r>
    </w:p>
    <w:p w:rsidR="00FB2749" w:rsidRDefault="00FB2749" w:rsidP="00C62363">
      <w:pPr>
        <w:pStyle w:val="ListParagraph"/>
        <w:numPr>
          <w:ilvl w:val="0"/>
          <w:numId w:val="8"/>
        </w:numPr>
        <w:spacing w:line="360" w:lineRule="auto"/>
        <w:rPr>
          <w:rFonts w:ascii="Times New Roman" w:hAnsi="Times New Roman" w:cs="Times New Roman"/>
          <w:sz w:val="20"/>
          <w:lang w:val="en-US"/>
        </w:rPr>
      </w:pPr>
      <w:proofErr w:type="spellStart"/>
      <w:r>
        <w:rPr>
          <w:rFonts w:ascii="Times New Roman" w:hAnsi="Times New Roman" w:cs="Times New Roman"/>
          <w:sz w:val="20"/>
          <w:lang w:val="en-US"/>
        </w:rPr>
        <w:t>Finklestein</w:t>
      </w:r>
      <w:proofErr w:type="spellEnd"/>
      <w:r>
        <w:rPr>
          <w:rFonts w:ascii="Times New Roman" w:hAnsi="Times New Roman" w:cs="Times New Roman"/>
          <w:sz w:val="20"/>
          <w:lang w:val="en-US"/>
        </w:rPr>
        <w:t>-Shapiro, Alan (2012). “Informal Self-Employment and Business Cycle Persistence: Does the Composition of Employment Matter for Economic Recoveries”, University of Maryland, College Park.</w:t>
      </w:r>
    </w:p>
    <w:p w:rsidR="001743B1" w:rsidRDefault="004623B0" w:rsidP="00C62363">
      <w:pPr>
        <w:pStyle w:val="ListParagraph"/>
        <w:numPr>
          <w:ilvl w:val="0"/>
          <w:numId w:val="8"/>
        </w:numPr>
        <w:spacing w:line="360" w:lineRule="auto"/>
        <w:rPr>
          <w:rFonts w:ascii="Times New Roman" w:hAnsi="Times New Roman" w:cs="Times New Roman"/>
          <w:sz w:val="20"/>
        </w:rPr>
      </w:pPr>
      <w:r>
        <w:rPr>
          <w:rFonts w:ascii="Times New Roman" w:hAnsi="Times New Roman" w:cs="Times New Roman"/>
          <w:sz w:val="20"/>
        </w:rPr>
        <w:t>Informe</w:t>
      </w:r>
      <w:r w:rsidR="00AB65D6" w:rsidRPr="00072A78">
        <w:rPr>
          <w:rFonts w:ascii="Times New Roman" w:hAnsi="Times New Roman" w:cs="Times New Roman"/>
          <w:sz w:val="20"/>
        </w:rPr>
        <w:t xml:space="preserve"> de Resultados- Gran </w:t>
      </w:r>
      <w:proofErr w:type="spellStart"/>
      <w:r w:rsidR="00AB65D6" w:rsidRPr="00072A78">
        <w:rPr>
          <w:rFonts w:ascii="Times New Roman" w:hAnsi="Times New Roman" w:cs="Times New Roman"/>
          <w:sz w:val="20"/>
        </w:rPr>
        <w:t>Encuestra</w:t>
      </w:r>
      <w:proofErr w:type="spellEnd"/>
      <w:r w:rsidR="00AB65D6" w:rsidRPr="00072A78">
        <w:rPr>
          <w:rFonts w:ascii="Times New Roman" w:hAnsi="Times New Roman" w:cs="Times New Roman"/>
          <w:sz w:val="20"/>
        </w:rPr>
        <w:t xml:space="preserve"> Pymes, 2012-II.</w:t>
      </w:r>
      <w:r w:rsidR="001743B1" w:rsidRPr="00072A78">
        <w:rPr>
          <w:rFonts w:ascii="Times New Roman" w:hAnsi="Times New Roman" w:cs="Times New Roman"/>
          <w:sz w:val="20"/>
        </w:rPr>
        <w:t xml:space="preserve"> Centro de estudios económicos, ANIF.</w:t>
      </w:r>
    </w:p>
    <w:p w:rsidR="00432AC3" w:rsidRDefault="00432AC3" w:rsidP="00432AC3">
      <w:pPr>
        <w:pStyle w:val="ListParagraph"/>
        <w:numPr>
          <w:ilvl w:val="0"/>
          <w:numId w:val="8"/>
        </w:numPr>
        <w:spacing w:line="360" w:lineRule="auto"/>
        <w:rPr>
          <w:rFonts w:ascii="Times New Roman" w:hAnsi="Times New Roman" w:cs="Times New Roman"/>
          <w:sz w:val="20"/>
        </w:rPr>
      </w:pPr>
      <w:r>
        <w:rPr>
          <w:rFonts w:ascii="Times New Roman" w:hAnsi="Times New Roman" w:cs="Times New Roman"/>
          <w:sz w:val="20"/>
        </w:rPr>
        <w:lastRenderedPageBreak/>
        <w:t xml:space="preserve">Ministerio de Comercio, Industria y Turismo. Tercer Reporte </w:t>
      </w:r>
      <w:proofErr w:type="spellStart"/>
      <w:r>
        <w:rPr>
          <w:rFonts w:ascii="Times New Roman" w:hAnsi="Times New Roman" w:cs="Times New Roman"/>
          <w:sz w:val="20"/>
        </w:rPr>
        <w:t>Mipymes</w:t>
      </w:r>
      <w:proofErr w:type="spellEnd"/>
      <w:r>
        <w:rPr>
          <w:rFonts w:ascii="Times New Roman" w:hAnsi="Times New Roman" w:cs="Times New Roman"/>
          <w:sz w:val="20"/>
        </w:rPr>
        <w:t xml:space="preserve">. Diciembre de 2008. Tomado de </w:t>
      </w:r>
      <w:hyperlink r:id="rId31" w:history="1">
        <w:r w:rsidRPr="00303B84">
          <w:rPr>
            <w:rStyle w:val="Hyperlink"/>
            <w:rFonts w:ascii="Times New Roman" w:hAnsi="Times New Roman" w:cs="Times New Roman"/>
            <w:sz w:val="20"/>
          </w:rPr>
          <w:t>http://www.mipymes.gov.co/publicaciones.php?id=21813</w:t>
        </w:r>
      </w:hyperlink>
      <w:r>
        <w:rPr>
          <w:rFonts w:ascii="Times New Roman" w:hAnsi="Times New Roman" w:cs="Times New Roman"/>
          <w:sz w:val="20"/>
        </w:rPr>
        <w:t xml:space="preserve">. </w:t>
      </w:r>
    </w:p>
    <w:p w:rsidR="004623B0" w:rsidRPr="004623B0" w:rsidRDefault="004623B0" w:rsidP="004623B0">
      <w:pPr>
        <w:pStyle w:val="ListParagraph"/>
        <w:numPr>
          <w:ilvl w:val="0"/>
          <w:numId w:val="8"/>
        </w:numPr>
        <w:spacing w:line="360" w:lineRule="auto"/>
        <w:rPr>
          <w:rFonts w:ascii="Times New Roman" w:hAnsi="Times New Roman" w:cs="Times New Roman"/>
          <w:sz w:val="20"/>
        </w:rPr>
      </w:pPr>
      <w:r w:rsidRPr="00072A78">
        <w:rPr>
          <w:rFonts w:ascii="Times New Roman" w:hAnsi="Times New Roman" w:cs="Times New Roman"/>
          <w:sz w:val="20"/>
        </w:rPr>
        <w:t>Montoya, A., I. Montoya, O. Castellanos (2010), “Situación de la competitividad de las Pymes en Colombia: elementos actuales y retos”. Agronomía Colombiana, Vol.28, No.1, Bogotá. </w:t>
      </w:r>
    </w:p>
    <w:p w:rsidR="006E7FDB" w:rsidRPr="00072A78" w:rsidRDefault="00B14695" w:rsidP="00C62363">
      <w:pPr>
        <w:pStyle w:val="ListParagraph"/>
        <w:numPr>
          <w:ilvl w:val="0"/>
          <w:numId w:val="8"/>
        </w:numPr>
        <w:spacing w:line="360" w:lineRule="auto"/>
        <w:rPr>
          <w:rFonts w:ascii="Times New Roman" w:hAnsi="Times New Roman" w:cs="Times New Roman"/>
          <w:sz w:val="20"/>
        </w:rPr>
      </w:pPr>
      <w:r w:rsidRPr="00072A78">
        <w:rPr>
          <w:rFonts w:ascii="Times New Roman" w:hAnsi="Times New Roman" w:cs="Times New Roman"/>
          <w:sz w:val="20"/>
        </w:rPr>
        <w:t>Pérez-Uribe, R., M. Garzón-</w:t>
      </w:r>
      <w:proofErr w:type="spellStart"/>
      <w:r w:rsidRPr="00072A78">
        <w:rPr>
          <w:rFonts w:ascii="Times New Roman" w:hAnsi="Times New Roman" w:cs="Times New Roman"/>
          <w:sz w:val="20"/>
        </w:rPr>
        <w:t>Gaitan</w:t>
      </w:r>
      <w:proofErr w:type="spellEnd"/>
      <w:r w:rsidRPr="00072A78">
        <w:rPr>
          <w:rFonts w:ascii="Times New Roman" w:hAnsi="Times New Roman" w:cs="Times New Roman"/>
          <w:sz w:val="20"/>
        </w:rPr>
        <w:t>, M. Nieto-Potes (2009), “Análisis empírico de la aplicación del modelo de modernización de la gestión para organizaciones Pymes colombianas”. Revista-Escuela de Administración de Negocios, Núm. 65, pp. 77-105. Universidad EAFIT.</w:t>
      </w:r>
    </w:p>
    <w:p w:rsidR="00277488" w:rsidRPr="00AB65D6" w:rsidRDefault="00277488" w:rsidP="00C62363">
      <w:pPr>
        <w:spacing w:line="360" w:lineRule="auto"/>
        <w:rPr>
          <w:b/>
        </w:rPr>
      </w:pPr>
    </w:p>
    <w:p w:rsidR="00C62363" w:rsidRPr="00AB65D6" w:rsidRDefault="00C62363">
      <w:pPr>
        <w:spacing w:line="360" w:lineRule="auto"/>
        <w:rPr>
          <w:b/>
        </w:rPr>
      </w:pPr>
    </w:p>
    <w:sectPr w:rsidR="00C62363" w:rsidRPr="00AB65D6" w:rsidSect="00805450">
      <w:footerReference w:type="default" r:id="rId32"/>
      <w:pgSz w:w="12240" w:h="15840"/>
      <w:pgMar w:top="1276" w:right="1701"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2D2" w:rsidRDefault="000852D2" w:rsidP="00B77C12">
      <w:pPr>
        <w:spacing w:after="0" w:line="240" w:lineRule="auto"/>
      </w:pPr>
      <w:r>
        <w:separator/>
      </w:r>
    </w:p>
  </w:endnote>
  <w:endnote w:type="continuationSeparator" w:id="0">
    <w:p w:rsidR="000852D2" w:rsidRDefault="000852D2" w:rsidP="00B77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603917"/>
      <w:docPartObj>
        <w:docPartGallery w:val="Page Numbers (Bottom of Page)"/>
        <w:docPartUnique/>
      </w:docPartObj>
    </w:sdtPr>
    <w:sdtEndPr/>
    <w:sdtContent>
      <w:p w:rsidR="00C87A48" w:rsidRDefault="00043F1A">
        <w:pPr>
          <w:pStyle w:val="Footer"/>
          <w:jc w:val="center"/>
        </w:pPr>
        <w:r w:rsidRPr="00C87A48">
          <w:rPr>
            <w:sz w:val="20"/>
          </w:rPr>
          <w:fldChar w:fldCharType="begin"/>
        </w:r>
        <w:r w:rsidR="00C87A48" w:rsidRPr="00C87A48">
          <w:rPr>
            <w:sz w:val="20"/>
          </w:rPr>
          <w:instrText>PAGE   \* MERGEFORMAT</w:instrText>
        </w:r>
        <w:r w:rsidRPr="00C87A48">
          <w:rPr>
            <w:sz w:val="20"/>
          </w:rPr>
          <w:fldChar w:fldCharType="separate"/>
        </w:r>
        <w:r w:rsidR="00926A78" w:rsidRPr="00926A78">
          <w:rPr>
            <w:noProof/>
            <w:sz w:val="20"/>
            <w:lang w:val="es-ES"/>
          </w:rPr>
          <w:t>7</w:t>
        </w:r>
        <w:r w:rsidRPr="00C87A48">
          <w:rPr>
            <w:sz w:val="20"/>
          </w:rPr>
          <w:fldChar w:fldCharType="end"/>
        </w:r>
      </w:p>
    </w:sdtContent>
  </w:sdt>
  <w:p w:rsidR="00C87A48" w:rsidRDefault="00C87A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2D2" w:rsidRDefault="000852D2" w:rsidP="00B77C12">
      <w:pPr>
        <w:spacing w:after="0" w:line="240" w:lineRule="auto"/>
      </w:pPr>
      <w:r>
        <w:separator/>
      </w:r>
    </w:p>
  </w:footnote>
  <w:footnote w:type="continuationSeparator" w:id="0">
    <w:p w:rsidR="000852D2" w:rsidRDefault="000852D2" w:rsidP="00B77C12">
      <w:pPr>
        <w:spacing w:after="0" w:line="240" w:lineRule="auto"/>
      </w:pPr>
      <w:r>
        <w:continuationSeparator/>
      </w:r>
    </w:p>
  </w:footnote>
  <w:footnote w:id="1">
    <w:p w:rsidR="00642B2A" w:rsidRDefault="00642B2A" w:rsidP="00AA78F2">
      <w:pPr>
        <w:pStyle w:val="FootnoteText"/>
      </w:pPr>
      <w:r>
        <w:rPr>
          <w:rStyle w:val="FootnoteReference"/>
        </w:rPr>
        <w:footnoteRef/>
      </w:r>
      <w:r>
        <w:t xml:space="preserve"> La razón </w:t>
      </w:r>
      <m:oMath>
        <m:f>
          <m:fPr>
            <m:ctrlPr>
              <w:rPr>
                <w:rFonts w:ascii="Cambria Math" w:hAnsi="Cambria Math"/>
                <w:i/>
              </w:rPr>
            </m:ctrlPr>
          </m:fPr>
          <m:num>
            <m:r>
              <w:rPr>
                <w:rFonts w:ascii="Cambria Math" w:hAnsi="Cambria Math"/>
              </w:rPr>
              <m:t>Cartera Bruta</m:t>
            </m:r>
          </m:num>
          <m:den>
            <m:r>
              <w:rPr>
                <w:rFonts w:ascii="Cambria Math" w:hAnsi="Cambria Math"/>
              </w:rPr>
              <m:t>PIB</m:t>
            </m:r>
          </m:den>
        </m:f>
      </m:oMath>
      <w:r>
        <w:rPr>
          <w:rFonts w:eastAsiaTheme="minorEastAsia"/>
        </w:rPr>
        <w:t xml:space="preserve"> en EE.UU alcanzó niveles superiores al 200% en el 2008, pero ha venido decreciendo </w:t>
      </w:r>
      <w:r w:rsidR="001664D6">
        <w:rPr>
          <w:rFonts w:eastAsiaTheme="minorEastAsia"/>
        </w:rPr>
        <w:t>desde tal año debido al impacto que la reciente crisis ha tenido sobre el sector financiero en dicha economía.</w:t>
      </w:r>
    </w:p>
  </w:footnote>
  <w:footnote w:id="2">
    <w:p w:rsidR="00642B2A" w:rsidRDefault="00642B2A" w:rsidP="00CB756C">
      <w:pPr>
        <w:pStyle w:val="FootnoteText"/>
        <w:jc w:val="both"/>
      </w:pPr>
      <w:r>
        <w:rPr>
          <w:rStyle w:val="FootnoteReference"/>
        </w:rPr>
        <w:footnoteRef/>
      </w:r>
      <w:r>
        <w:t xml:space="preserve"> Los indicadores de cobertura son: cartera total por número de habitantes, saldos de cuentas corrientes por número de habitantes, y saldos de cuentas de ahorro por número de habitantes, depósitos sobre número de habitantes, número de corresponsales bancarios y oficinas sobre habitantes, y número de empleados del sector financiero sobre habitantes. Los indicadores de intensidad de uso son: desembolsos por cartera sobre número de habitantes, nuevos créditos por cartera sobre número de habitantes, y  número de cuentas activas por cartera sobre número de habitantes. El estimador de bancarización es el resultado de una minimización del cuadrado de la diferencia entre los componentes a través del tiempo y su estimación mediante un método no lineal. La metodología se puede hallar en más detalle en </w:t>
      </w:r>
      <w:proofErr w:type="spellStart"/>
      <w:r>
        <w:t>Capera</w:t>
      </w:r>
      <w:proofErr w:type="spellEnd"/>
      <w:r>
        <w:t xml:space="preserve">-Romero, Laura &amp; González-Arbeláez, Laura (2011). Un índice de bancarización para Colombia. Banco de la República, Reportes de Estabilidad Financiera.    </w:t>
      </w:r>
    </w:p>
  </w:footnote>
  <w:footnote w:id="3">
    <w:p w:rsidR="00642B2A" w:rsidRDefault="00642B2A">
      <w:pPr>
        <w:pStyle w:val="FootnoteText"/>
      </w:pPr>
      <w:r>
        <w:rPr>
          <w:rStyle w:val="FootnoteReference"/>
        </w:rPr>
        <w:footnoteRef/>
      </w:r>
      <w:r>
        <w:t xml:space="preserve"> En contraste, la cartera comercial vencida sólo representa el 1,98% de la cartera comercial total, mientras que la cartera de baja calidad de tal modalidad de crédito sólo representa el 6% de la cartera total.</w:t>
      </w:r>
    </w:p>
  </w:footnote>
  <w:footnote w:id="4">
    <w:p w:rsidR="00CF4495" w:rsidRDefault="00CF4495">
      <w:pPr>
        <w:pStyle w:val="FootnoteText"/>
      </w:pPr>
      <w:r>
        <w:rPr>
          <w:rStyle w:val="FootnoteReference"/>
        </w:rPr>
        <w:footnoteRef/>
      </w:r>
      <w:r>
        <w:t xml:space="preserve"> S</w:t>
      </w:r>
      <w:r w:rsidRPr="00CF4495">
        <w:t>e proyecta que el PIB creció 3,6% en el 2012, cuando tal proyección er</w:t>
      </w:r>
      <w:r w:rsidR="000879E4">
        <w:t>a del 4,9% al principio del año.</w:t>
      </w:r>
    </w:p>
  </w:footnote>
  <w:footnote w:id="5">
    <w:p w:rsidR="008F12A9" w:rsidRDefault="008F12A9" w:rsidP="008F12A9">
      <w:pPr>
        <w:pStyle w:val="FootnoteText"/>
      </w:pPr>
      <w:r>
        <w:rPr>
          <w:rStyle w:val="FootnoteReference"/>
        </w:rPr>
        <w:footnoteRef/>
      </w:r>
      <w:r>
        <w:t xml:space="preserve"> En la actualidad, el salario mínimo en Colombia se encuentra en COP $ 589.500</w:t>
      </w:r>
    </w:p>
  </w:footnote>
  <w:footnote w:id="6">
    <w:p w:rsidR="00F14401" w:rsidRDefault="00F14401" w:rsidP="006B26B2">
      <w:pPr>
        <w:pStyle w:val="FootnoteText"/>
        <w:jc w:val="both"/>
      </w:pPr>
      <w:r>
        <w:rPr>
          <w:rStyle w:val="FootnoteReference"/>
        </w:rPr>
        <w:footnoteRef/>
      </w:r>
      <w:r>
        <w:t xml:space="preserve"> Sin embargo, tal investigación muestra que las pocas firmas pequeñas que sobreviven al primer año tienden a crecer de forma robusta en los siguientes periodos.</w:t>
      </w:r>
    </w:p>
  </w:footnote>
  <w:footnote w:id="7">
    <w:p w:rsidR="00565733" w:rsidRDefault="00565733" w:rsidP="006447AF">
      <w:pPr>
        <w:pStyle w:val="FootnoteText"/>
        <w:jc w:val="both"/>
      </w:pPr>
      <w:r>
        <w:rPr>
          <w:rStyle w:val="FootnoteReference"/>
        </w:rPr>
        <w:footnoteRef/>
      </w:r>
      <w:r>
        <w:t xml:space="preserve"> En febrero 22 de 2013 la tasa de cambio spot se situó en los 1800 pesos colombianos por dólar.</w:t>
      </w:r>
    </w:p>
  </w:footnote>
  <w:footnote w:id="8">
    <w:p w:rsidR="006447AF" w:rsidRPr="006447AF" w:rsidRDefault="006447AF" w:rsidP="006447AF">
      <w:pPr>
        <w:pStyle w:val="FootnoteText"/>
        <w:jc w:val="both"/>
        <w:rPr>
          <w:lang w:val="es-ES_tradnl"/>
        </w:rPr>
      </w:pPr>
      <w:r>
        <w:rPr>
          <w:rStyle w:val="FootnoteReference"/>
        </w:rPr>
        <w:footnoteRef/>
      </w:r>
      <w:r>
        <w:t xml:space="preserve"> Ósea US$293,070,835 en 2009, US$245,437,276 en 2010, US$225,188,325 en 2011 y US$269,353,282 en 2012, para un promedio anual en el referido periodo de US$</w:t>
      </w:r>
      <w:r w:rsidRPr="006447AF">
        <w:t>258,262,430.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322"/>
    <w:multiLevelType w:val="hybridMultilevel"/>
    <w:tmpl w:val="D09A5F0E"/>
    <w:lvl w:ilvl="0" w:tplc="D2B61BE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48937DB"/>
    <w:multiLevelType w:val="hybridMultilevel"/>
    <w:tmpl w:val="DD78FA2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D0143D"/>
    <w:multiLevelType w:val="hybridMultilevel"/>
    <w:tmpl w:val="9F90E1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85A0D12"/>
    <w:multiLevelType w:val="hybridMultilevel"/>
    <w:tmpl w:val="2E0E335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1517DD5"/>
    <w:multiLevelType w:val="hybridMultilevel"/>
    <w:tmpl w:val="3D74FE80"/>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D49419F"/>
    <w:multiLevelType w:val="hybridMultilevel"/>
    <w:tmpl w:val="07FC8D3C"/>
    <w:lvl w:ilvl="0" w:tplc="01D0F85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6C6335E"/>
    <w:multiLevelType w:val="hybridMultilevel"/>
    <w:tmpl w:val="010A49EC"/>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7005EF8"/>
    <w:multiLevelType w:val="hybridMultilevel"/>
    <w:tmpl w:val="3D74FE80"/>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C7524FC"/>
    <w:multiLevelType w:val="hybridMultilevel"/>
    <w:tmpl w:val="3D74FE80"/>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656407C7"/>
    <w:multiLevelType w:val="hybridMultilevel"/>
    <w:tmpl w:val="1B70FADA"/>
    <w:lvl w:ilvl="0" w:tplc="6BAABC7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9"/>
  </w:num>
  <w:num w:numId="5">
    <w:abstractNumId w:val="2"/>
  </w:num>
  <w:num w:numId="6">
    <w:abstractNumId w:val="6"/>
  </w:num>
  <w:num w:numId="7">
    <w:abstractNumId w:val="1"/>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88"/>
    <w:rsid w:val="00000E1C"/>
    <w:rsid w:val="00002480"/>
    <w:rsid w:val="00002DF2"/>
    <w:rsid w:val="00005F88"/>
    <w:rsid w:val="000411D5"/>
    <w:rsid w:val="00043F1A"/>
    <w:rsid w:val="00054B2A"/>
    <w:rsid w:val="00056A77"/>
    <w:rsid w:val="000609D5"/>
    <w:rsid w:val="00065707"/>
    <w:rsid w:val="00071AF9"/>
    <w:rsid w:val="00072A78"/>
    <w:rsid w:val="00074743"/>
    <w:rsid w:val="00077F1A"/>
    <w:rsid w:val="0008468C"/>
    <w:rsid w:val="000852D2"/>
    <w:rsid w:val="000869DC"/>
    <w:rsid w:val="000879E4"/>
    <w:rsid w:val="00095C45"/>
    <w:rsid w:val="00096C5B"/>
    <w:rsid w:val="000A3963"/>
    <w:rsid w:val="000A4B8B"/>
    <w:rsid w:val="000A6419"/>
    <w:rsid w:val="000A763B"/>
    <w:rsid w:val="000A776E"/>
    <w:rsid w:val="000B6616"/>
    <w:rsid w:val="000C1650"/>
    <w:rsid w:val="000C3B3E"/>
    <w:rsid w:val="000D327F"/>
    <w:rsid w:val="000D408A"/>
    <w:rsid w:val="000E2EB0"/>
    <w:rsid w:val="000F635B"/>
    <w:rsid w:val="00103454"/>
    <w:rsid w:val="0012666E"/>
    <w:rsid w:val="00126A85"/>
    <w:rsid w:val="00137ED7"/>
    <w:rsid w:val="00141620"/>
    <w:rsid w:val="00143547"/>
    <w:rsid w:val="001474A5"/>
    <w:rsid w:val="0016447F"/>
    <w:rsid w:val="001664D6"/>
    <w:rsid w:val="00171113"/>
    <w:rsid w:val="001743B1"/>
    <w:rsid w:val="00181485"/>
    <w:rsid w:val="00186DB4"/>
    <w:rsid w:val="00187455"/>
    <w:rsid w:val="00187EF1"/>
    <w:rsid w:val="00192E9E"/>
    <w:rsid w:val="001B4DB7"/>
    <w:rsid w:val="001C138E"/>
    <w:rsid w:val="001C1D89"/>
    <w:rsid w:val="001C4126"/>
    <w:rsid w:val="001C6519"/>
    <w:rsid w:val="001D1C0C"/>
    <w:rsid w:val="001E1F89"/>
    <w:rsid w:val="001E52E1"/>
    <w:rsid w:val="001E5917"/>
    <w:rsid w:val="001F02EF"/>
    <w:rsid w:val="00213D6F"/>
    <w:rsid w:val="002148F0"/>
    <w:rsid w:val="00236A37"/>
    <w:rsid w:val="00241662"/>
    <w:rsid w:val="00242006"/>
    <w:rsid w:val="00246502"/>
    <w:rsid w:val="00246C51"/>
    <w:rsid w:val="00254A88"/>
    <w:rsid w:val="00265201"/>
    <w:rsid w:val="002664D0"/>
    <w:rsid w:val="00270C66"/>
    <w:rsid w:val="00277488"/>
    <w:rsid w:val="00280CB2"/>
    <w:rsid w:val="00285924"/>
    <w:rsid w:val="00291B6E"/>
    <w:rsid w:val="002963BC"/>
    <w:rsid w:val="002974AC"/>
    <w:rsid w:val="002A11F8"/>
    <w:rsid w:val="002A3F8E"/>
    <w:rsid w:val="002A54C5"/>
    <w:rsid w:val="002B25EC"/>
    <w:rsid w:val="002B45E4"/>
    <w:rsid w:val="002C177F"/>
    <w:rsid w:val="002C3FF7"/>
    <w:rsid w:val="002C5C09"/>
    <w:rsid w:val="002C62F2"/>
    <w:rsid w:val="002C78DD"/>
    <w:rsid w:val="002E3277"/>
    <w:rsid w:val="002E5B21"/>
    <w:rsid w:val="002F1D82"/>
    <w:rsid w:val="002F73DB"/>
    <w:rsid w:val="00314E1B"/>
    <w:rsid w:val="003206BC"/>
    <w:rsid w:val="0032412B"/>
    <w:rsid w:val="00333F2B"/>
    <w:rsid w:val="003410FD"/>
    <w:rsid w:val="00342A3E"/>
    <w:rsid w:val="00351607"/>
    <w:rsid w:val="003544FE"/>
    <w:rsid w:val="00355821"/>
    <w:rsid w:val="003606CF"/>
    <w:rsid w:val="00363280"/>
    <w:rsid w:val="003655C6"/>
    <w:rsid w:val="003658A1"/>
    <w:rsid w:val="00372AE7"/>
    <w:rsid w:val="00381C7F"/>
    <w:rsid w:val="00386E5C"/>
    <w:rsid w:val="003934B3"/>
    <w:rsid w:val="003A2B92"/>
    <w:rsid w:val="003A5501"/>
    <w:rsid w:val="003B681D"/>
    <w:rsid w:val="003C4E0F"/>
    <w:rsid w:val="003C6D2C"/>
    <w:rsid w:val="003D0130"/>
    <w:rsid w:val="003D7462"/>
    <w:rsid w:val="003E5AC5"/>
    <w:rsid w:val="003F5717"/>
    <w:rsid w:val="00402716"/>
    <w:rsid w:val="0040388B"/>
    <w:rsid w:val="00420D8D"/>
    <w:rsid w:val="0042209B"/>
    <w:rsid w:val="0043072D"/>
    <w:rsid w:val="00432AC3"/>
    <w:rsid w:val="004400F3"/>
    <w:rsid w:val="00445611"/>
    <w:rsid w:val="00454C86"/>
    <w:rsid w:val="004623B0"/>
    <w:rsid w:val="004656AD"/>
    <w:rsid w:val="00467CDA"/>
    <w:rsid w:val="00475205"/>
    <w:rsid w:val="00477AA5"/>
    <w:rsid w:val="00480F8F"/>
    <w:rsid w:val="00483E75"/>
    <w:rsid w:val="004A0749"/>
    <w:rsid w:val="004A33EB"/>
    <w:rsid w:val="004A419E"/>
    <w:rsid w:val="004B08C6"/>
    <w:rsid w:val="004E44E3"/>
    <w:rsid w:val="004E48AF"/>
    <w:rsid w:val="004E6191"/>
    <w:rsid w:val="004F687B"/>
    <w:rsid w:val="00504A34"/>
    <w:rsid w:val="005134DD"/>
    <w:rsid w:val="005252FB"/>
    <w:rsid w:val="005344CC"/>
    <w:rsid w:val="005347B8"/>
    <w:rsid w:val="00540880"/>
    <w:rsid w:val="0055239E"/>
    <w:rsid w:val="005576A1"/>
    <w:rsid w:val="00563B52"/>
    <w:rsid w:val="00565733"/>
    <w:rsid w:val="00571A31"/>
    <w:rsid w:val="00584253"/>
    <w:rsid w:val="0058588F"/>
    <w:rsid w:val="00590253"/>
    <w:rsid w:val="00596B5B"/>
    <w:rsid w:val="00596CB7"/>
    <w:rsid w:val="005A61BB"/>
    <w:rsid w:val="005B46C1"/>
    <w:rsid w:val="005B7557"/>
    <w:rsid w:val="005C065C"/>
    <w:rsid w:val="005C3F85"/>
    <w:rsid w:val="005C52D1"/>
    <w:rsid w:val="005C5EF4"/>
    <w:rsid w:val="005D2CF7"/>
    <w:rsid w:val="005E24CB"/>
    <w:rsid w:val="005E4787"/>
    <w:rsid w:val="005E52F4"/>
    <w:rsid w:val="005F6D16"/>
    <w:rsid w:val="005F7746"/>
    <w:rsid w:val="006056C1"/>
    <w:rsid w:val="0061137D"/>
    <w:rsid w:val="00616CC9"/>
    <w:rsid w:val="0062078F"/>
    <w:rsid w:val="00622357"/>
    <w:rsid w:val="00633BA0"/>
    <w:rsid w:val="00640C94"/>
    <w:rsid w:val="00640D21"/>
    <w:rsid w:val="00642B2A"/>
    <w:rsid w:val="006447AF"/>
    <w:rsid w:val="006506FF"/>
    <w:rsid w:val="00656CC3"/>
    <w:rsid w:val="00684A29"/>
    <w:rsid w:val="0069580B"/>
    <w:rsid w:val="006A3B95"/>
    <w:rsid w:val="006B094E"/>
    <w:rsid w:val="006B26B2"/>
    <w:rsid w:val="006C0F40"/>
    <w:rsid w:val="006C320E"/>
    <w:rsid w:val="006D3BF4"/>
    <w:rsid w:val="006D4417"/>
    <w:rsid w:val="006D7DC6"/>
    <w:rsid w:val="006E7FDB"/>
    <w:rsid w:val="006F353A"/>
    <w:rsid w:val="0070471A"/>
    <w:rsid w:val="0070606B"/>
    <w:rsid w:val="00707E55"/>
    <w:rsid w:val="007210B2"/>
    <w:rsid w:val="00724176"/>
    <w:rsid w:val="00727D36"/>
    <w:rsid w:val="00731CEC"/>
    <w:rsid w:val="00733457"/>
    <w:rsid w:val="0074267E"/>
    <w:rsid w:val="00744318"/>
    <w:rsid w:val="0075464A"/>
    <w:rsid w:val="00756235"/>
    <w:rsid w:val="00764138"/>
    <w:rsid w:val="00766A52"/>
    <w:rsid w:val="00770FAC"/>
    <w:rsid w:val="00771975"/>
    <w:rsid w:val="00771C91"/>
    <w:rsid w:val="007734E7"/>
    <w:rsid w:val="00777244"/>
    <w:rsid w:val="00781B12"/>
    <w:rsid w:val="00785D43"/>
    <w:rsid w:val="0078768E"/>
    <w:rsid w:val="00797273"/>
    <w:rsid w:val="00797A57"/>
    <w:rsid w:val="007A096A"/>
    <w:rsid w:val="007A2E63"/>
    <w:rsid w:val="007A5CA4"/>
    <w:rsid w:val="007B6C05"/>
    <w:rsid w:val="007C7DDF"/>
    <w:rsid w:val="007C7E12"/>
    <w:rsid w:val="007D4263"/>
    <w:rsid w:val="007E019D"/>
    <w:rsid w:val="007E4E93"/>
    <w:rsid w:val="007E5992"/>
    <w:rsid w:val="00802485"/>
    <w:rsid w:val="00802BB1"/>
    <w:rsid w:val="00805450"/>
    <w:rsid w:val="00816AE3"/>
    <w:rsid w:val="00822FF0"/>
    <w:rsid w:val="00825D3B"/>
    <w:rsid w:val="00827F98"/>
    <w:rsid w:val="008325BF"/>
    <w:rsid w:val="00834C1A"/>
    <w:rsid w:val="008469DF"/>
    <w:rsid w:val="00851775"/>
    <w:rsid w:val="00851E32"/>
    <w:rsid w:val="00855510"/>
    <w:rsid w:val="0086538E"/>
    <w:rsid w:val="00872A93"/>
    <w:rsid w:val="0087349E"/>
    <w:rsid w:val="0087681F"/>
    <w:rsid w:val="00880E94"/>
    <w:rsid w:val="00883C6C"/>
    <w:rsid w:val="00883E3E"/>
    <w:rsid w:val="008904CD"/>
    <w:rsid w:val="00893212"/>
    <w:rsid w:val="008949E7"/>
    <w:rsid w:val="00896977"/>
    <w:rsid w:val="008A177A"/>
    <w:rsid w:val="008A73BD"/>
    <w:rsid w:val="008B05C9"/>
    <w:rsid w:val="008C4A02"/>
    <w:rsid w:val="008C4C66"/>
    <w:rsid w:val="008D4E62"/>
    <w:rsid w:val="008E61F7"/>
    <w:rsid w:val="008E6D2F"/>
    <w:rsid w:val="008F12A9"/>
    <w:rsid w:val="00914744"/>
    <w:rsid w:val="00920830"/>
    <w:rsid w:val="00923294"/>
    <w:rsid w:val="009237E0"/>
    <w:rsid w:val="009263F0"/>
    <w:rsid w:val="00926A78"/>
    <w:rsid w:val="0093296D"/>
    <w:rsid w:val="0093337E"/>
    <w:rsid w:val="009408AF"/>
    <w:rsid w:val="0094130B"/>
    <w:rsid w:val="009413BE"/>
    <w:rsid w:val="00953B70"/>
    <w:rsid w:val="00956C3D"/>
    <w:rsid w:val="00972E16"/>
    <w:rsid w:val="00993797"/>
    <w:rsid w:val="009939D4"/>
    <w:rsid w:val="00997525"/>
    <w:rsid w:val="009A17E5"/>
    <w:rsid w:val="009A4B92"/>
    <w:rsid w:val="009C00A0"/>
    <w:rsid w:val="009D2286"/>
    <w:rsid w:val="009D5918"/>
    <w:rsid w:val="009D794B"/>
    <w:rsid w:val="009E518D"/>
    <w:rsid w:val="00A06DAE"/>
    <w:rsid w:val="00A07DC9"/>
    <w:rsid w:val="00A166E8"/>
    <w:rsid w:val="00A16AC5"/>
    <w:rsid w:val="00A34443"/>
    <w:rsid w:val="00A41855"/>
    <w:rsid w:val="00A467DC"/>
    <w:rsid w:val="00A5147A"/>
    <w:rsid w:val="00A51590"/>
    <w:rsid w:val="00A53E5F"/>
    <w:rsid w:val="00A602AE"/>
    <w:rsid w:val="00A61DBE"/>
    <w:rsid w:val="00A63F24"/>
    <w:rsid w:val="00A64A8B"/>
    <w:rsid w:val="00A64BB8"/>
    <w:rsid w:val="00A72A1F"/>
    <w:rsid w:val="00A73FB8"/>
    <w:rsid w:val="00A7725D"/>
    <w:rsid w:val="00A77E80"/>
    <w:rsid w:val="00A81E99"/>
    <w:rsid w:val="00A86B67"/>
    <w:rsid w:val="00A96DF4"/>
    <w:rsid w:val="00AA2DF6"/>
    <w:rsid w:val="00AA78F2"/>
    <w:rsid w:val="00AB65D6"/>
    <w:rsid w:val="00AC3505"/>
    <w:rsid w:val="00AC3FE9"/>
    <w:rsid w:val="00AD29DA"/>
    <w:rsid w:val="00AE0433"/>
    <w:rsid w:val="00AF3734"/>
    <w:rsid w:val="00B11087"/>
    <w:rsid w:val="00B11953"/>
    <w:rsid w:val="00B14695"/>
    <w:rsid w:val="00B14704"/>
    <w:rsid w:val="00B31D3D"/>
    <w:rsid w:val="00B36696"/>
    <w:rsid w:val="00B37598"/>
    <w:rsid w:val="00B41D59"/>
    <w:rsid w:val="00B442FB"/>
    <w:rsid w:val="00B46C9C"/>
    <w:rsid w:val="00B47D8D"/>
    <w:rsid w:val="00B55043"/>
    <w:rsid w:val="00B66DBC"/>
    <w:rsid w:val="00B765F1"/>
    <w:rsid w:val="00B76E8B"/>
    <w:rsid w:val="00B77C12"/>
    <w:rsid w:val="00B8163E"/>
    <w:rsid w:val="00B85FC4"/>
    <w:rsid w:val="00B92065"/>
    <w:rsid w:val="00B92AFC"/>
    <w:rsid w:val="00BA4420"/>
    <w:rsid w:val="00BA6CB3"/>
    <w:rsid w:val="00BA6D72"/>
    <w:rsid w:val="00BB2FDD"/>
    <w:rsid w:val="00BC1F18"/>
    <w:rsid w:val="00BC49CF"/>
    <w:rsid w:val="00BC5764"/>
    <w:rsid w:val="00BF3D97"/>
    <w:rsid w:val="00BF4331"/>
    <w:rsid w:val="00C03F4B"/>
    <w:rsid w:val="00C07910"/>
    <w:rsid w:val="00C1015F"/>
    <w:rsid w:val="00C128B2"/>
    <w:rsid w:val="00C13504"/>
    <w:rsid w:val="00C25BE6"/>
    <w:rsid w:val="00C41109"/>
    <w:rsid w:val="00C62363"/>
    <w:rsid w:val="00C67D69"/>
    <w:rsid w:val="00C7602D"/>
    <w:rsid w:val="00C81240"/>
    <w:rsid w:val="00C83584"/>
    <w:rsid w:val="00C844B8"/>
    <w:rsid w:val="00C8525D"/>
    <w:rsid w:val="00C86AB4"/>
    <w:rsid w:val="00C87A48"/>
    <w:rsid w:val="00C97F9D"/>
    <w:rsid w:val="00CA17D4"/>
    <w:rsid w:val="00CA1A6A"/>
    <w:rsid w:val="00CA53C8"/>
    <w:rsid w:val="00CA6DCA"/>
    <w:rsid w:val="00CA6E4B"/>
    <w:rsid w:val="00CA7ECF"/>
    <w:rsid w:val="00CB61B0"/>
    <w:rsid w:val="00CB756C"/>
    <w:rsid w:val="00CC29C7"/>
    <w:rsid w:val="00CC2BAE"/>
    <w:rsid w:val="00CC4CE9"/>
    <w:rsid w:val="00CD553B"/>
    <w:rsid w:val="00CE176F"/>
    <w:rsid w:val="00CE33C9"/>
    <w:rsid w:val="00CE3CFC"/>
    <w:rsid w:val="00CE7A77"/>
    <w:rsid w:val="00CF4495"/>
    <w:rsid w:val="00CF7013"/>
    <w:rsid w:val="00D02D20"/>
    <w:rsid w:val="00D11816"/>
    <w:rsid w:val="00D12782"/>
    <w:rsid w:val="00D23C47"/>
    <w:rsid w:val="00D335BB"/>
    <w:rsid w:val="00D365FF"/>
    <w:rsid w:val="00D40EF2"/>
    <w:rsid w:val="00D414DD"/>
    <w:rsid w:val="00D51F1A"/>
    <w:rsid w:val="00D52F5A"/>
    <w:rsid w:val="00D61D32"/>
    <w:rsid w:val="00D6488F"/>
    <w:rsid w:val="00D7431F"/>
    <w:rsid w:val="00D818E8"/>
    <w:rsid w:val="00D85366"/>
    <w:rsid w:val="00D91519"/>
    <w:rsid w:val="00DA03CE"/>
    <w:rsid w:val="00DA484C"/>
    <w:rsid w:val="00DE1887"/>
    <w:rsid w:val="00DF09C8"/>
    <w:rsid w:val="00DF248E"/>
    <w:rsid w:val="00DF2586"/>
    <w:rsid w:val="00DF3625"/>
    <w:rsid w:val="00DF371D"/>
    <w:rsid w:val="00E01EAD"/>
    <w:rsid w:val="00E10749"/>
    <w:rsid w:val="00E1127A"/>
    <w:rsid w:val="00E14482"/>
    <w:rsid w:val="00E156F1"/>
    <w:rsid w:val="00E30E12"/>
    <w:rsid w:val="00E435BD"/>
    <w:rsid w:val="00E43B2F"/>
    <w:rsid w:val="00E529A0"/>
    <w:rsid w:val="00E55D86"/>
    <w:rsid w:val="00E61925"/>
    <w:rsid w:val="00E744E3"/>
    <w:rsid w:val="00E75695"/>
    <w:rsid w:val="00E94E5F"/>
    <w:rsid w:val="00E97C62"/>
    <w:rsid w:val="00EB2B75"/>
    <w:rsid w:val="00EC0546"/>
    <w:rsid w:val="00ED303E"/>
    <w:rsid w:val="00ED7E0A"/>
    <w:rsid w:val="00EE04BB"/>
    <w:rsid w:val="00EE12DC"/>
    <w:rsid w:val="00EE5892"/>
    <w:rsid w:val="00EF0BC8"/>
    <w:rsid w:val="00F03A6A"/>
    <w:rsid w:val="00F14401"/>
    <w:rsid w:val="00F16E58"/>
    <w:rsid w:val="00F2420A"/>
    <w:rsid w:val="00F37E56"/>
    <w:rsid w:val="00F40410"/>
    <w:rsid w:val="00F425B1"/>
    <w:rsid w:val="00F445A5"/>
    <w:rsid w:val="00F46E19"/>
    <w:rsid w:val="00F4754F"/>
    <w:rsid w:val="00F47E16"/>
    <w:rsid w:val="00F519C3"/>
    <w:rsid w:val="00F57F99"/>
    <w:rsid w:val="00F67BB5"/>
    <w:rsid w:val="00F77AF4"/>
    <w:rsid w:val="00F8547C"/>
    <w:rsid w:val="00F9112B"/>
    <w:rsid w:val="00F93E7D"/>
    <w:rsid w:val="00FA7E6C"/>
    <w:rsid w:val="00FB2749"/>
    <w:rsid w:val="00FD2ECA"/>
    <w:rsid w:val="00FD2F0F"/>
    <w:rsid w:val="00FD4499"/>
    <w:rsid w:val="00FF04F9"/>
    <w:rsid w:val="00FF1810"/>
    <w:rsid w:val="00FF7C8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488"/>
    <w:pPr>
      <w:ind w:left="720"/>
      <w:contextualSpacing/>
    </w:pPr>
  </w:style>
  <w:style w:type="paragraph" w:styleId="BalloonText">
    <w:name w:val="Balloon Text"/>
    <w:basedOn w:val="Normal"/>
    <w:link w:val="BalloonTextChar"/>
    <w:uiPriority w:val="99"/>
    <w:semiHidden/>
    <w:unhideWhenUsed/>
    <w:rsid w:val="00FD44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499"/>
    <w:rPr>
      <w:rFonts w:ascii="Tahoma" w:hAnsi="Tahoma" w:cs="Tahoma"/>
      <w:sz w:val="16"/>
      <w:szCs w:val="16"/>
    </w:rPr>
  </w:style>
  <w:style w:type="paragraph" w:styleId="FootnoteText">
    <w:name w:val="footnote text"/>
    <w:basedOn w:val="Normal"/>
    <w:link w:val="FootnoteTextChar"/>
    <w:uiPriority w:val="99"/>
    <w:semiHidden/>
    <w:unhideWhenUsed/>
    <w:rsid w:val="00B77C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7C12"/>
    <w:rPr>
      <w:sz w:val="20"/>
      <w:szCs w:val="20"/>
    </w:rPr>
  </w:style>
  <w:style w:type="character" w:styleId="FootnoteReference">
    <w:name w:val="footnote reference"/>
    <w:basedOn w:val="DefaultParagraphFont"/>
    <w:uiPriority w:val="99"/>
    <w:semiHidden/>
    <w:unhideWhenUsed/>
    <w:rsid w:val="00B77C12"/>
    <w:rPr>
      <w:vertAlign w:val="superscript"/>
    </w:rPr>
  </w:style>
  <w:style w:type="character" w:styleId="PlaceholderText">
    <w:name w:val="Placeholder Text"/>
    <w:basedOn w:val="DefaultParagraphFont"/>
    <w:uiPriority w:val="99"/>
    <w:semiHidden/>
    <w:rsid w:val="0070471A"/>
    <w:rPr>
      <w:color w:val="808080"/>
    </w:rPr>
  </w:style>
  <w:style w:type="character" w:styleId="Hyperlink">
    <w:name w:val="Hyperlink"/>
    <w:basedOn w:val="DefaultParagraphFont"/>
    <w:uiPriority w:val="99"/>
    <w:unhideWhenUsed/>
    <w:rsid w:val="006D4417"/>
    <w:rPr>
      <w:color w:val="0000FF" w:themeColor="hyperlink"/>
      <w:u w:val="single"/>
    </w:rPr>
  </w:style>
  <w:style w:type="paragraph" w:styleId="Header">
    <w:name w:val="header"/>
    <w:basedOn w:val="Normal"/>
    <w:link w:val="HeaderChar"/>
    <w:uiPriority w:val="99"/>
    <w:unhideWhenUsed/>
    <w:rsid w:val="00C87A48"/>
    <w:pPr>
      <w:tabs>
        <w:tab w:val="center" w:pos="4419"/>
        <w:tab w:val="right" w:pos="8838"/>
      </w:tabs>
      <w:spacing w:after="0" w:line="240" w:lineRule="auto"/>
    </w:pPr>
  </w:style>
  <w:style w:type="character" w:customStyle="1" w:styleId="HeaderChar">
    <w:name w:val="Header Char"/>
    <w:basedOn w:val="DefaultParagraphFont"/>
    <w:link w:val="Header"/>
    <w:uiPriority w:val="99"/>
    <w:rsid w:val="00C87A48"/>
  </w:style>
  <w:style w:type="paragraph" w:styleId="Footer">
    <w:name w:val="footer"/>
    <w:basedOn w:val="Normal"/>
    <w:link w:val="FooterChar"/>
    <w:uiPriority w:val="99"/>
    <w:unhideWhenUsed/>
    <w:rsid w:val="00C87A48"/>
    <w:pPr>
      <w:tabs>
        <w:tab w:val="center" w:pos="4419"/>
        <w:tab w:val="right" w:pos="8838"/>
      </w:tabs>
      <w:spacing w:after="0" w:line="240" w:lineRule="auto"/>
    </w:pPr>
  </w:style>
  <w:style w:type="character" w:customStyle="1" w:styleId="FooterChar">
    <w:name w:val="Footer Char"/>
    <w:basedOn w:val="DefaultParagraphFont"/>
    <w:link w:val="Footer"/>
    <w:uiPriority w:val="99"/>
    <w:rsid w:val="00C87A48"/>
  </w:style>
  <w:style w:type="character" w:styleId="CommentReference">
    <w:name w:val="annotation reference"/>
    <w:basedOn w:val="DefaultParagraphFont"/>
    <w:uiPriority w:val="99"/>
    <w:semiHidden/>
    <w:unhideWhenUsed/>
    <w:rsid w:val="006B094E"/>
    <w:rPr>
      <w:sz w:val="16"/>
      <w:szCs w:val="16"/>
    </w:rPr>
  </w:style>
  <w:style w:type="paragraph" w:styleId="CommentText">
    <w:name w:val="annotation text"/>
    <w:basedOn w:val="Normal"/>
    <w:link w:val="CommentTextChar"/>
    <w:uiPriority w:val="99"/>
    <w:semiHidden/>
    <w:unhideWhenUsed/>
    <w:rsid w:val="006B094E"/>
    <w:pPr>
      <w:spacing w:line="240" w:lineRule="auto"/>
    </w:pPr>
    <w:rPr>
      <w:sz w:val="20"/>
      <w:szCs w:val="20"/>
    </w:rPr>
  </w:style>
  <w:style w:type="character" w:customStyle="1" w:styleId="CommentTextChar">
    <w:name w:val="Comment Text Char"/>
    <w:basedOn w:val="DefaultParagraphFont"/>
    <w:link w:val="CommentText"/>
    <w:uiPriority w:val="99"/>
    <w:semiHidden/>
    <w:rsid w:val="006B094E"/>
    <w:rPr>
      <w:sz w:val="20"/>
      <w:szCs w:val="20"/>
    </w:rPr>
  </w:style>
  <w:style w:type="paragraph" w:styleId="CommentSubject">
    <w:name w:val="annotation subject"/>
    <w:basedOn w:val="CommentText"/>
    <w:next w:val="CommentText"/>
    <w:link w:val="CommentSubjectChar"/>
    <w:uiPriority w:val="99"/>
    <w:semiHidden/>
    <w:unhideWhenUsed/>
    <w:rsid w:val="006B094E"/>
    <w:rPr>
      <w:b/>
      <w:bCs/>
    </w:rPr>
  </w:style>
  <w:style w:type="character" w:customStyle="1" w:styleId="CommentSubjectChar">
    <w:name w:val="Comment Subject Char"/>
    <w:basedOn w:val="CommentTextChar"/>
    <w:link w:val="CommentSubject"/>
    <w:uiPriority w:val="99"/>
    <w:semiHidden/>
    <w:rsid w:val="006B094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488"/>
    <w:pPr>
      <w:ind w:left="720"/>
      <w:contextualSpacing/>
    </w:pPr>
  </w:style>
  <w:style w:type="paragraph" w:styleId="BalloonText">
    <w:name w:val="Balloon Text"/>
    <w:basedOn w:val="Normal"/>
    <w:link w:val="BalloonTextChar"/>
    <w:uiPriority w:val="99"/>
    <w:semiHidden/>
    <w:unhideWhenUsed/>
    <w:rsid w:val="00FD44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499"/>
    <w:rPr>
      <w:rFonts w:ascii="Tahoma" w:hAnsi="Tahoma" w:cs="Tahoma"/>
      <w:sz w:val="16"/>
      <w:szCs w:val="16"/>
    </w:rPr>
  </w:style>
  <w:style w:type="paragraph" w:styleId="FootnoteText">
    <w:name w:val="footnote text"/>
    <w:basedOn w:val="Normal"/>
    <w:link w:val="FootnoteTextChar"/>
    <w:uiPriority w:val="99"/>
    <w:semiHidden/>
    <w:unhideWhenUsed/>
    <w:rsid w:val="00B77C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7C12"/>
    <w:rPr>
      <w:sz w:val="20"/>
      <w:szCs w:val="20"/>
    </w:rPr>
  </w:style>
  <w:style w:type="character" w:styleId="FootnoteReference">
    <w:name w:val="footnote reference"/>
    <w:basedOn w:val="DefaultParagraphFont"/>
    <w:uiPriority w:val="99"/>
    <w:semiHidden/>
    <w:unhideWhenUsed/>
    <w:rsid w:val="00B77C12"/>
    <w:rPr>
      <w:vertAlign w:val="superscript"/>
    </w:rPr>
  </w:style>
  <w:style w:type="character" w:styleId="PlaceholderText">
    <w:name w:val="Placeholder Text"/>
    <w:basedOn w:val="DefaultParagraphFont"/>
    <w:uiPriority w:val="99"/>
    <w:semiHidden/>
    <w:rsid w:val="0070471A"/>
    <w:rPr>
      <w:color w:val="808080"/>
    </w:rPr>
  </w:style>
  <w:style w:type="character" w:styleId="Hyperlink">
    <w:name w:val="Hyperlink"/>
    <w:basedOn w:val="DefaultParagraphFont"/>
    <w:uiPriority w:val="99"/>
    <w:unhideWhenUsed/>
    <w:rsid w:val="006D4417"/>
    <w:rPr>
      <w:color w:val="0000FF" w:themeColor="hyperlink"/>
      <w:u w:val="single"/>
    </w:rPr>
  </w:style>
  <w:style w:type="paragraph" w:styleId="Header">
    <w:name w:val="header"/>
    <w:basedOn w:val="Normal"/>
    <w:link w:val="HeaderChar"/>
    <w:uiPriority w:val="99"/>
    <w:unhideWhenUsed/>
    <w:rsid w:val="00C87A48"/>
    <w:pPr>
      <w:tabs>
        <w:tab w:val="center" w:pos="4419"/>
        <w:tab w:val="right" w:pos="8838"/>
      </w:tabs>
      <w:spacing w:after="0" w:line="240" w:lineRule="auto"/>
    </w:pPr>
  </w:style>
  <w:style w:type="character" w:customStyle="1" w:styleId="HeaderChar">
    <w:name w:val="Header Char"/>
    <w:basedOn w:val="DefaultParagraphFont"/>
    <w:link w:val="Header"/>
    <w:uiPriority w:val="99"/>
    <w:rsid w:val="00C87A48"/>
  </w:style>
  <w:style w:type="paragraph" w:styleId="Footer">
    <w:name w:val="footer"/>
    <w:basedOn w:val="Normal"/>
    <w:link w:val="FooterChar"/>
    <w:uiPriority w:val="99"/>
    <w:unhideWhenUsed/>
    <w:rsid w:val="00C87A48"/>
    <w:pPr>
      <w:tabs>
        <w:tab w:val="center" w:pos="4419"/>
        <w:tab w:val="right" w:pos="8838"/>
      </w:tabs>
      <w:spacing w:after="0" w:line="240" w:lineRule="auto"/>
    </w:pPr>
  </w:style>
  <w:style w:type="character" w:customStyle="1" w:styleId="FooterChar">
    <w:name w:val="Footer Char"/>
    <w:basedOn w:val="DefaultParagraphFont"/>
    <w:link w:val="Footer"/>
    <w:uiPriority w:val="99"/>
    <w:rsid w:val="00C87A48"/>
  </w:style>
  <w:style w:type="character" w:styleId="CommentReference">
    <w:name w:val="annotation reference"/>
    <w:basedOn w:val="DefaultParagraphFont"/>
    <w:uiPriority w:val="99"/>
    <w:semiHidden/>
    <w:unhideWhenUsed/>
    <w:rsid w:val="006B094E"/>
    <w:rPr>
      <w:sz w:val="16"/>
      <w:szCs w:val="16"/>
    </w:rPr>
  </w:style>
  <w:style w:type="paragraph" w:styleId="CommentText">
    <w:name w:val="annotation text"/>
    <w:basedOn w:val="Normal"/>
    <w:link w:val="CommentTextChar"/>
    <w:uiPriority w:val="99"/>
    <w:semiHidden/>
    <w:unhideWhenUsed/>
    <w:rsid w:val="006B094E"/>
    <w:pPr>
      <w:spacing w:line="240" w:lineRule="auto"/>
    </w:pPr>
    <w:rPr>
      <w:sz w:val="20"/>
      <w:szCs w:val="20"/>
    </w:rPr>
  </w:style>
  <w:style w:type="character" w:customStyle="1" w:styleId="CommentTextChar">
    <w:name w:val="Comment Text Char"/>
    <w:basedOn w:val="DefaultParagraphFont"/>
    <w:link w:val="CommentText"/>
    <w:uiPriority w:val="99"/>
    <w:semiHidden/>
    <w:rsid w:val="006B094E"/>
    <w:rPr>
      <w:sz w:val="20"/>
      <w:szCs w:val="20"/>
    </w:rPr>
  </w:style>
  <w:style w:type="paragraph" w:styleId="CommentSubject">
    <w:name w:val="annotation subject"/>
    <w:basedOn w:val="CommentText"/>
    <w:next w:val="CommentText"/>
    <w:link w:val="CommentSubjectChar"/>
    <w:uiPriority w:val="99"/>
    <w:semiHidden/>
    <w:unhideWhenUsed/>
    <w:rsid w:val="006B094E"/>
    <w:rPr>
      <w:b/>
      <w:bCs/>
    </w:rPr>
  </w:style>
  <w:style w:type="character" w:customStyle="1" w:styleId="CommentSubjectChar">
    <w:name w:val="Comment Subject Char"/>
    <w:basedOn w:val="CommentTextChar"/>
    <w:link w:val="CommentSubject"/>
    <w:uiPriority w:val="99"/>
    <w:semiHidden/>
    <w:rsid w:val="006B09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econ.worldbank.org/WBSITE/EXTERNAL/EXTDEC/EXTRESEARCH/0,,contentMDK:20696167~pagePK:64214825~piPK:64214943~theSitePK:469382,00.html" TargetMode="External"/><Relationship Id="rId39" Type="http://schemas.openxmlformats.org/officeDocument/2006/relationships/customXml" Target="../customXml/item6.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fontTable" Target="fontTable.xml"/><Relationship Id="rId38"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yperlink" Target="http://www.banrep.gov.co/series-estadisticas/see_tas_inter.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footer" Target="footer1.xml"/><Relationship Id="rId37"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hyperlink" Target="http://www.superfinanciera.gov.co/ComunicadosyPublicaciones/comsectorfinanciero112012.pdf" TargetMode="External"/><Relationship Id="rId36" Type="http://schemas.openxmlformats.org/officeDocument/2006/relationships/customXml" Target="../customXml/item3.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hyperlink" Target="http://www.mipymes.gov.co/publicaciones.php?id=2181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yperlink" Target="http://www.banrep.gov.co/publicaciones/pub_es_fin.htm" TargetMode="External"/><Relationship Id="rId30" Type="http://schemas.openxmlformats.org/officeDocument/2006/relationships/hyperlink" Target="http://www.bancoldex.com/contenido/contenido.aspx?catID=321&amp;conID=925" TargetMode="External"/><Relationship Id="rId35"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B33FD996D72FE418610DB25EAF2A0FC" ma:contentTypeVersion="0" ma:contentTypeDescription="A content type to manage public (operations) IDB documents" ma:contentTypeScope="" ma:versionID="332582f79f358faf0ab0579a8686868e">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37692754</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CO-L1132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C224A047-82D2-478A-911E-8BE6CCBD9980}"/>
</file>

<file path=customXml/itemProps2.xml><?xml version="1.0" encoding="utf-8"?>
<ds:datastoreItem xmlns:ds="http://schemas.openxmlformats.org/officeDocument/2006/customXml" ds:itemID="{38688065-C62E-48B9-9958-B8815C3463A2}"/>
</file>

<file path=customXml/itemProps3.xml><?xml version="1.0" encoding="utf-8"?>
<ds:datastoreItem xmlns:ds="http://schemas.openxmlformats.org/officeDocument/2006/customXml" ds:itemID="{186DE101-4D53-42FE-8439-68F516539863}"/>
</file>

<file path=customXml/itemProps4.xml><?xml version="1.0" encoding="utf-8"?>
<ds:datastoreItem xmlns:ds="http://schemas.openxmlformats.org/officeDocument/2006/customXml" ds:itemID="{4D8A06F8-93C9-4BC2-9E96-C981EA4FD339}"/>
</file>

<file path=customXml/itemProps5.xml><?xml version="1.0" encoding="utf-8"?>
<ds:datastoreItem xmlns:ds="http://schemas.openxmlformats.org/officeDocument/2006/customXml" ds:itemID="{8EDB1E9C-2445-4205-B841-790E1D3E7519}"/>
</file>

<file path=customXml/itemProps6.xml><?xml version="1.0" encoding="utf-8"?>
<ds:datastoreItem xmlns:ds="http://schemas.openxmlformats.org/officeDocument/2006/customXml" ds:itemID="{3A58DCC0-E3DF-44FD-A98B-C265C871475D}"/>
</file>

<file path=docProps/app.xml><?xml version="1.0" encoding="utf-8"?>
<Properties xmlns="http://schemas.openxmlformats.org/officeDocument/2006/extended-properties" xmlns:vt="http://schemas.openxmlformats.org/officeDocument/2006/docPropsVTypes">
  <Template>Normal.dotm</Template>
  <TotalTime>1</TotalTime>
  <Pages>25</Pages>
  <Words>5549</Words>
  <Characters>31631</Characters>
  <Application>Microsoft Office Word</Application>
  <DocSecurity>0</DocSecurity>
  <Lines>263</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_ 6_ Demanda de Crédito de Inversión para Mipymes</dc:title>
  <dc:creator>User</dc:creator>
  <cp:lastModifiedBy>Inter-American Development Bank</cp:lastModifiedBy>
  <cp:revision>2</cp:revision>
  <cp:lastPrinted>2013-03-15T03:57:00Z</cp:lastPrinted>
  <dcterms:created xsi:type="dcterms:W3CDTF">2013-04-22T14:47:00Z</dcterms:created>
  <dcterms:modified xsi:type="dcterms:W3CDTF">2013-04-22T14:47:00Z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0x01010046CF21643EE8D14686A648AA6DAD089200EB33FD996D72FE418610DB25EAF2A0FC</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