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4EE3" w14:textId="430DD1F4" w:rsidR="00443022" w:rsidRPr="00262B46" w:rsidRDefault="002C1690" w:rsidP="00443022">
      <w:pPr>
        <w:jc w:val="center"/>
        <w:rPr>
          <w:rFonts w:ascii="Arial" w:hAnsi="Arial" w:cs="Arial"/>
          <w:b/>
          <w:sz w:val="28"/>
          <w:szCs w:val="28"/>
        </w:rPr>
      </w:pPr>
      <w:r w:rsidRPr="00262B46">
        <w:rPr>
          <w:rFonts w:ascii="Arial" w:hAnsi="Arial" w:cs="Arial"/>
          <w:b/>
          <w:sz w:val="28"/>
          <w:szCs w:val="28"/>
        </w:rPr>
        <w:t>E</w:t>
      </w:r>
      <w:r w:rsidR="00A25B40">
        <w:rPr>
          <w:rFonts w:ascii="Arial" w:hAnsi="Arial" w:cs="Arial"/>
          <w:b/>
          <w:sz w:val="28"/>
          <w:szCs w:val="28"/>
        </w:rPr>
        <w:t>nvironmental and Social Review Summary (ESRS)</w:t>
      </w:r>
      <w:r w:rsidRPr="00262B46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5702"/>
      </w:tblGrid>
      <w:tr w:rsidR="003B25C9" w:rsidRPr="00262B46" w14:paraId="2F03D905" w14:textId="6DE51556" w:rsidTr="003B25C9">
        <w:tc>
          <w:tcPr>
            <w:tcW w:w="1951" w:type="pct"/>
            <w:shd w:val="clear" w:color="auto" w:fill="auto"/>
          </w:tcPr>
          <w:p w14:paraId="7A732949" w14:textId="77777777" w:rsidR="003B25C9" w:rsidRPr="00262B46" w:rsidRDefault="003B25C9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2B46">
              <w:rPr>
                <w:rFonts w:ascii="Arial" w:hAnsi="Arial" w:cs="Arial"/>
                <w:b/>
                <w:sz w:val="20"/>
                <w:szCs w:val="20"/>
              </w:rPr>
              <w:t>Project Name:</w:t>
            </w:r>
          </w:p>
        </w:tc>
        <w:tc>
          <w:tcPr>
            <w:tcW w:w="3049" w:type="pct"/>
          </w:tcPr>
          <w:p w14:paraId="0870789C" w14:textId="5E3BCFB9" w:rsidR="003B25C9" w:rsidRPr="00262B46" w:rsidRDefault="00891670" w:rsidP="0089167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91670">
              <w:rPr>
                <w:rFonts w:ascii="Arial" w:hAnsi="Arial" w:cs="Arial"/>
                <w:bCs/>
                <w:sz w:val="20"/>
                <w:szCs w:val="20"/>
              </w:rPr>
              <w:t>SUSTAME Catalyzing Change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f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 xml:space="preserve">or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 xml:space="preserve">he Development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 xml:space="preserve">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 xml:space="preserve"> Value Chain </w:t>
            </w:r>
            <w:r w:rsidR="00B67BBE"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>or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 xml:space="preserve">Sustainable Timber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Pr="00891670">
              <w:rPr>
                <w:rFonts w:ascii="Arial" w:hAnsi="Arial" w:cs="Arial"/>
                <w:bCs/>
                <w:sz w:val="20"/>
                <w:szCs w:val="20"/>
              </w:rPr>
              <w:t>n Suriname</w:t>
            </w:r>
          </w:p>
        </w:tc>
      </w:tr>
      <w:tr w:rsidR="00A043A6" w:rsidRPr="00262B46" w14:paraId="0D661B91" w14:textId="77777777" w:rsidTr="003B25C9">
        <w:tc>
          <w:tcPr>
            <w:tcW w:w="1951" w:type="pct"/>
            <w:shd w:val="clear" w:color="auto" w:fill="auto"/>
          </w:tcPr>
          <w:p w14:paraId="5C991F3B" w14:textId="37D8FAE3" w:rsidR="00A043A6" w:rsidRPr="00262B46" w:rsidRDefault="00A043A6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Project Number:</w:t>
            </w:r>
          </w:p>
        </w:tc>
        <w:tc>
          <w:tcPr>
            <w:tcW w:w="3049" w:type="pct"/>
          </w:tcPr>
          <w:p w14:paraId="795001E8" w14:textId="44BD875F" w:rsidR="00A043A6" w:rsidRPr="00901CD9" w:rsidRDefault="00901CD9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901CD9">
              <w:rPr>
                <w:rFonts w:ascii="Arial" w:hAnsi="Arial" w:cs="Arial"/>
                <w:bCs/>
                <w:sz w:val="20"/>
                <w:szCs w:val="20"/>
              </w:rPr>
              <w:t>SU-T1159</w:t>
            </w:r>
          </w:p>
        </w:tc>
      </w:tr>
      <w:tr w:rsidR="003B25C9" w:rsidRPr="00262B46" w14:paraId="1AC50331" w14:textId="4EFBCBAE" w:rsidTr="003B25C9">
        <w:tc>
          <w:tcPr>
            <w:tcW w:w="1951" w:type="pct"/>
            <w:shd w:val="clear" w:color="auto" w:fill="auto"/>
          </w:tcPr>
          <w:p w14:paraId="41A96644" w14:textId="77777777" w:rsidR="003B25C9" w:rsidRPr="00262B46" w:rsidRDefault="003B25C9" w:rsidP="00E64E7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  <w:r w:rsidRPr="00262B46">
              <w:rPr>
                <w:rFonts w:ascii="Arial" w:hAnsi="Arial" w:cs="Arial"/>
                <w:b/>
                <w:sz w:val="20"/>
                <w:szCs w:val="20"/>
              </w:rPr>
              <w:t xml:space="preserve">Location: </w:t>
            </w:r>
          </w:p>
        </w:tc>
        <w:tc>
          <w:tcPr>
            <w:tcW w:w="3049" w:type="pct"/>
          </w:tcPr>
          <w:p w14:paraId="2CC1B1AC" w14:textId="01A97444" w:rsidR="003B25C9" w:rsidRPr="00901CD9" w:rsidRDefault="00901CD9" w:rsidP="00E64E7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Suriname </w:t>
            </w:r>
          </w:p>
        </w:tc>
      </w:tr>
      <w:tr w:rsidR="003B25C9" w:rsidRPr="00262B46" w14:paraId="20048E2C" w14:textId="66723F0F" w:rsidTr="003B25C9">
        <w:tc>
          <w:tcPr>
            <w:tcW w:w="1951" w:type="pct"/>
            <w:shd w:val="clear" w:color="auto" w:fill="auto"/>
          </w:tcPr>
          <w:p w14:paraId="13182307" w14:textId="77777777" w:rsidR="003B25C9" w:rsidRPr="00262B46" w:rsidRDefault="003B25C9" w:rsidP="005C31B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2B46">
              <w:rPr>
                <w:rFonts w:ascii="Arial" w:hAnsi="Arial" w:cs="Arial"/>
                <w:b/>
                <w:sz w:val="20"/>
                <w:szCs w:val="20"/>
              </w:rPr>
              <w:t>Executing Agency:</w:t>
            </w:r>
          </w:p>
        </w:tc>
        <w:tc>
          <w:tcPr>
            <w:tcW w:w="3049" w:type="pct"/>
          </w:tcPr>
          <w:p w14:paraId="47EA18FC" w14:textId="5238035E" w:rsidR="003B25C9" w:rsidRPr="00901CD9" w:rsidRDefault="00901CD9" w:rsidP="005C31B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Conservation International </w:t>
            </w:r>
          </w:p>
        </w:tc>
      </w:tr>
      <w:tr w:rsidR="003B25C9" w:rsidRPr="00262B46" w14:paraId="45ED8104" w14:textId="6302F6B4" w:rsidTr="003B25C9">
        <w:tc>
          <w:tcPr>
            <w:tcW w:w="1951" w:type="pct"/>
            <w:shd w:val="clear" w:color="auto" w:fill="auto"/>
          </w:tcPr>
          <w:p w14:paraId="69CF0486" w14:textId="77777777" w:rsidR="003B25C9" w:rsidRPr="00262B46" w:rsidRDefault="003B25C9" w:rsidP="00152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Type of Operation (EQU/LON/TCN): </w:t>
            </w:r>
          </w:p>
        </w:tc>
        <w:tc>
          <w:tcPr>
            <w:tcW w:w="3049" w:type="pct"/>
          </w:tcPr>
          <w:p w14:paraId="03BF4371" w14:textId="610DBA30" w:rsidR="003B25C9" w:rsidRPr="00901CD9" w:rsidRDefault="00901CD9" w:rsidP="001529D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Technical </w:t>
            </w:r>
            <w:r w:rsidR="00044ED0">
              <w:rPr>
                <w:rFonts w:ascii="Arial" w:hAnsi="Arial" w:cs="Arial"/>
                <w:bCs/>
                <w:sz w:val="20"/>
                <w:szCs w:val="20"/>
              </w:rPr>
              <w:t>Cooperation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3AB" w:rsidRPr="00A643AB">
              <w:rPr>
                <w:rFonts w:ascii="Arial" w:hAnsi="Arial" w:cs="Arial"/>
                <w:bCs/>
                <w:sz w:val="20"/>
                <w:szCs w:val="20"/>
              </w:rPr>
              <w:t>in collaboration with the IDB Country Office in Suriname (CSU)</w:t>
            </w:r>
          </w:p>
        </w:tc>
      </w:tr>
      <w:tr w:rsidR="003B25C9" w:rsidRPr="00262B46" w14:paraId="6B2071CC" w14:textId="40706B06" w:rsidTr="003B25C9">
        <w:tc>
          <w:tcPr>
            <w:tcW w:w="1951" w:type="pct"/>
            <w:shd w:val="clear" w:color="auto" w:fill="auto"/>
          </w:tcPr>
          <w:p w14:paraId="437B455A" w14:textId="77777777" w:rsidR="003B25C9" w:rsidRPr="00262B46" w:rsidRDefault="003B25C9" w:rsidP="00262B4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ESRS Issuance Date</w:t>
            </w:r>
            <w:r w:rsidRPr="00262B4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049" w:type="pct"/>
          </w:tcPr>
          <w:p w14:paraId="33C6AB9C" w14:textId="22D4155F" w:rsidR="003B25C9" w:rsidRPr="00901CD9" w:rsidRDefault="00A643AB" w:rsidP="00262B46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September 2022</w:t>
            </w:r>
          </w:p>
        </w:tc>
      </w:tr>
    </w:tbl>
    <w:p w14:paraId="56BA92B9" w14:textId="77777777" w:rsidR="00FA3747" w:rsidRPr="004864CE" w:rsidRDefault="00FA3747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General Information of the Project and Overview of Scope of IDB Lab´s Review</w:t>
      </w:r>
    </w:p>
    <w:p w14:paraId="0A001D1A" w14:textId="7A47F0EC" w:rsidR="00044ED0" w:rsidRPr="00044ED0" w:rsidRDefault="00044ED0" w:rsidP="00FA3747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The Project consists of a </w:t>
      </w:r>
      <w:r w:rsidRPr="00044ED0">
        <w:rPr>
          <w:rFonts w:ascii="Arial" w:hAnsi="Arial" w:cs="Arial"/>
          <w:bCs/>
          <w:iCs/>
        </w:rPr>
        <w:t>Technical Cooperation</w:t>
      </w:r>
      <w:r w:rsidR="00B41ED1">
        <w:rPr>
          <w:rFonts w:ascii="Arial" w:hAnsi="Arial" w:cs="Arial"/>
          <w:bCs/>
          <w:iCs/>
        </w:rPr>
        <w:t xml:space="preserve"> (“TCN”)</w:t>
      </w:r>
      <w:r>
        <w:rPr>
          <w:rFonts w:ascii="Arial" w:hAnsi="Arial" w:cs="Arial"/>
          <w:bCs/>
          <w:iCs/>
        </w:rPr>
        <w:t xml:space="preserve"> in favor of Conservation International </w:t>
      </w:r>
      <w:r w:rsidR="00DB16FA">
        <w:rPr>
          <w:rFonts w:ascii="Arial" w:hAnsi="Arial" w:cs="Arial"/>
          <w:bCs/>
          <w:iCs/>
        </w:rPr>
        <w:t xml:space="preserve">which will conduct activities towards improving </w:t>
      </w:r>
      <w:r w:rsidR="00DB16FA" w:rsidRPr="00DB16FA">
        <w:rPr>
          <w:rFonts w:ascii="Arial" w:hAnsi="Arial" w:cs="Arial"/>
          <w:bCs/>
          <w:iCs/>
        </w:rPr>
        <w:t xml:space="preserve">the contribution of private sector actors (including Indigenous and tribal communities) to the environmental, </w:t>
      </w:r>
      <w:r w:rsidR="00D0337A" w:rsidRPr="00DB16FA">
        <w:rPr>
          <w:rFonts w:ascii="Arial" w:hAnsi="Arial" w:cs="Arial"/>
          <w:bCs/>
          <w:iCs/>
        </w:rPr>
        <w:t>economic,</w:t>
      </w:r>
      <w:r w:rsidR="00DB16FA" w:rsidRPr="00DB16FA">
        <w:rPr>
          <w:rFonts w:ascii="Arial" w:hAnsi="Arial" w:cs="Arial"/>
          <w:bCs/>
          <w:iCs/>
        </w:rPr>
        <w:t xml:space="preserve"> and social sustainability of the forestry sector in Suriname.</w:t>
      </w:r>
    </w:p>
    <w:p w14:paraId="447714ED" w14:textId="77777777" w:rsidR="00FA3747" w:rsidRDefault="00FA3747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Environmental and Social Categorization and Rationale</w:t>
      </w:r>
    </w:p>
    <w:p w14:paraId="2379753F" w14:textId="522D8759" w:rsidR="00E329FA" w:rsidRDefault="00A201BC" w:rsidP="00FA3747">
      <w:pPr>
        <w:pStyle w:val="Estilo1"/>
        <w:spacing w:before="120" w:after="120"/>
        <w:contextualSpacing w:val="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A201BC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This operation was screened and classified as required by the IDB’s Environmental and Social Policy Framework (</w:t>
      </w:r>
      <w:r w:rsidR="009B5CA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ESPF</w:t>
      </w:r>
      <w:r w:rsidRPr="00A201BC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)</w:t>
      </w:r>
      <w:r w:rsidR="00024593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and assigned a category B, </w:t>
      </w:r>
      <w:r w:rsidRPr="00A201BC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moderate impacts and risks</w:t>
      </w:r>
      <w:r w:rsidR="00B41ED1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expected to be derive from the TCN. </w:t>
      </w:r>
    </w:p>
    <w:p w14:paraId="472151CA" w14:textId="3D235844" w:rsidR="00E329FA" w:rsidRPr="00A201BC" w:rsidRDefault="00E329FA" w:rsidP="00FA3747">
      <w:pPr>
        <w:pStyle w:val="Estilo1"/>
        <w:spacing w:before="120" w:after="120"/>
        <w:contextualSpacing w:val="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As part of its Due Diligence, and as mandated by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IDB </w:t>
      </w:r>
      <w:r w:rsidR="009B5CA0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ESPF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, the IDB Lab t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eam has screened this project to assess consistency with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IDB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's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Environmental and Social 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Performance Standards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(“ESPS”)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. The principles of the relevant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ESPS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have been applied to the project design. Environmental and social risks will continue to be reviewed throughout the 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life cycle</w:t>
      </w:r>
      <w:r w:rsidRPr="00E329FA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of the project.</w:t>
      </w:r>
    </w:p>
    <w:p w14:paraId="50BD54A0" w14:textId="1A9AF52A" w:rsidR="00FA3747" w:rsidRDefault="00FA3747" w:rsidP="00FA3747">
      <w:pPr>
        <w:pStyle w:val="ListParagraph"/>
        <w:numPr>
          <w:ilvl w:val="0"/>
          <w:numId w:val="1"/>
        </w:numPr>
        <w:tabs>
          <w:tab w:val="clear" w:pos="709"/>
        </w:tabs>
        <w:spacing w:before="360" w:after="360" w:line="259" w:lineRule="auto"/>
        <w:ind w:left="357" w:hanging="357"/>
        <w:rPr>
          <w:b/>
          <w:bCs/>
          <w:sz w:val="22"/>
          <w:szCs w:val="22"/>
          <w:lang w:val="en-US"/>
        </w:rPr>
      </w:pPr>
      <w:r w:rsidRPr="004864CE">
        <w:rPr>
          <w:b/>
          <w:bCs/>
          <w:sz w:val="22"/>
          <w:szCs w:val="22"/>
          <w:lang w:val="en-US"/>
        </w:rPr>
        <w:t>Environmental and Social Risks and Impacts</w:t>
      </w:r>
      <w:r>
        <w:rPr>
          <w:b/>
          <w:bCs/>
          <w:sz w:val="22"/>
          <w:szCs w:val="22"/>
          <w:lang w:val="en-US"/>
        </w:rPr>
        <w:t xml:space="preserve"> and Proposed Mitigation Measures</w:t>
      </w:r>
    </w:p>
    <w:p w14:paraId="45BC1BAF" w14:textId="09C0CABB" w:rsidR="00130DA8" w:rsidRPr="00130DA8" w:rsidRDefault="00130DA8" w:rsidP="00130DA8">
      <w:pPr>
        <w:pStyle w:val="Estilo1"/>
        <w:spacing w:before="120" w:after="120"/>
        <w:contextualSpacing w:val="0"/>
        <w:jc w:val="both"/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</w:pP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Conservation </w:t>
      </w:r>
      <w:r w:rsidR="00A531C3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International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will execute its activities </w:t>
      </w:r>
      <w:r w:rsidRPr="00130DA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in a manner consistent with the principles of the relevant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ESPS</w:t>
      </w:r>
      <w:r w:rsidRPr="00130DA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. The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IDB Lab </w:t>
      </w:r>
      <w:r w:rsidRPr="00130DA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team will assist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the EA </w:t>
      </w:r>
      <w:r w:rsidRPr="00130DA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in gaining a good understanding of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IDB</w:t>
      </w:r>
      <w:r w:rsidRPr="00130DA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's </w:t>
      </w:r>
      <w:r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>ESPS</w:t>
      </w:r>
      <w:r w:rsidRPr="00130DA8">
        <w:rPr>
          <w:rFonts w:eastAsia="Times New Roman"/>
          <w:bCs/>
          <w:iCs/>
          <w:spacing w:val="0"/>
          <w:kern w:val="0"/>
          <w:sz w:val="22"/>
          <w:szCs w:val="22"/>
          <w:lang w:val="en-US"/>
        </w:rPr>
        <w:t xml:space="preserve"> and will provide recommendations for appropriate mitigation measures whenever warranted.</w:t>
      </w:r>
    </w:p>
    <w:sectPr w:rsidR="00130DA8" w:rsidRPr="00130D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E5BE" w14:textId="77777777" w:rsidR="00AE390D" w:rsidRDefault="00AE390D" w:rsidP="002C1690">
      <w:pPr>
        <w:spacing w:after="0" w:line="240" w:lineRule="auto"/>
      </w:pPr>
      <w:r>
        <w:separator/>
      </w:r>
    </w:p>
  </w:endnote>
  <w:endnote w:type="continuationSeparator" w:id="0">
    <w:p w14:paraId="44D2966B" w14:textId="77777777" w:rsidR="00AE390D" w:rsidRDefault="00AE390D" w:rsidP="002C1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363E" w14:textId="77777777" w:rsidR="00AE390D" w:rsidRDefault="00AE390D" w:rsidP="002C1690">
      <w:pPr>
        <w:spacing w:after="0" w:line="240" w:lineRule="auto"/>
      </w:pPr>
      <w:r>
        <w:separator/>
      </w:r>
    </w:p>
  </w:footnote>
  <w:footnote w:type="continuationSeparator" w:id="0">
    <w:p w14:paraId="56CD8303" w14:textId="77777777" w:rsidR="00AE390D" w:rsidRDefault="00AE390D" w:rsidP="002C1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47945" w14:textId="77777777" w:rsidR="002C1690" w:rsidRDefault="002C1690">
    <w:pPr>
      <w:pStyle w:val="Header"/>
    </w:pPr>
    <w:r w:rsidRPr="0014105A">
      <w:rPr>
        <w:rFonts w:ascii="Times New Roman" w:eastAsia="Times New Roman" w:hAnsi="Times New Roman" w:cs="Times New Roman"/>
        <w:noProof/>
      </w:rPr>
      <w:drawing>
        <wp:inline distT="0" distB="0" distL="0" distR="0" wp14:anchorId="7976DC3E" wp14:editId="5FEC21F8">
          <wp:extent cx="1416050" cy="2857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924CF"/>
    <w:multiLevelType w:val="hybridMultilevel"/>
    <w:tmpl w:val="C1B26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2A60FF"/>
    <w:multiLevelType w:val="hybridMultilevel"/>
    <w:tmpl w:val="A6405D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E66A96"/>
    <w:multiLevelType w:val="multilevel"/>
    <w:tmpl w:val="8D28D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40615A2"/>
    <w:multiLevelType w:val="hybridMultilevel"/>
    <w:tmpl w:val="505A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73129"/>
    <w:multiLevelType w:val="hybridMultilevel"/>
    <w:tmpl w:val="80AE18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193320"/>
    <w:multiLevelType w:val="hybridMultilevel"/>
    <w:tmpl w:val="017065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6B68DF"/>
    <w:multiLevelType w:val="hybridMultilevel"/>
    <w:tmpl w:val="E3421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3323F2A"/>
    <w:multiLevelType w:val="hybridMultilevel"/>
    <w:tmpl w:val="F46ECC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400C33"/>
    <w:multiLevelType w:val="multilevel"/>
    <w:tmpl w:val="2B5838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88020885">
    <w:abstractNumId w:val="2"/>
  </w:num>
  <w:num w:numId="2" w16cid:durableId="468204021">
    <w:abstractNumId w:val="4"/>
  </w:num>
  <w:num w:numId="3" w16cid:durableId="1735395222">
    <w:abstractNumId w:val="0"/>
  </w:num>
  <w:num w:numId="4" w16cid:durableId="409229766">
    <w:abstractNumId w:val="5"/>
  </w:num>
  <w:num w:numId="5" w16cid:durableId="435564521">
    <w:abstractNumId w:val="1"/>
  </w:num>
  <w:num w:numId="6" w16cid:durableId="2083604888">
    <w:abstractNumId w:val="6"/>
  </w:num>
  <w:num w:numId="7" w16cid:durableId="2070573238">
    <w:abstractNumId w:val="7"/>
  </w:num>
  <w:num w:numId="8" w16cid:durableId="1962152233">
    <w:abstractNumId w:val="3"/>
  </w:num>
  <w:num w:numId="9" w16cid:durableId="9259238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022"/>
    <w:rsid w:val="00024593"/>
    <w:rsid w:val="00025765"/>
    <w:rsid w:val="00044ED0"/>
    <w:rsid w:val="00051DCE"/>
    <w:rsid w:val="000870C3"/>
    <w:rsid w:val="00124666"/>
    <w:rsid w:val="00130DA8"/>
    <w:rsid w:val="001529D6"/>
    <w:rsid w:val="001C25C3"/>
    <w:rsid w:val="00203D51"/>
    <w:rsid w:val="00262B46"/>
    <w:rsid w:val="002C1690"/>
    <w:rsid w:val="00322DF9"/>
    <w:rsid w:val="00335764"/>
    <w:rsid w:val="00382664"/>
    <w:rsid w:val="003B1D3E"/>
    <w:rsid w:val="003B25C9"/>
    <w:rsid w:val="003C3074"/>
    <w:rsid w:val="00443022"/>
    <w:rsid w:val="004613BE"/>
    <w:rsid w:val="004C4426"/>
    <w:rsid w:val="004D3944"/>
    <w:rsid w:val="004E6139"/>
    <w:rsid w:val="0052049A"/>
    <w:rsid w:val="005406F0"/>
    <w:rsid w:val="00580EB4"/>
    <w:rsid w:val="00584BF5"/>
    <w:rsid w:val="005C31B4"/>
    <w:rsid w:val="005D0EA3"/>
    <w:rsid w:val="00624E6C"/>
    <w:rsid w:val="006829E8"/>
    <w:rsid w:val="006B41B1"/>
    <w:rsid w:val="006D5FD3"/>
    <w:rsid w:val="007B71A8"/>
    <w:rsid w:val="007E0FE2"/>
    <w:rsid w:val="008443EE"/>
    <w:rsid w:val="00891670"/>
    <w:rsid w:val="008A122E"/>
    <w:rsid w:val="008D20E1"/>
    <w:rsid w:val="00901CD9"/>
    <w:rsid w:val="0094582D"/>
    <w:rsid w:val="009B5CA0"/>
    <w:rsid w:val="00A043A6"/>
    <w:rsid w:val="00A201BC"/>
    <w:rsid w:val="00A208DC"/>
    <w:rsid w:val="00A25B40"/>
    <w:rsid w:val="00A41F78"/>
    <w:rsid w:val="00A5178B"/>
    <w:rsid w:val="00A531C3"/>
    <w:rsid w:val="00A643AB"/>
    <w:rsid w:val="00AA61B3"/>
    <w:rsid w:val="00AE390D"/>
    <w:rsid w:val="00B37CED"/>
    <w:rsid w:val="00B41ED1"/>
    <w:rsid w:val="00B67BBE"/>
    <w:rsid w:val="00B871E8"/>
    <w:rsid w:val="00BA1EFA"/>
    <w:rsid w:val="00BD4E24"/>
    <w:rsid w:val="00BE17B6"/>
    <w:rsid w:val="00C96464"/>
    <w:rsid w:val="00D0337A"/>
    <w:rsid w:val="00DB16FA"/>
    <w:rsid w:val="00DF64A1"/>
    <w:rsid w:val="00E329FA"/>
    <w:rsid w:val="00E46BBE"/>
    <w:rsid w:val="00F24626"/>
    <w:rsid w:val="00FA1EB1"/>
    <w:rsid w:val="00FA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A03D6"/>
  <w15:chartTrackingRefBased/>
  <w15:docId w15:val="{633E061E-DCFF-487E-8A7D-0260E388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C31B4"/>
    <w:pPr>
      <w:tabs>
        <w:tab w:val="left" w:pos="709"/>
      </w:tabs>
      <w:spacing w:after="240" w:line="240" w:lineRule="auto"/>
      <w:ind w:left="708"/>
    </w:pPr>
    <w:rPr>
      <w:rFonts w:ascii="Arial" w:eastAsia="Times New Roman" w:hAnsi="Arial" w:cs="Arial"/>
      <w:sz w:val="20"/>
      <w:szCs w:val="20"/>
      <w:lang w:val="es-MX" w:eastAsia="es-ES"/>
    </w:rPr>
  </w:style>
  <w:style w:type="paragraph" w:customStyle="1" w:styleId="Estilo1">
    <w:name w:val="Estilo1"/>
    <w:basedOn w:val="Title"/>
    <w:link w:val="Estilo1Car"/>
    <w:qFormat/>
    <w:rsid w:val="005C31B4"/>
    <w:rPr>
      <w:rFonts w:ascii="Arial" w:hAnsi="Arial" w:cs="Arial"/>
      <w:lang w:val="es-HN" w:eastAsia="es-ES"/>
    </w:rPr>
  </w:style>
  <w:style w:type="character" w:customStyle="1" w:styleId="Estilo1Car">
    <w:name w:val="Estilo1 Car"/>
    <w:basedOn w:val="TitleChar"/>
    <w:link w:val="Estilo1"/>
    <w:rsid w:val="005C31B4"/>
    <w:rPr>
      <w:rFonts w:ascii="Arial" w:eastAsiaTheme="majorEastAsia" w:hAnsi="Arial" w:cs="Arial"/>
      <w:spacing w:val="-10"/>
      <w:kern w:val="28"/>
      <w:sz w:val="56"/>
      <w:szCs w:val="56"/>
      <w:lang w:val="es-HN" w:eastAsia="es-E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C31B4"/>
    <w:rPr>
      <w:rFonts w:ascii="Arial" w:eastAsia="Times New Roman" w:hAnsi="Arial" w:cs="Arial"/>
      <w:sz w:val="20"/>
      <w:szCs w:val="20"/>
      <w:lang w:val="es-MX" w:eastAsia="es-ES"/>
    </w:rPr>
  </w:style>
  <w:style w:type="paragraph" w:styleId="Title">
    <w:name w:val="Title"/>
    <w:basedOn w:val="Normal"/>
    <w:next w:val="Normal"/>
    <w:link w:val="TitleChar"/>
    <w:uiPriority w:val="10"/>
    <w:qFormat/>
    <w:rsid w:val="005C31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3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noteText">
    <w:name w:val="footnote text"/>
    <w:aliases w:val="fn,Texto nota pie IIRSA,Car,ft,footnote,Texto,nota,pie,Ref.,al,F1,texto de nota al pie,NOTA AL PIE TESIS PUCP,foottextfra,F,footnote text,Geneva 9,Font: Geneva 9,Boston 10,f,Fußnotentextr,Texto nota pie Car Car,single space,Fußn"/>
    <w:basedOn w:val="Normal"/>
    <w:link w:val="FootnoteTextChar"/>
    <w:uiPriority w:val="99"/>
    <w:unhideWhenUsed/>
    <w:rsid w:val="0094582D"/>
    <w:pPr>
      <w:spacing w:after="0" w:line="240" w:lineRule="auto"/>
    </w:pPr>
    <w:rPr>
      <w:sz w:val="20"/>
      <w:szCs w:val="20"/>
      <w:lang w:val="es-HN"/>
    </w:rPr>
  </w:style>
  <w:style w:type="character" w:customStyle="1" w:styleId="FootnoteTextChar">
    <w:name w:val="Footnote Text Char"/>
    <w:aliases w:val="fn Char,Texto nota pie IIRSA Char,Car Char,ft Char,footnote Char,Texto Char,nota Char,pie Char,Ref. Char,al Char,F1 Char,texto de nota al pie Char,NOTA AL PIE TESIS PUCP Char,foottextfra Char,F Char,footnote text Char,Geneva 9 Char"/>
    <w:basedOn w:val="DefaultParagraphFont"/>
    <w:link w:val="FootnoteText"/>
    <w:uiPriority w:val="99"/>
    <w:rsid w:val="0094582D"/>
    <w:rPr>
      <w:sz w:val="20"/>
      <w:szCs w:val="20"/>
      <w:lang w:val="es-HN"/>
    </w:rPr>
  </w:style>
  <w:style w:type="paragraph" w:styleId="Header">
    <w:name w:val="header"/>
    <w:basedOn w:val="Normal"/>
    <w:link w:val="HeaderChar"/>
    <w:uiPriority w:val="99"/>
    <w:unhideWhenUsed/>
    <w:rsid w:val="002C1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1690"/>
  </w:style>
  <w:style w:type="paragraph" w:styleId="Footer">
    <w:name w:val="footer"/>
    <w:basedOn w:val="Normal"/>
    <w:link w:val="FooterChar"/>
    <w:uiPriority w:val="99"/>
    <w:unhideWhenUsed/>
    <w:rsid w:val="002C1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1690"/>
  </w:style>
  <w:style w:type="character" w:styleId="Strong">
    <w:name w:val="Strong"/>
    <w:basedOn w:val="DefaultParagraphFont"/>
    <w:uiPriority w:val="22"/>
    <w:qFormat/>
    <w:rsid w:val="00BD4E24"/>
    <w:rPr>
      <w:b/>
      <w:bCs/>
    </w:rPr>
  </w:style>
  <w:style w:type="paragraph" w:customStyle="1" w:styleId="Estilo2">
    <w:name w:val="Estilo2"/>
    <w:basedOn w:val="ListParagraph"/>
    <w:link w:val="Estilo2Car"/>
    <w:qFormat/>
    <w:rsid w:val="00BD4E24"/>
    <w:pPr>
      <w:tabs>
        <w:tab w:val="clear" w:pos="709"/>
      </w:tabs>
      <w:spacing w:after="160" w:line="259" w:lineRule="auto"/>
      <w:ind w:left="720"/>
      <w:contextualSpacing/>
    </w:pPr>
    <w:rPr>
      <w:rFonts w:ascii="Arial Narrow" w:hAnsi="Arial Narrow"/>
      <w:u w:val="single"/>
      <w:lang w:val="es-HN"/>
    </w:rPr>
  </w:style>
  <w:style w:type="character" w:customStyle="1" w:styleId="Estilo2Car">
    <w:name w:val="Estilo2 Car"/>
    <w:basedOn w:val="ListParagraphChar"/>
    <w:link w:val="Estilo2"/>
    <w:rsid w:val="00BD4E24"/>
    <w:rPr>
      <w:rFonts w:ascii="Arial Narrow" w:eastAsia="Times New Roman" w:hAnsi="Arial Narrow" w:cs="Arial"/>
      <w:sz w:val="20"/>
      <w:szCs w:val="20"/>
      <w:u w:val="single"/>
      <w:lang w:val="es-HN" w:eastAsia="es-ES"/>
    </w:rPr>
  </w:style>
  <w:style w:type="table" w:styleId="TableGrid">
    <w:name w:val="Table Grid"/>
    <w:basedOn w:val="TableNormal"/>
    <w:uiPriority w:val="39"/>
    <w:rsid w:val="0046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"/>
    <w:basedOn w:val="DefaultParagraphFont"/>
    <w:uiPriority w:val="99"/>
    <w:unhideWhenUsed/>
    <w:rsid w:val="004613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 LastSyncTimeStamp="2022-04-13T16:45:15.69Z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094B9D10DFD5343B1E0EE5A88898201" ma:contentTypeVersion="0" ma:contentTypeDescription="A content type to manage public (operations) IDB documents" ma:contentTypeScope="" ma:versionID="7eb70a19e8977aff693dda65dea2a0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e9c99d6efd84ae3a59f0c62c01494c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IDBDocs_x0020_Number xmlns="cdc7663a-08f0-4737-9e8c-148ce897a09c" xsi:nil="true"/>
    <Division_x0020_or_x0020_Unit xmlns="cdc7663a-08f0-4737-9e8c-148ce897a09c">DIS/CCR</Division_x0020_or_x0020_Unit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Environmental and Social Risk Management</TermName>
          <TermId xmlns="http://schemas.microsoft.com/office/infopath/2007/PartnerControls">24bef61f-13fe-49fb-8944-c01660937ef9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Urena Solis Laura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CLIMATE CHANGE ADAPTATION POLICY</TermName>
          <TermId xmlns="http://schemas.microsoft.com/office/infopath/2007/PartnerControls">d69113c3-94f3-4894-9c2f-0ab925485eb4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MSE</TermName>
          <TermId xmlns="http://schemas.microsoft.com/office/infopath/2007/PartnerControls">885e5e10-9702-47fd-b8f5-46d06b5d5966</TermId>
        </TermInfo>
      </Terms>
    </g511464f9e53401d84b16fa9b379a574>
    <Related_x0020_SisCor_x0020_Number xmlns="cdc7663a-08f0-4737-9e8c-148ce897a09c" xsi:nil="true"/>
    <TaxCatchAll xmlns="cdc7663a-08f0-4737-9e8c-148ce897a09c">
      <Value>153</Value>
      <Value>33</Value>
      <Value>24</Value>
      <Value>72</Value>
      <Value>7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SU-T1159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ENVIRONMENT AND NATURAL DISASTERS</TermName>
          <TermId xmlns="http://schemas.microsoft.com/office/infopath/2007/PartnerControls">261e2b33-090b-4ab0-8e06-3aa3e7f32d57</TermId>
        </TermInfo>
      </Terms>
    </nddeef1749674d76abdbe4b239a70bc6>
    <Record_x0020_Number xmlns="cdc7663a-08f0-4737-9e8c-148ce897a09c" xsi:nil="true"/>
    <Extracted_x0020_Keywords xmlns="cdc7663a-08f0-4737-9e8c-148ce897a09c" xsi:nil="true"/>
    <_dlc_DocId xmlns="cdc7663a-08f0-4737-9e8c-148ce897a09c">EZSHARE-2074296596-7</_dlc_DocId>
    <_dlc_DocIdUrl xmlns="cdc7663a-08f0-4737-9e8c-148ce897a09c">
      <Url>https://idbg.sharepoint.com/teams/EZ-SU-TCP/SU-T1159/_layouts/15/DocIdRedir.aspx?ID=EZSHARE-2074296596-7</Url>
      <Description>EZSHARE-2074296596-7</Description>
    </_dlc_DocIdUrl>
    <Disclosure_x0020_Activity xmlns="cdc7663a-08f0-4737-9e8c-148ce897a09c">Environmental and Social Review Summary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05137640-F20E-4341-8633-E6DE846944AD}"/>
</file>

<file path=customXml/itemProps2.xml><?xml version="1.0" encoding="utf-8"?>
<ds:datastoreItem xmlns:ds="http://schemas.openxmlformats.org/officeDocument/2006/customXml" ds:itemID="{B2DE6D14-BC3A-444D-A6CF-BBA46EAEC3EE}"/>
</file>

<file path=customXml/itemProps3.xml><?xml version="1.0" encoding="utf-8"?>
<ds:datastoreItem xmlns:ds="http://schemas.openxmlformats.org/officeDocument/2006/customXml" ds:itemID="{B6AA6A64-A2ED-4C17-8A97-80F979673292}"/>
</file>

<file path=customXml/itemProps4.xml><?xml version="1.0" encoding="utf-8"?>
<ds:datastoreItem xmlns:ds="http://schemas.openxmlformats.org/officeDocument/2006/customXml" ds:itemID="{63BB428F-1B56-43E7-B0EC-4036AA7C188D}"/>
</file>

<file path=customXml/itemProps5.xml><?xml version="1.0" encoding="utf-8"?>
<ds:datastoreItem xmlns:ds="http://schemas.openxmlformats.org/officeDocument/2006/customXml" ds:itemID="{0A8CCC20-D941-4886-9967-DD692D31F625}"/>
</file>

<file path=customXml/itemProps6.xml><?xml version="1.0" encoding="utf-8"?>
<ds:datastoreItem xmlns:ds="http://schemas.openxmlformats.org/officeDocument/2006/customXml" ds:itemID="{6F84C0B5-21B5-4470-A2BF-45A315D06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ERM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 Cerro</dc:creator>
  <cp:keywords/>
  <dc:description/>
  <cp:lastModifiedBy>Garcia de Paredes, Margarita Raquel</cp:lastModifiedBy>
  <cp:revision>16</cp:revision>
  <dcterms:created xsi:type="dcterms:W3CDTF">2022-09-09T21:16:00Z</dcterms:created>
  <dcterms:modified xsi:type="dcterms:W3CDTF">2022-09-11T11:45:00Z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-1171190491</vt:i4>
  </property>
  <property fmtid="{D5CDD505-2E9C-101B-9397-08002B2CF9AE}" pid="3" name="_NewReviewCycle">
    <vt:lpwstr/>
  </property>
  <property fmtid="{D5CDD505-2E9C-101B-9397-08002B2CF9AE}" pid="4" name="_EmailSubject">
    <vt:lpwstr>SARAS revisado</vt:lpwstr>
  </property>
  <property fmtid="{D5CDD505-2E9C-101B-9397-08002B2CF9AE}" pid="5" name="_AuthorEmail">
    <vt:lpwstr>Ricardo.Calvo@erm.com</vt:lpwstr>
  </property>
  <property fmtid="{D5CDD505-2E9C-101B-9397-08002B2CF9AE}" pid="6" name="_AuthorEmailDisplayName">
    <vt:lpwstr>Ricardo Calvo</vt:lpwstr>
  </property>
  <property fmtid="{D5CDD505-2E9C-101B-9397-08002B2CF9AE}" pid="7" name="_ReviewingToolsShownOnce">
    <vt:lpwstr/>
  </property>
  <property fmtid="{D5CDD505-2E9C-101B-9397-08002B2CF9AE}" pid="8" name="ContentTypeId">
    <vt:lpwstr>0x0101001A458A224826124E8B45B1D613300CFC007094B9D10DFD5343B1E0EE5A88898201</vt:lpwstr>
  </property>
  <property fmtid="{D5CDD505-2E9C-101B-9397-08002B2CF9AE}" pid="9" name="TaxKeyword">
    <vt:lpwstr/>
  </property>
  <property fmtid="{D5CDD505-2E9C-101B-9397-08002B2CF9AE}" pid="10" name="Sub_x002d_Sector">
    <vt:lpwstr/>
  </property>
  <property fmtid="{D5CDD505-2E9C-101B-9397-08002B2CF9AE}" pid="11" name="TaxKeywordTaxHTField">
    <vt:lpwstr/>
  </property>
  <property fmtid="{D5CDD505-2E9C-101B-9397-08002B2CF9AE}" pid="12" name="Country">
    <vt:lpwstr>24;#Suriname|78f391d2-6a9c-4a90-96e5-b3c0fdf8e7da</vt:lpwstr>
  </property>
  <property fmtid="{D5CDD505-2E9C-101B-9397-08002B2CF9AE}" pid="13" name="Fund_x0020_IDB">
    <vt:lpwstr/>
  </property>
  <property fmtid="{D5CDD505-2E9C-101B-9397-08002B2CF9AE}" pid="14" name="Series_x0020_Operations_x0020_IDB">
    <vt:lpwstr/>
  </property>
  <property fmtid="{D5CDD505-2E9C-101B-9397-08002B2CF9AE}" pid="15" name="Function Operations IDB">
    <vt:lpwstr>7;#Environmental and Social Risk Management|24bef61f-13fe-49fb-8944-c01660937ef9</vt:lpwstr>
  </property>
  <property fmtid="{D5CDD505-2E9C-101B-9397-08002B2CF9AE}" pid="16" name="Sector_x0020_IDB">
    <vt:lpwstr/>
  </property>
  <property fmtid="{D5CDD505-2E9C-101B-9397-08002B2CF9AE}" pid="17" name="Sub-Sector">
    <vt:lpwstr>153;#CLIMATE CHANGE ADAPTATION POLICY|d69113c3-94f3-4894-9c2f-0ab925485eb4</vt:lpwstr>
  </property>
  <property fmtid="{D5CDD505-2E9C-101B-9397-08002B2CF9AE}" pid="19" name="Fund IDB">
    <vt:lpwstr>33;#MSE|885e5e10-9702-47fd-b8f5-46d06b5d5966</vt:lpwstr>
  </property>
  <property fmtid="{D5CDD505-2E9C-101B-9397-08002B2CF9AE}" pid="20" name="Sector IDB">
    <vt:lpwstr>72;#ENVIRONMENT AND NATURAL DISASTERS|261e2b33-090b-4ab0-8e06-3aa3e7f32d57</vt:lpwstr>
  </property>
  <property fmtid="{D5CDD505-2E9C-101B-9397-08002B2CF9AE}" pid="21" name="_dlc_DocIdItemGuid">
    <vt:lpwstr>508bb92c-c5d6-461c-a3f8-0761f713a1b3</vt:lpwstr>
  </property>
  <property fmtid="{D5CDD505-2E9C-101B-9397-08002B2CF9AE}" pid="22" name="Series Operations IDB">
    <vt:lpwstr/>
  </property>
</Properties>
</file>