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21A6A" w14:textId="72466CE6" w:rsidR="00434C4A" w:rsidRPr="005C2321" w:rsidRDefault="00434C4A" w:rsidP="00434C4A">
      <w:pPr>
        <w:jc w:val="center"/>
        <w:rPr>
          <w:rFonts w:ascii="Arial" w:hAnsi="Arial" w:cs="Arial"/>
          <w:b/>
          <w:sz w:val="24"/>
          <w:szCs w:val="24"/>
        </w:rPr>
      </w:pPr>
      <w:r w:rsidRPr="005C2321">
        <w:rPr>
          <w:rFonts w:ascii="Arial" w:hAnsi="Arial" w:cs="Arial"/>
          <w:b/>
          <w:sz w:val="24"/>
          <w:szCs w:val="24"/>
        </w:rPr>
        <w:t>DOCUMENTO DEL BANCO INTERAMERICANO DE DESARROLLO</w:t>
      </w:r>
    </w:p>
    <w:p w14:paraId="59EC2EA5" w14:textId="77777777" w:rsidR="00434C4A" w:rsidRPr="005C2321" w:rsidRDefault="00434C4A" w:rsidP="00434C4A">
      <w:pPr>
        <w:jc w:val="center"/>
        <w:rPr>
          <w:rFonts w:ascii="Arial" w:hAnsi="Arial" w:cs="Arial"/>
          <w:b/>
          <w:sz w:val="24"/>
          <w:szCs w:val="24"/>
        </w:rPr>
      </w:pPr>
    </w:p>
    <w:p w14:paraId="54C65D7C" w14:textId="77777777" w:rsidR="00E11A8C" w:rsidRPr="005C2321" w:rsidRDefault="00E11A8C" w:rsidP="00E11A8C">
      <w:pPr>
        <w:jc w:val="center"/>
        <w:rPr>
          <w:rFonts w:ascii="Arial" w:hAnsi="Arial" w:cs="Arial"/>
          <w:b/>
          <w:sz w:val="24"/>
          <w:szCs w:val="24"/>
        </w:rPr>
      </w:pPr>
    </w:p>
    <w:p w14:paraId="58FD4D50" w14:textId="77777777" w:rsidR="00E11A8C" w:rsidRPr="005C2321" w:rsidRDefault="00E11A8C" w:rsidP="00E11A8C">
      <w:pPr>
        <w:jc w:val="center"/>
        <w:rPr>
          <w:rFonts w:ascii="Arial" w:hAnsi="Arial" w:cs="Arial"/>
          <w:b/>
          <w:sz w:val="24"/>
          <w:szCs w:val="24"/>
        </w:rPr>
      </w:pPr>
    </w:p>
    <w:p w14:paraId="088BEC27" w14:textId="77777777" w:rsidR="00E11A8C" w:rsidRPr="005C2321" w:rsidRDefault="00E11A8C" w:rsidP="00E11A8C">
      <w:pPr>
        <w:jc w:val="center"/>
        <w:rPr>
          <w:rFonts w:ascii="Arial" w:hAnsi="Arial" w:cs="Arial"/>
          <w:b/>
          <w:sz w:val="24"/>
          <w:szCs w:val="24"/>
        </w:rPr>
      </w:pPr>
    </w:p>
    <w:p w14:paraId="4DC3F2CC" w14:textId="77777777" w:rsidR="00E87D9D" w:rsidRPr="005C2321" w:rsidRDefault="00E87D9D" w:rsidP="00E11A8C">
      <w:pPr>
        <w:jc w:val="center"/>
        <w:rPr>
          <w:rFonts w:ascii="Arial" w:hAnsi="Arial" w:cs="Arial"/>
          <w:b/>
          <w:sz w:val="24"/>
          <w:szCs w:val="24"/>
        </w:rPr>
      </w:pPr>
    </w:p>
    <w:p w14:paraId="7AEF51D5" w14:textId="77777777" w:rsidR="00E11A8C" w:rsidRPr="005C2321" w:rsidRDefault="00E11A8C" w:rsidP="00E11A8C">
      <w:pPr>
        <w:jc w:val="center"/>
        <w:rPr>
          <w:rFonts w:ascii="Arial" w:hAnsi="Arial" w:cs="Arial"/>
          <w:b/>
          <w:sz w:val="24"/>
          <w:szCs w:val="24"/>
        </w:rPr>
      </w:pPr>
      <w:r w:rsidRPr="005C2321">
        <w:rPr>
          <w:rFonts w:ascii="Arial" w:hAnsi="Arial" w:cs="Arial"/>
          <w:b/>
          <w:sz w:val="24"/>
          <w:szCs w:val="24"/>
        </w:rPr>
        <w:t>PARAGUAY</w:t>
      </w:r>
    </w:p>
    <w:p w14:paraId="4A234506" w14:textId="77777777" w:rsidR="00E11A8C" w:rsidRPr="005C2321" w:rsidRDefault="00E11A8C" w:rsidP="00E11A8C">
      <w:pPr>
        <w:jc w:val="center"/>
        <w:rPr>
          <w:rFonts w:ascii="Arial" w:hAnsi="Arial" w:cs="Arial"/>
          <w:b/>
          <w:sz w:val="24"/>
          <w:szCs w:val="24"/>
        </w:rPr>
      </w:pPr>
    </w:p>
    <w:p w14:paraId="461BDFB4" w14:textId="77777777" w:rsidR="00E11A8C" w:rsidRPr="005C2321" w:rsidRDefault="00E11A8C" w:rsidP="00E11A8C">
      <w:pPr>
        <w:tabs>
          <w:tab w:val="left" w:pos="709"/>
        </w:tabs>
        <w:jc w:val="center"/>
        <w:rPr>
          <w:rFonts w:ascii="Arial" w:hAnsi="Arial" w:cs="Arial"/>
          <w:b/>
          <w:sz w:val="24"/>
          <w:szCs w:val="24"/>
        </w:rPr>
      </w:pPr>
    </w:p>
    <w:p w14:paraId="3661E524" w14:textId="77777777" w:rsidR="00E11A8C" w:rsidRPr="005C2321" w:rsidRDefault="00E11A8C" w:rsidP="00E11A8C">
      <w:pPr>
        <w:jc w:val="center"/>
        <w:rPr>
          <w:rFonts w:ascii="Arial" w:hAnsi="Arial" w:cs="Arial"/>
          <w:b/>
          <w:sz w:val="24"/>
          <w:szCs w:val="24"/>
        </w:rPr>
      </w:pPr>
    </w:p>
    <w:p w14:paraId="64A06D5E" w14:textId="77777777" w:rsidR="00E11A8C" w:rsidRPr="005C2321" w:rsidRDefault="00E11A8C" w:rsidP="00E11A8C">
      <w:pPr>
        <w:jc w:val="center"/>
        <w:rPr>
          <w:rFonts w:ascii="Arial" w:hAnsi="Arial" w:cs="Arial"/>
          <w:b/>
          <w:sz w:val="24"/>
          <w:szCs w:val="24"/>
        </w:rPr>
      </w:pPr>
    </w:p>
    <w:p w14:paraId="7990A070" w14:textId="77777777" w:rsidR="00E11A8C" w:rsidRPr="005C2321" w:rsidRDefault="00E11A8C" w:rsidP="00E11A8C">
      <w:pPr>
        <w:jc w:val="center"/>
        <w:rPr>
          <w:rFonts w:ascii="Arial" w:hAnsi="Arial" w:cs="Arial"/>
          <w:b/>
          <w:sz w:val="24"/>
          <w:szCs w:val="24"/>
        </w:rPr>
      </w:pPr>
    </w:p>
    <w:p w14:paraId="1E95C256" w14:textId="77777777" w:rsidR="00247676" w:rsidRDefault="00247676" w:rsidP="00247676">
      <w:pPr>
        <w:tabs>
          <w:tab w:val="left" w:pos="1440"/>
          <w:tab w:val="left" w:pos="3060"/>
        </w:tabs>
        <w:suppressAutoHyphens/>
        <w:ind w:right="-180"/>
        <w:jc w:val="center"/>
        <w:rPr>
          <w:rFonts w:ascii="Arial Bold" w:hAnsi="Arial Bold" w:cs="Arial"/>
          <w:b/>
          <w:smallCaps/>
          <w:color w:val="000000" w:themeColor="text1"/>
          <w:sz w:val="28"/>
          <w:szCs w:val="28"/>
          <w:lang w:val="es-ES_tradnl"/>
        </w:rPr>
      </w:pPr>
      <w:r>
        <w:rPr>
          <w:rFonts w:ascii="Arial Bold" w:hAnsi="Arial Bold" w:cs="Arial"/>
          <w:b/>
          <w:smallCaps/>
          <w:color w:val="000000" w:themeColor="text1"/>
          <w:sz w:val="28"/>
          <w:szCs w:val="28"/>
          <w:lang w:val="es-ES_tradnl"/>
        </w:rPr>
        <w:t>Inversiones en Finanzas Públicas para el Desarrollo Sostenible</w:t>
      </w:r>
    </w:p>
    <w:p w14:paraId="774D5C5E" w14:textId="724D2386" w:rsidR="00E11A8C" w:rsidRPr="005C2321" w:rsidRDefault="00247676" w:rsidP="00247676">
      <w:pPr>
        <w:jc w:val="center"/>
        <w:rPr>
          <w:rFonts w:ascii="Arial" w:hAnsi="Arial" w:cs="Arial"/>
          <w:b/>
          <w:sz w:val="24"/>
          <w:szCs w:val="24"/>
        </w:rPr>
      </w:pPr>
      <w:r w:rsidRPr="005C2321">
        <w:rPr>
          <w:rFonts w:ascii="Arial" w:hAnsi="Arial" w:cs="Arial"/>
          <w:b/>
          <w:sz w:val="24"/>
          <w:szCs w:val="24"/>
        </w:rPr>
        <w:t xml:space="preserve"> </w:t>
      </w:r>
      <w:r w:rsidR="00E11A8C" w:rsidRPr="005C2321">
        <w:rPr>
          <w:rFonts w:ascii="Arial" w:hAnsi="Arial" w:cs="Arial"/>
          <w:b/>
          <w:sz w:val="24"/>
          <w:szCs w:val="24"/>
        </w:rPr>
        <w:t>(PR L1150)</w:t>
      </w:r>
    </w:p>
    <w:p w14:paraId="6DDD7FE0" w14:textId="77777777" w:rsidR="00E11A8C" w:rsidRPr="005C2321" w:rsidRDefault="00E11A8C" w:rsidP="00E11A8C">
      <w:pPr>
        <w:jc w:val="center"/>
        <w:rPr>
          <w:rFonts w:ascii="Arial" w:hAnsi="Arial" w:cs="Arial"/>
          <w:b/>
          <w:sz w:val="24"/>
          <w:szCs w:val="24"/>
        </w:rPr>
      </w:pPr>
      <w:bookmarkStart w:id="0" w:name="_GoBack"/>
      <w:bookmarkEnd w:id="0"/>
    </w:p>
    <w:p w14:paraId="657FACC8" w14:textId="77777777" w:rsidR="00E11A8C" w:rsidRPr="005C2321" w:rsidRDefault="00E11A8C" w:rsidP="00E11A8C">
      <w:pPr>
        <w:jc w:val="center"/>
        <w:rPr>
          <w:rFonts w:ascii="Arial" w:hAnsi="Arial" w:cs="Arial"/>
          <w:b/>
          <w:sz w:val="24"/>
          <w:szCs w:val="24"/>
        </w:rPr>
      </w:pPr>
    </w:p>
    <w:p w14:paraId="6E1470F6" w14:textId="71C3D1D7" w:rsidR="00E11A8C" w:rsidRPr="005C2321" w:rsidRDefault="00E11A8C" w:rsidP="00E11A8C">
      <w:pPr>
        <w:jc w:val="center"/>
        <w:rPr>
          <w:rFonts w:ascii="Arial" w:hAnsi="Arial" w:cs="Arial"/>
          <w:b/>
          <w:sz w:val="24"/>
          <w:szCs w:val="24"/>
        </w:rPr>
      </w:pPr>
      <w:r w:rsidRPr="005C2321">
        <w:rPr>
          <w:rFonts w:ascii="Arial" w:hAnsi="Arial" w:cs="Arial"/>
          <w:b/>
          <w:sz w:val="24"/>
          <w:szCs w:val="24"/>
        </w:rPr>
        <w:t>-  EVALUACIÓN ECONÓMICA-</w:t>
      </w:r>
    </w:p>
    <w:p w14:paraId="213E7452" w14:textId="77777777" w:rsidR="00E11A8C" w:rsidRPr="005C2321" w:rsidRDefault="00E11A8C" w:rsidP="00E11A8C">
      <w:pPr>
        <w:jc w:val="center"/>
        <w:rPr>
          <w:rFonts w:ascii="Arial" w:hAnsi="Arial" w:cs="Arial"/>
          <w:b/>
          <w:sz w:val="24"/>
          <w:szCs w:val="24"/>
        </w:rPr>
      </w:pPr>
    </w:p>
    <w:p w14:paraId="6DB8D918" w14:textId="77777777" w:rsidR="00E11A8C" w:rsidRPr="005C2321" w:rsidRDefault="00E11A8C" w:rsidP="00E11A8C">
      <w:pPr>
        <w:jc w:val="center"/>
        <w:rPr>
          <w:rFonts w:ascii="Arial" w:hAnsi="Arial" w:cs="Arial"/>
          <w:b/>
          <w:sz w:val="24"/>
          <w:szCs w:val="24"/>
        </w:rPr>
      </w:pPr>
    </w:p>
    <w:p w14:paraId="7AAB8C16" w14:textId="77777777" w:rsidR="00434C4A" w:rsidRPr="005C2321" w:rsidRDefault="00434C4A" w:rsidP="00434C4A">
      <w:pPr>
        <w:jc w:val="center"/>
        <w:rPr>
          <w:rFonts w:ascii="Arial" w:hAnsi="Arial" w:cs="Arial"/>
          <w:b/>
          <w:sz w:val="24"/>
          <w:szCs w:val="24"/>
        </w:rPr>
      </w:pPr>
    </w:p>
    <w:p w14:paraId="46E66E25" w14:textId="77777777" w:rsidR="004A1BA5" w:rsidRPr="005C2321" w:rsidRDefault="004A1BA5" w:rsidP="00434C4A">
      <w:pPr>
        <w:jc w:val="center"/>
        <w:rPr>
          <w:rFonts w:ascii="Arial" w:hAnsi="Arial" w:cs="Arial"/>
          <w:b/>
          <w:sz w:val="24"/>
          <w:szCs w:val="24"/>
        </w:rPr>
      </w:pPr>
    </w:p>
    <w:p w14:paraId="79732C0A" w14:textId="2BBBCD28" w:rsidR="00E714DB" w:rsidRPr="005C2321" w:rsidRDefault="00E714DB" w:rsidP="00947691">
      <w:pPr>
        <w:pStyle w:val="BodyText"/>
        <w:pBdr>
          <w:top w:val="single" w:sz="4" w:space="1" w:color="auto"/>
          <w:left w:val="single" w:sz="4" w:space="4" w:color="auto"/>
          <w:bottom w:val="single" w:sz="4" w:space="1" w:color="auto"/>
          <w:right w:val="single" w:sz="4" w:space="4" w:color="auto"/>
        </w:pBdr>
        <w:tabs>
          <w:tab w:val="left" w:pos="1440"/>
        </w:tabs>
        <w:suppressAutoHyphens/>
        <w:ind w:firstLine="0"/>
        <w:rPr>
          <w:rFonts w:ascii="Arial" w:hAnsi="Arial" w:cs="Arial"/>
          <w:lang w:val="es-US"/>
        </w:rPr>
      </w:pPr>
      <w:r w:rsidRPr="005C2321">
        <w:rPr>
          <w:rFonts w:ascii="Arial" w:hAnsi="Arial" w:cs="Arial"/>
          <w:sz w:val="20"/>
          <w:lang w:val="es-MX"/>
        </w:rPr>
        <w:t xml:space="preserve">Este documento fue preparado por </w:t>
      </w:r>
      <w:r w:rsidR="00935DF5" w:rsidRPr="005C2321">
        <w:rPr>
          <w:rFonts w:ascii="Arial" w:hAnsi="Arial" w:cs="Arial"/>
          <w:sz w:val="20"/>
          <w:lang w:val="es-MX"/>
        </w:rPr>
        <w:t xml:space="preserve">Darwin Eufracio (consultor) con supervisión de Axel Radics (FMM/CUR) </w:t>
      </w:r>
    </w:p>
    <w:p w14:paraId="43D6B49F" w14:textId="77777777" w:rsidR="00434C4A" w:rsidRPr="005C2321" w:rsidRDefault="00434C4A" w:rsidP="00434C4A">
      <w:pPr>
        <w:rPr>
          <w:rFonts w:ascii="Arial" w:hAnsi="Arial" w:cs="Arial"/>
          <w:b/>
          <w:sz w:val="24"/>
          <w:lang w:val="es-US"/>
        </w:rPr>
      </w:pPr>
    </w:p>
    <w:p w14:paraId="1EDC1247" w14:textId="77777777" w:rsidR="008A1450" w:rsidRPr="005C2321" w:rsidRDefault="008A1450" w:rsidP="00434C4A">
      <w:pPr>
        <w:tabs>
          <w:tab w:val="left" w:pos="2370"/>
        </w:tabs>
        <w:rPr>
          <w:rFonts w:ascii="Arial" w:hAnsi="Arial" w:cs="Arial"/>
          <w:sz w:val="24"/>
          <w:szCs w:val="24"/>
        </w:rPr>
      </w:pPr>
    </w:p>
    <w:p w14:paraId="7BB5F173" w14:textId="77777777" w:rsidR="008A1450" w:rsidRPr="005C2321" w:rsidRDefault="008A1450" w:rsidP="00434C4A">
      <w:pPr>
        <w:tabs>
          <w:tab w:val="left" w:pos="2370"/>
        </w:tabs>
        <w:rPr>
          <w:rFonts w:ascii="Arial" w:hAnsi="Arial" w:cs="Arial"/>
          <w:sz w:val="24"/>
          <w:szCs w:val="24"/>
        </w:rPr>
      </w:pPr>
    </w:p>
    <w:p w14:paraId="0DFCC9CF" w14:textId="77777777" w:rsidR="00601020" w:rsidRPr="005C2321" w:rsidRDefault="00024773" w:rsidP="008A1450">
      <w:pPr>
        <w:tabs>
          <w:tab w:val="left" w:pos="2370"/>
        </w:tabs>
        <w:jc w:val="center"/>
        <w:rPr>
          <w:rFonts w:ascii="Arial" w:hAnsi="Arial" w:cs="Arial"/>
          <w:sz w:val="24"/>
          <w:szCs w:val="24"/>
        </w:rPr>
      </w:pPr>
      <w:r w:rsidRPr="005C2321">
        <w:rPr>
          <w:rFonts w:ascii="Arial" w:hAnsi="Arial" w:cs="Arial"/>
          <w:sz w:val="24"/>
          <w:szCs w:val="24"/>
        </w:rPr>
        <w:t>Í</w:t>
      </w:r>
      <w:r w:rsidR="008A1450" w:rsidRPr="005C2321">
        <w:rPr>
          <w:rFonts w:ascii="Arial" w:hAnsi="Arial" w:cs="Arial"/>
          <w:sz w:val="24"/>
          <w:szCs w:val="24"/>
        </w:rPr>
        <w:t>NDICE</w:t>
      </w:r>
    </w:p>
    <w:p w14:paraId="35D6B595" w14:textId="77777777" w:rsidR="008A1450" w:rsidRPr="005C2321" w:rsidRDefault="008A1450" w:rsidP="008A1450">
      <w:pPr>
        <w:tabs>
          <w:tab w:val="left" w:pos="2370"/>
        </w:tabs>
        <w:jc w:val="center"/>
        <w:rPr>
          <w:rFonts w:ascii="Arial" w:hAnsi="Arial" w:cs="Arial"/>
          <w:sz w:val="24"/>
          <w:szCs w:val="24"/>
        </w:rPr>
      </w:pPr>
    </w:p>
    <w:p w14:paraId="7B26D688" w14:textId="77777777" w:rsidR="007B2284" w:rsidRPr="005C2321" w:rsidRDefault="00277D6F" w:rsidP="007B2284">
      <w:pPr>
        <w:pStyle w:val="TOC1"/>
        <w:tabs>
          <w:tab w:val="clear" w:pos="5040"/>
          <w:tab w:val="left" w:pos="440"/>
          <w:tab w:val="right" w:leader="dot" w:pos="8789"/>
        </w:tabs>
        <w:rPr>
          <w:rFonts w:ascii="Arial" w:eastAsiaTheme="minorEastAsia" w:hAnsi="Arial" w:cs="Arial"/>
          <w:noProof/>
          <w:lang w:val="es-MX" w:eastAsia="es-MX" w:bidi="ar-SA"/>
        </w:rPr>
      </w:pPr>
      <w:r w:rsidRPr="005C2321">
        <w:rPr>
          <w:rFonts w:ascii="Arial" w:hAnsi="Arial" w:cs="Arial"/>
          <w:sz w:val="24"/>
          <w:szCs w:val="24"/>
        </w:rPr>
        <w:fldChar w:fldCharType="begin"/>
      </w:r>
      <w:r w:rsidR="00164BB0" w:rsidRPr="005C2321">
        <w:rPr>
          <w:rFonts w:ascii="Arial" w:hAnsi="Arial" w:cs="Arial"/>
          <w:sz w:val="24"/>
          <w:szCs w:val="24"/>
        </w:rPr>
        <w:instrText xml:space="preserve"> TOC \o "1-2" \h \z \u </w:instrText>
      </w:r>
      <w:r w:rsidRPr="005C2321">
        <w:rPr>
          <w:rFonts w:ascii="Arial" w:hAnsi="Arial" w:cs="Arial"/>
          <w:sz w:val="24"/>
          <w:szCs w:val="24"/>
        </w:rPr>
        <w:fldChar w:fldCharType="separate"/>
      </w:r>
      <w:hyperlink w:anchor="_Toc523133726" w:history="1">
        <w:r w:rsidR="007B2284" w:rsidRPr="005C2321">
          <w:rPr>
            <w:rStyle w:val="Hyperlink"/>
            <w:rFonts w:ascii="Arial" w:hAnsi="Arial" w:cs="Arial"/>
            <w:noProof/>
            <w:lang w:val="es-ES"/>
          </w:rPr>
          <w:t>I.</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Resumen ejecutivo</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_Toc523133726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w:t>
        </w:r>
        <w:r w:rsidR="007B2284" w:rsidRPr="005C2321">
          <w:rPr>
            <w:rFonts w:ascii="Arial" w:hAnsi="Arial" w:cs="Arial"/>
            <w:noProof/>
            <w:webHidden/>
          </w:rPr>
          <w:fldChar w:fldCharType="end"/>
        </w:r>
      </w:hyperlink>
    </w:p>
    <w:p w14:paraId="1C0116EB" w14:textId="77777777" w:rsidR="007B2284" w:rsidRPr="005C2321" w:rsidRDefault="00247676" w:rsidP="007B2284">
      <w:pPr>
        <w:pStyle w:val="TOC1"/>
        <w:tabs>
          <w:tab w:val="clear" w:pos="5040"/>
          <w:tab w:val="left" w:pos="440"/>
          <w:tab w:val="right" w:leader="dot" w:pos="8789"/>
        </w:tabs>
        <w:rPr>
          <w:rFonts w:ascii="Arial" w:eastAsiaTheme="minorEastAsia" w:hAnsi="Arial" w:cs="Arial"/>
          <w:noProof/>
          <w:lang w:val="es-MX" w:eastAsia="es-MX" w:bidi="ar-SA"/>
        </w:rPr>
      </w:pPr>
      <w:hyperlink w:anchor="_Toc523133727" w:history="1">
        <w:r w:rsidR="007B2284" w:rsidRPr="005C2321">
          <w:rPr>
            <w:rStyle w:val="Hyperlink"/>
            <w:rFonts w:ascii="Arial" w:hAnsi="Arial" w:cs="Arial"/>
            <w:noProof/>
            <w:lang w:val="es-ES"/>
          </w:rPr>
          <w:t>II.</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Contexto</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_Toc523133727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4</w:t>
        </w:r>
        <w:r w:rsidR="007B2284" w:rsidRPr="005C2321">
          <w:rPr>
            <w:rFonts w:ascii="Arial" w:hAnsi="Arial" w:cs="Arial"/>
            <w:noProof/>
            <w:webHidden/>
          </w:rPr>
          <w:fldChar w:fldCharType="end"/>
        </w:r>
      </w:hyperlink>
    </w:p>
    <w:p w14:paraId="70D9046B" w14:textId="77777777" w:rsidR="007B2284" w:rsidRPr="005C2321" w:rsidRDefault="00247676" w:rsidP="007B2284">
      <w:pPr>
        <w:pStyle w:val="TOC1"/>
        <w:tabs>
          <w:tab w:val="clear" w:pos="5040"/>
          <w:tab w:val="left" w:pos="660"/>
          <w:tab w:val="right" w:leader="dot" w:pos="8789"/>
        </w:tabs>
        <w:rPr>
          <w:rFonts w:ascii="Arial" w:eastAsiaTheme="minorEastAsia" w:hAnsi="Arial" w:cs="Arial"/>
          <w:noProof/>
          <w:lang w:val="es-MX" w:eastAsia="es-MX" w:bidi="ar-SA"/>
        </w:rPr>
      </w:pPr>
      <w:hyperlink w:anchor="_Toc523133728" w:history="1">
        <w:r w:rsidR="007B2284" w:rsidRPr="005C2321">
          <w:rPr>
            <w:rStyle w:val="Hyperlink"/>
            <w:rFonts w:ascii="Arial" w:hAnsi="Arial" w:cs="Arial"/>
            <w:noProof/>
            <w:lang w:val="es-ES"/>
          </w:rPr>
          <w:t>III.</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Problemática y evidencia empírica</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_Toc523133728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7</w:t>
        </w:r>
        <w:r w:rsidR="007B2284" w:rsidRPr="005C2321">
          <w:rPr>
            <w:rFonts w:ascii="Arial" w:hAnsi="Arial" w:cs="Arial"/>
            <w:noProof/>
            <w:webHidden/>
          </w:rPr>
          <w:fldChar w:fldCharType="end"/>
        </w:r>
      </w:hyperlink>
    </w:p>
    <w:p w14:paraId="508B6EE9" w14:textId="77777777" w:rsidR="007B2284" w:rsidRPr="005C2321" w:rsidRDefault="00247676" w:rsidP="007B2284">
      <w:pPr>
        <w:pStyle w:val="TOC1"/>
        <w:tabs>
          <w:tab w:val="clear" w:pos="5040"/>
          <w:tab w:val="left" w:pos="660"/>
          <w:tab w:val="right" w:leader="dot" w:pos="8789"/>
        </w:tabs>
        <w:rPr>
          <w:rFonts w:ascii="Arial" w:eastAsiaTheme="minorEastAsia" w:hAnsi="Arial" w:cs="Arial"/>
          <w:noProof/>
          <w:lang w:val="es-MX" w:eastAsia="es-MX" w:bidi="ar-SA"/>
        </w:rPr>
      </w:pPr>
      <w:hyperlink w:anchor="_Toc523133729" w:history="1">
        <w:r w:rsidR="007B2284" w:rsidRPr="005C2321">
          <w:rPr>
            <w:rStyle w:val="Hyperlink"/>
            <w:rFonts w:ascii="Arial" w:hAnsi="Arial" w:cs="Arial"/>
            <w:noProof/>
            <w:lang w:val="es-ES"/>
          </w:rPr>
          <w:t>IV.</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Características del proyecto</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_Toc523133729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9</w:t>
        </w:r>
        <w:r w:rsidR="007B2284" w:rsidRPr="005C2321">
          <w:rPr>
            <w:rFonts w:ascii="Arial" w:hAnsi="Arial" w:cs="Arial"/>
            <w:noProof/>
            <w:webHidden/>
          </w:rPr>
          <w:fldChar w:fldCharType="end"/>
        </w:r>
      </w:hyperlink>
    </w:p>
    <w:p w14:paraId="102ACC2B" w14:textId="77777777" w:rsidR="007B2284" w:rsidRPr="005C2321" w:rsidRDefault="00247676" w:rsidP="007B2284">
      <w:pPr>
        <w:pStyle w:val="TOC1"/>
        <w:tabs>
          <w:tab w:val="clear" w:pos="5040"/>
          <w:tab w:val="left" w:pos="440"/>
          <w:tab w:val="right" w:leader="dot" w:pos="8789"/>
        </w:tabs>
        <w:rPr>
          <w:rFonts w:ascii="Arial" w:eastAsiaTheme="minorEastAsia" w:hAnsi="Arial" w:cs="Arial"/>
          <w:noProof/>
          <w:lang w:val="es-MX" w:eastAsia="es-MX" w:bidi="ar-SA"/>
        </w:rPr>
      </w:pPr>
      <w:hyperlink w:anchor="_Toc523133730" w:history="1">
        <w:r w:rsidR="007B2284" w:rsidRPr="005C2321">
          <w:rPr>
            <w:rStyle w:val="Hyperlink"/>
            <w:rFonts w:ascii="Arial" w:hAnsi="Arial" w:cs="Arial"/>
            <w:noProof/>
            <w:lang w:val="es-ES"/>
          </w:rPr>
          <w:t>V.</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Marco metodológico para la evaluación de proyectos</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_Toc523133730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12</w:t>
        </w:r>
        <w:r w:rsidR="007B2284" w:rsidRPr="005C2321">
          <w:rPr>
            <w:rFonts w:ascii="Arial" w:hAnsi="Arial" w:cs="Arial"/>
            <w:noProof/>
            <w:webHidden/>
          </w:rPr>
          <w:fldChar w:fldCharType="end"/>
        </w:r>
      </w:hyperlink>
    </w:p>
    <w:p w14:paraId="54E75A32" w14:textId="77777777" w:rsidR="007B2284" w:rsidRPr="005C2321" w:rsidRDefault="00247676" w:rsidP="007B2284">
      <w:pPr>
        <w:pStyle w:val="TOC1"/>
        <w:tabs>
          <w:tab w:val="clear" w:pos="5040"/>
          <w:tab w:val="left" w:pos="660"/>
          <w:tab w:val="right" w:leader="dot" w:pos="8789"/>
        </w:tabs>
        <w:rPr>
          <w:rFonts w:ascii="Arial" w:eastAsiaTheme="minorEastAsia" w:hAnsi="Arial" w:cs="Arial"/>
          <w:noProof/>
          <w:lang w:val="es-MX" w:eastAsia="es-MX" w:bidi="ar-SA"/>
        </w:rPr>
      </w:pPr>
      <w:hyperlink w:anchor="_Toc523133731" w:history="1">
        <w:r w:rsidR="007B2284" w:rsidRPr="005C2321">
          <w:rPr>
            <w:rStyle w:val="Hyperlink"/>
            <w:rFonts w:ascii="Arial" w:hAnsi="Arial" w:cs="Arial"/>
            <w:noProof/>
            <w:lang w:val="es-ES"/>
          </w:rPr>
          <w:t>VI.</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El proyecto tiene una Tasa de Rentabilidad Económica (TRE) y/o Valor Actual Neto Social (VANS) para sus componentes principales</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_Toc523133731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15</w:t>
        </w:r>
        <w:r w:rsidR="007B2284" w:rsidRPr="005C2321">
          <w:rPr>
            <w:rFonts w:ascii="Arial" w:hAnsi="Arial" w:cs="Arial"/>
            <w:noProof/>
            <w:webHidden/>
          </w:rPr>
          <w:fldChar w:fldCharType="end"/>
        </w:r>
      </w:hyperlink>
    </w:p>
    <w:p w14:paraId="4A7C226E" w14:textId="77777777" w:rsidR="007B2284" w:rsidRPr="005C2321" w:rsidRDefault="00247676" w:rsidP="007B2284">
      <w:pPr>
        <w:pStyle w:val="TOC1"/>
        <w:tabs>
          <w:tab w:val="clear" w:pos="5040"/>
          <w:tab w:val="left" w:pos="660"/>
          <w:tab w:val="right" w:leader="dot" w:pos="8789"/>
        </w:tabs>
        <w:rPr>
          <w:rFonts w:ascii="Arial" w:eastAsiaTheme="minorEastAsia" w:hAnsi="Arial" w:cs="Arial"/>
          <w:noProof/>
          <w:lang w:val="es-MX" w:eastAsia="es-MX" w:bidi="ar-SA"/>
        </w:rPr>
      </w:pPr>
      <w:hyperlink w:anchor="_Toc523133732" w:history="1">
        <w:r w:rsidR="007B2284" w:rsidRPr="005C2321">
          <w:rPr>
            <w:rStyle w:val="Hyperlink"/>
            <w:rFonts w:ascii="Arial" w:hAnsi="Arial" w:cs="Arial"/>
            <w:noProof/>
            <w:lang w:val="es-ES"/>
          </w:rPr>
          <w:t>VII.</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Los Beneficios económicos se identifican y cuantifican adecuadamente</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_Toc523133732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16</w:t>
        </w:r>
        <w:r w:rsidR="007B2284" w:rsidRPr="005C2321">
          <w:rPr>
            <w:rFonts w:ascii="Arial" w:hAnsi="Arial" w:cs="Arial"/>
            <w:noProof/>
            <w:webHidden/>
          </w:rPr>
          <w:fldChar w:fldCharType="end"/>
        </w:r>
      </w:hyperlink>
    </w:p>
    <w:p w14:paraId="1741AFE1" w14:textId="77777777" w:rsidR="007B2284" w:rsidRPr="005C2321" w:rsidRDefault="00247676" w:rsidP="007B2284">
      <w:pPr>
        <w:pStyle w:val="TOC1"/>
        <w:tabs>
          <w:tab w:val="clear" w:pos="5040"/>
          <w:tab w:val="left" w:pos="660"/>
          <w:tab w:val="right" w:leader="dot" w:pos="8789"/>
        </w:tabs>
        <w:rPr>
          <w:rFonts w:ascii="Arial" w:eastAsiaTheme="minorEastAsia" w:hAnsi="Arial" w:cs="Arial"/>
          <w:noProof/>
          <w:lang w:val="es-MX" w:eastAsia="es-MX" w:bidi="ar-SA"/>
        </w:rPr>
      </w:pPr>
      <w:hyperlink w:anchor="_Toc523133733" w:history="1">
        <w:r w:rsidR="007B2284" w:rsidRPr="005C2321">
          <w:rPr>
            <w:rStyle w:val="Hyperlink"/>
            <w:rFonts w:ascii="Arial" w:hAnsi="Arial" w:cs="Arial"/>
            <w:noProof/>
            <w:lang w:val="es-ES"/>
          </w:rPr>
          <w:t>VIII.</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Todos los costos de recursos reales generados por el proyecto durante su vida se incluyen en el cálculo.</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_Toc523133733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17</w:t>
        </w:r>
        <w:r w:rsidR="007B2284" w:rsidRPr="005C2321">
          <w:rPr>
            <w:rFonts w:ascii="Arial" w:hAnsi="Arial" w:cs="Arial"/>
            <w:noProof/>
            <w:webHidden/>
          </w:rPr>
          <w:fldChar w:fldCharType="end"/>
        </w:r>
      </w:hyperlink>
    </w:p>
    <w:p w14:paraId="4E04FD04" w14:textId="77777777" w:rsidR="007B2284" w:rsidRPr="005C2321" w:rsidRDefault="00247676" w:rsidP="007B2284">
      <w:pPr>
        <w:pStyle w:val="TOC1"/>
        <w:tabs>
          <w:tab w:val="clear" w:pos="5040"/>
          <w:tab w:val="left" w:pos="660"/>
          <w:tab w:val="right" w:leader="dot" w:pos="8789"/>
        </w:tabs>
        <w:rPr>
          <w:rFonts w:ascii="Arial" w:eastAsiaTheme="minorEastAsia" w:hAnsi="Arial" w:cs="Arial"/>
          <w:noProof/>
          <w:lang w:val="es-MX" w:eastAsia="es-MX" w:bidi="ar-SA"/>
        </w:rPr>
      </w:pPr>
      <w:hyperlink w:anchor="_Toc523133734" w:history="1">
        <w:r w:rsidR="007B2284" w:rsidRPr="005C2321">
          <w:rPr>
            <w:rStyle w:val="Hyperlink"/>
            <w:rFonts w:ascii="Arial" w:hAnsi="Arial" w:cs="Arial"/>
            <w:noProof/>
            <w:lang w:val="es-ES"/>
          </w:rPr>
          <w:t>IX.</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Explicación de los supuestos utilizados</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_Toc523133734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19</w:t>
        </w:r>
        <w:r w:rsidR="007B2284" w:rsidRPr="005C2321">
          <w:rPr>
            <w:rFonts w:ascii="Arial" w:hAnsi="Arial" w:cs="Arial"/>
            <w:noProof/>
            <w:webHidden/>
          </w:rPr>
          <w:fldChar w:fldCharType="end"/>
        </w:r>
      </w:hyperlink>
    </w:p>
    <w:p w14:paraId="306B57B9" w14:textId="77777777" w:rsidR="007B2284" w:rsidRPr="005C2321" w:rsidRDefault="00247676" w:rsidP="007B2284">
      <w:pPr>
        <w:pStyle w:val="TOC1"/>
        <w:tabs>
          <w:tab w:val="clear" w:pos="5040"/>
          <w:tab w:val="left" w:pos="440"/>
          <w:tab w:val="right" w:leader="dot" w:pos="8789"/>
        </w:tabs>
        <w:rPr>
          <w:rFonts w:ascii="Arial" w:eastAsiaTheme="minorEastAsia" w:hAnsi="Arial" w:cs="Arial"/>
          <w:noProof/>
          <w:lang w:val="es-MX" w:eastAsia="es-MX" w:bidi="ar-SA"/>
        </w:rPr>
      </w:pPr>
      <w:hyperlink w:anchor="_Toc523133735" w:history="1">
        <w:r w:rsidR="007B2284" w:rsidRPr="005C2321">
          <w:rPr>
            <w:rStyle w:val="Hyperlink"/>
            <w:rFonts w:ascii="Arial" w:hAnsi="Arial" w:cs="Arial"/>
            <w:noProof/>
            <w:lang w:val="es-ES"/>
          </w:rPr>
          <w:t>X.</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Análisis de sensibilidad y riesgo</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_Toc523133735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24</w:t>
        </w:r>
        <w:r w:rsidR="007B2284" w:rsidRPr="005C2321">
          <w:rPr>
            <w:rFonts w:ascii="Arial" w:hAnsi="Arial" w:cs="Arial"/>
            <w:noProof/>
            <w:webHidden/>
          </w:rPr>
          <w:fldChar w:fldCharType="end"/>
        </w:r>
      </w:hyperlink>
    </w:p>
    <w:p w14:paraId="211122CF" w14:textId="77777777" w:rsidR="007B2284" w:rsidRPr="005C2321" w:rsidRDefault="00247676" w:rsidP="007B2284">
      <w:pPr>
        <w:pStyle w:val="TOC1"/>
        <w:tabs>
          <w:tab w:val="clear" w:pos="5040"/>
          <w:tab w:val="left" w:pos="660"/>
          <w:tab w:val="right" w:leader="dot" w:pos="8789"/>
        </w:tabs>
        <w:rPr>
          <w:rFonts w:ascii="Arial" w:eastAsiaTheme="minorEastAsia" w:hAnsi="Arial" w:cs="Arial"/>
          <w:noProof/>
          <w:lang w:val="es-MX" w:eastAsia="es-MX" w:bidi="ar-SA"/>
        </w:rPr>
      </w:pPr>
      <w:hyperlink w:anchor="_Toc523133736" w:history="1">
        <w:r w:rsidR="007B2284" w:rsidRPr="005C2321">
          <w:rPr>
            <w:rStyle w:val="Hyperlink"/>
            <w:rFonts w:ascii="Arial" w:hAnsi="Arial" w:cs="Arial"/>
            <w:noProof/>
            <w:lang w:val="es-ES"/>
          </w:rPr>
          <w:t>XI.</w:t>
        </w:r>
        <w:r w:rsidR="007B2284" w:rsidRPr="005C2321">
          <w:rPr>
            <w:rFonts w:ascii="Arial" w:eastAsiaTheme="minorEastAsia" w:hAnsi="Arial" w:cs="Arial"/>
            <w:noProof/>
            <w:lang w:val="es-MX" w:eastAsia="es-MX" w:bidi="ar-SA"/>
          </w:rPr>
          <w:tab/>
        </w:r>
        <w:r w:rsidR="007B2284" w:rsidRPr="005C2321">
          <w:rPr>
            <w:rStyle w:val="Hyperlink"/>
            <w:rFonts w:ascii="Arial" w:hAnsi="Arial" w:cs="Arial"/>
            <w:noProof/>
            <w:lang w:val="es-ES"/>
          </w:rPr>
          <w:t>Conclusiones</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_Toc523133736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29</w:t>
        </w:r>
        <w:r w:rsidR="007B2284" w:rsidRPr="005C2321">
          <w:rPr>
            <w:rFonts w:ascii="Arial" w:hAnsi="Arial" w:cs="Arial"/>
            <w:noProof/>
            <w:webHidden/>
          </w:rPr>
          <w:fldChar w:fldCharType="end"/>
        </w:r>
      </w:hyperlink>
    </w:p>
    <w:p w14:paraId="2971276F" w14:textId="77777777" w:rsidR="007B2284" w:rsidRPr="005C2321" w:rsidRDefault="00247676" w:rsidP="007B2284">
      <w:pPr>
        <w:pStyle w:val="TOC1"/>
        <w:tabs>
          <w:tab w:val="clear" w:pos="5040"/>
          <w:tab w:val="right" w:leader="dot" w:pos="8789"/>
        </w:tabs>
        <w:rPr>
          <w:rFonts w:ascii="Arial" w:eastAsiaTheme="minorEastAsia" w:hAnsi="Arial" w:cs="Arial"/>
          <w:noProof/>
          <w:lang w:val="es-MX" w:eastAsia="es-MX" w:bidi="ar-SA"/>
        </w:rPr>
      </w:pPr>
      <w:hyperlink w:anchor="_Toc523133737" w:history="1">
        <w:r w:rsidR="007B2284" w:rsidRPr="005C2321">
          <w:rPr>
            <w:rStyle w:val="Hyperlink"/>
            <w:rFonts w:ascii="Arial" w:hAnsi="Arial" w:cs="Arial"/>
            <w:noProof/>
            <w:lang w:val="es-ES"/>
          </w:rPr>
          <w:t>Anexos I: Lógica Vertical</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_Toc523133737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30</w:t>
        </w:r>
        <w:r w:rsidR="007B2284" w:rsidRPr="005C2321">
          <w:rPr>
            <w:rFonts w:ascii="Arial" w:hAnsi="Arial" w:cs="Arial"/>
            <w:noProof/>
            <w:webHidden/>
          </w:rPr>
          <w:fldChar w:fldCharType="end"/>
        </w:r>
      </w:hyperlink>
    </w:p>
    <w:p w14:paraId="750284B1" w14:textId="77777777" w:rsidR="007B2284" w:rsidRPr="005C2321" w:rsidRDefault="00247676" w:rsidP="007B2284">
      <w:pPr>
        <w:pStyle w:val="TOC1"/>
        <w:tabs>
          <w:tab w:val="clear" w:pos="5040"/>
          <w:tab w:val="right" w:leader="dot" w:pos="8789"/>
        </w:tabs>
        <w:rPr>
          <w:rFonts w:ascii="Arial" w:eastAsiaTheme="minorEastAsia" w:hAnsi="Arial" w:cs="Arial"/>
          <w:noProof/>
          <w:lang w:val="es-MX" w:eastAsia="es-MX" w:bidi="ar-SA"/>
        </w:rPr>
      </w:pPr>
      <w:hyperlink w:anchor="_Toc523133738" w:history="1">
        <w:r w:rsidR="007B2284" w:rsidRPr="005C2321">
          <w:rPr>
            <w:rStyle w:val="Hyperlink"/>
            <w:rFonts w:ascii="Arial" w:hAnsi="Arial" w:cs="Arial"/>
            <w:noProof/>
            <w:lang w:val="es-ES"/>
          </w:rPr>
          <w:t>Anexos II: Evaluación económica a precios de mercado</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_Toc523133738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31</w:t>
        </w:r>
        <w:r w:rsidR="007B2284" w:rsidRPr="005C2321">
          <w:rPr>
            <w:rFonts w:ascii="Arial" w:hAnsi="Arial" w:cs="Arial"/>
            <w:noProof/>
            <w:webHidden/>
          </w:rPr>
          <w:fldChar w:fldCharType="end"/>
        </w:r>
      </w:hyperlink>
    </w:p>
    <w:p w14:paraId="7CA9836B" w14:textId="77777777" w:rsidR="007B2284" w:rsidRPr="005C2321" w:rsidRDefault="00247676" w:rsidP="007B2284">
      <w:pPr>
        <w:pStyle w:val="TOC1"/>
        <w:tabs>
          <w:tab w:val="clear" w:pos="5040"/>
          <w:tab w:val="right" w:leader="dot" w:pos="8789"/>
        </w:tabs>
        <w:rPr>
          <w:rFonts w:ascii="Arial" w:eastAsiaTheme="minorEastAsia" w:hAnsi="Arial" w:cs="Arial"/>
          <w:noProof/>
          <w:lang w:val="es-MX" w:eastAsia="es-MX" w:bidi="ar-SA"/>
        </w:rPr>
      </w:pPr>
      <w:hyperlink w:anchor="_Toc523133739" w:history="1">
        <w:r w:rsidR="007B2284" w:rsidRPr="005C2321">
          <w:rPr>
            <w:rStyle w:val="Hyperlink"/>
            <w:rFonts w:ascii="Arial" w:hAnsi="Arial" w:cs="Arial"/>
            <w:noProof/>
            <w:lang w:val="es-ES"/>
          </w:rPr>
          <w:t>Anexos III: Evaluación económica a precios social</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_Toc523133739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32</w:t>
        </w:r>
        <w:r w:rsidR="007B2284" w:rsidRPr="005C2321">
          <w:rPr>
            <w:rFonts w:ascii="Arial" w:hAnsi="Arial" w:cs="Arial"/>
            <w:noProof/>
            <w:webHidden/>
          </w:rPr>
          <w:fldChar w:fldCharType="end"/>
        </w:r>
      </w:hyperlink>
    </w:p>
    <w:p w14:paraId="0E23894C" w14:textId="77777777" w:rsidR="007B2284" w:rsidRPr="005C2321" w:rsidRDefault="00247676" w:rsidP="007B2284">
      <w:pPr>
        <w:pStyle w:val="TOC1"/>
        <w:tabs>
          <w:tab w:val="clear" w:pos="5040"/>
          <w:tab w:val="right" w:leader="dot" w:pos="8789"/>
        </w:tabs>
        <w:rPr>
          <w:rFonts w:ascii="Arial" w:eastAsiaTheme="minorEastAsia" w:hAnsi="Arial" w:cs="Arial"/>
          <w:noProof/>
          <w:lang w:val="es-MX" w:eastAsia="es-MX" w:bidi="ar-SA"/>
        </w:rPr>
      </w:pPr>
      <w:hyperlink w:anchor="_Toc523133740" w:history="1">
        <w:r w:rsidR="007B2284" w:rsidRPr="005C2321">
          <w:rPr>
            <w:rStyle w:val="Hyperlink"/>
            <w:rFonts w:ascii="Arial" w:hAnsi="Arial" w:cs="Arial"/>
            <w:noProof/>
            <w:lang w:val="es-ES"/>
          </w:rPr>
          <w:t>Anexos IV: Beneficio 1</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_Toc523133740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33</w:t>
        </w:r>
        <w:r w:rsidR="007B2284" w:rsidRPr="005C2321">
          <w:rPr>
            <w:rFonts w:ascii="Arial" w:hAnsi="Arial" w:cs="Arial"/>
            <w:noProof/>
            <w:webHidden/>
          </w:rPr>
          <w:fldChar w:fldCharType="end"/>
        </w:r>
      </w:hyperlink>
    </w:p>
    <w:p w14:paraId="0456F1F8" w14:textId="77777777" w:rsidR="007B2284" w:rsidRPr="005C2321" w:rsidRDefault="00247676" w:rsidP="007B2284">
      <w:pPr>
        <w:pStyle w:val="TOC1"/>
        <w:tabs>
          <w:tab w:val="clear" w:pos="5040"/>
          <w:tab w:val="right" w:leader="dot" w:pos="8789"/>
        </w:tabs>
        <w:rPr>
          <w:rFonts w:ascii="Arial" w:eastAsiaTheme="minorEastAsia" w:hAnsi="Arial" w:cs="Arial"/>
          <w:noProof/>
          <w:lang w:val="es-MX" w:eastAsia="es-MX" w:bidi="ar-SA"/>
        </w:rPr>
      </w:pPr>
      <w:hyperlink w:anchor="_Toc523133741" w:history="1">
        <w:r w:rsidR="007B2284" w:rsidRPr="005C2321">
          <w:rPr>
            <w:rStyle w:val="Hyperlink"/>
            <w:rFonts w:ascii="Arial" w:hAnsi="Arial" w:cs="Arial"/>
            <w:noProof/>
            <w:lang w:val="es-ES"/>
          </w:rPr>
          <w:t>Anexos V: Beneficio 1I</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_Toc523133741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34</w:t>
        </w:r>
        <w:r w:rsidR="007B2284" w:rsidRPr="005C2321">
          <w:rPr>
            <w:rFonts w:ascii="Arial" w:hAnsi="Arial" w:cs="Arial"/>
            <w:noProof/>
            <w:webHidden/>
          </w:rPr>
          <w:fldChar w:fldCharType="end"/>
        </w:r>
      </w:hyperlink>
    </w:p>
    <w:p w14:paraId="168D63E7" w14:textId="77777777" w:rsidR="007B2284" w:rsidRPr="005C2321" w:rsidRDefault="00247676" w:rsidP="007B2284">
      <w:pPr>
        <w:pStyle w:val="TOC1"/>
        <w:tabs>
          <w:tab w:val="clear" w:pos="5040"/>
          <w:tab w:val="right" w:leader="dot" w:pos="8789"/>
        </w:tabs>
        <w:rPr>
          <w:rFonts w:ascii="Arial" w:eastAsiaTheme="minorEastAsia" w:hAnsi="Arial" w:cs="Arial"/>
          <w:noProof/>
          <w:lang w:val="es-MX" w:eastAsia="es-MX" w:bidi="ar-SA"/>
        </w:rPr>
      </w:pPr>
      <w:hyperlink w:anchor="_Toc523133742" w:history="1">
        <w:r w:rsidR="007B2284" w:rsidRPr="005C2321">
          <w:rPr>
            <w:rStyle w:val="Hyperlink"/>
            <w:rFonts w:ascii="Arial" w:hAnsi="Arial" w:cs="Arial"/>
            <w:noProof/>
            <w:lang w:val="es-ES"/>
          </w:rPr>
          <w:t>Anexos VI: Beneficio III</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_Toc523133742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35</w:t>
        </w:r>
        <w:r w:rsidR="007B2284" w:rsidRPr="005C2321">
          <w:rPr>
            <w:rFonts w:ascii="Arial" w:hAnsi="Arial" w:cs="Arial"/>
            <w:noProof/>
            <w:webHidden/>
          </w:rPr>
          <w:fldChar w:fldCharType="end"/>
        </w:r>
      </w:hyperlink>
    </w:p>
    <w:p w14:paraId="493E6038" w14:textId="77777777" w:rsidR="007B2284" w:rsidRPr="005C2321" w:rsidRDefault="00247676" w:rsidP="007B2284">
      <w:pPr>
        <w:pStyle w:val="TOC1"/>
        <w:tabs>
          <w:tab w:val="clear" w:pos="5040"/>
          <w:tab w:val="right" w:leader="dot" w:pos="8789"/>
        </w:tabs>
        <w:rPr>
          <w:rFonts w:ascii="Arial" w:eastAsiaTheme="minorEastAsia" w:hAnsi="Arial" w:cs="Arial"/>
          <w:noProof/>
          <w:lang w:val="es-MX" w:eastAsia="es-MX" w:bidi="ar-SA"/>
        </w:rPr>
      </w:pPr>
      <w:hyperlink w:anchor="_Toc523133743" w:history="1">
        <w:r w:rsidR="007B2284" w:rsidRPr="005C2321">
          <w:rPr>
            <w:rStyle w:val="Hyperlink"/>
            <w:rFonts w:ascii="Arial" w:hAnsi="Arial" w:cs="Arial"/>
            <w:noProof/>
            <w:lang w:val="es-ES"/>
          </w:rPr>
          <w:t>Anexos VII: Beneficio 1V</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_Toc523133743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36</w:t>
        </w:r>
        <w:r w:rsidR="007B2284" w:rsidRPr="005C2321">
          <w:rPr>
            <w:rFonts w:ascii="Arial" w:hAnsi="Arial" w:cs="Arial"/>
            <w:noProof/>
            <w:webHidden/>
          </w:rPr>
          <w:fldChar w:fldCharType="end"/>
        </w:r>
      </w:hyperlink>
    </w:p>
    <w:p w14:paraId="78FE333C" w14:textId="77777777" w:rsidR="007B2284" w:rsidRPr="005C2321" w:rsidRDefault="00247676" w:rsidP="007B2284">
      <w:pPr>
        <w:pStyle w:val="TOC1"/>
        <w:tabs>
          <w:tab w:val="clear" w:pos="5040"/>
          <w:tab w:val="right" w:leader="dot" w:pos="8789"/>
        </w:tabs>
        <w:rPr>
          <w:rFonts w:ascii="Arial" w:eastAsiaTheme="minorEastAsia" w:hAnsi="Arial" w:cs="Arial"/>
          <w:noProof/>
          <w:lang w:val="es-MX" w:eastAsia="es-MX" w:bidi="ar-SA"/>
        </w:rPr>
      </w:pPr>
      <w:hyperlink w:anchor="_Toc523133744" w:history="1">
        <w:r w:rsidR="007B2284" w:rsidRPr="005C2321">
          <w:rPr>
            <w:rStyle w:val="Hyperlink"/>
            <w:rFonts w:ascii="Arial" w:hAnsi="Arial" w:cs="Arial"/>
            <w:noProof/>
            <w:lang w:val="es-ES"/>
          </w:rPr>
          <w:t>Anexos VIII: Beneficio V</w:t>
        </w:r>
        <w:r w:rsidR="007B2284" w:rsidRPr="005C2321">
          <w:rPr>
            <w:rFonts w:ascii="Arial" w:hAnsi="Arial" w:cs="Arial"/>
            <w:noProof/>
            <w:webHidden/>
          </w:rPr>
          <w:tab/>
        </w:r>
        <w:r w:rsidR="007B2284" w:rsidRPr="005C2321">
          <w:rPr>
            <w:rFonts w:ascii="Arial" w:hAnsi="Arial" w:cs="Arial"/>
            <w:noProof/>
            <w:webHidden/>
          </w:rPr>
          <w:fldChar w:fldCharType="begin"/>
        </w:r>
        <w:r w:rsidR="007B2284" w:rsidRPr="005C2321">
          <w:rPr>
            <w:rFonts w:ascii="Arial" w:hAnsi="Arial" w:cs="Arial"/>
            <w:noProof/>
            <w:webHidden/>
          </w:rPr>
          <w:instrText xml:space="preserve"> PAGEREF _Toc523133744 \h </w:instrText>
        </w:r>
        <w:r w:rsidR="007B2284" w:rsidRPr="005C2321">
          <w:rPr>
            <w:rFonts w:ascii="Arial" w:hAnsi="Arial" w:cs="Arial"/>
            <w:noProof/>
            <w:webHidden/>
          </w:rPr>
        </w:r>
        <w:r w:rsidR="007B2284" w:rsidRPr="005C2321">
          <w:rPr>
            <w:rFonts w:ascii="Arial" w:hAnsi="Arial" w:cs="Arial"/>
            <w:noProof/>
            <w:webHidden/>
          </w:rPr>
          <w:fldChar w:fldCharType="separate"/>
        </w:r>
        <w:r w:rsidR="007B2284" w:rsidRPr="005C2321">
          <w:rPr>
            <w:rFonts w:ascii="Arial" w:hAnsi="Arial" w:cs="Arial"/>
            <w:noProof/>
            <w:webHidden/>
          </w:rPr>
          <w:t>37</w:t>
        </w:r>
        <w:r w:rsidR="007B2284" w:rsidRPr="005C2321">
          <w:rPr>
            <w:rFonts w:ascii="Arial" w:hAnsi="Arial" w:cs="Arial"/>
            <w:noProof/>
            <w:webHidden/>
          </w:rPr>
          <w:fldChar w:fldCharType="end"/>
        </w:r>
      </w:hyperlink>
    </w:p>
    <w:p w14:paraId="22A82218" w14:textId="77777777" w:rsidR="008A1450" w:rsidRPr="005C2321" w:rsidRDefault="00277D6F" w:rsidP="007B2284">
      <w:pPr>
        <w:tabs>
          <w:tab w:val="left" w:pos="284"/>
          <w:tab w:val="left" w:pos="567"/>
          <w:tab w:val="left" w:pos="5103"/>
          <w:tab w:val="right" w:leader="dot" w:pos="7371"/>
          <w:tab w:val="right" w:leader="dot" w:pos="8080"/>
          <w:tab w:val="right" w:leader="dot" w:pos="8222"/>
          <w:tab w:val="right" w:leader="dot" w:pos="8364"/>
          <w:tab w:val="right" w:leader="dot" w:pos="8789"/>
        </w:tabs>
        <w:rPr>
          <w:rFonts w:ascii="Arial" w:hAnsi="Arial" w:cs="Arial"/>
          <w:sz w:val="24"/>
          <w:szCs w:val="24"/>
        </w:rPr>
      </w:pPr>
      <w:r w:rsidRPr="005C2321">
        <w:rPr>
          <w:rFonts w:ascii="Arial" w:hAnsi="Arial" w:cs="Arial"/>
          <w:sz w:val="24"/>
          <w:szCs w:val="24"/>
        </w:rPr>
        <w:fldChar w:fldCharType="end"/>
      </w:r>
    </w:p>
    <w:p w14:paraId="2730A9B8" w14:textId="77777777" w:rsidR="008A1450" w:rsidRPr="005C2321" w:rsidRDefault="008A1450">
      <w:pPr>
        <w:rPr>
          <w:rFonts w:ascii="Arial" w:hAnsi="Arial" w:cs="Arial"/>
          <w:sz w:val="24"/>
          <w:szCs w:val="24"/>
        </w:rPr>
      </w:pPr>
    </w:p>
    <w:p w14:paraId="10EBCEC4" w14:textId="77777777" w:rsidR="00631901" w:rsidRPr="005C2321" w:rsidRDefault="00631901">
      <w:pPr>
        <w:rPr>
          <w:rFonts w:ascii="Arial" w:hAnsi="Arial" w:cs="Arial"/>
          <w:sz w:val="24"/>
          <w:szCs w:val="24"/>
        </w:rPr>
      </w:pPr>
    </w:p>
    <w:p w14:paraId="4167DD4A" w14:textId="77777777" w:rsidR="008D0FC2" w:rsidRPr="005C2321" w:rsidRDefault="008D0FC2">
      <w:pPr>
        <w:rPr>
          <w:rFonts w:ascii="Arial" w:hAnsi="Arial" w:cs="Arial"/>
          <w:sz w:val="24"/>
          <w:szCs w:val="24"/>
        </w:rPr>
      </w:pPr>
    </w:p>
    <w:p w14:paraId="48A1408A" w14:textId="77777777" w:rsidR="008D0FC2" w:rsidRPr="005C2321" w:rsidRDefault="008D0FC2">
      <w:pPr>
        <w:rPr>
          <w:rFonts w:ascii="Arial" w:hAnsi="Arial" w:cs="Arial"/>
          <w:sz w:val="24"/>
          <w:szCs w:val="24"/>
        </w:rPr>
      </w:pPr>
    </w:p>
    <w:p w14:paraId="6D35D41C" w14:textId="77777777" w:rsidR="008D0FC2" w:rsidRPr="005C2321" w:rsidRDefault="008D0FC2">
      <w:pPr>
        <w:rPr>
          <w:rFonts w:ascii="Arial" w:hAnsi="Arial" w:cs="Arial"/>
          <w:sz w:val="24"/>
          <w:szCs w:val="24"/>
        </w:rPr>
      </w:pPr>
    </w:p>
    <w:p w14:paraId="6D0D3D34" w14:textId="77777777" w:rsidR="00A566ED" w:rsidRPr="005C2321" w:rsidRDefault="00A566ED">
      <w:pPr>
        <w:rPr>
          <w:rFonts w:ascii="Arial" w:eastAsia="Times New Roman" w:hAnsi="Arial" w:cs="Arial"/>
          <w:b/>
          <w:sz w:val="24"/>
          <w:szCs w:val="24"/>
          <w:lang w:val="es-ES" w:eastAsia="es-ES" w:bidi="hi-IN"/>
        </w:rPr>
      </w:pPr>
      <w:r w:rsidRPr="005C2321">
        <w:rPr>
          <w:rFonts w:ascii="Arial" w:hAnsi="Arial" w:cs="Arial"/>
          <w:caps/>
          <w:sz w:val="24"/>
          <w:szCs w:val="24"/>
          <w:lang w:val="es-ES"/>
        </w:rPr>
        <w:br w:type="page"/>
      </w:r>
    </w:p>
    <w:p w14:paraId="4517182E" w14:textId="59B76E3F" w:rsidR="00BD76AE" w:rsidRPr="005C2321" w:rsidRDefault="00CA25FF" w:rsidP="00D00E6B">
      <w:pPr>
        <w:pStyle w:val="Heading1"/>
        <w:numPr>
          <w:ilvl w:val="0"/>
          <w:numId w:val="1"/>
        </w:numPr>
        <w:jc w:val="left"/>
        <w:rPr>
          <w:rFonts w:ascii="Arial" w:hAnsi="Arial" w:cs="Arial"/>
          <w:caps w:val="0"/>
          <w:spacing w:val="0"/>
          <w:kern w:val="0"/>
          <w:sz w:val="24"/>
          <w:szCs w:val="24"/>
          <w:lang w:val="es-ES"/>
        </w:rPr>
      </w:pPr>
      <w:bookmarkStart w:id="1" w:name="_Toc523133726"/>
      <w:r w:rsidRPr="005C2321">
        <w:rPr>
          <w:rFonts w:ascii="Arial" w:hAnsi="Arial" w:cs="Arial"/>
          <w:caps w:val="0"/>
          <w:spacing w:val="0"/>
          <w:kern w:val="0"/>
          <w:sz w:val="24"/>
          <w:szCs w:val="24"/>
          <w:lang w:val="es-ES"/>
        </w:rPr>
        <w:lastRenderedPageBreak/>
        <w:t>Resumen ejecutivo</w:t>
      </w:r>
      <w:bookmarkEnd w:id="1"/>
    </w:p>
    <w:p w14:paraId="0F2164CF" w14:textId="5EBA350C" w:rsidR="00250899" w:rsidRPr="005C2321" w:rsidRDefault="00250899" w:rsidP="00250899">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En un contexto económico, social y político favorable, el proyecto se plantea el objetivo de </w:t>
      </w:r>
      <w:r w:rsidR="00FF4383" w:rsidRPr="005C2321">
        <w:rPr>
          <w:rFonts w:ascii="Arial" w:hAnsi="Arial" w:cs="Arial"/>
          <w:sz w:val="24"/>
          <w:szCs w:val="24"/>
          <w:lang w:val="es-ES" w:bidi="es-ES"/>
        </w:rPr>
        <w:t>mejorar la gestión de los ingresos y el gasto públic</w:t>
      </w:r>
      <w:r w:rsidRPr="005C2321">
        <w:rPr>
          <w:rFonts w:ascii="Arial" w:hAnsi="Arial" w:cs="Arial"/>
          <w:sz w:val="24"/>
          <w:szCs w:val="24"/>
          <w:lang w:val="es-ES" w:bidi="es-ES"/>
        </w:rPr>
        <w:t>o.</w:t>
      </w:r>
      <w:r w:rsidR="00FF4383" w:rsidRPr="005C2321">
        <w:rPr>
          <w:rFonts w:ascii="Arial" w:hAnsi="Arial" w:cs="Arial"/>
          <w:sz w:val="24"/>
          <w:szCs w:val="24"/>
          <w:lang w:val="es-ES" w:bidi="es-ES"/>
        </w:rPr>
        <w:t xml:space="preserve"> Esto permitirá generar más recursos y aplicarlos de manera más efectiva, eficiente y transparente para contribuir al desarrollo sostenible de Paraguay.</w:t>
      </w:r>
    </w:p>
    <w:p w14:paraId="580B1BAD" w14:textId="60ECA1A6" w:rsidR="00250899" w:rsidRPr="005C2321" w:rsidRDefault="00250899" w:rsidP="00BC3C25">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Los componentes del proyecto son</w:t>
      </w:r>
      <w:r w:rsidR="00BC3C25" w:rsidRPr="005C2321">
        <w:rPr>
          <w:rFonts w:ascii="Arial" w:hAnsi="Arial" w:cs="Arial"/>
          <w:sz w:val="24"/>
          <w:szCs w:val="24"/>
          <w:lang w:val="es-ES" w:bidi="es-ES"/>
        </w:rPr>
        <w:t xml:space="preserve"> la i</w:t>
      </w:r>
      <w:r w:rsidRPr="005C2321">
        <w:rPr>
          <w:rFonts w:ascii="Arial" w:hAnsi="Arial" w:cs="Arial"/>
          <w:sz w:val="24"/>
          <w:szCs w:val="24"/>
          <w:lang w:val="es-ES" w:bidi="es-ES"/>
        </w:rPr>
        <w:t>mplementación de la facturación electrónica ($7.3 millones)</w:t>
      </w:r>
      <w:r w:rsidR="00BC3C25" w:rsidRPr="005C2321">
        <w:rPr>
          <w:rFonts w:ascii="Arial" w:hAnsi="Arial" w:cs="Arial"/>
          <w:sz w:val="24"/>
          <w:szCs w:val="24"/>
          <w:lang w:val="es-ES" w:bidi="es-ES"/>
        </w:rPr>
        <w:t>, el f</w:t>
      </w:r>
      <w:r w:rsidRPr="005C2321">
        <w:rPr>
          <w:rFonts w:ascii="Arial" w:hAnsi="Arial" w:cs="Arial"/>
          <w:sz w:val="24"/>
          <w:szCs w:val="24"/>
          <w:lang w:val="es-ES" w:bidi="es-ES"/>
        </w:rPr>
        <w:t>ortalecimiento del SIARE ($7.4 millones)</w:t>
      </w:r>
      <w:r w:rsidR="00BC3C25" w:rsidRPr="005C2321">
        <w:rPr>
          <w:rFonts w:ascii="Arial" w:hAnsi="Arial" w:cs="Arial"/>
          <w:sz w:val="24"/>
          <w:szCs w:val="24"/>
          <w:lang w:val="es-ES" w:bidi="es-ES"/>
        </w:rPr>
        <w:t>, la i</w:t>
      </w:r>
      <w:r w:rsidRPr="005C2321">
        <w:rPr>
          <w:rFonts w:ascii="Arial" w:hAnsi="Arial" w:cs="Arial"/>
          <w:sz w:val="24"/>
          <w:szCs w:val="24"/>
          <w:lang w:val="es-ES" w:bidi="es-ES"/>
        </w:rPr>
        <w:t>mplementación del SIARE municipal ($4.1 millones)</w:t>
      </w:r>
      <w:r w:rsidR="00BC3C25" w:rsidRPr="005C2321">
        <w:rPr>
          <w:rFonts w:ascii="Arial" w:hAnsi="Arial" w:cs="Arial"/>
          <w:sz w:val="24"/>
          <w:szCs w:val="24"/>
          <w:lang w:val="es-ES" w:bidi="es-ES"/>
        </w:rPr>
        <w:t xml:space="preserve"> y la m</w:t>
      </w:r>
      <w:r w:rsidRPr="005C2321">
        <w:rPr>
          <w:rFonts w:ascii="Arial" w:hAnsi="Arial" w:cs="Arial"/>
          <w:sz w:val="24"/>
          <w:szCs w:val="24"/>
          <w:lang w:val="es-ES" w:bidi="es-ES"/>
        </w:rPr>
        <w:t xml:space="preserve">ejora de la gestión financiera pública ($5 millones). </w:t>
      </w:r>
    </w:p>
    <w:p w14:paraId="320355B7" w14:textId="1884FCC0" w:rsidR="00250899" w:rsidRPr="005C2321" w:rsidRDefault="00250899" w:rsidP="00947691">
      <w:pPr>
        <w:pStyle w:val="Paragraph"/>
        <w:numPr>
          <w:ilvl w:val="1"/>
          <w:numId w:val="1"/>
        </w:numPr>
        <w:ind w:right="-7"/>
        <w:outlineLvl w:val="9"/>
        <w:rPr>
          <w:rFonts w:ascii="Arial" w:eastAsia="Arial" w:hAnsi="Arial" w:cs="Arial"/>
          <w:color w:val="000000" w:themeColor="text1"/>
        </w:rPr>
      </w:pPr>
      <w:r w:rsidRPr="005C2321">
        <w:rPr>
          <w:rFonts w:ascii="Arial" w:eastAsia="Arial" w:hAnsi="Arial" w:cs="Arial"/>
          <w:color w:val="000000" w:themeColor="text1"/>
        </w:rPr>
        <w:t>El costo total del proyecto asciende a US$ 26.34 millones, de los cuales US$ 25 millones corresponden a endeudamiento con el BID y US$ 1.34 millones al aporte local</w:t>
      </w:r>
      <w:r w:rsidR="00BC3C25" w:rsidRPr="005C2321">
        <w:rPr>
          <w:rFonts w:ascii="Arial" w:eastAsia="Arial" w:hAnsi="Arial" w:cs="Arial"/>
          <w:color w:val="000000" w:themeColor="text1"/>
        </w:rPr>
        <w:t>.</w:t>
      </w:r>
      <w:r w:rsidR="00947691" w:rsidRPr="005C2321">
        <w:rPr>
          <w:rFonts w:ascii="Arial" w:eastAsia="Arial" w:hAnsi="Arial" w:cs="Arial"/>
          <w:color w:val="000000" w:themeColor="text1"/>
        </w:rPr>
        <w:t xml:space="preserve"> </w:t>
      </w:r>
      <w:r w:rsidRPr="005C2321">
        <w:rPr>
          <w:rFonts w:ascii="Arial" w:eastAsia="Arial" w:hAnsi="Arial" w:cs="Arial"/>
          <w:color w:val="000000" w:themeColor="text1"/>
        </w:rPr>
        <w:t>El tiempo de ejecución del proyecto es de 6 años.</w:t>
      </w:r>
    </w:p>
    <w:p w14:paraId="5D8FFA46" w14:textId="4A098F57" w:rsidR="00250899" w:rsidRPr="005C2321" w:rsidRDefault="00BC3C25" w:rsidP="00947691">
      <w:pPr>
        <w:pStyle w:val="Paragraph"/>
        <w:numPr>
          <w:ilvl w:val="1"/>
          <w:numId w:val="1"/>
        </w:numPr>
        <w:ind w:right="-7"/>
        <w:outlineLvl w:val="9"/>
        <w:rPr>
          <w:rFonts w:ascii="Arial" w:hAnsi="Arial" w:cs="Arial"/>
          <w:lang w:bidi="es-ES"/>
        </w:rPr>
      </w:pPr>
      <w:r w:rsidRPr="005C2321">
        <w:rPr>
          <w:rFonts w:ascii="Arial" w:eastAsia="Arial" w:hAnsi="Arial" w:cs="Arial"/>
          <w:color w:val="000000" w:themeColor="text1"/>
        </w:rPr>
        <w:t>Los beneficios identificados, medidos y valorados monetariamente son: el i</w:t>
      </w:r>
      <w:r w:rsidRPr="005C2321">
        <w:rPr>
          <w:rFonts w:ascii="Arial" w:hAnsi="Arial" w:cs="Arial"/>
          <w:lang w:bidi="es-ES"/>
        </w:rPr>
        <w:t xml:space="preserve">ncremento de los beneficios sociales por incremento de recaudación; beneficios por reducción de los gastos de gestión de facturas; beneficios por reducción de tiempos - mejora de la ejecución presupuestal; beneficios por reducción de costos administrativos de la gestión de las transferencias; y beneficios </w:t>
      </w:r>
      <w:r w:rsidR="00A608A7" w:rsidRPr="005C2321">
        <w:rPr>
          <w:rFonts w:ascii="Arial" w:hAnsi="Arial" w:cs="Arial"/>
          <w:lang w:bidi="es-ES"/>
        </w:rPr>
        <w:t>por ahorro en los costos de las contrataciones públicas</w:t>
      </w:r>
      <w:r w:rsidRPr="005C2321">
        <w:rPr>
          <w:rFonts w:ascii="Arial" w:hAnsi="Arial" w:cs="Arial"/>
          <w:lang w:bidi="es-ES"/>
        </w:rPr>
        <w:t>.</w:t>
      </w:r>
    </w:p>
    <w:p w14:paraId="5455E93D" w14:textId="77777777" w:rsidR="00767848" w:rsidRPr="005C2321" w:rsidRDefault="00767848" w:rsidP="00767848">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La evaluación económica realizada el Proyecto demuestra que el VAN Social asciende a US$ 30.3 millones y a una Tasa de Retorno Económico (TRE) de 38.5%, presentando </w:t>
      </w:r>
      <w:r w:rsidRPr="005C2321">
        <w:rPr>
          <w:rFonts w:ascii="Arial" w:hAnsi="Arial" w:cs="Arial"/>
          <w:sz w:val="24"/>
          <w:szCs w:val="24"/>
          <w:lang w:val="es-ES"/>
        </w:rPr>
        <w:t>una probabilidad de 88.16% de que el VAN sea positivo</w:t>
      </w:r>
      <w:r w:rsidRPr="005C2321">
        <w:rPr>
          <w:rFonts w:ascii="Arial" w:hAnsi="Arial" w:cs="Arial"/>
          <w:sz w:val="24"/>
          <w:szCs w:val="24"/>
          <w:lang w:val="es-ES" w:bidi="es-ES"/>
        </w:rPr>
        <w:t>.</w:t>
      </w:r>
      <w:r w:rsidRPr="005C2321">
        <w:rPr>
          <w:rFonts w:ascii="Arial" w:hAnsi="Arial" w:cs="Arial"/>
          <w:sz w:val="24"/>
          <w:szCs w:val="24"/>
          <w:lang w:val="es-ES"/>
        </w:rPr>
        <w:t xml:space="preserve"> </w:t>
      </w:r>
    </w:p>
    <w:p w14:paraId="14CEFB3C" w14:textId="77777777" w:rsidR="00A72344" w:rsidRPr="005C2321" w:rsidRDefault="00A72344" w:rsidP="00122ABD">
      <w:pPr>
        <w:pStyle w:val="BodyText"/>
        <w:rPr>
          <w:rFonts w:ascii="Arial" w:hAnsi="Arial" w:cs="Arial"/>
          <w:sz w:val="24"/>
          <w:szCs w:val="24"/>
          <w:lang w:val="es-MX"/>
        </w:rPr>
      </w:pPr>
    </w:p>
    <w:p w14:paraId="6388E67D" w14:textId="77777777" w:rsidR="00A72344" w:rsidRPr="005C2321" w:rsidRDefault="00A72344" w:rsidP="00122ABD">
      <w:pPr>
        <w:pStyle w:val="BodyText"/>
        <w:rPr>
          <w:rFonts w:ascii="Arial" w:hAnsi="Arial" w:cs="Arial"/>
          <w:sz w:val="24"/>
          <w:szCs w:val="24"/>
          <w:lang w:val="es-MX"/>
        </w:rPr>
      </w:pPr>
    </w:p>
    <w:p w14:paraId="15FF445F" w14:textId="77777777" w:rsidR="00A72344" w:rsidRPr="005C2321" w:rsidRDefault="00A72344" w:rsidP="00122ABD">
      <w:pPr>
        <w:pStyle w:val="BodyText"/>
        <w:rPr>
          <w:rFonts w:ascii="Arial" w:hAnsi="Arial" w:cs="Arial"/>
          <w:sz w:val="24"/>
          <w:szCs w:val="24"/>
          <w:lang w:val="es-MX"/>
        </w:rPr>
      </w:pPr>
    </w:p>
    <w:p w14:paraId="7CEEA6C2" w14:textId="77777777" w:rsidR="00A72344" w:rsidRPr="005C2321" w:rsidRDefault="00A72344" w:rsidP="00122ABD">
      <w:pPr>
        <w:pStyle w:val="BodyText"/>
        <w:rPr>
          <w:rFonts w:ascii="Arial" w:hAnsi="Arial" w:cs="Arial"/>
          <w:sz w:val="24"/>
          <w:szCs w:val="24"/>
          <w:lang w:val="es-MX"/>
        </w:rPr>
      </w:pPr>
    </w:p>
    <w:p w14:paraId="6A804DCB" w14:textId="77777777" w:rsidR="00A72344" w:rsidRPr="005C2321" w:rsidRDefault="00A72344" w:rsidP="00122ABD">
      <w:pPr>
        <w:pStyle w:val="BodyText"/>
        <w:rPr>
          <w:rFonts w:ascii="Arial" w:hAnsi="Arial" w:cs="Arial"/>
          <w:sz w:val="24"/>
          <w:szCs w:val="24"/>
          <w:lang w:val="es-MX"/>
        </w:rPr>
      </w:pPr>
    </w:p>
    <w:p w14:paraId="5735658C" w14:textId="77777777" w:rsidR="00A72344" w:rsidRPr="005C2321" w:rsidRDefault="00A72344" w:rsidP="00122ABD">
      <w:pPr>
        <w:pStyle w:val="BodyText"/>
        <w:rPr>
          <w:rFonts w:ascii="Arial" w:hAnsi="Arial" w:cs="Arial"/>
          <w:sz w:val="24"/>
          <w:szCs w:val="24"/>
          <w:lang w:val="es-MX"/>
        </w:rPr>
      </w:pPr>
    </w:p>
    <w:p w14:paraId="3CC885CB" w14:textId="77777777" w:rsidR="00A72344" w:rsidRPr="005C2321" w:rsidRDefault="00A72344">
      <w:pPr>
        <w:rPr>
          <w:rFonts w:ascii="Arial" w:eastAsia="Times New Roman" w:hAnsi="Arial" w:cs="Arial"/>
          <w:b/>
          <w:sz w:val="24"/>
          <w:szCs w:val="24"/>
          <w:lang w:val="es-ES" w:eastAsia="es-ES" w:bidi="hi-IN"/>
        </w:rPr>
      </w:pPr>
      <w:r w:rsidRPr="005C2321">
        <w:rPr>
          <w:rFonts w:ascii="Arial" w:hAnsi="Arial" w:cs="Arial"/>
          <w:caps/>
          <w:sz w:val="24"/>
          <w:szCs w:val="24"/>
          <w:lang w:val="es-ES"/>
        </w:rPr>
        <w:br w:type="page"/>
      </w:r>
    </w:p>
    <w:p w14:paraId="7591721A" w14:textId="36858EEA" w:rsidR="003A5E97" w:rsidRPr="005C2321" w:rsidRDefault="00294C7F" w:rsidP="00D00E6B">
      <w:pPr>
        <w:pStyle w:val="Heading1"/>
        <w:numPr>
          <w:ilvl w:val="0"/>
          <w:numId w:val="1"/>
        </w:numPr>
        <w:jc w:val="left"/>
        <w:rPr>
          <w:rFonts w:ascii="Arial" w:hAnsi="Arial" w:cs="Arial"/>
          <w:caps w:val="0"/>
          <w:spacing w:val="0"/>
          <w:kern w:val="0"/>
          <w:sz w:val="24"/>
          <w:szCs w:val="24"/>
          <w:lang w:val="es-ES"/>
        </w:rPr>
      </w:pPr>
      <w:bookmarkStart w:id="2" w:name="_Toc523133727"/>
      <w:r w:rsidRPr="005C2321">
        <w:rPr>
          <w:rFonts w:ascii="Arial" w:hAnsi="Arial" w:cs="Arial"/>
          <w:caps w:val="0"/>
          <w:spacing w:val="0"/>
          <w:kern w:val="0"/>
          <w:sz w:val="24"/>
          <w:szCs w:val="24"/>
          <w:lang w:val="es-ES"/>
        </w:rPr>
        <w:lastRenderedPageBreak/>
        <w:t>Contexto</w:t>
      </w:r>
      <w:bookmarkEnd w:id="2"/>
      <w:r w:rsidRPr="005C2321">
        <w:rPr>
          <w:rFonts w:ascii="Arial" w:hAnsi="Arial" w:cs="Arial"/>
          <w:caps w:val="0"/>
          <w:spacing w:val="0"/>
          <w:kern w:val="0"/>
          <w:sz w:val="24"/>
          <w:szCs w:val="24"/>
          <w:lang w:val="es-ES"/>
        </w:rPr>
        <w:t xml:space="preserve"> </w:t>
      </w:r>
    </w:p>
    <w:p w14:paraId="67D34F45" w14:textId="77777777" w:rsidR="00122ABD" w:rsidRPr="005C2321" w:rsidRDefault="00B80E2F" w:rsidP="00B80E2F">
      <w:pPr>
        <w:pStyle w:val="BodyText"/>
        <w:ind w:firstLine="0"/>
        <w:rPr>
          <w:rFonts w:ascii="Arial" w:hAnsi="Arial" w:cs="Arial"/>
          <w:b/>
          <w:sz w:val="24"/>
          <w:szCs w:val="24"/>
          <w:lang w:val="es-ES"/>
        </w:rPr>
      </w:pPr>
      <w:r w:rsidRPr="005C2321">
        <w:rPr>
          <w:rFonts w:ascii="Arial" w:hAnsi="Arial" w:cs="Arial"/>
          <w:b/>
          <w:sz w:val="24"/>
          <w:szCs w:val="24"/>
          <w:lang w:val="es-ES"/>
        </w:rPr>
        <w:t>Aspectos económicos</w:t>
      </w:r>
    </w:p>
    <w:p w14:paraId="309505C6" w14:textId="6F4D240D" w:rsidR="00C10582" w:rsidRPr="005C2321" w:rsidRDefault="006A56A1" w:rsidP="00D00E6B">
      <w:pPr>
        <w:pStyle w:val="BodyText"/>
        <w:numPr>
          <w:ilvl w:val="1"/>
          <w:numId w:val="1"/>
        </w:numPr>
        <w:rPr>
          <w:rFonts w:ascii="Arial" w:hAnsi="Arial" w:cs="Arial"/>
          <w:sz w:val="24"/>
          <w:szCs w:val="24"/>
          <w:lang w:val="es-ES_tradnl"/>
        </w:rPr>
      </w:pPr>
      <w:r w:rsidRPr="005C2321">
        <w:rPr>
          <w:rFonts w:ascii="Arial" w:hAnsi="Arial" w:cs="Arial"/>
          <w:sz w:val="24"/>
          <w:szCs w:val="24"/>
          <w:lang w:val="es-ES_tradnl"/>
        </w:rPr>
        <w:t>En los últimos 10 años</w:t>
      </w:r>
      <w:r w:rsidR="00E02541" w:rsidRPr="005C2321">
        <w:rPr>
          <w:rStyle w:val="FootnoteReference"/>
          <w:rFonts w:ascii="Arial" w:hAnsi="Arial" w:cs="Arial"/>
          <w:sz w:val="24"/>
          <w:szCs w:val="24"/>
          <w:lang w:val="es-ES_tradnl"/>
        </w:rPr>
        <w:footnoteReference w:id="2"/>
      </w:r>
      <w:r w:rsidR="00DF5EBE" w:rsidRPr="005C2321">
        <w:rPr>
          <w:rFonts w:ascii="Arial" w:hAnsi="Arial" w:cs="Arial"/>
          <w:sz w:val="24"/>
          <w:szCs w:val="24"/>
          <w:lang w:val="es-ES_tradnl"/>
        </w:rPr>
        <w:t>,</w:t>
      </w:r>
      <w:r w:rsidRPr="005C2321">
        <w:rPr>
          <w:rFonts w:ascii="Arial" w:hAnsi="Arial" w:cs="Arial"/>
          <w:sz w:val="24"/>
          <w:szCs w:val="24"/>
          <w:lang w:val="es-ES_tradnl"/>
        </w:rPr>
        <w:t xml:space="preserve"> el </w:t>
      </w:r>
      <w:r w:rsidR="00C10582" w:rsidRPr="005C2321">
        <w:rPr>
          <w:rFonts w:ascii="Arial" w:hAnsi="Arial" w:cs="Arial"/>
          <w:sz w:val="24"/>
          <w:szCs w:val="24"/>
          <w:lang w:val="es-ES_tradnl"/>
        </w:rPr>
        <w:t xml:space="preserve">Paraguay viene consolidando un entorno de estabilidad macroeconómica, </w:t>
      </w:r>
      <w:r w:rsidR="00705320" w:rsidRPr="005C2321">
        <w:rPr>
          <w:rFonts w:ascii="Arial" w:hAnsi="Arial" w:cs="Arial"/>
          <w:sz w:val="24"/>
          <w:szCs w:val="24"/>
          <w:lang w:val="es-ES_tradnl"/>
        </w:rPr>
        <w:t xml:space="preserve">donde </w:t>
      </w:r>
      <w:r w:rsidRPr="005C2321">
        <w:rPr>
          <w:rFonts w:ascii="Arial" w:hAnsi="Arial" w:cs="Arial"/>
          <w:sz w:val="24"/>
          <w:szCs w:val="24"/>
          <w:lang w:val="es-ES_tradnl"/>
        </w:rPr>
        <w:t xml:space="preserve">el </w:t>
      </w:r>
      <w:r w:rsidR="005F4E0C" w:rsidRPr="005C2321">
        <w:rPr>
          <w:rFonts w:ascii="Arial" w:hAnsi="Arial" w:cs="Arial"/>
          <w:sz w:val="24"/>
          <w:szCs w:val="24"/>
          <w:lang w:val="es-ES_tradnl"/>
        </w:rPr>
        <w:t>Producto Interno Bruto</w:t>
      </w:r>
      <w:r w:rsidR="00B81DE8" w:rsidRPr="005C2321">
        <w:rPr>
          <w:rFonts w:ascii="Arial" w:hAnsi="Arial" w:cs="Arial"/>
          <w:sz w:val="24"/>
          <w:szCs w:val="24"/>
          <w:lang w:val="es-ES_tradnl"/>
        </w:rPr>
        <w:t xml:space="preserve"> </w:t>
      </w:r>
      <w:r w:rsidR="005F4E0C" w:rsidRPr="005C2321">
        <w:rPr>
          <w:rFonts w:ascii="Arial" w:hAnsi="Arial" w:cs="Arial"/>
          <w:sz w:val="24"/>
          <w:szCs w:val="24"/>
          <w:lang w:val="es-ES_tradnl"/>
        </w:rPr>
        <w:t>(</w:t>
      </w:r>
      <w:r w:rsidRPr="005C2321">
        <w:rPr>
          <w:rFonts w:ascii="Arial" w:hAnsi="Arial" w:cs="Arial"/>
          <w:sz w:val="24"/>
          <w:szCs w:val="24"/>
          <w:lang w:val="es-ES_tradnl"/>
        </w:rPr>
        <w:t>PI</w:t>
      </w:r>
      <w:r w:rsidR="00B81DE8" w:rsidRPr="005C2321">
        <w:rPr>
          <w:rFonts w:ascii="Arial" w:hAnsi="Arial" w:cs="Arial"/>
          <w:sz w:val="24"/>
          <w:szCs w:val="24"/>
          <w:lang w:val="es-ES_tradnl"/>
        </w:rPr>
        <w:t>B</w:t>
      </w:r>
      <w:r w:rsidR="005F4E0C" w:rsidRPr="005C2321">
        <w:rPr>
          <w:rFonts w:ascii="Arial" w:hAnsi="Arial" w:cs="Arial"/>
          <w:sz w:val="24"/>
          <w:szCs w:val="24"/>
          <w:lang w:val="es-ES_tradnl"/>
        </w:rPr>
        <w:t>)</w:t>
      </w:r>
      <w:r w:rsidRPr="005C2321">
        <w:rPr>
          <w:rFonts w:ascii="Arial" w:hAnsi="Arial" w:cs="Arial"/>
          <w:sz w:val="24"/>
          <w:szCs w:val="24"/>
          <w:lang w:val="es-ES_tradnl"/>
        </w:rPr>
        <w:t xml:space="preserve"> </w:t>
      </w:r>
      <w:r w:rsidR="00705320" w:rsidRPr="005C2321">
        <w:rPr>
          <w:rFonts w:ascii="Arial" w:hAnsi="Arial" w:cs="Arial"/>
          <w:sz w:val="24"/>
          <w:szCs w:val="24"/>
          <w:lang w:val="es-ES_tradnl"/>
        </w:rPr>
        <w:t xml:space="preserve">ha sido fluctuante </w:t>
      </w:r>
      <w:r w:rsidR="00A3039E" w:rsidRPr="005C2321">
        <w:rPr>
          <w:rFonts w:ascii="Arial" w:hAnsi="Arial" w:cs="Arial"/>
          <w:sz w:val="24"/>
          <w:szCs w:val="24"/>
          <w:lang w:val="es-ES_tradnl"/>
        </w:rPr>
        <w:t xml:space="preserve">y en promedio ha crecido </w:t>
      </w:r>
      <w:r w:rsidR="00705320" w:rsidRPr="005C2321">
        <w:rPr>
          <w:rFonts w:ascii="Arial" w:hAnsi="Arial" w:cs="Arial"/>
          <w:sz w:val="24"/>
          <w:szCs w:val="24"/>
          <w:lang w:val="es-ES_tradnl"/>
        </w:rPr>
        <w:t>un 4.3%</w:t>
      </w:r>
      <w:r w:rsidR="00705320" w:rsidRPr="005C2321">
        <w:rPr>
          <w:rStyle w:val="FootnoteReference"/>
          <w:rFonts w:ascii="Arial" w:hAnsi="Arial" w:cs="Arial"/>
          <w:sz w:val="24"/>
          <w:szCs w:val="24"/>
          <w:lang w:val="es-ES_tradnl"/>
        </w:rPr>
        <w:footnoteReference w:id="3"/>
      </w:r>
      <w:r w:rsidR="00705320" w:rsidRPr="005C2321">
        <w:rPr>
          <w:rFonts w:ascii="Arial" w:hAnsi="Arial" w:cs="Arial"/>
          <w:sz w:val="24"/>
          <w:szCs w:val="24"/>
          <w:lang w:val="es-ES_tradnl"/>
        </w:rPr>
        <w:t xml:space="preserve">, mientras tanto la </w:t>
      </w:r>
      <w:r w:rsidR="00C10582" w:rsidRPr="005C2321">
        <w:rPr>
          <w:rFonts w:ascii="Arial" w:hAnsi="Arial" w:cs="Arial"/>
          <w:sz w:val="24"/>
          <w:szCs w:val="24"/>
          <w:lang w:val="es-ES_tradnl"/>
        </w:rPr>
        <w:t>inflación</w:t>
      </w:r>
      <w:r w:rsidR="006D49E4" w:rsidRPr="005C2321">
        <w:rPr>
          <w:rFonts w:ascii="Arial" w:hAnsi="Arial" w:cs="Arial"/>
          <w:sz w:val="24"/>
          <w:szCs w:val="24"/>
          <w:lang w:val="es-ES_tradnl"/>
        </w:rPr>
        <w:t xml:space="preserve"> ha tenido una tendencia decreciente </w:t>
      </w:r>
      <w:r w:rsidR="00FC49D4" w:rsidRPr="005C2321">
        <w:rPr>
          <w:rFonts w:ascii="Arial" w:hAnsi="Arial" w:cs="Arial"/>
          <w:sz w:val="24"/>
          <w:szCs w:val="24"/>
          <w:lang w:val="es-ES_tradnl"/>
        </w:rPr>
        <w:t>que en promedio ascendió a 4.9%</w:t>
      </w:r>
      <w:r w:rsidR="001E4F53" w:rsidRPr="005C2321">
        <w:rPr>
          <w:rStyle w:val="FootnoteReference"/>
          <w:rFonts w:ascii="Arial" w:hAnsi="Arial" w:cs="Arial"/>
          <w:sz w:val="24"/>
          <w:szCs w:val="24"/>
          <w:lang w:val="es-ES_tradnl"/>
        </w:rPr>
        <w:footnoteReference w:id="4"/>
      </w:r>
      <w:r w:rsidR="00C10582" w:rsidRPr="005C2321">
        <w:rPr>
          <w:rFonts w:ascii="Arial" w:hAnsi="Arial" w:cs="Arial"/>
          <w:sz w:val="24"/>
          <w:szCs w:val="24"/>
          <w:lang w:val="es-ES_tradnl"/>
        </w:rPr>
        <w:t xml:space="preserve">. </w:t>
      </w:r>
      <w:r w:rsidR="00DF5EBE" w:rsidRPr="005C2321">
        <w:rPr>
          <w:rFonts w:ascii="Arial" w:hAnsi="Arial" w:cs="Arial"/>
          <w:sz w:val="24"/>
          <w:szCs w:val="24"/>
          <w:lang w:val="es-ES_tradnl"/>
        </w:rPr>
        <w:t xml:space="preserve">En el mismo periodo de análisis, </w:t>
      </w:r>
      <w:r w:rsidR="005F4E0C" w:rsidRPr="005C2321">
        <w:rPr>
          <w:rFonts w:ascii="Arial" w:hAnsi="Arial" w:cs="Arial"/>
          <w:sz w:val="24"/>
          <w:szCs w:val="24"/>
          <w:lang w:val="es-ES_tradnl"/>
        </w:rPr>
        <w:t xml:space="preserve">del 2008 </w:t>
      </w:r>
      <w:r w:rsidR="00DF5EBE" w:rsidRPr="005C2321">
        <w:rPr>
          <w:rFonts w:ascii="Arial" w:hAnsi="Arial" w:cs="Arial"/>
          <w:sz w:val="24"/>
          <w:szCs w:val="24"/>
          <w:lang w:val="es-ES_tradnl"/>
        </w:rPr>
        <w:t>el 2</w:t>
      </w:r>
      <w:r w:rsidR="00C10582" w:rsidRPr="005C2321">
        <w:rPr>
          <w:rFonts w:ascii="Arial" w:hAnsi="Arial" w:cs="Arial"/>
          <w:sz w:val="24"/>
          <w:szCs w:val="24"/>
          <w:lang w:val="es-ES_tradnl"/>
        </w:rPr>
        <w:t xml:space="preserve">011 el país tuvo </w:t>
      </w:r>
      <w:r w:rsidR="00DF5EBE" w:rsidRPr="005C2321">
        <w:rPr>
          <w:rFonts w:ascii="Arial" w:hAnsi="Arial" w:cs="Arial"/>
          <w:sz w:val="24"/>
          <w:szCs w:val="24"/>
          <w:lang w:val="es-ES_tradnl"/>
        </w:rPr>
        <w:t>un resultado fiscal superavitario</w:t>
      </w:r>
      <w:r w:rsidR="005F4E0C" w:rsidRPr="005C2321">
        <w:rPr>
          <w:rFonts w:ascii="Arial" w:hAnsi="Arial" w:cs="Arial"/>
          <w:sz w:val="24"/>
          <w:szCs w:val="24"/>
          <w:lang w:val="es-ES_tradnl"/>
        </w:rPr>
        <w:t xml:space="preserve"> para el gobierno central</w:t>
      </w:r>
      <w:r w:rsidR="00C10582" w:rsidRPr="005C2321">
        <w:rPr>
          <w:rFonts w:ascii="Arial" w:hAnsi="Arial" w:cs="Arial"/>
          <w:sz w:val="24"/>
          <w:szCs w:val="24"/>
          <w:lang w:val="es-ES_tradnl"/>
        </w:rPr>
        <w:t xml:space="preserve">, y luego </w:t>
      </w:r>
      <w:r w:rsidR="00DF5EBE" w:rsidRPr="005C2321">
        <w:rPr>
          <w:rFonts w:ascii="Arial" w:hAnsi="Arial" w:cs="Arial"/>
          <w:sz w:val="24"/>
          <w:szCs w:val="24"/>
          <w:lang w:val="es-ES_tradnl"/>
        </w:rPr>
        <w:t xml:space="preserve">comenzó a enfrentar déficit llegando a su </w:t>
      </w:r>
      <w:r w:rsidR="005F4E0C" w:rsidRPr="005C2321">
        <w:rPr>
          <w:rFonts w:ascii="Arial" w:hAnsi="Arial" w:cs="Arial"/>
          <w:sz w:val="24"/>
          <w:szCs w:val="24"/>
          <w:lang w:val="es-ES_tradnl"/>
        </w:rPr>
        <w:t xml:space="preserve">porcentaje </w:t>
      </w:r>
      <w:r w:rsidR="00DF5EBE" w:rsidRPr="005C2321">
        <w:rPr>
          <w:rFonts w:ascii="Arial" w:hAnsi="Arial" w:cs="Arial"/>
          <w:sz w:val="24"/>
          <w:szCs w:val="24"/>
          <w:lang w:val="es-ES_tradnl"/>
        </w:rPr>
        <w:t>más alto el 2015 con un déficit de 1.8%</w:t>
      </w:r>
      <w:r w:rsidR="00C10582" w:rsidRPr="005C2321">
        <w:rPr>
          <w:rFonts w:ascii="Arial" w:hAnsi="Arial" w:cs="Arial"/>
          <w:sz w:val="24"/>
          <w:szCs w:val="24"/>
          <w:lang w:val="es-ES_tradnl"/>
        </w:rPr>
        <w:t xml:space="preserve">, </w:t>
      </w:r>
      <w:r w:rsidR="005F4E0C" w:rsidRPr="005C2321">
        <w:rPr>
          <w:rFonts w:ascii="Arial" w:hAnsi="Arial" w:cs="Arial"/>
          <w:sz w:val="24"/>
          <w:szCs w:val="24"/>
          <w:lang w:val="es-ES_tradnl"/>
        </w:rPr>
        <w:t xml:space="preserve">esto </w:t>
      </w:r>
      <w:r w:rsidR="00A3039E" w:rsidRPr="005C2321">
        <w:rPr>
          <w:rFonts w:ascii="Arial" w:hAnsi="Arial" w:cs="Arial"/>
          <w:sz w:val="24"/>
          <w:szCs w:val="24"/>
          <w:lang w:val="es-ES_tradnl"/>
        </w:rPr>
        <w:t xml:space="preserve">a pesar de estar </w:t>
      </w:r>
      <w:r w:rsidR="005F4E0C" w:rsidRPr="005C2321">
        <w:rPr>
          <w:rFonts w:ascii="Arial" w:hAnsi="Arial" w:cs="Arial"/>
          <w:sz w:val="24"/>
          <w:szCs w:val="24"/>
          <w:lang w:val="es-ES_tradnl"/>
        </w:rPr>
        <w:t xml:space="preserve">vigente la </w:t>
      </w:r>
      <w:r w:rsidR="00C10582" w:rsidRPr="005C2321">
        <w:rPr>
          <w:rFonts w:ascii="Arial" w:hAnsi="Arial" w:cs="Arial"/>
          <w:sz w:val="24"/>
          <w:szCs w:val="24"/>
          <w:lang w:val="es-ES_tradnl"/>
        </w:rPr>
        <w:t>Ley de Responsabilidad Fiscal (LRF, Nro. 5.098)</w:t>
      </w:r>
      <w:r w:rsidR="005F4E0C" w:rsidRPr="005C2321">
        <w:rPr>
          <w:rFonts w:ascii="Arial" w:hAnsi="Arial" w:cs="Arial"/>
          <w:sz w:val="24"/>
          <w:szCs w:val="24"/>
          <w:lang w:val="es-ES_tradnl"/>
        </w:rPr>
        <w:t xml:space="preserve"> que </w:t>
      </w:r>
      <w:r w:rsidR="00C10582" w:rsidRPr="005C2321">
        <w:rPr>
          <w:rFonts w:ascii="Arial" w:hAnsi="Arial" w:cs="Arial"/>
          <w:sz w:val="24"/>
          <w:szCs w:val="24"/>
          <w:lang w:val="es-ES_tradnl"/>
        </w:rPr>
        <w:t>establece un límite de 1.5% del PIB al déficit del gobierno central</w:t>
      </w:r>
      <w:r w:rsidR="00A3039E" w:rsidRPr="005C2321">
        <w:rPr>
          <w:rFonts w:ascii="Arial" w:hAnsi="Arial" w:cs="Arial"/>
          <w:sz w:val="24"/>
          <w:szCs w:val="24"/>
          <w:lang w:val="es-ES_tradnl"/>
        </w:rPr>
        <w:t xml:space="preserve">. En este contexto se implementó </w:t>
      </w:r>
      <w:r w:rsidR="004204E2" w:rsidRPr="005C2321">
        <w:rPr>
          <w:rFonts w:ascii="Arial" w:hAnsi="Arial" w:cs="Arial"/>
          <w:sz w:val="24"/>
          <w:szCs w:val="24"/>
          <w:lang w:val="es-ES_tradnl"/>
        </w:rPr>
        <w:t>una política de contención del gasto</w:t>
      </w:r>
      <w:r w:rsidR="004204E2" w:rsidRPr="005C2321">
        <w:rPr>
          <w:rStyle w:val="FootnoteReference"/>
          <w:rFonts w:ascii="Arial" w:hAnsi="Arial" w:cs="Arial"/>
          <w:sz w:val="24"/>
          <w:szCs w:val="24"/>
          <w:lang w:val="es-ES_tradnl"/>
        </w:rPr>
        <w:footnoteReference w:id="5"/>
      </w:r>
      <w:r w:rsidR="004204E2" w:rsidRPr="005C2321">
        <w:rPr>
          <w:rFonts w:ascii="Arial" w:hAnsi="Arial" w:cs="Arial"/>
          <w:sz w:val="24"/>
          <w:szCs w:val="24"/>
          <w:lang w:val="es-ES_tradnl"/>
        </w:rPr>
        <w:t xml:space="preserve"> que permitió que </w:t>
      </w:r>
      <w:r w:rsidR="005F4E0C" w:rsidRPr="005C2321">
        <w:rPr>
          <w:rFonts w:ascii="Arial" w:hAnsi="Arial" w:cs="Arial"/>
          <w:sz w:val="24"/>
          <w:szCs w:val="24"/>
          <w:lang w:val="es-ES_tradnl"/>
        </w:rPr>
        <w:t xml:space="preserve">el 2016 y 2017 se </w:t>
      </w:r>
      <w:r w:rsidR="00C32F47" w:rsidRPr="005C2321">
        <w:rPr>
          <w:rFonts w:ascii="Arial" w:hAnsi="Arial" w:cs="Arial"/>
          <w:sz w:val="24"/>
          <w:szCs w:val="24"/>
          <w:lang w:val="es-ES_tradnl"/>
        </w:rPr>
        <w:t xml:space="preserve">logre </w:t>
      </w:r>
      <w:r w:rsidR="005F4E0C" w:rsidRPr="005C2321">
        <w:rPr>
          <w:rFonts w:ascii="Arial" w:hAnsi="Arial" w:cs="Arial"/>
          <w:sz w:val="24"/>
          <w:szCs w:val="24"/>
          <w:lang w:val="es-ES_tradnl"/>
        </w:rPr>
        <w:t xml:space="preserve">un </w:t>
      </w:r>
      <w:r w:rsidR="00C32F47" w:rsidRPr="005C2321">
        <w:rPr>
          <w:rFonts w:ascii="Arial" w:hAnsi="Arial" w:cs="Arial"/>
          <w:sz w:val="24"/>
          <w:szCs w:val="24"/>
          <w:lang w:val="es-ES_tradnl"/>
        </w:rPr>
        <w:t xml:space="preserve">déficit de </w:t>
      </w:r>
      <w:r w:rsidR="005F4E0C" w:rsidRPr="005C2321">
        <w:rPr>
          <w:rFonts w:ascii="Arial" w:hAnsi="Arial" w:cs="Arial"/>
          <w:sz w:val="24"/>
          <w:szCs w:val="24"/>
          <w:lang w:val="es-ES_tradnl"/>
        </w:rPr>
        <w:t>1.4%</w:t>
      </w:r>
      <w:r w:rsidR="00C32F47" w:rsidRPr="005C2321">
        <w:rPr>
          <w:rFonts w:ascii="Arial" w:hAnsi="Arial" w:cs="Arial"/>
          <w:sz w:val="24"/>
          <w:szCs w:val="24"/>
          <w:lang w:val="es-ES_tradnl"/>
        </w:rPr>
        <w:t>, en cumplimiento de la LRF</w:t>
      </w:r>
      <w:r w:rsidR="00C10582" w:rsidRPr="005C2321">
        <w:rPr>
          <w:rFonts w:ascii="Arial" w:hAnsi="Arial" w:cs="Arial"/>
          <w:sz w:val="24"/>
          <w:szCs w:val="24"/>
          <w:lang w:val="es-ES_tradnl"/>
        </w:rPr>
        <w:t>. Por su parte, la deuda pública se ha mantenido en niveles bajos y sostenibles: 24% del PIB al cierre de 2017, luego de haber alcanzado cerca de 50% del PIB en 2002</w:t>
      </w:r>
      <w:r w:rsidR="00C10582" w:rsidRPr="005C2321">
        <w:rPr>
          <w:rFonts w:ascii="Arial" w:hAnsi="Arial" w:cs="Arial"/>
          <w:sz w:val="24"/>
          <w:szCs w:val="24"/>
          <w:vertAlign w:val="superscript"/>
          <w:lang w:val="es-ES_tradnl"/>
        </w:rPr>
        <w:footnoteReference w:id="6"/>
      </w:r>
      <w:r w:rsidR="00C10582" w:rsidRPr="005C2321">
        <w:rPr>
          <w:rFonts w:ascii="Arial" w:hAnsi="Arial" w:cs="Arial"/>
          <w:sz w:val="24"/>
          <w:szCs w:val="24"/>
          <w:lang w:val="es-ES_tradnl"/>
        </w:rPr>
        <w:t>.</w:t>
      </w:r>
    </w:p>
    <w:p w14:paraId="600B527F" w14:textId="77777777" w:rsidR="00B80E2F" w:rsidRPr="005C2321" w:rsidRDefault="00B80E2F" w:rsidP="00B80E2F">
      <w:pPr>
        <w:pStyle w:val="BodyText"/>
        <w:ind w:firstLine="0"/>
        <w:rPr>
          <w:rFonts w:ascii="Arial" w:hAnsi="Arial" w:cs="Arial"/>
          <w:b/>
          <w:sz w:val="24"/>
          <w:szCs w:val="24"/>
          <w:lang w:val="es-ES_tradnl"/>
        </w:rPr>
      </w:pPr>
      <w:r w:rsidRPr="005C2321">
        <w:rPr>
          <w:rFonts w:ascii="Arial" w:hAnsi="Arial" w:cs="Arial"/>
          <w:b/>
          <w:sz w:val="24"/>
          <w:szCs w:val="24"/>
          <w:lang w:val="es-ES_tradnl"/>
        </w:rPr>
        <w:t>Aspectos sociales</w:t>
      </w:r>
    </w:p>
    <w:p w14:paraId="2D68BC9C" w14:textId="6BDEC497" w:rsidR="00A1594D" w:rsidRPr="005C2321" w:rsidRDefault="001E4F53" w:rsidP="00D00E6B">
      <w:pPr>
        <w:pStyle w:val="BodyText"/>
        <w:numPr>
          <w:ilvl w:val="1"/>
          <w:numId w:val="1"/>
        </w:numPr>
        <w:rPr>
          <w:rFonts w:ascii="Arial" w:hAnsi="Arial" w:cs="Arial"/>
          <w:sz w:val="24"/>
          <w:szCs w:val="24"/>
          <w:lang w:val="es-ES_tradnl"/>
        </w:rPr>
      </w:pPr>
      <w:r w:rsidRPr="005C2321">
        <w:rPr>
          <w:rFonts w:ascii="Arial" w:hAnsi="Arial" w:cs="Arial"/>
          <w:sz w:val="24"/>
          <w:szCs w:val="24"/>
          <w:lang w:val="es-ES_tradnl"/>
        </w:rPr>
        <w:t xml:space="preserve">El </w:t>
      </w:r>
      <w:r w:rsidR="00C10582" w:rsidRPr="005C2321">
        <w:rPr>
          <w:rFonts w:ascii="Arial" w:hAnsi="Arial" w:cs="Arial"/>
          <w:sz w:val="24"/>
          <w:szCs w:val="24"/>
          <w:lang w:val="es-ES_tradnl"/>
        </w:rPr>
        <w:t xml:space="preserve">entorno macroeconómico </w:t>
      </w:r>
      <w:r w:rsidRPr="005C2321">
        <w:rPr>
          <w:rFonts w:ascii="Arial" w:hAnsi="Arial" w:cs="Arial"/>
          <w:sz w:val="24"/>
          <w:szCs w:val="24"/>
          <w:lang w:val="es-ES_tradnl"/>
        </w:rPr>
        <w:t xml:space="preserve">favorable </w:t>
      </w:r>
      <w:r w:rsidR="00C10582" w:rsidRPr="005C2321">
        <w:rPr>
          <w:rFonts w:ascii="Arial" w:hAnsi="Arial" w:cs="Arial"/>
          <w:sz w:val="24"/>
          <w:szCs w:val="24"/>
          <w:lang w:val="es-ES_tradnl"/>
        </w:rPr>
        <w:t>contribuyó a reducciones significativas en la pobreza que pas</w:t>
      </w:r>
      <w:r w:rsidR="00B40D7C" w:rsidRPr="005C2321">
        <w:rPr>
          <w:rFonts w:ascii="Arial" w:hAnsi="Arial" w:cs="Arial"/>
          <w:sz w:val="24"/>
          <w:szCs w:val="24"/>
          <w:lang w:val="es-ES_tradnl"/>
        </w:rPr>
        <w:t>o d</w:t>
      </w:r>
      <w:r w:rsidR="00C10582" w:rsidRPr="005C2321">
        <w:rPr>
          <w:rFonts w:ascii="Arial" w:hAnsi="Arial" w:cs="Arial"/>
          <w:sz w:val="24"/>
          <w:szCs w:val="24"/>
          <w:lang w:val="es-ES_tradnl"/>
        </w:rPr>
        <w:t>e 4</w:t>
      </w:r>
      <w:r w:rsidR="00B40D7C" w:rsidRPr="005C2321">
        <w:rPr>
          <w:rFonts w:ascii="Arial" w:hAnsi="Arial" w:cs="Arial"/>
          <w:sz w:val="24"/>
          <w:szCs w:val="24"/>
          <w:lang w:val="es-ES_tradnl"/>
        </w:rPr>
        <w:t>3</w:t>
      </w:r>
      <w:r w:rsidR="00C10582" w:rsidRPr="005C2321">
        <w:rPr>
          <w:rFonts w:ascii="Arial" w:hAnsi="Arial" w:cs="Arial"/>
          <w:sz w:val="24"/>
          <w:szCs w:val="24"/>
          <w:lang w:val="es-ES_tradnl"/>
        </w:rPr>
        <w:t>,</w:t>
      </w:r>
      <w:r w:rsidR="00B40D7C" w:rsidRPr="005C2321">
        <w:rPr>
          <w:rFonts w:ascii="Arial" w:hAnsi="Arial" w:cs="Arial"/>
          <w:sz w:val="24"/>
          <w:szCs w:val="24"/>
          <w:lang w:val="es-ES_tradnl"/>
        </w:rPr>
        <w:t>2</w:t>
      </w:r>
      <w:r w:rsidR="00C10582" w:rsidRPr="005C2321">
        <w:rPr>
          <w:rFonts w:ascii="Arial" w:hAnsi="Arial" w:cs="Arial"/>
          <w:sz w:val="24"/>
          <w:szCs w:val="24"/>
          <w:lang w:val="es-ES_tradnl"/>
        </w:rPr>
        <w:t xml:space="preserve">% </w:t>
      </w:r>
      <w:r w:rsidR="00B40D7C" w:rsidRPr="005C2321">
        <w:rPr>
          <w:rFonts w:ascii="Arial" w:hAnsi="Arial" w:cs="Arial"/>
          <w:sz w:val="24"/>
          <w:szCs w:val="24"/>
          <w:lang w:val="es-ES_tradnl"/>
        </w:rPr>
        <w:t xml:space="preserve">el 2008 a 28.9% el </w:t>
      </w:r>
      <w:r w:rsidR="00C10582" w:rsidRPr="005C2321">
        <w:rPr>
          <w:rFonts w:ascii="Arial" w:hAnsi="Arial" w:cs="Arial"/>
          <w:sz w:val="24"/>
          <w:szCs w:val="24"/>
          <w:lang w:val="es-ES_tradnl"/>
        </w:rPr>
        <w:t>2016</w:t>
      </w:r>
      <w:r w:rsidR="00C10582" w:rsidRPr="005C2321">
        <w:rPr>
          <w:rFonts w:ascii="Arial" w:hAnsi="Arial" w:cs="Arial"/>
          <w:sz w:val="24"/>
          <w:szCs w:val="24"/>
          <w:vertAlign w:val="superscript"/>
          <w:lang w:val="es-ES_tradnl"/>
        </w:rPr>
        <w:footnoteReference w:id="7"/>
      </w:r>
      <w:r w:rsidR="007526CE" w:rsidRPr="005C2321">
        <w:rPr>
          <w:rFonts w:ascii="Arial" w:hAnsi="Arial" w:cs="Arial"/>
          <w:sz w:val="24"/>
          <w:szCs w:val="24"/>
          <w:lang w:val="es-ES_tradnl"/>
        </w:rPr>
        <w:t>, de igual forma la extrema pobreza que el 2008 registr</w:t>
      </w:r>
      <w:r w:rsidR="00615085" w:rsidRPr="005C2321">
        <w:rPr>
          <w:rFonts w:ascii="Arial" w:hAnsi="Arial" w:cs="Arial"/>
          <w:sz w:val="24"/>
          <w:szCs w:val="24"/>
          <w:lang w:val="es-ES_tradnl"/>
        </w:rPr>
        <w:t>ó</w:t>
      </w:r>
      <w:r w:rsidR="007526CE" w:rsidRPr="005C2321">
        <w:rPr>
          <w:rFonts w:ascii="Arial" w:hAnsi="Arial" w:cs="Arial"/>
          <w:sz w:val="24"/>
          <w:szCs w:val="24"/>
          <w:lang w:val="es-ES_tradnl"/>
        </w:rPr>
        <w:t xml:space="preserve"> un 10.</w:t>
      </w:r>
      <w:r w:rsidR="00615085" w:rsidRPr="005C2321">
        <w:rPr>
          <w:rFonts w:ascii="Arial" w:hAnsi="Arial" w:cs="Arial"/>
          <w:sz w:val="24"/>
          <w:szCs w:val="24"/>
          <w:lang w:val="es-ES_tradnl"/>
        </w:rPr>
        <w:t>5</w:t>
      </w:r>
      <w:r w:rsidR="007526CE" w:rsidRPr="005C2321">
        <w:rPr>
          <w:rFonts w:ascii="Arial" w:hAnsi="Arial" w:cs="Arial"/>
          <w:sz w:val="24"/>
          <w:szCs w:val="24"/>
          <w:lang w:val="es-ES_tradnl"/>
        </w:rPr>
        <w:t>% baj</w:t>
      </w:r>
      <w:r w:rsidR="00615085" w:rsidRPr="005C2321">
        <w:rPr>
          <w:rFonts w:ascii="Arial" w:hAnsi="Arial" w:cs="Arial"/>
          <w:sz w:val="24"/>
          <w:szCs w:val="24"/>
          <w:lang w:val="es-ES_tradnl"/>
        </w:rPr>
        <w:t>ó</w:t>
      </w:r>
      <w:r w:rsidR="007526CE" w:rsidRPr="005C2321">
        <w:rPr>
          <w:rFonts w:ascii="Arial" w:hAnsi="Arial" w:cs="Arial"/>
          <w:sz w:val="24"/>
          <w:szCs w:val="24"/>
          <w:lang w:val="es-ES_tradnl"/>
        </w:rPr>
        <w:t xml:space="preserve"> a 5.7% </w:t>
      </w:r>
      <w:r w:rsidR="00615085" w:rsidRPr="005C2321">
        <w:rPr>
          <w:rFonts w:ascii="Arial" w:hAnsi="Arial" w:cs="Arial"/>
          <w:sz w:val="24"/>
          <w:szCs w:val="24"/>
          <w:lang w:val="es-ES_tradnl"/>
        </w:rPr>
        <w:t xml:space="preserve">en </w:t>
      </w:r>
      <w:r w:rsidR="007526CE" w:rsidRPr="005C2321">
        <w:rPr>
          <w:rFonts w:ascii="Arial" w:hAnsi="Arial" w:cs="Arial"/>
          <w:sz w:val="24"/>
          <w:szCs w:val="24"/>
          <w:lang w:val="es-ES_tradnl"/>
        </w:rPr>
        <w:t>2016</w:t>
      </w:r>
      <w:r w:rsidR="007526CE" w:rsidRPr="005C2321">
        <w:rPr>
          <w:rStyle w:val="FootnoteReference"/>
          <w:rFonts w:ascii="Arial" w:hAnsi="Arial" w:cs="Arial"/>
          <w:sz w:val="24"/>
          <w:szCs w:val="24"/>
          <w:lang w:val="es-ES_tradnl"/>
        </w:rPr>
        <w:footnoteReference w:id="8"/>
      </w:r>
      <w:r w:rsidR="00E02541" w:rsidRPr="005C2321">
        <w:rPr>
          <w:rFonts w:ascii="Arial" w:hAnsi="Arial" w:cs="Arial"/>
          <w:sz w:val="24"/>
          <w:szCs w:val="24"/>
          <w:lang w:val="es-ES_tradnl"/>
        </w:rPr>
        <w:t>.</w:t>
      </w:r>
      <w:r w:rsidR="000E02E0" w:rsidRPr="005C2321">
        <w:rPr>
          <w:rFonts w:ascii="Arial" w:hAnsi="Arial" w:cs="Arial"/>
          <w:sz w:val="24"/>
          <w:szCs w:val="24"/>
          <w:lang w:val="es-ES_tradnl"/>
        </w:rPr>
        <w:t xml:space="preserve"> </w:t>
      </w:r>
      <w:r w:rsidR="003722DA" w:rsidRPr="005C2321">
        <w:rPr>
          <w:rFonts w:ascii="Arial" w:hAnsi="Arial" w:cs="Arial"/>
          <w:sz w:val="24"/>
          <w:szCs w:val="24"/>
          <w:lang w:val="es-ES_tradnl"/>
        </w:rPr>
        <w:t>Otro indicador relevante es el PBI per</w:t>
      </w:r>
      <w:r w:rsidR="003E41B3" w:rsidRPr="005C2321">
        <w:rPr>
          <w:rFonts w:ascii="Arial" w:hAnsi="Arial" w:cs="Arial"/>
          <w:sz w:val="24"/>
          <w:szCs w:val="24"/>
          <w:lang w:val="es-ES_tradnl"/>
        </w:rPr>
        <w:t xml:space="preserve"> </w:t>
      </w:r>
      <w:r w:rsidR="003722DA" w:rsidRPr="005C2321">
        <w:rPr>
          <w:rFonts w:ascii="Arial" w:hAnsi="Arial" w:cs="Arial"/>
          <w:sz w:val="24"/>
          <w:szCs w:val="24"/>
          <w:lang w:val="es-ES_tradnl"/>
        </w:rPr>
        <w:t>c</w:t>
      </w:r>
      <w:r w:rsidR="003E41B3" w:rsidRPr="005C2321">
        <w:rPr>
          <w:rFonts w:ascii="Arial" w:hAnsi="Arial" w:cs="Arial"/>
          <w:sz w:val="24"/>
          <w:szCs w:val="24"/>
          <w:lang w:val="es-ES_tradnl"/>
        </w:rPr>
        <w:t>á</w:t>
      </w:r>
      <w:r w:rsidR="003722DA" w:rsidRPr="005C2321">
        <w:rPr>
          <w:rFonts w:ascii="Arial" w:hAnsi="Arial" w:cs="Arial"/>
          <w:sz w:val="24"/>
          <w:szCs w:val="24"/>
          <w:lang w:val="es-ES_tradnl"/>
        </w:rPr>
        <w:t xml:space="preserve">pita que </w:t>
      </w:r>
      <w:r w:rsidR="0098233F" w:rsidRPr="005C2321">
        <w:rPr>
          <w:rFonts w:ascii="Arial" w:hAnsi="Arial" w:cs="Arial"/>
          <w:sz w:val="24"/>
          <w:szCs w:val="24"/>
          <w:lang w:val="es-ES_tradnl"/>
        </w:rPr>
        <w:t>referencialmente, en los últimos 15 años (2002 a 2017) ha crecido</w:t>
      </w:r>
      <w:r w:rsidR="003722DA" w:rsidRPr="005C2321">
        <w:rPr>
          <w:rFonts w:ascii="Arial" w:hAnsi="Arial" w:cs="Arial"/>
          <w:sz w:val="24"/>
          <w:szCs w:val="24"/>
          <w:lang w:val="es-ES_tradnl"/>
        </w:rPr>
        <w:t>.</w:t>
      </w:r>
      <w:r w:rsidR="000E02E0" w:rsidRPr="005C2321">
        <w:rPr>
          <w:rFonts w:ascii="Arial" w:hAnsi="Arial" w:cs="Arial"/>
          <w:sz w:val="24"/>
          <w:szCs w:val="24"/>
          <w:lang w:val="es-ES_tradnl"/>
        </w:rPr>
        <w:t xml:space="preserve"> En lo que corresponde a la esperanza de vida al nacer también ha mejorado en el periodo de análisis pasando de 71.</w:t>
      </w:r>
      <w:r w:rsidR="00C14697" w:rsidRPr="005C2321">
        <w:rPr>
          <w:rFonts w:ascii="Arial" w:hAnsi="Arial" w:cs="Arial"/>
          <w:sz w:val="24"/>
          <w:szCs w:val="24"/>
          <w:lang w:val="es-ES_tradnl"/>
        </w:rPr>
        <w:t>9</w:t>
      </w:r>
      <w:r w:rsidR="000E02E0" w:rsidRPr="005C2321">
        <w:rPr>
          <w:rFonts w:ascii="Arial" w:hAnsi="Arial" w:cs="Arial"/>
          <w:sz w:val="24"/>
          <w:szCs w:val="24"/>
          <w:lang w:val="es-ES_tradnl"/>
        </w:rPr>
        <w:t xml:space="preserve"> años el </w:t>
      </w:r>
      <w:r w:rsidR="000E02E0" w:rsidRPr="005C2321">
        <w:rPr>
          <w:rFonts w:ascii="Arial" w:hAnsi="Arial" w:cs="Arial"/>
          <w:sz w:val="24"/>
          <w:szCs w:val="24"/>
          <w:lang w:val="es-ES_tradnl"/>
        </w:rPr>
        <w:lastRenderedPageBreak/>
        <w:t>2008 a 73.1 años el 2016</w:t>
      </w:r>
      <w:r w:rsidR="000E02E0" w:rsidRPr="005C2321">
        <w:rPr>
          <w:rFonts w:ascii="Arial" w:hAnsi="Arial" w:cs="Arial"/>
          <w:sz w:val="24"/>
          <w:szCs w:val="24"/>
          <w:vertAlign w:val="superscript"/>
          <w:lang w:val="es-ES_tradnl"/>
        </w:rPr>
        <w:footnoteReference w:id="9"/>
      </w:r>
      <w:r w:rsidR="000E02E0" w:rsidRPr="005C2321">
        <w:rPr>
          <w:rFonts w:ascii="Arial" w:hAnsi="Arial" w:cs="Arial"/>
          <w:sz w:val="24"/>
          <w:szCs w:val="24"/>
          <w:lang w:val="es-ES_tradnl"/>
        </w:rPr>
        <w:t xml:space="preserve">. En lo que corresponde a los aspectos demográficos tenemos que al 2008 la población fue de 6 047 117 y al 2017 </w:t>
      </w:r>
      <w:r w:rsidR="00A1594D" w:rsidRPr="005C2321">
        <w:rPr>
          <w:rFonts w:ascii="Arial" w:hAnsi="Arial" w:cs="Arial"/>
          <w:sz w:val="24"/>
          <w:szCs w:val="24"/>
          <w:lang w:val="es-ES_tradnl"/>
        </w:rPr>
        <w:t xml:space="preserve">fue de </w:t>
      </w:r>
      <w:r w:rsidR="000E02E0" w:rsidRPr="005C2321">
        <w:rPr>
          <w:rFonts w:ascii="Arial" w:hAnsi="Arial" w:cs="Arial"/>
          <w:sz w:val="24"/>
          <w:szCs w:val="24"/>
          <w:lang w:val="es-ES_tradnl"/>
        </w:rPr>
        <w:t>6</w:t>
      </w:r>
      <w:r w:rsidR="00A1594D" w:rsidRPr="005C2321">
        <w:rPr>
          <w:rFonts w:ascii="Arial" w:hAnsi="Arial" w:cs="Arial"/>
          <w:sz w:val="24"/>
          <w:szCs w:val="24"/>
          <w:lang w:val="es-ES_tradnl"/>
        </w:rPr>
        <w:t xml:space="preserve"> </w:t>
      </w:r>
      <w:r w:rsidR="000E02E0" w:rsidRPr="005C2321">
        <w:rPr>
          <w:rFonts w:ascii="Arial" w:hAnsi="Arial" w:cs="Arial"/>
          <w:sz w:val="24"/>
          <w:szCs w:val="24"/>
          <w:lang w:val="es-ES_tradnl"/>
        </w:rPr>
        <w:t>811</w:t>
      </w:r>
      <w:r w:rsidR="00A1594D" w:rsidRPr="005C2321">
        <w:rPr>
          <w:rFonts w:ascii="Arial" w:hAnsi="Arial" w:cs="Arial"/>
          <w:sz w:val="24"/>
          <w:szCs w:val="24"/>
          <w:lang w:val="es-ES_tradnl"/>
        </w:rPr>
        <w:t xml:space="preserve"> </w:t>
      </w:r>
      <w:r w:rsidR="000E02E0" w:rsidRPr="005C2321">
        <w:rPr>
          <w:rFonts w:ascii="Arial" w:hAnsi="Arial" w:cs="Arial"/>
          <w:sz w:val="24"/>
          <w:szCs w:val="24"/>
          <w:lang w:val="es-ES_tradnl"/>
        </w:rPr>
        <w:t>297</w:t>
      </w:r>
      <w:r w:rsidR="00A1594D" w:rsidRPr="005C2321">
        <w:rPr>
          <w:rFonts w:ascii="Arial" w:hAnsi="Arial" w:cs="Arial"/>
          <w:sz w:val="24"/>
          <w:szCs w:val="24"/>
          <w:vertAlign w:val="superscript"/>
          <w:lang w:val="es-ES_tradnl"/>
        </w:rPr>
        <w:footnoteReference w:id="10"/>
      </w:r>
      <w:r w:rsidR="00A1594D" w:rsidRPr="005C2321">
        <w:rPr>
          <w:rFonts w:ascii="Arial" w:hAnsi="Arial" w:cs="Arial"/>
          <w:sz w:val="24"/>
          <w:szCs w:val="24"/>
          <w:lang w:val="es-ES_tradnl"/>
        </w:rPr>
        <w:t>.</w:t>
      </w:r>
    </w:p>
    <w:p w14:paraId="26188AC9" w14:textId="77777777" w:rsidR="00A057DF" w:rsidRPr="005C2321" w:rsidRDefault="00A057DF" w:rsidP="00A057DF">
      <w:pPr>
        <w:pStyle w:val="BodyText"/>
        <w:ind w:firstLine="0"/>
        <w:rPr>
          <w:rFonts w:ascii="Arial" w:hAnsi="Arial" w:cs="Arial"/>
          <w:b/>
          <w:sz w:val="24"/>
          <w:szCs w:val="24"/>
          <w:lang w:val="es-ES_tradnl"/>
        </w:rPr>
      </w:pPr>
      <w:r w:rsidRPr="005C2321">
        <w:rPr>
          <w:rFonts w:ascii="Arial" w:hAnsi="Arial" w:cs="Arial"/>
          <w:b/>
          <w:sz w:val="24"/>
          <w:szCs w:val="24"/>
          <w:lang w:val="es-ES_tradnl"/>
        </w:rPr>
        <w:t>Aspectos políticos</w:t>
      </w:r>
    </w:p>
    <w:p w14:paraId="1690F9E5" w14:textId="5C28B596" w:rsidR="00A730C4" w:rsidRPr="005C2321" w:rsidRDefault="00A730C4" w:rsidP="00D00E6B">
      <w:pPr>
        <w:pStyle w:val="BodyText"/>
        <w:numPr>
          <w:ilvl w:val="1"/>
          <w:numId w:val="1"/>
        </w:numPr>
        <w:rPr>
          <w:rFonts w:ascii="Arial" w:hAnsi="Arial" w:cs="Arial"/>
          <w:sz w:val="24"/>
          <w:szCs w:val="24"/>
          <w:lang w:val="es-ES_tradnl"/>
        </w:rPr>
      </w:pPr>
      <w:r w:rsidRPr="005C2321">
        <w:rPr>
          <w:rFonts w:ascii="Arial" w:hAnsi="Arial" w:cs="Arial"/>
          <w:sz w:val="24"/>
          <w:szCs w:val="24"/>
          <w:lang w:val="es-ES_tradnl"/>
        </w:rPr>
        <w:t>Es importante tener en cuenta que el diseño del proyecto est</w:t>
      </w:r>
      <w:r w:rsidR="00C83F42" w:rsidRPr="005C2321">
        <w:rPr>
          <w:rFonts w:ascii="Arial" w:hAnsi="Arial" w:cs="Arial"/>
          <w:sz w:val="24"/>
          <w:szCs w:val="24"/>
          <w:lang w:val="es-ES_tradnl"/>
        </w:rPr>
        <w:t>á</w:t>
      </w:r>
      <w:r w:rsidRPr="005C2321">
        <w:rPr>
          <w:rFonts w:ascii="Arial" w:hAnsi="Arial" w:cs="Arial"/>
          <w:sz w:val="24"/>
          <w:szCs w:val="24"/>
          <w:lang w:val="es-ES_tradnl"/>
        </w:rPr>
        <w:t xml:space="preserve"> enfrentando un cambio de gobierno</w:t>
      </w:r>
      <w:r w:rsidR="00C83F42" w:rsidRPr="005C2321">
        <w:rPr>
          <w:rFonts w:ascii="Arial" w:hAnsi="Arial" w:cs="Arial"/>
          <w:sz w:val="24"/>
          <w:szCs w:val="24"/>
          <w:lang w:val="es-ES_tradnl"/>
        </w:rPr>
        <w:t>,</w:t>
      </w:r>
      <w:r w:rsidRPr="005C2321">
        <w:rPr>
          <w:rFonts w:ascii="Arial" w:hAnsi="Arial" w:cs="Arial"/>
          <w:sz w:val="24"/>
          <w:szCs w:val="24"/>
          <w:lang w:val="es-ES_tradnl"/>
        </w:rPr>
        <w:t xml:space="preserve"> ya que en abril del presente año </w:t>
      </w:r>
      <w:r w:rsidR="00C83F42" w:rsidRPr="005C2321">
        <w:rPr>
          <w:rFonts w:ascii="Arial" w:hAnsi="Arial" w:cs="Arial"/>
          <w:sz w:val="24"/>
          <w:szCs w:val="24"/>
          <w:lang w:val="es-ES_tradnl"/>
        </w:rPr>
        <w:t>el Tribunal Superior de Justicia Electoral (TSJE)</w:t>
      </w:r>
      <w:r w:rsidRPr="005C2321">
        <w:rPr>
          <w:rFonts w:ascii="Arial" w:hAnsi="Arial" w:cs="Arial"/>
          <w:sz w:val="24"/>
          <w:szCs w:val="24"/>
          <w:lang w:val="es-ES_tradnl"/>
        </w:rPr>
        <w:t xml:space="preserve"> di</w:t>
      </w:r>
      <w:r w:rsidR="00C83F42" w:rsidRPr="005C2321">
        <w:rPr>
          <w:rFonts w:ascii="Arial" w:hAnsi="Arial" w:cs="Arial"/>
          <w:sz w:val="24"/>
          <w:szCs w:val="24"/>
          <w:lang w:val="es-ES_tradnl"/>
        </w:rPr>
        <w:t xml:space="preserve">o </w:t>
      </w:r>
      <w:r w:rsidR="007540D2" w:rsidRPr="005C2321">
        <w:rPr>
          <w:rFonts w:ascii="Arial" w:hAnsi="Arial" w:cs="Arial"/>
          <w:sz w:val="24"/>
          <w:szCs w:val="24"/>
          <w:lang w:val="es-ES_tradnl"/>
        </w:rPr>
        <w:t xml:space="preserve">por ganador del </w:t>
      </w:r>
      <w:r w:rsidRPr="005C2321">
        <w:rPr>
          <w:rFonts w:ascii="Arial" w:hAnsi="Arial" w:cs="Arial"/>
          <w:sz w:val="24"/>
          <w:szCs w:val="24"/>
          <w:lang w:val="es-ES_tradnl"/>
        </w:rPr>
        <w:t xml:space="preserve">proceso electoral </w:t>
      </w:r>
      <w:r w:rsidR="007540D2" w:rsidRPr="005C2321">
        <w:rPr>
          <w:rFonts w:ascii="Arial" w:hAnsi="Arial" w:cs="Arial"/>
          <w:sz w:val="24"/>
          <w:szCs w:val="24"/>
          <w:lang w:val="es-ES_tradnl"/>
        </w:rPr>
        <w:t xml:space="preserve">a Mario </w:t>
      </w:r>
      <w:proofErr w:type="spellStart"/>
      <w:r w:rsidR="007540D2" w:rsidRPr="005C2321">
        <w:rPr>
          <w:rFonts w:ascii="Arial" w:hAnsi="Arial" w:cs="Arial"/>
          <w:sz w:val="24"/>
          <w:szCs w:val="24"/>
          <w:lang w:val="es-ES_tradnl"/>
        </w:rPr>
        <w:t>Abdo</w:t>
      </w:r>
      <w:proofErr w:type="spellEnd"/>
      <w:r w:rsidR="007540D2" w:rsidRPr="005C2321">
        <w:rPr>
          <w:rFonts w:ascii="Arial" w:hAnsi="Arial" w:cs="Arial"/>
          <w:sz w:val="24"/>
          <w:szCs w:val="24"/>
          <w:lang w:val="es-ES_tradnl"/>
        </w:rPr>
        <w:t xml:space="preserve"> Benitez</w:t>
      </w:r>
      <w:r w:rsidR="00695244" w:rsidRPr="005C2321">
        <w:rPr>
          <w:rFonts w:ascii="Arial" w:hAnsi="Arial" w:cs="Arial"/>
          <w:sz w:val="24"/>
          <w:szCs w:val="24"/>
          <w:lang w:val="es-ES_tradnl"/>
        </w:rPr>
        <w:t xml:space="preserve">, cuya fecha de asunción </w:t>
      </w:r>
      <w:r w:rsidR="00CE12C1" w:rsidRPr="005C2321">
        <w:rPr>
          <w:rFonts w:ascii="Arial" w:hAnsi="Arial" w:cs="Arial"/>
          <w:sz w:val="24"/>
          <w:szCs w:val="24"/>
          <w:lang w:val="es-ES_tradnl"/>
        </w:rPr>
        <w:t xml:space="preserve">fue </w:t>
      </w:r>
      <w:r w:rsidR="005A2BC7" w:rsidRPr="005C2321">
        <w:rPr>
          <w:rFonts w:ascii="Arial" w:hAnsi="Arial" w:cs="Arial"/>
          <w:sz w:val="24"/>
          <w:szCs w:val="24"/>
          <w:lang w:val="es-ES_tradnl"/>
        </w:rPr>
        <w:t>el 15 de agosto de 2018.</w:t>
      </w:r>
    </w:p>
    <w:p w14:paraId="3F6421C9" w14:textId="5DDCF19F" w:rsidR="00344E15" w:rsidRPr="005C2321" w:rsidRDefault="00344E15" w:rsidP="00344E15">
      <w:pPr>
        <w:pStyle w:val="BodyText"/>
        <w:numPr>
          <w:ilvl w:val="1"/>
          <w:numId w:val="1"/>
        </w:numPr>
        <w:rPr>
          <w:rFonts w:ascii="Arial" w:hAnsi="Arial" w:cs="Arial"/>
          <w:sz w:val="24"/>
          <w:szCs w:val="24"/>
          <w:lang w:val="es-ES"/>
        </w:rPr>
      </w:pPr>
      <w:r w:rsidRPr="005C2321">
        <w:rPr>
          <w:rFonts w:ascii="Arial" w:hAnsi="Arial" w:cs="Arial"/>
          <w:sz w:val="24"/>
          <w:szCs w:val="24"/>
          <w:lang w:val="es-ES"/>
        </w:rPr>
        <w:t>El Gobierno de Paraguay aprobó en setiembre de 2008 el programa PR-L1027</w:t>
      </w:r>
      <w:r w:rsidRPr="005C2321">
        <w:rPr>
          <w:rStyle w:val="FootnoteReference"/>
          <w:rFonts w:ascii="Arial" w:hAnsi="Arial" w:cs="Arial"/>
          <w:sz w:val="24"/>
          <w:szCs w:val="24"/>
          <w:lang w:val="es-ES"/>
        </w:rPr>
        <w:footnoteReference w:id="11"/>
      </w:r>
      <w:r w:rsidRPr="005C2321">
        <w:rPr>
          <w:rFonts w:ascii="Arial" w:hAnsi="Arial" w:cs="Arial"/>
          <w:sz w:val="24"/>
          <w:szCs w:val="24"/>
          <w:lang w:val="es-ES"/>
        </w:rPr>
        <w:t xml:space="preserve"> “Programa de fortalecimiento y modernización de la administración fiscal II”, cuyo </w:t>
      </w:r>
      <w:r w:rsidRPr="005C2321">
        <w:rPr>
          <w:rFonts w:ascii="Arial" w:hAnsi="Arial" w:cs="Arial"/>
          <w:sz w:val="24"/>
          <w:szCs w:val="24"/>
          <w:lang w:val="es-PE"/>
        </w:rPr>
        <w:t xml:space="preserve">monto es de US$16 millones (US$9.5 millones de endeudamiento), siendo una de sus principales intervenciones </w:t>
      </w:r>
      <w:r w:rsidRPr="005C2321">
        <w:rPr>
          <w:rFonts w:ascii="Arial" w:hAnsi="Arial" w:cs="Arial"/>
          <w:sz w:val="24"/>
          <w:szCs w:val="24"/>
          <w:lang w:val="es-ES"/>
        </w:rPr>
        <w:t>el desarrollo del Sistema Integrado de Administración de Recursos del Estado (SIARE) que integra el SIAF, el SINARH y el SIABYS, el cual est</w:t>
      </w:r>
      <w:r w:rsidR="00F95F16" w:rsidRPr="005C2321">
        <w:rPr>
          <w:rFonts w:ascii="Arial" w:hAnsi="Arial" w:cs="Arial"/>
          <w:sz w:val="24"/>
          <w:szCs w:val="24"/>
          <w:lang w:val="es-ES"/>
        </w:rPr>
        <w:t>á</w:t>
      </w:r>
      <w:r w:rsidRPr="005C2321">
        <w:rPr>
          <w:rFonts w:ascii="Arial" w:hAnsi="Arial" w:cs="Arial"/>
          <w:sz w:val="24"/>
          <w:szCs w:val="24"/>
          <w:lang w:val="es-ES"/>
        </w:rPr>
        <w:t xml:space="preserve"> en </w:t>
      </w:r>
      <w:r w:rsidR="00F95F16" w:rsidRPr="005C2321">
        <w:rPr>
          <w:rFonts w:ascii="Arial" w:hAnsi="Arial" w:cs="Arial"/>
          <w:sz w:val="24"/>
          <w:szCs w:val="24"/>
          <w:lang w:val="es-ES"/>
        </w:rPr>
        <w:t xml:space="preserve">fase final de </w:t>
      </w:r>
      <w:r w:rsidRPr="005C2321">
        <w:rPr>
          <w:rFonts w:ascii="Arial" w:hAnsi="Arial" w:cs="Arial"/>
          <w:sz w:val="24"/>
          <w:szCs w:val="24"/>
          <w:lang w:val="es-ES"/>
        </w:rPr>
        <w:t xml:space="preserve">ejecución a la fecha </w:t>
      </w:r>
    </w:p>
    <w:p w14:paraId="7F70ED2A" w14:textId="77777777" w:rsidR="00344E15" w:rsidRPr="005C2321" w:rsidRDefault="00344E15" w:rsidP="00344E15">
      <w:pPr>
        <w:pStyle w:val="BodyText"/>
        <w:numPr>
          <w:ilvl w:val="1"/>
          <w:numId w:val="1"/>
        </w:numPr>
        <w:rPr>
          <w:rFonts w:ascii="Arial" w:hAnsi="Arial" w:cs="Arial"/>
          <w:sz w:val="24"/>
          <w:szCs w:val="24"/>
          <w:lang w:val="es-MX"/>
        </w:rPr>
      </w:pPr>
      <w:r w:rsidRPr="005C2321">
        <w:rPr>
          <w:rFonts w:ascii="Arial" w:hAnsi="Arial" w:cs="Arial"/>
          <w:sz w:val="24"/>
          <w:szCs w:val="24"/>
          <w:lang w:val="es-ES"/>
        </w:rPr>
        <w:t>El Gobierno de la República de Paraguay (GRP) cuenta con el Plan Nacional de Desarrollo</w:t>
      </w:r>
      <w:r w:rsidRPr="005C2321">
        <w:rPr>
          <w:rStyle w:val="FootnoteReference"/>
          <w:rFonts w:ascii="Arial" w:hAnsi="Arial" w:cs="Arial"/>
          <w:sz w:val="24"/>
          <w:szCs w:val="24"/>
          <w:lang w:val="es-ES"/>
        </w:rPr>
        <w:footnoteReference w:id="12"/>
      </w:r>
      <w:r w:rsidRPr="005C2321">
        <w:rPr>
          <w:rFonts w:ascii="Arial" w:hAnsi="Arial" w:cs="Arial"/>
          <w:sz w:val="24"/>
          <w:szCs w:val="24"/>
          <w:lang w:val="es-ES"/>
        </w:rPr>
        <w:t xml:space="preserve"> al 2030, elaborado el año 2013, que se </w:t>
      </w:r>
      <w:r w:rsidRPr="005C2321">
        <w:rPr>
          <w:rFonts w:ascii="Arial" w:hAnsi="Arial" w:cs="Arial"/>
          <w:sz w:val="24"/>
          <w:szCs w:val="24"/>
          <w:lang w:val="es-MX"/>
        </w:rPr>
        <w:t xml:space="preserve">concentra en tres grandes ejes estratégicos: (a) reducción de la pobreza y desarrollo social; (b) crecimiento económico inclusivo, y, (c) inserción del Paraguay en el mundo en forma adecuada. También se establece que cada eje estratégico incorpore cuatro líneas transversales: (i) la igualdad de oportunidades; (ii) la gestión pública eficiente y transparente; (iii) el ordenamiento y desarrollo territorial; y (iv) la sostenibilidad ambiental.  </w:t>
      </w:r>
      <w:r w:rsidRPr="005C2321">
        <w:rPr>
          <w:rFonts w:ascii="Arial" w:hAnsi="Arial" w:cs="Arial"/>
          <w:sz w:val="24"/>
          <w:szCs w:val="24"/>
          <w:lang w:val="es-ES"/>
        </w:rPr>
        <w:t xml:space="preserve">Es por ello </w:t>
      </w:r>
      <w:proofErr w:type="gramStart"/>
      <w:r w:rsidRPr="005C2321">
        <w:rPr>
          <w:rFonts w:ascii="Arial" w:hAnsi="Arial" w:cs="Arial"/>
          <w:sz w:val="24"/>
          <w:szCs w:val="24"/>
          <w:lang w:val="es-ES"/>
        </w:rPr>
        <w:t>que</w:t>
      </w:r>
      <w:proofErr w:type="gramEnd"/>
      <w:r w:rsidRPr="005C2321">
        <w:rPr>
          <w:rFonts w:ascii="Arial" w:hAnsi="Arial" w:cs="Arial"/>
          <w:sz w:val="24"/>
          <w:szCs w:val="24"/>
          <w:lang w:val="es-ES"/>
        </w:rPr>
        <w:t xml:space="preserve"> se puede afirmar que el presente proyecto está alineado plenamente. Así mismo en el proceso electoral concluido en abril del presente año resulto ganador Mario </w:t>
      </w:r>
      <w:proofErr w:type="spellStart"/>
      <w:r w:rsidRPr="005C2321">
        <w:rPr>
          <w:rFonts w:ascii="Arial" w:hAnsi="Arial" w:cs="Arial"/>
          <w:sz w:val="24"/>
          <w:szCs w:val="24"/>
          <w:lang w:val="es-ES"/>
        </w:rPr>
        <w:t>Abdo</w:t>
      </w:r>
      <w:proofErr w:type="spellEnd"/>
      <w:r w:rsidRPr="005C2321">
        <w:rPr>
          <w:rFonts w:ascii="Arial" w:hAnsi="Arial" w:cs="Arial"/>
          <w:sz w:val="24"/>
          <w:szCs w:val="24"/>
          <w:lang w:val="es-ES"/>
        </w:rPr>
        <w:t xml:space="preserve"> Benítez quien ha planteado un plan estratégico</w:t>
      </w:r>
      <w:r w:rsidRPr="005C2321">
        <w:rPr>
          <w:rStyle w:val="FootnoteReference"/>
          <w:rFonts w:ascii="Arial" w:hAnsi="Arial" w:cs="Arial"/>
          <w:sz w:val="24"/>
          <w:szCs w:val="24"/>
          <w:lang w:val="es-ES"/>
        </w:rPr>
        <w:footnoteReference w:id="13"/>
      </w:r>
      <w:r w:rsidRPr="005C2321">
        <w:rPr>
          <w:rFonts w:ascii="Arial" w:hAnsi="Arial" w:cs="Arial"/>
          <w:sz w:val="24"/>
          <w:szCs w:val="24"/>
          <w:lang w:val="es-ES"/>
        </w:rPr>
        <w:t xml:space="preserve"> donde uno de sus objetivos es lograr un “Gobierno inclusivo y participativo, Estado abierto y políticas de gobierno en el marco de políticas del Estado”</w:t>
      </w:r>
    </w:p>
    <w:p w14:paraId="52CF747F" w14:textId="77777777" w:rsidR="006F2F7A" w:rsidRPr="005C2321" w:rsidRDefault="006F2F7A" w:rsidP="006F2F7A">
      <w:pPr>
        <w:pStyle w:val="BodyText"/>
        <w:ind w:firstLine="0"/>
        <w:rPr>
          <w:rFonts w:ascii="Arial" w:hAnsi="Arial" w:cs="Arial"/>
          <w:b/>
          <w:sz w:val="24"/>
          <w:szCs w:val="24"/>
          <w:lang w:val="es-ES_tradnl"/>
        </w:rPr>
      </w:pPr>
      <w:r w:rsidRPr="005C2321">
        <w:rPr>
          <w:rFonts w:ascii="Arial" w:hAnsi="Arial" w:cs="Arial"/>
          <w:b/>
          <w:sz w:val="24"/>
          <w:szCs w:val="24"/>
          <w:lang w:val="es-ES_tradnl"/>
        </w:rPr>
        <w:t>Brechas de servicios públicos</w:t>
      </w:r>
      <w:r w:rsidR="00C839A1" w:rsidRPr="005C2321">
        <w:rPr>
          <w:rStyle w:val="FootnoteReference"/>
          <w:rFonts w:ascii="Arial" w:hAnsi="Arial" w:cs="Arial"/>
          <w:sz w:val="24"/>
          <w:szCs w:val="24"/>
          <w:lang w:val="es-ES_tradnl"/>
        </w:rPr>
        <w:footnoteReference w:id="14"/>
      </w:r>
    </w:p>
    <w:p w14:paraId="7BB50FB7" w14:textId="77777777" w:rsidR="005A2BC7" w:rsidRPr="005C2321" w:rsidRDefault="002D310A" w:rsidP="00D00E6B">
      <w:pPr>
        <w:pStyle w:val="BodyText"/>
        <w:numPr>
          <w:ilvl w:val="1"/>
          <w:numId w:val="1"/>
        </w:numPr>
        <w:rPr>
          <w:rFonts w:ascii="Arial" w:hAnsi="Arial" w:cs="Arial"/>
          <w:sz w:val="24"/>
          <w:szCs w:val="24"/>
          <w:lang w:val="es-ES_tradnl"/>
        </w:rPr>
      </w:pPr>
      <w:r w:rsidRPr="005C2321">
        <w:rPr>
          <w:rFonts w:ascii="Arial" w:hAnsi="Arial" w:cs="Arial"/>
          <w:sz w:val="24"/>
          <w:szCs w:val="24"/>
          <w:lang w:val="es-ES_tradnl"/>
        </w:rPr>
        <w:t xml:space="preserve">La </w:t>
      </w:r>
      <w:r w:rsidRPr="005C2321">
        <w:rPr>
          <w:rFonts w:ascii="Arial" w:hAnsi="Arial" w:cs="Arial"/>
          <w:b/>
          <w:sz w:val="24"/>
          <w:szCs w:val="24"/>
          <w:lang w:val="es-ES_tradnl"/>
        </w:rPr>
        <w:t>brecha en capital físico</w:t>
      </w:r>
      <w:r w:rsidRPr="005C2321">
        <w:rPr>
          <w:rFonts w:ascii="Arial" w:hAnsi="Arial" w:cs="Arial"/>
          <w:sz w:val="24"/>
          <w:szCs w:val="24"/>
          <w:lang w:val="es-ES_tradnl"/>
        </w:rPr>
        <w:t>, particularmente en infraestructura, se estima en cerca de US$ 25 000 millones (91% del PIB de 2016)</w:t>
      </w:r>
      <w:r w:rsidR="00CC30E2" w:rsidRPr="005C2321">
        <w:rPr>
          <w:rFonts w:ascii="Arial" w:hAnsi="Arial" w:cs="Arial"/>
          <w:sz w:val="24"/>
          <w:szCs w:val="24"/>
          <w:lang w:val="es-ES_tradnl"/>
        </w:rPr>
        <w:t>.</w:t>
      </w:r>
    </w:p>
    <w:p w14:paraId="6C28C8AD" w14:textId="77777777" w:rsidR="00EC6137" w:rsidRPr="005C2321" w:rsidRDefault="00CC30E2" w:rsidP="00D00E6B">
      <w:pPr>
        <w:pStyle w:val="BodyText"/>
        <w:numPr>
          <w:ilvl w:val="1"/>
          <w:numId w:val="1"/>
        </w:numPr>
        <w:rPr>
          <w:rFonts w:ascii="Arial" w:hAnsi="Arial" w:cs="Arial"/>
          <w:sz w:val="24"/>
          <w:szCs w:val="24"/>
          <w:lang w:val="es-ES_tradnl"/>
        </w:rPr>
      </w:pPr>
      <w:r w:rsidRPr="005C2321">
        <w:rPr>
          <w:rFonts w:ascii="Arial" w:hAnsi="Arial" w:cs="Arial"/>
          <w:sz w:val="24"/>
          <w:szCs w:val="24"/>
          <w:lang w:val="es-ES_tradnl"/>
        </w:rPr>
        <w:lastRenderedPageBreak/>
        <w:t xml:space="preserve">Paraguay posee una </w:t>
      </w:r>
      <w:r w:rsidRPr="005C2321">
        <w:rPr>
          <w:rFonts w:ascii="Arial" w:hAnsi="Arial" w:cs="Arial"/>
          <w:b/>
          <w:sz w:val="24"/>
          <w:szCs w:val="24"/>
          <w:lang w:val="es-ES_tradnl"/>
        </w:rPr>
        <w:t>red vial</w:t>
      </w:r>
      <w:r w:rsidRPr="005C2321">
        <w:rPr>
          <w:rFonts w:ascii="Arial" w:hAnsi="Arial" w:cs="Arial"/>
          <w:sz w:val="24"/>
          <w:szCs w:val="24"/>
          <w:lang w:val="es-ES_tradnl"/>
        </w:rPr>
        <w:t xml:space="preserve"> de aproximadamente 75.000 km de extensión</w:t>
      </w:r>
      <w:r w:rsidR="00EC6137" w:rsidRPr="005C2321">
        <w:rPr>
          <w:rFonts w:ascii="Arial" w:hAnsi="Arial" w:cs="Arial"/>
          <w:sz w:val="24"/>
          <w:szCs w:val="24"/>
          <w:lang w:val="es-ES_tradnl"/>
        </w:rPr>
        <w:t xml:space="preserve">, de los cuales sólo el 10% esta pavimentada. </w:t>
      </w:r>
      <w:r w:rsidR="00C839A1" w:rsidRPr="005C2321">
        <w:rPr>
          <w:rFonts w:ascii="Arial" w:hAnsi="Arial" w:cs="Arial"/>
          <w:sz w:val="24"/>
          <w:szCs w:val="24"/>
          <w:lang w:val="es-ES_tradnl"/>
        </w:rPr>
        <w:t>En lo que corresponde a l</w:t>
      </w:r>
      <w:r w:rsidR="00EC6137" w:rsidRPr="005C2321">
        <w:rPr>
          <w:rFonts w:ascii="Arial" w:hAnsi="Arial" w:cs="Arial"/>
          <w:sz w:val="24"/>
          <w:szCs w:val="24"/>
          <w:lang w:val="es-ES_tradnl"/>
        </w:rPr>
        <w:t>a densidad</w:t>
      </w:r>
      <w:r w:rsidR="001A1FC8" w:rsidRPr="005C2321">
        <w:rPr>
          <w:rFonts w:ascii="Arial" w:hAnsi="Arial" w:cs="Arial"/>
          <w:sz w:val="24"/>
          <w:szCs w:val="24"/>
          <w:lang w:val="es-ES_tradnl"/>
        </w:rPr>
        <w:t xml:space="preserve"> </w:t>
      </w:r>
      <w:r w:rsidR="00EC6137" w:rsidRPr="005C2321">
        <w:rPr>
          <w:rFonts w:ascii="Arial" w:hAnsi="Arial" w:cs="Arial"/>
          <w:sz w:val="24"/>
          <w:szCs w:val="24"/>
          <w:lang w:val="es-ES_tradnl"/>
        </w:rPr>
        <w:t xml:space="preserve">vial pavimentada </w:t>
      </w:r>
      <w:r w:rsidR="00C839A1" w:rsidRPr="005C2321">
        <w:rPr>
          <w:rFonts w:ascii="Arial" w:hAnsi="Arial" w:cs="Arial"/>
          <w:sz w:val="24"/>
          <w:szCs w:val="24"/>
          <w:lang w:val="es-ES_tradnl"/>
        </w:rPr>
        <w:t xml:space="preserve">es la más </w:t>
      </w:r>
      <w:r w:rsidR="00EC6137" w:rsidRPr="005C2321">
        <w:rPr>
          <w:rFonts w:ascii="Arial" w:hAnsi="Arial" w:cs="Arial"/>
          <w:sz w:val="24"/>
          <w:szCs w:val="24"/>
          <w:lang w:val="es-ES_tradnl"/>
        </w:rPr>
        <w:t>baja del Cono Sur</w:t>
      </w:r>
      <w:r w:rsidR="00C839A1" w:rsidRPr="005C2321">
        <w:rPr>
          <w:rFonts w:ascii="Arial" w:hAnsi="Arial" w:cs="Arial"/>
          <w:sz w:val="24"/>
          <w:szCs w:val="24"/>
          <w:lang w:val="es-ES_tradnl"/>
        </w:rPr>
        <w:t xml:space="preserve"> con </w:t>
      </w:r>
      <w:r w:rsidR="00EC6137" w:rsidRPr="005C2321">
        <w:rPr>
          <w:rFonts w:ascii="Arial" w:hAnsi="Arial" w:cs="Arial"/>
          <w:sz w:val="24"/>
          <w:szCs w:val="24"/>
          <w:lang w:val="es-ES_tradnl"/>
        </w:rPr>
        <w:t xml:space="preserve">1 km/1.000 </w:t>
      </w:r>
      <w:proofErr w:type="spellStart"/>
      <w:r w:rsidR="00EC6137" w:rsidRPr="005C2321">
        <w:rPr>
          <w:rFonts w:ascii="Arial" w:hAnsi="Arial" w:cs="Arial"/>
          <w:sz w:val="24"/>
          <w:szCs w:val="24"/>
          <w:lang w:val="es-ES_tradnl"/>
        </w:rPr>
        <w:t>hab</w:t>
      </w:r>
      <w:proofErr w:type="spellEnd"/>
      <w:r w:rsidR="00C839A1" w:rsidRPr="005C2321">
        <w:rPr>
          <w:rFonts w:ascii="Arial" w:hAnsi="Arial" w:cs="Arial"/>
          <w:sz w:val="24"/>
          <w:szCs w:val="24"/>
          <w:lang w:val="es-ES_tradnl"/>
        </w:rPr>
        <w:t xml:space="preserve"> y </w:t>
      </w:r>
      <w:r w:rsidR="00EC6137" w:rsidRPr="005C2321">
        <w:rPr>
          <w:rFonts w:ascii="Arial" w:hAnsi="Arial" w:cs="Arial"/>
          <w:sz w:val="24"/>
          <w:szCs w:val="24"/>
          <w:lang w:val="es-ES_tradnl"/>
        </w:rPr>
        <w:t>0,017km/km2</w:t>
      </w:r>
      <w:r w:rsidR="00C839A1" w:rsidRPr="005C2321">
        <w:rPr>
          <w:rFonts w:ascii="Arial" w:hAnsi="Arial" w:cs="Arial"/>
          <w:sz w:val="24"/>
          <w:szCs w:val="24"/>
          <w:lang w:val="es-ES_tradnl"/>
        </w:rPr>
        <w:t xml:space="preserve">, cuando </w:t>
      </w:r>
      <w:r w:rsidR="00EC6137" w:rsidRPr="005C2321">
        <w:rPr>
          <w:rFonts w:ascii="Arial" w:hAnsi="Arial" w:cs="Arial"/>
          <w:sz w:val="24"/>
          <w:szCs w:val="24"/>
          <w:lang w:val="es-ES_tradnl"/>
        </w:rPr>
        <w:t>Argentina</w:t>
      </w:r>
      <w:r w:rsidR="00C839A1" w:rsidRPr="005C2321">
        <w:rPr>
          <w:rFonts w:ascii="Arial" w:hAnsi="Arial" w:cs="Arial"/>
          <w:sz w:val="24"/>
          <w:szCs w:val="24"/>
          <w:lang w:val="es-ES_tradnl"/>
        </w:rPr>
        <w:t xml:space="preserve"> tiene </w:t>
      </w:r>
      <w:r w:rsidR="00EC6137" w:rsidRPr="005C2321">
        <w:rPr>
          <w:rFonts w:ascii="Arial" w:hAnsi="Arial" w:cs="Arial"/>
          <w:sz w:val="24"/>
          <w:szCs w:val="24"/>
          <w:lang w:val="es-ES_tradnl"/>
        </w:rPr>
        <w:t xml:space="preserve">1,9 km/1.000 </w:t>
      </w:r>
      <w:r w:rsidR="00C839A1" w:rsidRPr="005C2321">
        <w:rPr>
          <w:rFonts w:ascii="Arial" w:hAnsi="Arial" w:cs="Arial"/>
          <w:sz w:val="24"/>
          <w:szCs w:val="24"/>
          <w:lang w:val="es-ES_tradnl"/>
        </w:rPr>
        <w:t xml:space="preserve">y </w:t>
      </w:r>
      <w:proofErr w:type="spellStart"/>
      <w:r w:rsidR="00EC6137" w:rsidRPr="005C2321">
        <w:rPr>
          <w:rFonts w:ascii="Arial" w:hAnsi="Arial" w:cs="Arial"/>
          <w:sz w:val="24"/>
          <w:szCs w:val="24"/>
          <w:lang w:val="es-ES_tradnl"/>
        </w:rPr>
        <w:t>hab</w:t>
      </w:r>
      <w:proofErr w:type="spellEnd"/>
      <w:r w:rsidR="00EC6137" w:rsidRPr="005C2321">
        <w:rPr>
          <w:rFonts w:ascii="Arial" w:hAnsi="Arial" w:cs="Arial"/>
          <w:sz w:val="24"/>
          <w:szCs w:val="24"/>
          <w:lang w:val="es-ES_tradnl"/>
        </w:rPr>
        <w:t>, 0,03 km/km2</w:t>
      </w:r>
      <w:r w:rsidR="00C839A1" w:rsidRPr="005C2321">
        <w:rPr>
          <w:rFonts w:ascii="Arial" w:hAnsi="Arial" w:cs="Arial"/>
          <w:sz w:val="24"/>
          <w:szCs w:val="24"/>
          <w:lang w:val="es-ES_tradnl"/>
        </w:rPr>
        <w:t xml:space="preserve">, </w:t>
      </w:r>
      <w:r w:rsidR="00EC6137" w:rsidRPr="005C2321">
        <w:rPr>
          <w:rFonts w:ascii="Arial" w:hAnsi="Arial" w:cs="Arial"/>
          <w:sz w:val="24"/>
          <w:szCs w:val="24"/>
          <w:lang w:val="es-ES_tradnl"/>
        </w:rPr>
        <w:t xml:space="preserve">Uruguay: 2,3 km/1.000 </w:t>
      </w:r>
      <w:proofErr w:type="spellStart"/>
      <w:r w:rsidR="00EC6137" w:rsidRPr="005C2321">
        <w:rPr>
          <w:rFonts w:ascii="Arial" w:hAnsi="Arial" w:cs="Arial"/>
          <w:sz w:val="24"/>
          <w:szCs w:val="24"/>
          <w:lang w:val="es-ES_tradnl"/>
        </w:rPr>
        <w:t>hab</w:t>
      </w:r>
      <w:proofErr w:type="spellEnd"/>
      <w:r w:rsidR="00EC6137" w:rsidRPr="005C2321">
        <w:rPr>
          <w:rFonts w:ascii="Arial" w:hAnsi="Arial" w:cs="Arial"/>
          <w:sz w:val="24"/>
          <w:szCs w:val="24"/>
          <w:lang w:val="es-ES_tradnl"/>
        </w:rPr>
        <w:t>, 0,045 km/ km2</w:t>
      </w:r>
      <w:r w:rsidR="00C839A1" w:rsidRPr="005C2321">
        <w:rPr>
          <w:rFonts w:ascii="Arial" w:hAnsi="Arial" w:cs="Arial"/>
          <w:sz w:val="24"/>
          <w:szCs w:val="24"/>
          <w:lang w:val="es-ES_tradnl"/>
        </w:rPr>
        <w:t>,</w:t>
      </w:r>
      <w:r w:rsidR="00EC6137" w:rsidRPr="005C2321">
        <w:rPr>
          <w:rFonts w:ascii="Arial" w:hAnsi="Arial" w:cs="Arial"/>
          <w:sz w:val="24"/>
          <w:szCs w:val="24"/>
          <w:lang w:val="es-ES_tradnl"/>
        </w:rPr>
        <w:t xml:space="preserve"> Brasil:</w:t>
      </w:r>
      <w:r w:rsidR="00C839A1" w:rsidRPr="005C2321">
        <w:rPr>
          <w:rFonts w:ascii="Arial" w:hAnsi="Arial" w:cs="Arial"/>
          <w:sz w:val="24"/>
          <w:szCs w:val="24"/>
          <w:lang w:val="es-ES_tradnl"/>
        </w:rPr>
        <w:t xml:space="preserve"> 1,1 km/1.000 </w:t>
      </w:r>
      <w:proofErr w:type="spellStart"/>
      <w:r w:rsidR="00C839A1" w:rsidRPr="005C2321">
        <w:rPr>
          <w:rFonts w:ascii="Arial" w:hAnsi="Arial" w:cs="Arial"/>
          <w:sz w:val="24"/>
          <w:szCs w:val="24"/>
          <w:lang w:val="es-ES_tradnl"/>
        </w:rPr>
        <w:t>hab</w:t>
      </w:r>
      <w:proofErr w:type="spellEnd"/>
      <w:r w:rsidR="00C839A1" w:rsidRPr="005C2321">
        <w:rPr>
          <w:rFonts w:ascii="Arial" w:hAnsi="Arial" w:cs="Arial"/>
          <w:sz w:val="24"/>
          <w:szCs w:val="24"/>
          <w:lang w:val="es-ES_tradnl"/>
        </w:rPr>
        <w:t>, 0,026 km/km2.</w:t>
      </w:r>
    </w:p>
    <w:p w14:paraId="73A795F2" w14:textId="77777777" w:rsidR="00C839A1" w:rsidRPr="005C2321" w:rsidRDefault="00C839A1" w:rsidP="00D00E6B">
      <w:pPr>
        <w:pStyle w:val="BodyText"/>
        <w:numPr>
          <w:ilvl w:val="1"/>
          <w:numId w:val="1"/>
        </w:numPr>
        <w:rPr>
          <w:rFonts w:ascii="Arial" w:hAnsi="Arial" w:cs="Arial"/>
          <w:sz w:val="24"/>
          <w:szCs w:val="24"/>
          <w:lang w:val="es-ES_tradnl"/>
        </w:rPr>
      </w:pPr>
      <w:r w:rsidRPr="005C2321">
        <w:rPr>
          <w:rFonts w:ascii="Arial" w:hAnsi="Arial" w:cs="Arial"/>
          <w:sz w:val="24"/>
          <w:szCs w:val="24"/>
          <w:lang w:val="es-PE"/>
        </w:rPr>
        <w:t xml:space="preserve">En materia de brecha de </w:t>
      </w:r>
      <w:r w:rsidRPr="005C2321">
        <w:rPr>
          <w:rFonts w:ascii="Arial" w:hAnsi="Arial" w:cs="Arial"/>
          <w:b/>
          <w:sz w:val="24"/>
          <w:szCs w:val="24"/>
          <w:lang w:val="es-PE"/>
        </w:rPr>
        <w:t>educación</w:t>
      </w:r>
      <w:r w:rsidR="00C355BD" w:rsidRPr="005C2321">
        <w:rPr>
          <w:rFonts w:ascii="Arial" w:hAnsi="Arial" w:cs="Arial"/>
          <w:b/>
          <w:sz w:val="24"/>
          <w:szCs w:val="24"/>
          <w:lang w:val="es-PE"/>
        </w:rPr>
        <w:t xml:space="preserve"> inicial</w:t>
      </w:r>
      <w:r w:rsidRPr="005C2321">
        <w:rPr>
          <w:rFonts w:ascii="Arial" w:hAnsi="Arial" w:cs="Arial"/>
          <w:sz w:val="24"/>
          <w:szCs w:val="24"/>
          <w:lang w:val="es-PE"/>
        </w:rPr>
        <w:t>, los resultados indican que más de 77.000 niños entre 0 y 4 años viven a más de 30 minutos del centro de educación inicial público más cercano.</w:t>
      </w:r>
    </w:p>
    <w:p w14:paraId="7F3063EA" w14:textId="77777777" w:rsidR="00C355BD" w:rsidRPr="005C2321" w:rsidRDefault="00C355BD" w:rsidP="00D00E6B">
      <w:pPr>
        <w:pStyle w:val="BodyText"/>
        <w:numPr>
          <w:ilvl w:val="1"/>
          <w:numId w:val="1"/>
        </w:numPr>
        <w:rPr>
          <w:rFonts w:ascii="Arial" w:hAnsi="Arial" w:cs="Arial"/>
          <w:sz w:val="24"/>
          <w:szCs w:val="24"/>
          <w:lang w:val="es-ES_tradnl"/>
        </w:rPr>
      </w:pPr>
      <w:r w:rsidRPr="005C2321">
        <w:rPr>
          <w:rFonts w:ascii="Arial" w:hAnsi="Arial" w:cs="Arial"/>
          <w:sz w:val="24"/>
          <w:szCs w:val="24"/>
          <w:lang w:val="es-ES_tradnl"/>
        </w:rPr>
        <w:t xml:space="preserve">En lo que corresponde a la </w:t>
      </w:r>
      <w:r w:rsidR="007D4D04" w:rsidRPr="005C2321">
        <w:rPr>
          <w:rFonts w:ascii="Arial" w:hAnsi="Arial" w:cs="Arial"/>
          <w:sz w:val="24"/>
          <w:szCs w:val="24"/>
          <w:lang w:val="es-ES_tradnl"/>
        </w:rPr>
        <w:t xml:space="preserve">brecha de accesibilidad a la </w:t>
      </w:r>
      <w:r w:rsidRPr="005C2321">
        <w:rPr>
          <w:rFonts w:ascii="Arial" w:hAnsi="Arial" w:cs="Arial"/>
          <w:b/>
          <w:sz w:val="24"/>
          <w:szCs w:val="24"/>
          <w:lang w:val="es-ES_tradnl"/>
        </w:rPr>
        <w:t>atención primaria de salud</w:t>
      </w:r>
      <w:r w:rsidRPr="005C2321">
        <w:rPr>
          <w:rFonts w:ascii="Arial" w:hAnsi="Arial" w:cs="Arial"/>
          <w:sz w:val="24"/>
          <w:szCs w:val="24"/>
          <w:lang w:val="es-ES_tradnl"/>
        </w:rPr>
        <w:t xml:space="preserve"> </w:t>
      </w:r>
      <w:r w:rsidR="00815E93" w:rsidRPr="005C2321">
        <w:rPr>
          <w:rFonts w:ascii="Arial" w:hAnsi="Arial" w:cs="Arial"/>
          <w:sz w:val="24"/>
          <w:szCs w:val="24"/>
          <w:lang w:val="es-ES_tradnl"/>
        </w:rPr>
        <w:t xml:space="preserve">se tiene </w:t>
      </w:r>
      <w:r w:rsidR="007D4D04" w:rsidRPr="005C2321">
        <w:rPr>
          <w:rFonts w:ascii="Arial" w:hAnsi="Arial" w:cs="Arial"/>
          <w:sz w:val="24"/>
          <w:szCs w:val="24"/>
          <w:lang w:val="es-ES_tradnl"/>
        </w:rPr>
        <w:t xml:space="preserve">que </w:t>
      </w:r>
      <w:proofErr w:type="spellStart"/>
      <w:r w:rsidR="007D4D04" w:rsidRPr="005C2321">
        <w:rPr>
          <w:rFonts w:ascii="Arial" w:hAnsi="Arial" w:cs="Arial"/>
          <w:sz w:val="24"/>
          <w:szCs w:val="24"/>
          <w:lang w:val="es-ES_tradnl"/>
        </w:rPr>
        <w:t>representa</w:t>
      </w:r>
      <w:proofErr w:type="spellEnd"/>
      <w:r w:rsidR="007D4D04" w:rsidRPr="005C2321">
        <w:rPr>
          <w:rFonts w:ascii="Arial" w:hAnsi="Arial" w:cs="Arial"/>
          <w:sz w:val="24"/>
          <w:szCs w:val="24"/>
          <w:lang w:val="es-ES_tradnl"/>
        </w:rPr>
        <w:t xml:space="preserve"> el 35,4% del territorio nacional y poseen un estimado de 60 000 personas a más de 2 horas de viaje de los centros de salud.</w:t>
      </w:r>
    </w:p>
    <w:p w14:paraId="10795920" w14:textId="77777777" w:rsidR="00733D30" w:rsidRPr="005C2321" w:rsidRDefault="00733D30" w:rsidP="00733D30">
      <w:pPr>
        <w:pStyle w:val="BodyText"/>
        <w:rPr>
          <w:rFonts w:ascii="Arial" w:hAnsi="Arial" w:cs="Arial"/>
          <w:sz w:val="24"/>
          <w:szCs w:val="24"/>
          <w:lang w:val="es-MX"/>
        </w:rPr>
      </w:pPr>
    </w:p>
    <w:p w14:paraId="338BF007" w14:textId="77777777" w:rsidR="00C478C7" w:rsidRPr="005C2321" w:rsidRDefault="00C478C7" w:rsidP="00733D30">
      <w:pPr>
        <w:pStyle w:val="BodyText"/>
        <w:rPr>
          <w:rFonts w:ascii="Arial" w:hAnsi="Arial" w:cs="Arial"/>
          <w:sz w:val="24"/>
          <w:szCs w:val="24"/>
          <w:lang w:val="es-MX"/>
        </w:rPr>
      </w:pPr>
    </w:p>
    <w:p w14:paraId="27C355DF" w14:textId="77777777" w:rsidR="002E468D" w:rsidRPr="005C2321" w:rsidRDefault="002E468D">
      <w:pPr>
        <w:rPr>
          <w:rFonts w:ascii="Arial" w:eastAsia="Times New Roman" w:hAnsi="Arial" w:cs="Arial"/>
          <w:b/>
          <w:sz w:val="24"/>
          <w:szCs w:val="24"/>
          <w:lang w:val="es-ES" w:eastAsia="es-ES" w:bidi="hi-IN"/>
        </w:rPr>
      </w:pPr>
      <w:r w:rsidRPr="005C2321">
        <w:rPr>
          <w:rFonts w:ascii="Arial" w:hAnsi="Arial" w:cs="Arial"/>
          <w:caps/>
          <w:sz w:val="24"/>
          <w:szCs w:val="24"/>
          <w:lang w:val="es-ES"/>
        </w:rPr>
        <w:br w:type="page"/>
      </w:r>
    </w:p>
    <w:p w14:paraId="55AF2F4F" w14:textId="5CF11519" w:rsidR="007E2E2B" w:rsidRPr="005C2321" w:rsidRDefault="007E2E2B" w:rsidP="007E2E2B">
      <w:pPr>
        <w:pStyle w:val="Heading1"/>
        <w:numPr>
          <w:ilvl w:val="0"/>
          <w:numId w:val="1"/>
        </w:numPr>
        <w:jc w:val="left"/>
        <w:rPr>
          <w:rFonts w:ascii="Arial" w:hAnsi="Arial" w:cs="Arial"/>
          <w:caps w:val="0"/>
          <w:spacing w:val="0"/>
          <w:kern w:val="0"/>
          <w:sz w:val="24"/>
          <w:szCs w:val="24"/>
          <w:lang w:val="es-ES"/>
        </w:rPr>
      </w:pPr>
      <w:bookmarkStart w:id="3" w:name="_Toc523133728"/>
      <w:r w:rsidRPr="005C2321">
        <w:rPr>
          <w:rFonts w:ascii="Arial" w:hAnsi="Arial" w:cs="Arial"/>
          <w:caps w:val="0"/>
          <w:spacing w:val="0"/>
          <w:kern w:val="0"/>
          <w:sz w:val="24"/>
          <w:szCs w:val="24"/>
          <w:lang w:val="es-ES"/>
        </w:rPr>
        <w:lastRenderedPageBreak/>
        <w:t xml:space="preserve">Problemática </w:t>
      </w:r>
      <w:r w:rsidR="00791CD8" w:rsidRPr="005C2321">
        <w:rPr>
          <w:rFonts w:ascii="Arial" w:hAnsi="Arial" w:cs="Arial"/>
          <w:caps w:val="0"/>
          <w:spacing w:val="0"/>
          <w:kern w:val="0"/>
          <w:sz w:val="24"/>
          <w:szCs w:val="24"/>
          <w:lang w:val="es-ES"/>
        </w:rPr>
        <w:t xml:space="preserve">y </w:t>
      </w:r>
      <w:r w:rsidR="00284503" w:rsidRPr="005C2321">
        <w:rPr>
          <w:rFonts w:ascii="Arial" w:hAnsi="Arial" w:cs="Arial"/>
          <w:caps w:val="0"/>
          <w:spacing w:val="0"/>
          <w:kern w:val="0"/>
          <w:sz w:val="24"/>
          <w:szCs w:val="24"/>
          <w:lang w:val="es-ES"/>
        </w:rPr>
        <w:t>evidencia empírica</w:t>
      </w:r>
      <w:bookmarkEnd w:id="3"/>
    </w:p>
    <w:p w14:paraId="30F36E21" w14:textId="39A05885" w:rsidR="007E2E2B" w:rsidRPr="005C2321" w:rsidRDefault="007E2E2B" w:rsidP="007E2E2B">
      <w:pPr>
        <w:pStyle w:val="BodyText"/>
        <w:numPr>
          <w:ilvl w:val="1"/>
          <w:numId w:val="1"/>
        </w:numPr>
        <w:rPr>
          <w:rFonts w:ascii="Arial" w:hAnsi="Arial" w:cs="Arial"/>
          <w:sz w:val="24"/>
          <w:szCs w:val="24"/>
          <w:lang w:val="es-MX"/>
        </w:rPr>
      </w:pPr>
      <w:r w:rsidRPr="005C2321">
        <w:rPr>
          <w:rFonts w:ascii="Arial" w:hAnsi="Arial" w:cs="Arial"/>
          <w:sz w:val="24"/>
          <w:szCs w:val="24"/>
          <w:lang w:val="es-MX"/>
        </w:rPr>
        <w:t xml:space="preserve">El análisis de la problemática encontrada en el Paraguay, tanto en la recaudación tributaria y la gestión del gasto en el Paraguay puede apreciarse a detalle en la Lógica Vertical presentada en el Anexo I del presente informe, sin </w:t>
      </w:r>
      <w:proofErr w:type="gramStart"/>
      <w:r w:rsidRPr="005C2321">
        <w:rPr>
          <w:rFonts w:ascii="Arial" w:hAnsi="Arial" w:cs="Arial"/>
          <w:sz w:val="24"/>
          <w:szCs w:val="24"/>
          <w:lang w:val="es-MX"/>
        </w:rPr>
        <w:t>embargo</w:t>
      </w:r>
      <w:proofErr w:type="gramEnd"/>
      <w:r w:rsidRPr="005C2321">
        <w:rPr>
          <w:rFonts w:ascii="Arial" w:hAnsi="Arial" w:cs="Arial"/>
          <w:sz w:val="24"/>
          <w:szCs w:val="24"/>
          <w:lang w:val="es-MX"/>
        </w:rPr>
        <w:t xml:space="preserve"> a continuación se presenta un resumen</w:t>
      </w:r>
      <w:r w:rsidR="00A12E44" w:rsidRPr="005C2321">
        <w:rPr>
          <w:rFonts w:ascii="Arial" w:hAnsi="Arial" w:cs="Arial"/>
          <w:sz w:val="24"/>
          <w:szCs w:val="24"/>
          <w:lang w:val="es-MX"/>
        </w:rPr>
        <w:t xml:space="preserve"> de variables de impacto</w:t>
      </w:r>
      <w:r w:rsidR="005629BA" w:rsidRPr="005C2321">
        <w:rPr>
          <w:rFonts w:ascii="Arial" w:hAnsi="Arial" w:cs="Arial"/>
          <w:sz w:val="24"/>
          <w:szCs w:val="24"/>
          <w:lang w:val="es-MX"/>
        </w:rPr>
        <w:t xml:space="preserve"> y resultados</w:t>
      </w:r>
      <w:r w:rsidRPr="005C2321">
        <w:rPr>
          <w:rFonts w:ascii="Arial" w:hAnsi="Arial" w:cs="Arial"/>
          <w:sz w:val="24"/>
          <w:szCs w:val="24"/>
          <w:lang w:val="es-MX"/>
        </w:rPr>
        <w:t>:</w:t>
      </w:r>
    </w:p>
    <w:p w14:paraId="4B339A72" w14:textId="45395851" w:rsidR="00A12E44" w:rsidRPr="005C2321" w:rsidRDefault="00A12E44" w:rsidP="00A12E44">
      <w:pPr>
        <w:pStyle w:val="ListParagraph"/>
        <w:numPr>
          <w:ilvl w:val="0"/>
          <w:numId w:val="21"/>
        </w:numPr>
        <w:rPr>
          <w:rFonts w:ascii="Arial" w:hAnsi="Arial" w:cs="Arial"/>
          <w:sz w:val="24"/>
          <w:lang w:val="es-MX"/>
        </w:rPr>
      </w:pPr>
      <w:r w:rsidRPr="005C2321">
        <w:rPr>
          <w:rFonts w:ascii="Arial" w:hAnsi="Arial" w:cs="Arial"/>
          <w:sz w:val="24"/>
          <w:lang w:val="es-MX"/>
        </w:rPr>
        <w:t xml:space="preserve">La presión tributaria del año 2017 asciende al </w:t>
      </w:r>
      <w:r w:rsidR="00947691" w:rsidRPr="005C2321">
        <w:rPr>
          <w:rFonts w:ascii="Arial" w:hAnsi="Arial" w:cs="Arial"/>
          <w:sz w:val="24"/>
          <w:lang w:val="es-MX"/>
        </w:rPr>
        <w:t>9</w:t>
      </w:r>
      <w:r w:rsidRPr="005C2321">
        <w:rPr>
          <w:rFonts w:ascii="Arial" w:hAnsi="Arial" w:cs="Arial"/>
          <w:sz w:val="24"/>
          <w:lang w:val="es-MX"/>
        </w:rPr>
        <w:t>.</w:t>
      </w:r>
      <w:r w:rsidR="00947691" w:rsidRPr="005C2321">
        <w:rPr>
          <w:rFonts w:ascii="Arial" w:hAnsi="Arial" w:cs="Arial"/>
          <w:sz w:val="24"/>
          <w:lang w:val="es-MX"/>
        </w:rPr>
        <w:t>9</w:t>
      </w:r>
      <w:r w:rsidRPr="005C2321">
        <w:rPr>
          <w:rFonts w:ascii="Arial" w:hAnsi="Arial" w:cs="Arial"/>
          <w:sz w:val="24"/>
          <w:lang w:val="es-MX"/>
        </w:rPr>
        <w:t>%, siendo la menor en Latinoamérica</w:t>
      </w:r>
    </w:p>
    <w:p w14:paraId="6EEE2886" w14:textId="66708C25" w:rsidR="00A12E44" w:rsidRPr="005C2321" w:rsidRDefault="00A12E44" w:rsidP="00A12E44">
      <w:pPr>
        <w:pStyle w:val="ListParagraph"/>
        <w:numPr>
          <w:ilvl w:val="0"/>
          <w:numId w:val="21"/>
        </w:numPr>
        <w:rPr>
          <w:rFonts w:ascii="Arial" w:hAnsi="Arial" w:cs="Arial"/>
          <w:sz w:val="24"/>
          <w:lang w:val="es-MX"/>
        </w:rPr>
      </w:pPr>
      <w:r w:rsidRPr="005C2321">
        <w:rPr>
          <w:rFonts w:ascii="Arial" w:hAnsi="Arial" w:cs="Arial"/>
          <w:sz w:val="24"/>
          <w:lang w:val="es-MX"/>
        </w:rPr>
        <w:t>La ejecución del presupuesto de inversión el 2017 asciende a 69%, la cual es menor al 85% establecido como en el PEFA como un estándar aceptable.</w:t>
      </w:r>
    </w:p>
    <w:p w14:paraId="0179E088" w14:textId="28FAFCC8" w:rsidR="00A12E44" w:rsidRPr="005C2321" w:rsidRDefault="00A12E44" w:rsidP="00A12E44">
      <w:pPr>
        <w:pStyle w:val="ListParagraph"/>
        <w:numPr>
          <w:ilvl w:val="0"/>
          <w:numId w:val="21"/>
        </w:numPr>
        <w:rPr>
          <w:rFonts w:ascii="Arial" w:hAnsi="Arial" w:cs="Arial"/>
          <w:sz w:val="24"/>
          <w:lang w:val="es-MX"/>
        </w:rPr>
      </w:pPr>
      <w:r w:rsidRPr="005C2321">
        <w:rPr>
          <w:rFonts w:ascii="Arial" w:hAnsi="Arial" w:cs="Arial"/>
          <w:sz w:val="24"/>
          <w:lang w:val="es-MX"/>
        </w:rPr>
        <w:t>La ejecución del gasto social el 2017 asciende a 84.5%</w:t>
      </w:r>
    </w:p>
    <w:p w14:paraId="315CEE3E" w14:textId="1C228AC3" w:rsidR="00284503" w:rsidRPr="005C2321" w:rsidRDefault="00284503" w:rsidP="00284503">
      <w:pPr>
        <w:pStyle w:val="BodyText"/>
        <w:numPr>
          <w:ilvl w:val="1"/>
          <w:numId w:val="1"/>
        </w:numPr>
        <w:rPr>
          <w:rFonts w:ascii="Arial" w:hAnsi="Arial" w:cs="Arial"/>
          <w:sz w:val="24"/>
          <w:szCs w:val="24"/>
          <w:lang w:val="es-MX"/>
        </w:rPr>
      </w:pPr>
      <w:r w:rsidRPr="005C2321">
        <w:rPr>
          <w:rFonts w:ascii="Arial" w:hAnsi="Arial" w:cs="Arial"/>
          <w:sz w:val="24"/>
          <w:szCs w:val="24"/>
          <w:lang w:val="es-MX"/>
        </w:rPr>
        <w:t>En ese marco existen desarrollos conceptuales como el de Besley y Persson (2011) sobre los “pilares de la prosperidad”: donde los autores definen como atributos de un “Estado efectivo” la capacidad de cobrar impuestos, hacer cumplir la ley y organizar el gasto público. Así, dos roles importantes de un Estado que contribuye a la prosperidad son: (i) recaudar impuestos de bases amplias, tales como el ingreso y el consumo (donde el nivel es una decisión de cada sociedad); y (ii) proveer de manera efectiva bienes y servicios físicos y legales que benefician a la población y estimulan la inversión privada. En países prósperos ambos roles son complementarios y se retroalimentan</w:t>
      </w:r>
      <w:r w:rsidRPr="005C2321">
        <w:rPr>
          <w:rFonts w:ascii="Arial" w:hAnsi="Arial" w:cs="Arial"/>
          <w:sz w:val="24"/>
          <w:szCs w:val="24"/>
          <w:lang w:val="es-MX"/>
        </w:rPr>
        <w:footnoteReference w:id="15"/>
      </w:r>
      <w:r w:rsidRPr="005C2321">
        <w:rPr>
          <w:rFonts w:ascii="Arial" w:hAnsi="Arial" w:cs="Arial"/>
          <w:sz w:val="24"/>
          <w:szCs w:val="24"/>
          <w:lang w:val="es-MX"/>
        </w:rPr>
        <w:t xml:space="preserve">. </w:t>
      </w:r>
    </w:p>
    <w:p w14:paraId="552C8349" w14:textId="77777777" w:rsidR="00284503" w:rsidRPr="005C2321" w:rsidRDefault="00284503" w:rsidP="00284503">
      <w:pPr>
        <w:pStyle w:val="BodyText"/>
        <w:numPr>
          <w:ilvl w:val="1"/>
          <w:numId w:val="1"/>
        </w:numPr>
        <w:rPr>
          <w:rFonts w:ascii="Arial" w:hAnsi="Arial" w:cs="Arial"/>
          <w:sz w:val="24"/>
          <w:szCs w:val="24"/>
          <w:lang w:val="es-MX"/>
        </w:rPr>
      </w:pPr>
      <w:r w:rsidRPr="005C2321">
        <w:rPr>
          <w:rFonts w:ascii="Arial" w:hAnsi="Arial" w:cs="Arial"/>
          <w:sz w:val="24"/>
          <w:szCs w:val="24"/>
          <w:lang w:val="es-MX"/>
        </w:rPr>
        <w:t>Con relación a la FE, evaluaciones de impacto realizadas en países de la región donde su implementación tiene mayor desarrollo muestran efectos positivos en la recaudación</w:t>
      </w:r>
      <w:r w:rsidRPr="005C2321">
        <w:rPr>
          <w:rFonts w:ascii="Arial" w:hAnsi="Arial" w:cs="Arial"/>
          <w:sz w:val="24"/>
          <w:szCs w:val="24"/>
          <w:vertAlign w:val="superscript"/>
          <w:lang w:val="es-MX"/>
        </w:rPr>
        <w:footnoteReference w:id="16"/>
      </w:r>
      <w:r w:rsidRPr="005C2321">
        <w:rPr>
          <w:rFonts w:ascii="Arial" w:hAnsi="Arial" w:cs="Arial"/>
          <w:sz w:val="24"/>
          <w:szCs w:val="24"/>
          <w:lang w:val="es-MX"/>
        </w:rPr>
        <w:t xml:space="preserve">. Por su parte, la información generada a través de la implementación de la FE está teniendo usos más allá de la administración tributaria. En Chile, por ejemplo, la obligatoriedad del uso de la FE impulsó el desarrollo del </w:t>
      </w:r>
      <w:proofErr w:type="spellStart"/>
      <w:r w:rsidRPr="005C2321">
        <w:rPr>
          <w:rFonts w:ascii="Arial" w:hAnsi="Arial" w:cs="Arial"/>
          <w:sz w:val="24"/>
          <w:szCs w:val="24"/>
          <w:lang w:val="es-MX"/>
        </w:rPr>
        <w:t>factoring</w:t>
      </w:r>
      <w:proofErr w:type="spellEnd"/>
      <w:r w:rsidRPr="005C2321">
        <w:rPr>
          <w:rFonts w:ascii="Arial" w:hAnsi="Arial" w:cs="Arial"/>
          <w:sz w:val="24"/>
          <w:szCs w:val="24"/>
          <w:lang w:val="es-MX"/>
        </w:rPr>
        <w:t xml:space="preserve">, facilitando el acceso a financiamiento de los contribuyentes, particularmente de micro y pequeñas empresas. En Brasil se utilizan las FE para el seguimiento de la circulación de mercancía en tiempo real, lo cual también se espera que contribuya a reducir los robos de vehículos y cargas; también se utilizan para definir precios máximos aceptados en adquisiciones públicas.  </w:t>
      </w:r>
    </w:p>
    <w:p w14:paraId="27B55B4B" w14:textId="47FAE2E5" w:rsidR="00284503" w:rsidRPr="005C2321" w:rsidRDefault="00284503" w:rsidP="00284503">
      <w:pPr>
        <w:pStyle w:val="BodyText"/>
        <w:numPr>
          <w:ilvl w:val="1"/>
          <w:numId w:val="1"/>
        </w:numPr>
        <w:rPr>
          <w:rFonts w:ascii="Arial" w:hAnsi="Arial" w:cs="Arial"/>
          <w:sz w:val="24"/>
          <w:szCs w:val="24"/>
          <w:lang w:val="es-MX"/>
        </w:rPr>
      </w:pPr>
      <w:r w:rsidRPr="005C2321">
        <w:rPr>
          <w:rFonts w:ascii="Arial" w:hAnsi="Arial" w:cs="Arial"/>
          <w:sz w:val="24"/>
          <w:szCs w:val="24"/>
          <w:lang w:val="es-MX"/>
        </w:rPr>
        <w:lastRenderedPageBreak/>
        <w:t>Con respecto a los SIAF, la literatura destaca sus importantes beneficios vinculados a la sostenibilidad fiscal y mayor eficiencia, efectividad y transparencia en la gestión de los recursos</w:t>
      </w:r>
      <w:r w:rsidR="00872F9B" w:rsidRPr="005C2321">
        <w:rPr>
          <w:rFonts w:ascii="Arial" w:hAnsi="Arial" w:cs="Arial"/>
          <w:sz w:val="24"/>
          <w:szCs w:val="24"/>
          <w:vertAlign w:val="superscript"/>
          <w:lang w:val="es-MX"/>
        </w:rPr>
        <w:footnoteReference w:id="17"/>
      </w:r>
      <w:r w:rsidRPr="005C2321">
        <w:rPr>
          <w:rFonts w:ascii="Arial" w:hAnsi="Arial" w:cs="Arial"/>
          <w:sz w:val="24"/>
          <w:szCs w:val="24"/>
          <w:lang w:val="es-MX"/>
        </w:rPr>
        <w:t>. No obstante, es alta la incidencia de fracasos en la implementación de estos proyectos. Al respecto, algunas lecciones aprendidas incluyen la importancia de un compromiso fuerte de las autoridades; dotar de suficientes recursos técnicos y financieros; procurar amplio apoyo interno; y construir una agenda de gestión del cambio.</w:t>
      </w:r>
    </w:p>
    <w:p w14:paraId="1CC4C9B1" w14:textId="75D1D79A" w:rsidR="00872F9B" w:rsidRPr="005C2321" w:rsidRDefault="00E429BC" w:rsidP="00947691">
      <w:pPr>
        <w:pStyle w:val="BodyText"/>
        <w:numPr>
          <w:ilvl w:val="1"/>
          <w:numId w:val="1"/>
        </w:numPr>
        <w:rPr>
          <w:rFonts w:ascii="Arial" w:hAnsi="Arial" w:cs="Arial"/>
          <w:sz w:val="24"/>
          <w:szCs w:val="24"/>
          <w:lang w:val="es-MX"/>
        </w:rPr>
      </w:pPr>
      <w:r w:rsidRPr="005C2321">
        <w:rPr>
          <w:rFonts w:ascii="Arial" w:hAnsi="Arial" w:cs="Arial"/>
          <w:sz w:val="24"/>
          <w:szCs w:val="24"/>
          <w:lang w:val="es-MX"/>
        </w:rPr>
        <w:t>Así</w:t>
      </w:r>
      <w:r w:rsidR="007B170B" w:rsidRPr="005C2321">
        <w:rPr>
          <w:rFonts w:ascii="Arial" w:hAnsi="Arial" w:cs="Arial"/>
          <w:sz w:val="24"/>
          <w:szCs w:val="24"/>
          <w:lang w:val="es-MX"/>
        </w:rPr>
        <w:t xml:space="preserve"> mismo es importante tener en cuenta que SIARE tanto Nacional como Municipal consideran un módulo de </w:t>
      </w:r>
      <w:r w:rsidR="00872F9B" w:rsidRPr="005C2321">
        <w:rPr>
          <w:rFonts w:ascii="Arial" w:hAnsi="Arial" w:cs="Arial"/>
          <w:sz w:val="24"/>
          <w:szCs w:val="24"/>
          <w:lang w:val="es-MX"/>
        </w:rPr>
        <w:t xml:space="preserve">inversión </w:t>
      </w:r>
      <w:r w:rsidR="007B170B" w:rsidRPr="005C2321">
        <w:rPr>
          <w:rFonts w:ascii="Arial" w:hAnsi="Arial" w:cs="Arial"/>
          <w:sz w:val="24"/>
          <w:szCs w:val="24"/>
          <w:lang w:val="es-MX"/>
        </w:rPr>
        <w:t>pública</w:t>
      </w:r>
      <w:r w:rsidRPr="005C2321">
        <w:rPr>
          <w:rFonts w:ascii="Arial" w:hAnsi="Arial" w:cs="Arial"/>
          <w:sz w:val="24"/>
          <w:szCs w:val="24"/>
          <w:lang w:val="es-MX"/>
        </w:rPr>
        <w:t xml:space="preserve"> y los otros módulos son complementarios para la gestión de la inversión. A</w:t>
      </w:r>
      <w:r w:rsidR="00667633" w:rsidRPr="005C2321">
        <w:rPr>
          <w:rFonts w:ascii="Arial" w:hAnsi="Arial" w:cs="Arial"/>
          <w:sz w:val="24"/>
          <w:szCs w:val="24"/>
          <w:lang w:val="es-MX"/>
        </w:rPr>
        <w:t>l respecto l</w:t>
      </w:r>
      <w:r w:rsidR="00872F9B" w:rsidRPr="005C2321">
        <w:rPr>
          <w:rFonts w:ascii="Arial" w:hAnsi="Arial" w:cs="Arial"/>
          <w:sz w:val="24"/>
          <w:szCs w:val="24"/>
          <w:lang w:val="es-MX"/>
        </w:rPr>
        <w:t>a evidencia empírica demuestra que los bajos rendimientos de la inversión pública se derivan de escasa información, desperdicio de recursos y la escasa competencia técnica</w:t>
      </w:r>
      <w:r w:rsidRPr="005C2321">
        <w:rPr>
          <w:rStyle w:val="FootnoteReference"/>
          <w:rFonts w:ascii="Arial" w:hAnsi="Arial" w:cs="Arial"/>
          <w:sz w:val="24"/>
          <w:szCs w:val="24"/>
          <w:lang w:val="es-MX"/>
        </w:rPr>
        <w:footnoteReference w:id="18"/>
      </w:r>
      <w:r w:rsidR="00872F9B" w:rsidRPr="005C2321">
        <w:rPr>
          <w:rFonts w:ascii="Arial" w:hAnsi="Arial" w:cs="Arial"/>
          <w:sz w:val="24"/>
          <w:szCs w:val="24"/>
          <w:lang w:val="es-MX"/>
        </w:rPr>
        <w:t xml:space="preserve">. </w:t>
      </w:r>
    </w:p>
    <w:p w14:paraId="737C0291" w14:textId="77777777" w:rsidR="00284503" w:rsidRPr="005C2321" w:rsidRDefault="00284503" w:rsidP="00284503">
      <w:pPr>
        <w:pStyle w:val="BodyText"/>
        <w:numPr>
          <w:ilvl w:val="1"/>
          <w:numId w:val="1"/>
        </w:numPr>
        <w:rPr>
          <w:rFonts w:ascii="Arial" w:hAnsi="Arial" w:cs="Arial"/>
          <w:sz w:val="24"/>
          <w:szCs w:val="24"/>
          <w:lang w:val="es-MX"/>
        </w:rPr>
      </w:pPr>
      <w:r w:rsidRPr="005C2321">
        <w:rPr>
          <w:rFonts w:ascii="Arial" w:hAnsi="Arial" w:cs="Arial"/>
          <w:sz w:val="24"/>
          <w:szCs w:val="24"/>
          <w:lang w:val="es-MX"/>
        </w:rPr>
        <w:t>En los temas de Compras Públicas, la implementación del sistema de compras electrónico en Chile contribuyó a reducción de precios de 2,65% y ahorros de costos administrativos de entre 0,28% y 0,38%, gracias a la centralización de tareas administrativas y la mayor cantidad de participantes en las licitaciones</w:t>
      </w:r>
      <w:r w:rsidRPr="005C2321">
        <w:rPr>
          <w:rFonts w:ascii="Arial" w:hAnsi="Arial" w:cs="Arial"/>
          <w:sz w:val="24"/>
          <w:szCs w:val="24"/>
          <w:vertAlign w:val="superscript"/>
          <w:lang w:val="es-MX"/>
        </w:rPr>
        <w:footnoteReference w:id="19"/>
      </w:r>
      <w:r w:rsidRPr="005C2321">
        <w:rPr>
          <w:rFonts w:ascii="Arial" w:hAnsi="Arial" w:cs="Arial"/>
          <w:sz w:val="24"/>
          <w:szCs w:val="24"/>
          <w:lang w:val="es-MX"/>
        </w:rPr>
        <w:t>. Con respecto a PPR, algunas de las lecciones de la experiencia internacional incluyen: (i) desarrollar apropiación en los ministerios de línea, lo que requiere incentivos, crear nuevas habilidades y comportamientos, y calibrar que el costo de implementación sea proporcional al potencial de mejora verificable en el desempeño; (ii) mejorar las capacidades locales en temas clave como planificación estratégica y contabilidad; y (iii) los países que más avanzan son los que se adaptan frente a las dificultades, en lugar de abandonar el PPR: corrigen errores del pasado y hacen cambios graduales, dando continuidad frente a cambios de gobierno para construir credibilidad</w:t>
      </w:r>
      <w:r w:rsidRPr="005C2321">
        <w:rPr>
          <w:rFonts w:ascii="Arial" w:hAnsi="Arial" w:cs="Arial"/>
          <w:sz w:val="24"/>
          <w:szCs w:val="24"/>
          <w:vertAlign w:val="superscript"/>
          <w:lang w:val="es-MX"/>
        </w:rPr>
        <w:footnoteReference w:id="20"/>
      </w:r>
      <w:r w:rsidRPr="005C2321">
        <w:rPr>
          <w:rFonts w:ascii="Arial" w:hAnsi="Arial" w:cs="Arial"/>
          <w:sz w:val="24"/>
          <w:szCs w:val="24"/>
          <w:lang w:val="es-MX"/>
        </w:rPr>
        <w:t xml:space="preserve">. Por último, sobre las NICSP, las mismas permiten el registro contable en base devengado, que presenta varias ventajas respecto de base caja en términos de transparencia, rendición de cuentas y gestión financiera: el reconocimiento de “eventos económicos”, que con frecuencia no implican flujos de dinero (por ejemplo, depreciación); el registro del stock de activos y pasivos en estados financieros; </w:t>
      </w:r>
      <w:r w:rsidRPr="005C2321">
        <w:rPr>
          <w:rFonts w:ascii="Arial" w:hAnsi="Arial" w:cs="Arial"/>
          <w:sz w:val="24"/>
          <w:szCs w:val="24"/>
          <w:lang w:val="es-MX"/>
        </w:rPr>
        <w:lastRenderedPageBreak/>
        <w:t>mejor monitoreo de deudas y pasivos contingentes; y consolidación de todas las entidades bajo control público</w:t>
      </w:r>
      <w:r w:rsidRPr="005C2321">
        <w:rPr>
          <w:rFonts w:ascii="Arial" w:hAnsi="Arial" w:cs="Arial"/>
          <w:sz w:val="24"/>
          <w:szCs w:val="24"/>
          <w:vertAlign w:val="superscript"/>
          <w:lang w:val="es-MX"/>
        </w:rPr>
        <w:footnoteReference w:id="21"/>
      </w:r>
      <w:r w:rsidRPr="005C2321">
        <w:rPr>
          <w:rFonts w:ascii="Arial" w:hAnsi="Arial" w:cs="Arial"/>
          <w:sz w:val="24"/>
          <w:szCs w:val="24"/>
          <w:lang w:val="es-MX"/>
        </w:rPr>
        <w:t xml:space="preserve">. </w:t>
      </w:r>
    </w:p>
    <w:p w14:paraId="4329B1BD" w14:textId="789DE614" w:rsidR="00C478C7" w:rsidRPr="005C2321" w:rsidRDefault="00C478C7" w:rsidP="00284503">
      <w:pPr>
        <w:pStyle w:val="BodyText"/>
        <w:numPr>
          <w:ilvl w:val="1"/>
          <w:numId w:val="1"/>
        </w:numPr>
        <w:rPr>
          <w:rFonts w:ascii="Arial" w:hAnsi="Arial" w:cs="Arial"/>
          <w:sz w:val="24"/>
          <w:szCs w:val="24"/>
          <w:lang w:val="es-MX"/>
        </w:rPr>
      </w:pPr>
      <w:r w:rsidRPr="005C2321">
        <w:rPr>
          <w:rFonts w:ascii="Arial" w:hAnsi="Arial" w:cs="Arial"/>
          <w:sz w:val="24"/>
          <w:szCs w:val="24"/>
          <w:lang w:val="es-MX"/>
        </w:rPr>
        <w:t>Otras evidencias para las otras intervenciones se muestra</w:t>
      </w:r>
      <w:r w:rsidR="0069687A" w:rsidRPr="005C2321">
        <w:rPr>
          <w:rFonts w:ascii="Arial" w:hAnsi="Arial" w:cs="Arial"/>
          <w:sz w:val="24"/>
          <w:szCs w:val="24"/>
          <w:lang w:val="es-MX"/>
        </w:rPr>
        <w:t>n</w:t>
      </w:r>
      <w:r w:rsidRPr="005C2321">
        <w:rPr>
          <w:rFonts w:ascii="Arial" w:hAnsi="Arial" w:cs="Arial"/>
          <w:sz w:val="24"/>
          <w:szCs w:val="24"/>
          <w:lang w:val="es-MX"/>
        </w:rPr>
        <w:t xml:space="preserve"> en la Lógica Vertical del Anexo I.</w:t>
      </w:r>
    </w:p>
    <w:p w14:paraId="63703909" w14:textId="0ABFE7C4" w:rsidR="00A72344" w:rsidRPr="005C2321" w:rsidRDefault="00A72344">
      <w:pPr>
        <w:rPr>
          <w:rFonts w:ascii="Arial" w:eastAsia="Times New Roman" w:hAnsi="Arial" w:cs="Arial"/>
          <w:b/>
          <w:sz w:val="24"/>
          <w:szCs w:val="24"/>
          <w:lang w:val="es-MX" w:eastAsia="es-ES" w:bidi="hi-IN"/>
        </w:rPr>
      </w:pPr>
    </w:p>
    <w:p w14:paraId="1A8405E6" w14:textId="77777777" w:rsidR="00C478C7" w:rsidRPr="005C2321" w:rsidRDefault="00C478C7">
      <w:pPr>
        <w:rPr>
          <w:rFonts w:ascii="Arial" w:eastAsia="Times New Roman" w:hAnsi="Arial" w:cs="Arial"/>
          <w:b/>
          <w:sz w:val="24"/>
          <w:szCs w:val="24"/>
          <w:lang w:val="es-ES_tradnl" w:eastAsia="es-ES" w:bidi="hi-IN"/>
        </w:rPr>
      </w:pPr>
    </w:p>
    <w:p w14:paraId="2F8C8C64" w14:textId="77777777" w:rsidR="002E468D" w:rsidRPr="005C2321" w:rsidRDefault="002E468D">
      <w:pPr>
        <w:rPr>
          <w:rFonts w:ascii="Arial" w:eastAsia="Times New Roman" w:hAnsi="Arial" w:cs="Arial"/>
          <w:b/>
          <w:sz w:val="24"/>
          <w:szCs w:val="24"/>
          <w:lang w:val="es-ES" w:eastAsia="es-ES" w:bidi="hi-IN"/>
        </w:rPr>
      </w:pPr>
      <w:r w:rsidRPr="005C2321">
        <w:rPr>
          <w:rFonts w:ascii="Arial" w:hAnsi="Arial" w:cs="Arial"/>
          <w:caps/>
          <w:sz w:val="24"/>
          <w:szCs w:val="24"/>
          <w:lang w:val="es-ES"/>
        </w:rPr>
        <w:br w:type="page"/>
      </w:r>
    </w:p>
    <w:p w14:paraId="1A5CEBC8" w14:textId="0BC2142C" w:rsidR="00733D30" w:rsidRPr="005C2321" w:rsidRDefault="00A12E44" w:rsidP="00733D30">
      <w:pPr>
        <w:pStyle w:val="Heading1"/>
        <w:numPr>
          <w:ilvl w:val="0"/>
          <w:numId w:val="1"/>
        </w:numPr>
        <w:jc w:val="left"/>
        <w:rPr>
          <w:rFonts w:ascii="Arial" w:hAnsi="Arial" w:cs="Arial"/>
          <w:caps w:val="0"/>
          <w:spacing w:val="0"/>
          <w:kern w:val="0"/>
          <w:sz w:val="24"/>
          <w:szCs w:val="24"/>
          <w:lang w:val="es-ES"/>
        </w:rPr>
      </w:pPr>
      <w:bookmarkStart w:id="4" w:name="_Toc523133729"/>
      <w:r w:rsidRPr="005C2321">
        <w:rPr>
          <w:rFonts w:ascii="Arial" w:hAnsi="Arial" w:cs="Arial"/>
          <w:caps w:val="0"/>
          <w:spacing w:val="0"/>
          <w:kern w:val="0"/>
          <w:sz w:val="24"/>
          <w:szCs w:val="24"/>
          <w:lang w:val="es-ES"/>
        </w:rPr>
        <w:lastRenderedPageBreak/>
        <w:t>C</w:t>
      </w:r>
      <w:r w:rsidR="00733D30" w:rsidRPr="005C2321">
        <w:rPr>
          <w:rFonts w:ascii="Arial" w:hAnsi="Arial" w:cs="Arial"/>
          <w:caps w:val="0"/>
          <w:spacing w:val="0"/>
          <w:kern w:val="0"/>
          <w:sz w:val="24"/>
          <w:szCs w:val="24"/>
          <w:lang w:val="es-ES"/>
        </w:rPr>
        <w:t xml:space="preserve">aracterísticas del </w:t>
      </w:r>
      <w:r w:rsidR="00327FAA" w:rsidRPr="005C2321">
        <w:rPr>
          <w:rFonts w:ascii="Arial" w:hAnsi="Arial" w:cs="Arial"/>
          <w:caps w:val="0"/>
          <w:spacing w:val="0"/>
          <w:kern w:val="0"/>
          <w:sz w:val="24"/>
          <w:szCs w:val="24"/>
          <w:lang w:val="es-ES"/>
        </w:rPr>
        <w:t>proyecto</w:t>
      </w:r>
      <w:bookmarkEnd w:id="4"/>
    </w:p>
    <w:p w14:paraId="719EFCBC" w14:textId="5C90891F" w:rsidR="008A7F79" w:rsidRPr="005C2321" w:rsidRDefault="008A7F79" w:rsidP="008A7F79">
      <w:pPr>
        <w:pStyle w:val="Paragraph"/>
        <w:numPr>
          <w:ilvl w:val="1"/>
          <w:numId w:val="1"/>
        </w:numPr>
        <w:ind w:right="-7"/>
        <w:outlineLvl w:val="9"/>
        <w:rPr>
          <w:rFonts w:ascii="Arial" w:eastAsia="Arial" w:hAnsi="Arial" w:cs="Arial"/>
        </w:rPr>
      </w:pPr>
      <w:bookmarkStart w:id="5" w:name="_Hlk506401354"/>
      <w:r w:rsidRPr="005C2321">
        <w:rPr>
          <w:rFonts w:ascii="Arial" w:eastAsia="Arial" w:hAnsi="Arial" w:cs="Arial"/>
        </w:rPr>
        <w:t xml:space="preserve">El </w:t>
      </w:r>
      <w:r w:rsidRPr="005C2321">
        <w:rPr>
          <w:rFonts w:ascii="Arial" w:eastAsia="Arial" w:hAnsi="Arial" w:cs="Arial"/>
          <w:b/>
        </w:rPr>
        <w:t>objetivo del proyecto</w:t>
      </w:r>
      <w:r w:rsidRPr="005C2321">
        <w:rPr>
          <w:rFonts w:ascii="Arial" w:eastAsia="Arial" w:hAnsi="Arial" w:cs="Arial"/>
        </w:rPr>
        <w:t xml:space="preserve"> es </w:t>
      </w:r>
      <w:r w:rsidR="00636926" w:rsidRPr="005C2321">
        <w:rPr>
          <w:rFonts w:ascii="Arial" w:hAnsi="Arial" w:cs="Arial"/>
          <w:lang w:bidi="es-ES"/>
        </w:rPr>
        <w:t>mejorar la gestión de los ingresos y el gasto público. Esto permitirá generar más recursos y aplicarlos de manera más efectiva, eficiente y transparente para contribuir al desarrollo sostenible de Paraguay.</w:t>
      </w:r>
    </w:p>
    <w:p w14:paraId="7B52B041" w14:textId="4B775867" w:rsidR="008A7F79" w:rsidRPr="005C2321" w:rsidRDefault="008A7F79" w:rsidP="008A7F79">
      <w:pPr>
        <w:pStyle w:val="Paragraph"/>
        <w:numPr>
          <w:ilvl w:val="1"/>
          <w:numId w:val="1"/>
        </w:numPr>
        <w:ind w:right="-7"/>
        <w:outlineLvl w:val="9"/>
        <w:rPr>
          <w:rFonts w:ascii="Arial" w:hAnsi="Arial" w:cs="Arial"/>
        </w:rPr>
      </w:pPr>
      <w:r w:rsidRPr="005C2321">
        <w:rPr>
          <w:rFonts w:ascii="Arial" w:eastAsia="Arial" w:hAnsi="Arial" w:cs="Arial"/>
        </w:rPr>
        <w:t xml:space="preserve">El </w:t>
      </w:r>
      <w:r w:rsidRPr="005C2321">
        <w:rPr>
          <w:rFonts w:ascii="Arial" w:eastAsia="Arial" w:hAnsi="Arial" w:cs="Arial"/>
          <w:b/>
        </w:rPr>
        <w:t>impacto directo</w:t>
      </w:r>
      <w:r w:rsidRPr="005C2321">
        <w:rPr>
          <w:rFonts w:ascii="Arial" w:eastAsia="Arial" w:hAnsi="Arial" w:cs="Arial"/>
        </w:rPr>
        <w:t xml:space="preserve"> del proyecto está orientado a mejorar la recaudación tributaria, </w:t>
      </w:r>
      <w:r w:rsidR="003F125A" w:rsidRPr="005C2321">
        <w:rPr>
          <w:rFonts w:ascii="Arial" w:eastAsia="Arial" w:hAnsi="Arial" w:cs="Arial"/>
        </w:rPr>
        <w:t>contribuyendo a</w:t>
      </w:r>
      <w:r w:rsidR="001A1F6E" w:rsidRPr="005C2321">
        <w:rPr>
          <w:rFonts w:ascii="Arial" w:eastAsia="Arial" w:hAnsi="Arial" w:cs="Arial"/>
        </w:rPr>
        <w:t xml:space="preserve"> un crecimiento </w:t>
      </w:r>
      <w:proofErr w:type="gramStart"/>
      <w:r w:rsidR="001A1F6E" w:rsidRPr="005C2321">
        <w:rPr>
          <w:rFonts w:ascii="Arial" w:eastAsia="Arial" w:hAnsi="Arial" w:cs="Arial"/>
        </w:rPr>
        <w:t>del ratio</w:t>
      </w:r>
      <w:proofErr w:type="gramEnd"/>
      <w:r w:rsidR="001A1F6E" w:rsidRPr="005C2321">
        <w:rPr>
          <w:rFonts w:ascii="Arial" w:eastAsia="Arial" w:hAnsi="Arial" w:cs="Arial"/>
        </w:rPr>
        <w:t xml:space="preserve"> de recaudación tributaria</w:t>
      </w:r>
      <w:r w:rsidRPr="005C2321">
        <w:rPr>
          <w:rFonts w:ascii="Arial" w:eastAsia="Arial" w:hAnsi="Arial" w:cs="Arial"/>
        </w:rPr>
        <w:t xml:space="preserve"> de </w:t>
      </w:r>
      <w:r w:rsidR="00947691" w:rsidRPr="005C2321">
        <w:rPr>
          <w:rFonts w:ascii="Arial" w:eastAsia="Arial" w:hAnsi="Arial" w:cs="Arial"/>
        </w:rPr>
        <w:t>9</w:t>
      </w:r>
      <w:r w:rsidRPr="005C2321">
        <w:rPr>
          <w:rFonts w:ascii="Arial" w:eastAsia="Arial" w:hAnsi="Arial" w:cs="Arial"/>
        </w:rPr>
        <w:t>.</w:t>
      </w:r>
      <w:r w:rsidR="00947691" w:rsidRPr="005C2321">
        <w:rPr>
          <w:rFonts w:ascii="Arial" w:eastAsia="Arial" w:hAnsi="Arial" w:cs="Arial"/>
        </w:rPr>
        <w:t>9</w:t>
      </w:r>
      <w:r w:rsidRPr="005C2321">
        <w:rPr>
          <w:rFonts w:ascii="Arial" w:eastAsia="Arial" w:hAnsi="Arial" w:cs="Arial"/>
        </w:rPr>
        <w:t>% a 1</w:t>
      </w:r>
      <w:r w:rsidR="00947691" w:rsidRPr="005C2321">
        <w:rPr>
          <w:rFonts w:ascii="Arial" w:eastAsia="Arial" w:hAnsi="Arial" w:cs="Arial"/>
        </w:rPr>
        <w:t>1</w:t>
      </w:r>
      <w:r w:rsidRPr="005C2321">
        <w:rPr>
          <w:rFonts w:ascii="Arial" w:eastAsia="Arial" w:hAnsi="Arial" w:cs="Arial"/>
        </w:rPr>
        <w:t xml:space="preserve">% al final del proyecto, así como mejorar la </w:t>
      </w:r>
      <w:r w:rsidR="001A1F6E" w:rsidRPr="005C2321">
        <w:rPr>
          <w:rFonts w:ascii="Arial" w:eastAsia="Arial" w:hAnsi="Arial" w:cs="Arial"/>
        </w:rPr>
        <w:t xml:space="preserve">asignación presupuestaria a gastos prioritarios: </w:t>
      </w:r>
      <w:r w:rsidRPr="005C2321">
        <w:rPr>
          <w:rFonts w:ascii="Arial" w:eastAsia="Arial" w:hAnsi="Arial" w:cs="Arial"/>
        </w:rPr>
        <w:t>inversiones</w:t>
      </w:r>
      <w:r w:rsidR="00AE687D" w:rsidRPr="005C2321">
        <w:rPr>
          <w:rFonts w:ascii="Arial" w:eastAsia="Arial" w:hAnsi="Arial" w:cs="Arial"/>
        </w:rPr>
        <w:t xml:space="preserve"> y gasto social</w:t>
      </w:r>
      <w:r w:rsidRPr="005C2321">
        <w:rPr>
          <w:rFonts w:ascii="Arial" w:eastAsia="Arial" w:hAnsi="Arial" w:cs="Arial"/>
        </w:rPr>
        <w:t xml:space="preserve">, pasando de </w:t>
      </w:r>
      <w:r w:rsidR="001A1F6E" w:rsidRPr="005C2321">
        <w:rPr>
          <w:rFonts w:ascii="Arial" w:eastAsia="Arial" w:hAnsi="Arial" w:cs="Arial"/>
        </w:rPr>
        <w:t>54</w:t>
      </w:r>
      <w:r w:rsidRPr="005C2321">
        <w:rPr>
          <w:rFonts w:ascii="Arial" w:eastAsia="Arial" w:hAnsi="Arial" w:cs="Arial"/>
        </w:rPr>
        <w:t xml:space="preserve">% a </w:t>
      </w:r>
      <w:r w:rsidR="001A1F6E" w:rsidRPr="005C2321">
        <w:rPr>
          <w:rFonts w:ascii="Arial" w:eastAsia="Arial" w:hAnsi="Arial" w:cs="Arial"/>
        </w:rPr>
        <w:t>56</w:t>
      </w:r>
      <w:r w:rsidRPr="005C2321">
        <w:rPr>
          <w:rFonts w:ascii="Arial" w:eastAsia="Arial" w:hAnsi="Arial" w:cs="Arial"/>
        </w:rPr>
        <w:t xml:space="preserve">%, y de </w:t>
      </w:r>
      <w:r w:rsidR="001A1F6E" w:rsidRPr="005C2321">
        <w:rPr>
          <w:rFonts w:ascii="Arial" w:eastAsia="Arial" w:hAnsi="Arial" w:cs="Arial"/>
        </w:rPr>
        <w:t>11</w:t>
      </w:r>
      <w:r w:rsidRPr="005C2321">
        <w:rPr>
          <w:rFonts w:ascii="Arial" w:eastAsia="Arial" w:hAnsi="Arial" w:cs="Arial"/>
        </w:rPr>
        <w:t xml:space="preserve">% a </w:t>
      </w:r>
      <w:r w:rsidR="001A1F6E" w:rsidRPr="005C2321">
        <w:rPr>
          <w:rFonts w:ascii="Arial" w:eastAsia="Arial" w:hAnsi="Arial" w:cs="Arial"/>
        </w:rPr>
        <w:t>15</w:t>
      </w:r>
      <w:r w:rsidRPr="005C2321">
        <w:rPr>
          <w:rFonts w:ascii="Arial" w:eastAsia="Arial" w:hAnsi="Arial" w:cs="Arial"/>
        </w:rPr>
        <w:t>%</w:t>
      </w:r>
      <w:r w:rsidR="00AE687D" w:rsidRPr="005C2321">
        <w:rPr>
          <w:rFonts w:ascii="Arial" w:eastAsia="Arial" w:hAnsi="Arial" w:cs="Arial"/>
        </w:rPr>
        <w:t>, respectivamente</w:t>
      </w:r>
      <w:r w:rsidRPr="005C2321">
        <w:rPr>
          <w:rFonts w:ascii="Arial" w:eastAsia="Arial" w:hAnsi="Arial" w:cs="Arial"/>
        </w:rPr>
        <w:t>. Esta mayor disponibilidad de recurso</w:t>
      </w:r>
      <w:r w:rsidR="003F1B54" w:rsidRPr="005C2321">
        <w:rPr>
          <w:rFonts w:ascii="Arial" w:eastAsia="Arial" w:hAnsi="Arial" w:cs="Arial"/>
        </w:rPr>
        <w:t>s</w:t>
      </w:r>
      <w:r w:rsidRPr="005C2321">
        <w:rPr>
          <w:rFonts w:ascii="Arial" w:eastAsia="Arial" w:hAnsi="Arial" w:cs="Arial"/>
        </w:rPr>
        <w:t xml:space="preserve"> públicos, la ejecución oportuna de los presupuestos</w:t>
      </w:r>
      <w:r w:rsidR="00617B9B" w:rsidRPr="005C2321">
        <w:rPr>
          <w:rFonts w:ascii="Arial" w:eastAsia="Arial" w:hAnsi="Arial" w:cs="Arial"/>
        </w:rPr>
        <w:t>,</w:t>
      </w:r>
      <w:r w:rsidRPr="005C2321">
        <w:rPr>
          <w:rFonts w:ascii="Arial" w:eastAsia="Arial" w:hAnsi="Arial" w:cs="Arial"/>
        </w:rPr>
        <w:t xml:space="preserve"> y </w:t>
      </w:r>
      <w:r w:rsidR="00617B9B" w:rsidRPr="005C2321">
        <w:rPr>
          <w:rFonts w:ascii="Arial" w:eastAsia="Arial" w:hAnsi="Arial" w:cs="Arial"/>
        </w:rPr>
        <w:t>la mayor eficiencia y eficacia del gasto</w:t>
      </w:r>
      <w:r w:rsidRPr="005C2321">
        <w:rPr>
          <w:rFonts w:ascii="Arial" w:eastAsia="Arial" w:hAnsi="Arial" w:cs="Arial"/>
        </w:rPr>
        <w:t xml:space="preserve">, contribuirá a lograr </w:t>
      </w:r>
      <w:r w:rsidRPr="005C2321">
        <w:rPr>
          <w:rFonts w:ascii="Arial" w:eastAsia="Arial" w:hAnsi="Arial" w:cs="Arial"/>
          <w:b/>
        </w:rPr>
        <w:t>impactos indirectos</w:t>
      </w:r>
      <w:r w:rsidRPr="005C2321">
        <w:rPr>
          <w:rFonts w:ascii="Arial" w:eastAsia="Arial" w:hAnsi="Arial" w:cs="Arial"/>
        </w:rPr>
        <w:t xml:space="preserve"> que se traducirían en reducción de la </w:t>
      </w:r>
      <w:r w:rsidRPr="005C2321">
        <w:rPr>
          <w:rFonts w:ascii="Arial" w:hAnsi="Arial" w:cs="Arial"/>
          <w:b/>
        </w:rPr>
        <w:t>brecha de capital físico</w:t>
      </w:r>
      <w:r w:rsidRPr="005C2321">
        <w:rPr>
          <w:rStyle w:val="FootnoteReference"/>
          <w:rFonts w:ascii="Arial" w:hAnsi="Arial" w:cs="Arial"/>
          <w:b/>
        </w:rPr>
        <w:footnoteReference w:id="22"/>
      </w:r>
      <w:r w:rsidRPr="005C2321">
        <w:rPr>
          <w:rFonts w:ascii="Arial" w:hAnsi="Arial" w:cs="Arial"/>
          <w:b/>
        </w:rPr>
        <w:t xml:space="preserve"> </w:t>
      </w:r>
      <w:r w:rsidRPr="005C2321">
        <w:rPr>
          <w:rFonts w:ascii="Arial" w:hAnsi="Arial" w:cs="Arial"/>
        </w:rPr>
        <w:t>que para Paraguay se estima en cerca de US$ 25 000 millones (91% del PIB de 2016).</w:t>
      </w:r>
      <w:r w:rsidRPr="005C2321">
        <w:rPr>
          <w:rFonts w:ascii="Arial" w:eastAsia="Arial" w:hAnsi="Arial" w:cs="Arial"/>
          <w:color w:val="000000" w:themeColor="text1"/>
        </w:rPr>
        <w:t xml:space="preserve">  La presente operación de endeudamiento financiará los siguientes componentes:</w:t>
      </w:r>
    </w:p>
    <w:p w14:paraId="2E40A679" w14:textId="77777777" w:rsidR="008A7F79" w:rsidRPr="005C2321" w:rsidRDefault="008A7F79" w:rsidP="008A7F79">
      <w:pPr>
        <w:pStyle w:val="Paragraph"/>
        <w:numPr>
          <w:ilvl w:val="1"/>
          <w:numId w:val="1"/>
        </w:numPr>
        <w:ind w:right="-7"/>
        <w:outlineLvl w:val="9"/>
        <w:rPr>
          <w:rFonts w:ascii="Arial" w:eastAsia="Arial" w:hAnsi="Arial" w:cs="Arial"/>
        </w:rPr>
      </w:pPr>
      <w:r w:rsidRPr="005C2321">
        <w:rPr>
          <w:rFonts w:ascii="Arial" w:eastAsia="Arial" w:hAnsi="Arial" w:cs="Arial"/>
          <w:color w:val="000000" w:themeColor="text1"/>
        </w:rPr>
        <w:t xml:space="preserve">Componente I. </w:t>
      </w:r>
      <w:r w:rsidRPr="005C2321">
        <w:rPr>
          <w:rFonts w:ascii="Arial" w:eastAsia="Arial" w:hAnsi="Arial" w:cs="Arial"/>
          <w:b/>
          <w:color w:val="000000" w:themeColor="text1"/>
        </w:rPr>
        <w:t>Implementación de la facturación electrónica ($7.3 millones)</w:t>
      </w:r>
      <w:r w:rsidRPr="005C2321">
        <w:rPr>
          <w:rFonts w:ascii="Arial" w:eastAsia="Arial" w:hAnsi="Arial" w:cs="Arial"/>
          <w:color w:val="000000" w:themeColor="text1"/>
        </w:rPr>
        <w:t xml:space="preserve">. El objetivo del componente es incrementar la recaudación tributaria, reducir el costo de cumplimiento para el contribuyente y el costo de administración para la SET, y apoyar la modernización de la SET, a través de: </w:t>
      </w:r>
    </w:p>
    <w:p w14:paraId="013F495A" w14:textId="77777777" w:rsidR="008A7F79" w:rsidRPr="005C2321" w:rsidRDefault="008A7F79" w:rsidP="00A566ED">
      <w:pPr>
        <w:ind w:left="708"/>
        <w:jc w:val="both"/>
        <w:rPr>
          <w:rFonts w:ascii="Arial" w:hAnsi="Arial" w:cs="Arial"/>
          <w:sz w:val="24"/>
          <w:szCs w:val="24"/>
        </w:rPr>
      </w:pPr>
      <w:r w:rsidRPr="005C2321">
        <w:rPr>
          <w:rFonts w:ascii="Arial" w:hAnsi="Arial" w:cs="Arial"/>
          <w:sz w:val="24"/>
          <w:szCs w:val="24"/>
        </w:rPr>
        <w:t xml:space="preserve">Subcomponente 1.1. Implementación del SIFEN ($6.3 millones). Abarca la implementación del SIFEN para las etapas de voluntariado controlado y masificación; mejora de las capacidades tecnológicas y funcionales de la SET para la operación y mantenimiento del SIFEN; la estrategia de capacitación, asistencia técnica y difusión del SIFEN; y la ampliación de infraestructura de almacenamiento y licencias de bases de datos. </w:t>
      </w:r>
    </w:p>
    <w:p w14:paraId="73EDA98E" w14:textId="234EFF63" w:rsidR="008A7F79" w:rsidRPr="005C2321" w:rsidRDefault="008A7F79" w:rsidP="00A566ED">
      <w:pPr>
        <w:ind w:left="708"/>
        <w:jc w:val="both"/>
        <w:rPr>
          <w:rFonts w:ascii="Arial" w:hAnsi="Arial" w:cs="Arial"/>
          <w:sz w:val="24"/>
          <w:szCs w:val="24"/>
        </w:rPr>
      </w:pPr>
      <w:r w:rsidRPr="005C2321">
        <w:rPr>
          <w:rFonts w:ascii="Arial" w:hAnsi="Arial" w:cs="Arial"/>
          <w:sz w:val="24"/>
          <w:szCs w:val="24"/>
        </w:rPr>
        <w:t>Subcomponente 1.2. Modernización de la SET ($1 millón). Consiste en actividades complementarias al SIFEN orientadas a apoyar a la SET en su modernización institucional. Incluye: (i) adecuación del modelo de gestión de riesgos e inteligencia tributaria a la FE; (ii) implementación de modelos de fiscalización sectorial y auditoría informática; (iii) readecuación organizacional e informática del departamento de medianos contribuyentes para la FE; y (iv) mejora de capacidades de la SET para el cumplimiento de estándares internacionales tributarios asumidos por Paraguay.</w:t>
      </w:r>
    </w:p>
    <w:p w14:paraId="7F8E9EB3" w14:textId="77777777" w:rsidR="008A7F79" w:rsidRPr="005C2321" w:rsidRDefault="008A7F79" w:rsidP="008A7F79">
      <w:pPr>
        <w:pStyle w:val="Paragraph"/>
        <w:numPr>
          <w:ilvl w:val="1"/>
          <w:numId w:val="1"/>
        </w:numPr>
        <w:ind w:right="-7"/>
        <w:outlineLvl w:val="9"/>
        <w:rPr>
          <w:rFonts w:ascii="Arial" w:eastAsia="Arial" w:hAnsi="Arial" w:cs="Arial"/>
          <w:color w:val="000000" w:themeColor="text1"/>
        </w:rPr>
      </w:pPr>
      <w:r w:rsidRPr="005C2321">
        <w:rPr>
          <w:rFonts w:ascii="Arial" w:eastAsia="Arial" w:hAnsi="Arial" w:cs="Arial"/>
          <w:color w:val="000000" w:themeColor="text1"/>
        </w:rPr>
        <w:t xml:space="preserve">Componente II. </w:t>
      </w:r>
      <w:r w:rsidRPr="005C2321">
        <w:rPr>
          <w:rFonts w:ascii="Arial" w:eastAsia="Arial" w:hAnsi="Arial" w:cs="Arial"/>
          <w:b/>
          <w:color w:val="000000" w:themeColor="text1"/>
        </w:rPr>
        <w:t>Fortalecimiento del SIARE ($7.4 millones)</w:t>
      </w:r>
      <w:r w:rsidRPr="005C2321">
        <w:rPr>
          <w:rFonts w:ascii="Arial" w:eastAsia="Arial" w:hAnsi="Arial" w:cs="Arial"/>
          <w:color w:val="000000" w:themeColor="text1"/>
        </w:rPr>
        <w:t xml:space="preserve">. El objetivo del componente es mejorar las capacidades de la SSEAF del MH para la supervisión del tramo final de implementación del SIARE y su posterior operación, a través de: </w:t>
      </w:r>
    </w:p>
    <w:p w14:paraId="1D6B36FC" w14:textId="77777777" w:rsidR="008A7F79" w:rsidRPr="005C2321" w:rsidRDefault="008A7F79" w:rsidP="00A566ED">
      <w:pPr>
        <w:ind w:left="708"/>
        <w:jc w:val="both"/>
        <w:rPr>
          <w:rFonts w:ascii="Arial" w:hAnsi="Arial" w:cs="Arial"/>
          <w:sz w:val="24"/>
          <w:szCs w:val="24"/>
        </w:rPr>
      </w:pPr>
      <w:r w:rsidRPr="005C2321">
        <w:rPr>
          <w:rFonts w:ascii="Arial" w:hAnsi="Arial" w:cs="Arial"/>
          <w:sz w:val="24"/>
          <w:szCs w:val="24"/>
        </w:rPr>
        <w:lastRenderedPageBreak/>
        <w:t xml:space="preserve">Subcomponente 2.1. Implementación oportuna del SIARE ($3.9 millones). Consiste en el apoyo para concluir el desarrollo del SIARE. Abarca los siguientes productos: (i) desarrollo evolutivo del SIARE, junto a la mejora de capacidades funcionales y tecnológicas de la SSEAF para su supervisión, operación y mantenimiento; incluye la estrategia de capacitación, asistencia técnica y difusión del SIARE;  (ii) implementación del modelo de inteligencia fiscal: incluye la mejora del portal de datos abiertos del MH publicando información del SIARE, junto a la implementación de software de inteligencia fiscal para utilizar la información del SIARE para mejorar la toma de decisiones ; y (iii) completar la base de datos del JUPE digitalizando la información de beneficiarios de jubilaciones y pensiones del Estado. </w:t>
      </w:r>
    </w:p>
    <w:p w14:paraId="35292210" w14:textId="5AE54CDF" w:rsidR="008A7F79" w:rsidRPr="005C2321" w:rsidRDefault="008A7F79" w:rsidP="00A566ED">
      <w:pPr>
        <w:ind w:left="708"/>
        <w:jc w:val="both"/>
        <w:rPr>
          <w:rFonts w:ascii="Arial" w:hAnsi="Arial" w:cs="Arial"/>
          <w:sz w:val="24"/>
          <w:szCs w:val="24"/>
        </w:rPr>
      </w:pPr>
      <w:r w:rsidRPr="005C2321">
        <w:rPr>
          <w:rFonts w:ascii="Arial" w:hAnsi="Arial" w:cs="Arial"/>
          <w:sz w:val="24"/>
          <w:szCs w:val="24"/>
        </w:rPr>
        <w:t>Subcomponente 2.2. Sitio de alta disponibilidad del SIARE ($3.5 millones). Consiste en la implementación de la infraestructura tecnológica y de comunicación de un C</w:t>
      </w:r>
      <w:r w:rsidR="005D6A4D" w:rsidRPr="005C2321">
        <w:rPr>
          <w:rFonts w:ascii="Arial" w:hAnsi="Arial" w:cs="Arial"/>
          <w:sz w:val="24"/>
          <w:szCs w:val="24"/>
        </w:rPr>
        <w:t xml:space="preserve">entro de </w:t>
      </w:r>
      <w:r w:rsidRPr="005C2321">
        <w:rPr>
          <w:rFonts w:ascii="Arial" w:hAnsi="Arial" w:cs="Arial"/>
          <w:sz w:val="24"/>
          <w:szCs w:val="24"/>
        </w:rPr>
        <w:t>P</w:t>
      </w:r>
      <w:r w:rsidR="005D6A4D" w:rsidRPr="005C2321">
        <w:rPr>
          <w:rFonts w:ascii="Arial" w:hAnsi="Arial" w:cs="Arial"/>
          <w:sz w:val="24"/>
          <w:szCs w:val="24"/>
        </w:rPr>
        <w:t xml:space="preserve">rocesamiento de </w:t>
      </w:r>
      <w:r w:rsidRPr="005C2321">
        <w:rPr>
          <w:rFonts w:ascii="Arial" w:hAnsi="Arial" w:cs="Arial"/>
          <w:sz w:val="24"/>
          <w:szCs w:val="24"/>
        </w:rPr>
        <w:t>D</w:t>
      </w:r>
      <w:r w:rsidR="005D6A4D" w:rsidRPr="005C2321">
        <w:rPr>
          <w:rFonts w:ascii="Arial" w:hAnsi="Arial" w:cs="Arial"/>
          <w:sz w:val="24"/>
          <w:szCs w:val="24"/>
        </w:rPr>
        <w:t>atos (CPD)</w:t>
      </w:r>
      <w:r w:rsidRPr="005C2321">
        <w:rPr>
          <w:rFonts w:ascii="Arial" w:hAnsi="Arial" w:cs="Arial"/>
          <w:sz w:val="24"/>
          <w:szCs w:val="24"/>
        </w:rPr>
        <w:t xml:space="preserve"> </w:t>
      </w:r>
      <w:r w:rsidR="005D6A4D" w:rsidRPr="005C2321">
        <w:rPr>
          <w:rFonts w:ascii="Arial" w:hAnsi="Arial" w:cs="Arial"/>
          <w:sz w:val="24"/>
          <w:szCs w:val="24"/>
        </w:rPr>
        <w:t xml:space="preserve">en </w:t>
      </w:r>
      <w:r w:rsidRPr="005C2321">
        <w:rPr>
          <w:rFonts w:ascii="Arial" w:hAnsi="Arial" w:cs="Arial"/>
          <w:sz w:val="24"/>
          <w:szCs w:val="24"/>
        </w:rPr>
        <w:t xml:space="preserve">la SSEAF, para la alta disponibilidad del SIARE </w:t>
      </w:r>
    </w:p>
    <w:p w14:paraId="060C825A" w14:textId="77777777" w:rsidR="008A7F79" w:rsidRPr="005C2321" w:rsidRDefault="008A7F79" w:rsidP="008A7F79">
      <w:pPr>
        <w:pStyle w:val="Paragraph"/>
        <w:numPr>
          <w:ilvl w:val="1"/>
          <w:numId w:val="1"/>
        </w:numPr>
        <w:ind w:right="-7"/>
        <w:outlineLvl w:val="9"/>
        <w:rPr>
          <w:rFonts w:ascii="Arial" w:eastAsia="Arial" w:hAnsi="Arial" w:cs="Arial"/>
          <w:color w:val="000000" w:themeColor="text1"/>
        </w:rPr>
      </w:pPr>
      <w:r w:rsidRPr="005C2321">
        <w:rPr>
          <w:rFonts w:ascii="Arial" w:eastAsia="Arial" w:hAnsi="Arial" w:cs="Arial"/>
          <w:color w:val="000000" w:themeColor="text1"/>
        </w:rPr>
        <w:t xml:space="preserve">Componente III. </w:t>
      </w:r>
      <w:r w:rsidRPr="005C2321">
        <w:rPr>
          <w:rFonts w:ascii="Arial" w:eastAsia="Arial" w:hAnsi="Arial" w:cs="Arial"/>
          <w:b/>
          <w:color w:val="000000" w:themeColor="text1"/>
        </w:rPr>
        <w:t>Implementación del SIARE municipal ($4.1 millones)</w:t>
      </w:r>
      <w:r w:rsidRPr="005C2321">
        <w:rPr>
          <w:rFonts w:ascii="Arial" w:eastAsia="Arial" w:hAnsi="Arial" w:cs="Arial"/>
          <w:color w:val="000000" w:themeColor="text1"/>
        </w:rPr>
        <w:t xml:space="preserve">. Consiste en mejorar la eficiencia y transparencia municipal a través de: </w:t>
      </w:r>
    </w:p>
    <w:p w14:paraId="28F17590" w14:textId="77777777" w:rsidR="008A7F79" w:rsidRPr="005C2321" w:rsidRDefault="008A7F79" w:rsidP="00084FFF">
      <w:pPr>
        <w:ind w:left="708"/>
        <w:jc w:val="both"/>
        <w:rPr>
          <w:rFonts w:ascii="Arial" w:hAnsi="Arial" w:cs="Arial"/>
          <w:sz w:val="24"/>
          <w:szCs w:val="24"/>
        </w:rPr>
      </w:pPr>
      <w:r w:rsidRPr="005C2321">
        <w:rPr>
          <w:rFonts w:ascii="Arial" w:hAnsi="Arial" w:cs="Arial"/>
          <w:sz w:val="24"/>
          <w:szCs w:val="24"/>
        </w:rPr>
        <w:t>Subcomponente 3.1. SIARE Municipal ($3.4 millones). Abarca: (i) desarrollo del SIARE municipal, a medida y tercerizado; y (ii) su implementación a nivel piloto en un grupo de municipios. El desarrollo adaptará los módulos del SIARE nacional e incorporará un módulo de ingresos. Incluye el equipamiento informático, de comunicaciones y seguridad para el gobierno central y los municipios; junto a capacitación y asistencia técnica para su implementación.</w:t>
      </w:r>
    </w:p>
    <w:p w14:paraId="5237D7FF" w14:textId="77777777" w:rsidR="008A7F79" w:rsidRPr="005C2321" w:rsidRDefault="008A7F79" w:rsidP="00084FFF">
      <w:pPr>
        <w:ind w:left="708"/>
        <w:jc w:val="both"/>
        <w:rPr>
          <w:rFonts w:ascii="Arial" w:hAnsi="Arial" w:cs="Arial"/>
          <w:sz w:val="24"/>
          <w:szCs w:val="24"/>
        </w:rPr>
      </w:pPr>
      <w:r w:rsidRPr="005C2321">
        <w:rPr>
          <w:rFonts w:ascii="Arial" w:hAnsi="Arial" w:cs="Arial"/>
          <w:sz w:val="24"/>
          <w:szCs w:val="24"/>
        </w:rPr>
        <w:t xml:space="preserve">Se prevé que los municipios accedan al SIARE municipal en formato web. Aunque el desarrollo del sistema permitirá su implementación en todos los municipios, esta operación implementará un piloto en dos etapas de 20 municipios (40 en total) seleccionados según criterios de representatividad y alta probabilidad de adhesión: que tengan experiencia en proyectos previos de mejora de gestión municipal; que pertenezcan a los cuatro grupos de la clasificación oficial; que cumplan en tiempo y forma con la remisión de informes requeridos; y por economía de escala, que estén cercanos entre sí. </w:t>
      </w:r>
    </w:p>
    <w:p w14:paraId="436644CD" w14:textId="77777777" w:rsidR="008A7F79" w:rsidRPr="005C2321" w:rsidRDefault="008A7F79" w:rsidP="00084FFF">
      <w:pPr>
        <w:ind w:left="708"/>
        <w:jc w:val="both"/>
        <w:rPr>
          <w:rFonts w:ascii="Arial" w:hAnsi="Arial" w:cs="Arial"/>
          <w:sz w:val="24"/>
          <w:szCs w:val="24"/>
        </w:rPr>
      </w:pPr>
      <w:r w:rsidRPr="005C2321">
        <w:rPr>
          <w:rFonts w:ascii="Arial" w:hAnsi="Arial" w:cs="Arial"/>
          <w:sz w:val="24"/>
          <w:szCs w:val="24"/>
        </w:rPr>
        <w:t xml:space="preserve">Subcomponente 3.2. Modernización de la UDM ($0.7 millones). Consiste en la modernización de la gestión de la UDM. Abarca la reorganización institucional y mejora de capacidades para supervisar y operar funcionalmente el SIARE municipal; junto a mejora de capacidades en </w:t>
      </w:r>
      <w:r w:rsidRPr="005C2321">
        <w:rPr>
          <w:rFonts w:ascii="Arial" w:hAnsi="Arial" w:cs="Arial"/>
          <w:sz w:val="24"/>
          <w:szCs w:val="24"/>
        </w:rPr>
        <w:lastRenderedPageBreak/>
        <w:t xml:space="preserve">gestión de ingresos y gastos municipales; sistemas de transferencias; y endeudamiento municipal. </w:t>
      </w:r>
    </w:p>
    <w:p w14:paraId="456A4D48" w14:textId="77777777" w:rsidR="008A7F79" w:rsidRPr="005C2321" w:rsidRDefault="008A7F79" w:rsidP="008A7F79">
      <w:pPr>
        <w:pStyle w:val="Paragraph"/>
        <w:numPr>
          <w:ilvl w:val="1"/>
          <w:numId w:val="1"/>
        </w:numPr>
        <w:ind w:right="-7"/>
        <w:outlineLvl w:val="9"/>
        <w:rPr>
          <w:rFonts w:ascii="Arial" w:eastAsia="Arial" w:hAnsi="Arial" w:cs="Arial"/>
          <w:color w:val="000000" w:themeColor="text1"/>
        </w:rPr>
      </w:pPr>
      <w:r w:rsidRPr="005C2321">
        <w:rPr>
          <w:rFonts w:ascii="Arial" w:eastAsia="Arial" w:hAnsi="Arial" w:cs="Arial"/>
          <w:color w:val="000000" w:themeColor="text1"/>
        </w:rPr>
        <w:t xml:space="preserve">Componente IV. </w:t>
      </w:r>
      <w:r w:rsidRPr="005C2321">
        <w:rPr>
          <w:rFonts w:ascii="Arial" w:eastAsia="Arial" w:hAnsi="Arial" w:cs="Arial"/>
          <w:b/>
          <w:color w:val="000000" w:themeColor="text1"/>
        </w:rPr>
        <w:t>Mejora de la gestión financiera pública ($5 millones)</w:t>
      </w:r>
      <w:r w:rsidRPr="005C2321">
        <w:rPr>
          <w:rFonts w:ascii="Arial" w:eastAsia="Arial" w:hAnsi="Arial" w:cs="Arial"/>
          <w:color w:val="000000" w:themeColor="text1"/>
        </w:rPr>
        <w:t xml:space="preserve">. El objetivo del componente es mejorar aspectos clave de la GFP, mediante: </w:t>
      </w:r>
    </w:p>
    <w:p w14:paraId="1A2390B6" w14:textId="77777777" w:rsidR="008A7F79" w:rsidRPr="005C2321" w:rsidRDefault="008A7F79" w:rsidP="00084FFF">
      <w:pPr>
        <w:ind w:left="708"/>
        <w:jc w:val="both"/>
        <w:rPr>
          <w:rFonts w:ascii="Arial" w:hAnsi="Arial" w:cs="Arial"/>
          <w:sz w:val="24"/>
          <w:szCs w:val="24"/>
        </w:rPr>
      </w:pPr>
      <w:r w:rsidRPr="005C2321">
        <w:rPr>
          <w:rFonts w:ascii="Arial" w:hAnsi="Arial" w:cs="Arial"/>
          <w:sz w:val="24"/>
          <w:szCs w:val="24"/>
        </w:rPr>
        <w:t xml:space="preserve">Subcomponente 4.1. Implementación de la estrategia de PPR ($1.8 millones). Consiste en apoyar la estrategia en curso de PPR a través de: (i) completar el desarrollo de los instrumentos metodológicos de la STP y la DGP; (ii) mejora de capacidades de la DGP; y (iii) con base en las actividades precedentes, implementar programas presupuestales en OEE seleccionados (con foco en educación y salud): capacitación, asistencia técnica y evaluación. </w:t>
      </w:r>
    </w:p>
    <w:p w14:paraId="61734984" w14:textId="77777777" w:rsidR="008A7F79" w:rsidRPr="005C2321" w:rsidRDefault="008A7F79" w:rsidP="00084FFF">
      <w:pPr>
        <w:ind w:left="708"/>
        <w:jc w:val="both"/>
        <w:rPr>
          <w:rFonts w:ascii="Arial" w:hAnsi="Arial" w:cs="Arial"/>
          <w:sz w:val="24"/>
          <w:szCs w:val="24"/>
        </w:rPr>
      </w:pPr>
      <w:r w:rsidRPr="005C2321">
        <w:rPr>
          <w:rFonts w:ascii="Arial" w:hAnsi="Arial" w:cs="Arial"/>
          <w:sz w:val="24"/>
          <w:szCs w:val="24"/>
        </w:rPr>
        <w:t xml:space="preserve">Subcomponente 4.2. Mejora de la gestión de la DNCP ($1.5 millones). Consiste en apoyar la mejora de la gestión de la DNCP a través de: (i) reingeniería metodológica y normativa del convenio marco; (ii) mejora de la Unidad de Inteligencia de Mercado (metodologías, precios de referencia, estadísticas y generación de fichas de producto); y (iii)  modernización del SICP, a través del desarrollo de los módulos de gestión de contratos electrónicos, convenio marco, interfases con el SIARE y SIFEN, y la estrategia de capacitación, asistencia técnica y difusión del sistema. </w:t>
      </w:r>
    </w:p>
    <w:p w14:paraId="1ED83E06" w14:textId="77777777" w:rsidR="008A7F79" w:rsidRPr="005C2321" w:rsidRDefault="008A7F79" w:rsidP="00084FFF">
      <w:pPr>
        <w:ind w:left="708"/>
        <w:jc w:val="both"/>
        <w:rPr>
          <w:rFonts w:ascii="Arial" w:hAnsi="Arial" w:cs="Arial"/>
          <w:sz w:val="24"/>
          <w:szCs w:val="24"/>
        </w:rPr>
      </w:pPr>
      <w:r w:rsidRPr="005C2321">
        <w:rPr>
          <w:rFonts w:ascii="Arial" w:hAnsi="Arial" w:cs="Arial"/>
          <w:sz w:val="24"/>
          <w:szCs w:val="24"/>
        </w:rPr>
        <w:t xml:space="preserve">Subcomponente 4.3. Implementación de las NICSP ($1.7 millones). Consiste en apoyar a la DGCP en la implementación de las NICPS: desarrollo de manuales de ejecución presupuestaria y contable y su adaptación a normas institucionales; el desarrollo de políticas contables; capacitación y asistencia técnica; y completar el inventario de activos del Estado. </w:t>
      </w:r>
    </w:p>
    <w:bookmarkEnd w:id="5"/>
    <w:p w14:paraId="3107BA3A" w14:textId="43FDF9FC" w:rsidR="00B07F2E" w:rsidRPr="005C2321" w:rsidRDefault="008A7F79" w:rsidP="00947691">
      <w:pPr>
        <w:pStyle w:val="Paragraph"/>
        <w:numPr>
          <w:ilvl w:val="1"/>
          <w:numId w:val="1"/>
        </w:numPr>
        <w:ind w:right="-7"/>
        <w:outlineLvl w:val="9"/>
        <w:rPr>
          <w:rFonts w:ascii="Arial" w:eastAsia="Arial" w:hAnsi="Arial" w:cs="Arial"/>
          <w:color w:val="000000" w:themeColor="text1"/>
        </w:rPr>
      </w:pPr>
      <w:r w:rsidRPr="005C2321">
        <w:rPr>
          <w:rFonts w:ascii="Arial" w:eastAsia="Arial" w:hAnsi="Arial" w:cs="Arial"/>
          <w:color w:val="000000" w:themeColor="text1"/>
        </w:rPr>
        <w:t xml:space="preserve">El </w:t>
      </w:r>
      <w:r w:rsidRPr="005C2321">
        <w:rPr>
          <w:rFonts w:ascii="Arial" w:eastAsia="Arial" w:hAnsi="Arial" w:cs="Arial"/>
          <w:b/>
          <w:color w:val="000000" w:themeColor="text1"/>
        </w:rPr>
        <w:t>costo total</w:t>
      </w:r>
      <w:r w:rsidRPr="005C2321">
        <w:rPr>
          <w:rFonts w:ascii="Arial" w:eastAsia="Arial" w:hAnsi="Arial" w:cs="Arial"/>
          <w:color w:val="000000" w:themeColor="text1"/>
        </w:rPr>
        <w:t xml:space="preserve"> del proyecto asciende a US$ 26.34 millones</w:t>
      </w:r>
      <w:r w:rsidR="000C4B41" w:rsidRPr="005C2321">
        <w:rPr>
          <w:rFonts w:ascii="Arial" w:eastAsia="Arial" w:hAnsi="Arial" w:cs="Arial"/>
          <w:color w:val="000000" w:themeColor="text1"/>
        </w:rPr>
        <w:t xml:space="preserve">, de los cuales </w:t>
      </w:r>
      <w:r w:rsidRPr="005C2321">
        <w:rPr>
          <w:rFonts w:ascii="Arial" w:eastAsia="Arial" w:hAnsi="Arial" w:cs="Arial"/>
          <w:color w:val="000000" w:themeColor="text1"/>
        </w:rPr>
        <w:t>US$ 25 millones corresponde</w:t>
      </w:r>
      <w:r w:rsidR="000C4B41" w:rsidRPr="005C2321">
        <w:rPr>
          <w:rFonts w:ascii="Arial" w:eastAsia="Arial" w:hAnsi="Arial" w:cs="Arial"/>
          <w:color w:val="000000" w:themeColor="text1"/>
        </w:rPr>
        <w:t>n</w:t>
      </w:r>
      <w:r w:rsidRPr="005C2321">
        <w:rPr>
          <w:rFonts w:ascii="Arial" w:eastAsia="Arial" w:hAnsi="Arial" w:cs="Arial"/>
          <w:color w:val="000000" w:themeColor="text1"/>
        </w:rPr>
        <w:t xml:space="preserve"> a endeudamiento con el BID y US$ 1.34 millones </w:t>
      </w:r>
      <w:r w:rsidR="000C4B41" w:rsidRPr="005C2321">
        <w:rPr>
          <w:rFonts w:ascii="Arial" w:eastAsia="Arial" w:hAnsi="Arial" w:cs="Arial"/>
          <w:color w:val="000000" w:themeColor="text1"/>
        </w:rPr>
        <w:t xml:space="preserve">al </w:t>
      </w:r>
      <w:r w:rsidRPr="005C2321">
        <w:rPr>
          <w:rFonts w:ascii="Arial" w:eastAsia="Arial" w:hAnsi="Arial" w:cs="Arial"/>
          <w:color w:val="000000" w:themeColor="text1"/>
        </w:rPr>
        <w:t>aporte local</w:t>
      </w:r>
      <w:r w:rsidR="000C4B41" w:rsidRPr="005C2321">
        <w:rPr>
          <w:rFonts w:ascii="Arial" w:eastAsia="Arial" w:hAnsi="Arial" w:cs="Arial"/>
          <w:color w:val="000000" w:themeColor="text1"/>
        </w:rPr>
        <w:t>,</w:t>
      </w:r>
      <w:r w:rsidRPr="005C2321">
        <w:rPr>
          <w:rFonts w:ascii="Arial" w:eastAsia="Arial" w:hAnsi="Arial" w:cs="Arial"/>
          <w:color w:val="000000" w:themeColor="text1"/>
        </w:rPr>
        <w:t xml:space="preserve"> que permitirá cofinanciar la Administración del Proyecto. Teniendo en cuenta las categorías de inversión se tiene que el 51.5% </w:t>
      </w:r>
      <w:r w:rsidR="00AE792B" w:rsidRPr="005C2321">
        <w:rPr>
          <w:rFonts w:ascii="Arial" w:eastAsia="Arial" w:hAnsi="Arial" w:cs="Arial"/>
          <w:color w:val="000000" w:themeColor="text1"/>
        </w:rPr>
        <w:t xml:space="preserve">del presupuesto se destina </w:t>
      </w:r>
      <w:r w:rsidRPr="005C2321">
        <w:rPr>
          <w:rFonts w:ascii="Arial" w:eastAsia="Arial" w:hAnsi="Arial" w:cs="Arial"/>
          <w:color w:val="000000" w:themeColor="text1"/>
        </w:rPr>
        <w:t>a Firmas Consultoras, 24.8% a Bienes, 13.3% a Consultorías Individuales y 10.4% a otros (capacitaciones, alquileres, pasajes, etc.).</w:t>
      </w:r>
      <w:r w:rsidR="00947691" w:rsidRPr="005C2321">
        <w:rPr>
          <w:rFonts w:ascii="Arial" w:eastAsia="Arial" w:hAnsi="Arial" w:cs="Arial"/>
          <w:color w:val="000000" w:themeColor="text1"/>
        </w:rPr>
        <w:t xml:space="preserve"> </w:t>
      </w:r>
      <w:r w:rsidRPr="005C2321">
        <w:rPr>
          <w:rFonts w:ascii="Arial" w:eastAsia="Arial" w:hAnsi="Arial" w:cs="Arial"/>
          <w:color w:val="000000" w:themeColor="text1"/>
        </w:rPr>
        <w:t xml:space="preserve">El </w:t>
      </w:r>
      <w:r w:rsidRPr="005C2321">
        <w:rPr>
          <w:rFonts w:ascii="Arial" w:eastAsia="Arial" w:hAnsi="Arial" w:cs="Arial"/>
          <w:b/>
          <w:color w:val="000000" w:themeColor="text1"/>
        </w:rPr>
        <w:t>tiempo</w:t>
      </w:r>
      <w:r w:rsidRPr="005C2321">
        <w:rPr>
          <w:rFonts w:ascii="Arial" w:eastAsia="Arial" w:hAnsi="Arial" w:cs="Arial"/>
          <w:color w:val="000000" w:themeColor="text1"/>
        </w:rPr>
        <w:t xml:space="preserve"> de ejecución del proyecto es de 6</w:t>
      </w:r>
      <w:r w:rsidR="00656298" w:rsidRPr="005C2321">
        <w:rPr>
          <w:rFonts w:ascii="Arial" w:eastAsia="Arial" w:hAnsi="Arial" w:cs="Arial"/>
          <w:color w:val="000000" w:themeColor="text1"/>
        </w:rPr>
        <w:t xml:space="preserve"> años</w:t>
      </w:r>
      <w:r w:rsidRPr="005C2321">
        <w:rPr>
          <w:rFonts w:ascii="Arial" w:eastAsia="Arial" w:hAnsi="Arial" w:cs="Arial"/>
          <w:color w:val="000000" w:themeColor="text1"/>
        </w:rPr>
        <w:t>.</w:t>
      </w:r>
      <w:bookmarkStart w:id="6" w:name="_Toc506846543"/>
    </w:p>
    <w:p w14:paraId="10801006" w14:textId="77777777" w:rsidR="00B07F2E" w:rsidRPr="005C2321" w:rsidRDefault="00B07F2E">
      <w:pPr>
        <w:rPr>
          <w:rFonts w:ascii="Arial" w:eastAsia="Times New Roman" w:hAnsi="Arial" w:cs="Arial"/>
          <w:b/>
          <w:sz w:val="24"/>
          <w:szCs w:val="24"/>
          <w:lang w:val="es-ES" w:eastAsia="es-ES" w:bidi="hi-IN"/>
        </w:rPr>
      </w:pPr>
    </w:p>
    <w:p w14:paraId="1EDE5902" w14:textId="77777777" w:rsidR="002E468D" w:rsidRPr="005C2321" w:rsidRDefault="002E468D">
      <w:pPr>
        <w:rPr>
          <w:rFonts w:ascii="Arial" w:eastAsia="Times New Roman" w:hAnsi="Arial" w:cs="Arial"/>
          <w:b/>
          <w:sz w:val="24"/>
          <w:szCs w:val="24"/>
          <w:lang w:val="es-ES" w:eastAsia="es-ES" w:bidi="hi-IN"/>
        </w:rPr>
      </w:pPr>
      <w:r w:rsidRPr="005C2321">
        <w:rPr>
          <w:rFonts w:ascii="Arial" w:hAnsi="Arial" w:cs="Arial"/>
          <w:caps/>
          <w:sz w:val="24"/>
          <w:szCs w:val="24"/>
          <w:lang w:val="es-ES"/>
        </w:rPr>
        <w:br w:type="page"/>
      </w:r>
    </w:p>
    <w:p w14:paraId="4A6EB46C" w14:textId="3DF298D8" w:rsidR="00AD53C6" w:rsidRPr="005C2321" w:rsidRDefault="00AD53C6" w:rsidP="00D00E6B">
      <w:pPr>
        <w:pStyle w:val="Heading1"/>
        <w:numPr>
          <w:ilvl w:val="0"/>
          <w:numId w:val="1"/>
        </w:numPr>
        <w:jc w:val="left"/>
        <w:rPr>
          <w:rFonts w:ascii="Arial" w:hAnsi="Arial" w:cs="Arial"/>
          <w:caps w:val="0"/>
          <w:spacing w:val="0"/>
          <w:kern w:val="0"/>
          <w:sz w:val="24"/>
          <w:szCs w:val="24"/>
          <w:lang w:val="es-ES"/>
        </w:rPr>
      </w:pPr>
      <w:bookmarkStart w:id="7" w:name="_Toc523133730"/>
      <w:r w:rsidRPr="005C2321">
        <w:rPr>
          <w:rFonts w:ascii="Arial" w:hAnsi="Arial" w:cs="Arial"/>
          <w:caps w:val="0"/>
          <w:spacing w:val="0"/>
          <w:kern w:val="0"/>
          <w:sz w:val="24"/>
          <w:szCs w:val="24"/>
          <w:lang w:val="es-ES"/>
        </w:rPr>
        <w:lastRenderedPageBreak/>
        <w:t>Marco metodológico para la evaluación de proyectos</w:t>
      </w:r>
      <w:bookmarkEnd w:id="7"/>
      <w:r w:rsidRPr="005C2321">
        <w:rPr>
          <w:rFonts w:ascii="Arial" w:hAnsi="Arial" w:cs="Arial"/>
          <w:caps w:val="0"/>
          <w:spacing w:val="0"/>
          <w:kern w:val="0"/>
          <w:sz w:val="24"/>
          <w:szCs w:val="24"/>
          <w:lang w:val="es-ES"/>
        </w:rPr>
        <w:t xml:space="preserve"> </w:t>
      </w:r>
      <w:bookmarkEnd w:id="6"/>
    </w:p>
    <w:p w14:paraId="140C73D2" w14:textId="77777777" w:rsidR="00AD53C6" w:rsidRPr="005C2321" w:rsidRDefault="00AD53C6" w:rsidP="00AD53C6">
      <w:pPr>
        <w:pStyle w:val="BodyText"/>
        <w:ind w:firstLine="0"/>
        <w:rPr>
          <w:rFonts w:ascii="Arial" w:hAnsi="Arial" w:cs="Arial"/>
          <w:b/>
          <w:sz w:val="24"/>
          <w:szCs w:val="24"/>
          <w:lang w:val="es-ES"/>
        </w:rPr>
      </w:pPr>
      <w:r w:rsidRPr="005C2321">
        <w:rPr>
          <w:rFonts w:ascii="Arial" w:hAnsi="Arial" w:cs="Arial"/>
          <w:b/>
          <w:sz w:val="24"/>
          <w:szCs w:val="24"/>
          <w:lang w:val="es-ES"/>
        </w:rPr>
        <w:t>Sistema Nacional de Inversión Pública de Paraguay</w:t>
      </w:r>
    </w:p>
    <w:p w14:paraId="3CC3F7EF" w14:textId="77777777" w:rsidR="00AD53C6" w:rsidRPr="005C2321" w:rsidRDefault="00AD53C6" w:rsidP="00D00E6B">
      <w:pPr>
        <w:pStyle w:val="BodyText"/>
        <w:numPr>
          <w:ilvl w:val="1"/>
          <w:numId w:val="1"/>
        </w:numPr>
        <w:rPr>
          <w:rFonts w:ascii="Arial" w:hAnsi="Arial" w:cs="Arial"/>
          <w:sz w:val="24"/>
          <w:szCs w:val="24"/>
          <w:lang w:val="es-ES"/>
        </w:rPr>
      </w:pPr>
      <w:r w:rsidRPr="005C2321">
        <w:rPr>
          <w:rFonts w:ascii="Arial" w:hAnsi="Arial" w:cs="Arial"/>
          <w:sz w:val="24"/>
          <w:szCs w:val="24"/>
          <w:lang w:val="es-ES"/>
        </w:rPr>
        <w:t>En Paraguay mediante Ley No. 4394</w:t>
      </w:r>
      <w:r w:rsidRPr="005C2321">
        <w:rPr>
          <w:rStyle w:val="FootnoteReference"/>
          <w:rFonts w:ascii="Arial" w:hAnsi="Arial" w:cs="Arial"/>
          <w:sz w:val="24"/>
          <w:szCs w:val="24"/>
          <w:lang w:val="es-ES"/>
        </w:rPr>
        <w:footnoteReference w:id="23"/>
      </w:r>
      <w:r w:rsidRPr="005C2321">
        <w:rPr>
          <w:rFonts w:ascii="Arial" w:hAnsi="Arial" w:cs="Arial"/>
          <w:sz w:val="24"/>
          <w:szCs w:val="24"/>
          <w:lang w:val="es-ES"/>
        </w:rPr>
        <w:t xml:space="preserve"> del 24 de agosto de 2011 se crea el Sistema Nacional de Inversiones Públicas y establece la creación de la Dirección del Sistema de Inversión Pública perteneciente a la Subsecretaría de Estado de Economía del Ministerio de Hacienda. Posteriormente en normas de desarrollo se han establecido ámbito de aplicación, los procedimientos y la metodología del manejo de la inversión pública.</w:t>
      </w:r>
    </w:p>
    <w:p w14:paraId="450B71F4" w14:textId="2D05F61D" w:rsidR="00AD53C6" w:rsidRPr="005C2321" w:rsidRDefault="00AD53C6" w:rsidP="00D00E6B">
      <w:pPr>
        <w:pStyle w:val="BodyText"/>
        <w:numPr>
          <w:ilvl w:val="1"/>
          <w:numId w:val="1"/>
        </w:numPr>
        <w:rPr>
          <w:rFonts w:ascii="Arial" w:hAnsi="Arial" w:cs="Arial"/>
          <w:sz w:val="24"/>
          <w:szCs w:val="24"/>
          <w:lang w:val="es-ES"/>
        </w:rPr>
      </w:pPr>
      <w:r w:rsidRPr="005C2321">
        <w:rPr>
          <w:rFonts w:ascii="Arial" w:hAnsi="Arial" w:cs="Arial"/>
          <w:sz w:val="24"/>
          <w:szCs w:val="24"/>
          <w:lang w:val="es-ES"/>
        </w:rPr>
        <w:t>En lo que corresponde a la metodología de evaluación de proyectos el SNIP paraguayo ha establecido los siguientes</w:t>
      </w:r>
      <w:r w:rsidR="00954BE3" w:rsidRPr="005C2321">
        <w:rPr>
          <w:rFonts w:ascii="Arial" w:hAnsi="Arial" w:cs="Arial"/>
          <w:sz w:val="24"/>
          <w:szCs w:val="24"/>
          <w:lang w:val="es-ES"/>
        </w:rPr>
        <w:t xml:space="preserve"> documentos relevantes para la presente operación</w:t>
      </w:r>
      <w:r w:rsidRPr="005C2321">
        <w:rPr>
          <w:rFonts w:ascii="Arial" w:hAnsi="Arial" w:cs="Arial"/>
          <w:sz w:val="24"/>
          <w:szCs w:val="24"/>
          <w:lang w:val="es-ES"/>
        </w:rPr>
        <w:t>:</w:t>
      </w:r>
    </w:p>
    <w:p w14:paraId="631F6738" w14:textId="639A9F39" w:rsidR="00AD53C6" w:rsidRPr="005C2321" w:rsidRDefault="00AD53C6" w:rsidP="00D00E6B">
      <w:pPr>
        <w:pStyle w:val="BodyText"/>
        <w:numPr>
          <w:ilvl w:val="0"/>
          <w:numId w:val="11"/>
        </w:numPr>
        <w:rPr>
          <w:rFonts w:ascii="Arial" w:hAnsi="Arial" w:cs="Arial"/>
          <w:sz w:val="24"/>
          <w:szCs w:val="24"/>
          <w:lang w:val="es-ES"/>
        </w:rPr>
      </w:pPr>
      <w:r w:rsidRPr="005C2321">
        <w:rPr>
          <w:rFonts w:ascii="Arial" w:hAnsi="Arial" w:cs="Arial"/>
          <w:sz w:val="24"/>
          <w:szCs w:val="24"/>
          <w:lang w:val="es-ES"/>
        </w:rPr>
        <w:t>La “Guía para la Formulación de Proyectos de Inversión a nivel de perfil” y la “Metodología General de Preparación y Evaluación de Proyectos de Inversión”</w:t>
      </w:r>
      <w:r w:rsidRPr="005C2321">
        <w:rPr>
          <w:rStyle w:val="FootnoteReference"/>
          <w:rFonts w:ascii="Arial" w:hAnsi="Arial" w:cs="Arial"/>
          <w:sz w:val="24"/>
          <w:szCs w:val="24"/>
          <w:lang w:val="es-ES"/>
        </w:rPr>
        <w:footnoteReference w:id="24"/>
      </w:r>
      <w:r w:rsidRPr="005C2321">
        <w:rPr>
          <w:rFonts w:ascii="Arial" w:hAnsi="Arial" w:cs="Arial"/>
          <w:sz w:val="24"/>
          <w:szCs w:val="24"/>
          <w:lang w:val="es-ES"/>
        </w:rPr>
        <w:t>, son documentos que orientan de manera general la identificación, formulación y evaluación de los proyectos de inversión.</w:t>
      </w:r>
      <w:r w:rsidR="00954BE3" w:rsidRPr="005C2321">
        <w:rPr>
          <w:rFonts w:ascii="Arial" w:hAnsi="Arial" w:cs="Arial"/>
          <w:sz w:val="24"/>
          <w:szCs w:val="24"/>
          <w:lang w:val="es-ES"/>
        </w:rPr>
        <w:t xml:space="preserve"> y </w:t>
      </w:r>
    </w:p>
    <w:p w14:paraId="3A36DFE8" w14:textId="28BE2027" w:rsidR="00954BE3" w:rsidRPr="005C2321" w:rsidRDefault="00954BE3" w:rsidP="00954BE3">
      <w:pPr>
        <w:pStyle w:val="BodyText"/>
        <w:numPr>
          <w:ilvl w:val="0"/>
          <w:numId w:val="11"/>
        </w:numPr>
        <w:rPr>
          <w:rFonts w:ascii="Arial" w:hAnsi="Arial" w:cs="Arial"/>
          <w:sz w:val="24"/>
          <w:szCs w:val="24"/>
          <w:lang w:val="es-ES"/>
        </w:rPr>
      </w:pPr>
      <w:r w:rsidRPr="005C2321">
        <w:rPr>
          <w:rFonts w:ascii="Arial" w:hAnsi="Arial" w:cs="Arial"/>
          <w:sz w:val="24"/>
          <w:szCs w:val="24"/>
          <w:lang w:val="es-ES"/>
        </w:rPr>
        <w:t xml:space="preserve">La “Guía Metodológica para Proyectos de Capital Humano” </w:t>
      </w:r>
      <w:r w:rsidRPr="005C2321">
        <w:rPr>
          <w:rFonts w:ascii="Arial" w:hAnsi="Arial" w:cs="Arial"/>
          <w:sz w:val="24"/>
          <w:szCs w:val="24"/>
          <w:lang w:val="es-MX"/>
        </w:rPr>
        <w:t xml:space="preserve">que considera la utilización de los recursos con el fin de aumentar el grado de capacidades, competencias y formación de las personas. Se materializa en una acción y debe tener una duración definida y finita en el tiempo (un máximo de veinticuatro meses) y como ejemplo de esta tipología se puede citar: capacitación, alimentación, vacunación, etc. </w:t>
      </w:r>
    </w:p>
    <w:p w14:paraId="52D71FE7" w14:textId="0DCAC390" w:rsidR="00A8627D" w:rsidRPr="005C2321" w:rsidRDefault="00A8627D" w:rsidP="00A8627D">
      <w:pPr>
        <w:pStyle w:val="BodyText"/>
        <w:numPr>
          <w:ilvl w:val="0"/>
          <w:numId w:val="11"/>
        </w:numPr>
        <w:rPr>
          <w:rFonts w:ascii="Arial" w:hAnsi="Arial" w:cs="Arial"/>
          <w:sz w:val="24"/>
          <w:szCs w:val="24"/>
          <w:lang w:val="es-ES"/>
        </w:rPr>
      </w:pPr>
      <w:r w:rsidRPr="005C2321">
        <w:rPr>
          <w:rFonts w:ascii="Arial" w:hAnsi="Arial" w:cs="Arial"/>
          <w:sz w:val="24"/>
          <w:szCs w:val="24"/>
          <w:lang w:val="es-ES"/>
        </w:rPr>
        <w:t xml:space="preserve">La “Guía Metodológica para Proyectos de Creación de Conocimiento” que orienta el diseño de los proyectos </w:t>
      </w:r>
      <w:r w:rsidRPr="005C2321">
        <w:rPr>
          <w:rFonts w:ascii="Arial" w:hAnsi="Arial" w:cs="Arial"/>
          <w:sz w:val="24"/>
          <w:szCs w:val="24"/>
          <w:lang w:val="es-MX"/>
        </w:rPr>
        <w:t xml:space="preserve">que hacen uso de recursos con el fin de identificar la existencia o características de recursos humanos, físicos o biológicos. No genera beneficios en forma directa y se materializa en un documento que contiene información, que permite identificar o generar nuevos proyectos de inversión, como ejemplo se podría mencionar: censo, catastro, diagnóstico, inventario, etc. </w:t>
      </w:r>
    </w:p>
    <w:p w14:paraId="0203AAF2" w14:textId="5DB5F67D" w:rsidR="00A8627D" w:rsidRPr="005C2321" w:rsidRDefault="00A8627D" w:rsidP="00A8627D">
      <w:pPr>
        <w:pStyle w:val="BodyText"/>
        <w:numPr>
          <w:ilvl w:val="0"/>
          <w:numId w:val="11"/>
        </w:numPr>
        <w:rPr>
          <w:rFonts w:ascii="Arial" w:hAnsi="Arial" w:cs="Arial"/>
          <w:sz w:val="24"/>
          <w:szCs w:val="24"/>
          <w:lang w:val="es-ES"/>
        </w:rPr>
      </w:pPr>
      <w:r w:rsidRPr="005C2321">
        <w:rPr>
          <w:rFonts w:ascii="Arial" w:hAnsi="Arial" w:cs="Arial"/>
          <w:sz w:val="24"/>
          <w:szCs w:val="24"/>
          <w:lang w:val="es-ES"/>
        </w:rPr>
        <w:t>Las “Normas para la identificación de los componentes de un proyecto de inversión” que orienta la identificación de los componentes del proyecto para el SNIP</w:t>
      </w:r>
      <w:r w:rsidR="00E87D9D" w:rsidRPr="005C2321">
        <w:rPr>
          <w:rFonts w:ascii="Arial" w:hAnsi="Arial" w:cs="Arial"/>
          <w:sz w:val="24"/>
          <w:szCs w:val="24"/>
          <w:lang w:val="es-ES"/>
        </w:rPr>
        <w:t xml:space="preserve">. </w:t>
      </w:r>
    </w:p>
    <w:p w14:paraId="61C1C8F9" w14:textId="413B1391" w:rsidR="00A8627D" w:rsidRPr="005C2321" w:rsidRDefault="00A8627D" w:rsidP="00A8627D">
      <w:pPr>
        <w:pStyle w:val="BodyText"/>
        <w:numPr>
          <w:ilvl w:val="0"/>
          <w:numId w:val="11"/>
        </w:numPr>
        <w:rPr>
          <w:rFonts w:ascii="Arial" w:hAnsi="Arial" w:cs="Arial"/>
          <w:sz w:val="24"/>
          <w:szCs w:val="24"/>
          <w:lang w:val="es-ES"/>
        </w:rPr>
      </w:pPr>
      <w:r w:rsidRPr="005C2321">
        <w:rPr>
          <w:rFonts w:ascii="Arial" w:hAnsi="Arial" w:cs="Arial"/>
          <w:sz w:val="24"/>
          <w:szCs w:val="24"/>
          <w:lang w:val="es-ES"/>
        </w:rPr>
        <w:lastRenderedPageBreak/>
        <w:t>Las “Normas para la asignación de nombres a los proyectos de inversión” que orienta la definición de los nombres de los proyectos para el SNIP</w:t>
      </w:r>
      <w:r w:rsidR="00E87D9D" w:rsidRPr="005C2321">
        <w:rPr>
          <w:rFonts w:ascii="Arial" w:hAnsi="Arial" w:cs="Arial"/>
          <w:sz w:val="24"/>
          <w:szCs w:val="24"/>
          <w:lang w:val="es-ES"/>
        </w:rPr>
        <w:t>.</w:t>
      </w:r>
    </w:p>
    <w:p w14:paraId="216C6960" w14:textId="139A048F" w:rsidR="00745BAE" w:rsidRPr="005C2321" w:rsidRDefault="00A8627D" w:rsidP="00745BAE">
      <w:pPr>
        <w:pStyle w:val="BodyText"/>
        <w:numPr>
          <w:ilvl w:val="0"/>
          <w:numId w:val="11"/>
        </w:numPr>
        <w:rPr>
          <w:rFonts w:ascii="Arial" w:hAnsi="Arial" w:cs="Arial"/>
          <w:sz w:val="24"/>
          <w:szCs w:val="24"/>
          <w:lang w:val="es-ES"/>
        </w:rPr>
      </w:pPr>
      <w:r w:rsidRPr="005C2321">
        <w:rPr>
          <w:rFonts w:ascii="Arial" w:hAnsi="Arial" w:cs="Arial"/>
          <w:sz w:val="24"/>
          <w:szCs w:val="24"/>
          <w:lang w:val="es-ES"/>
        </w:rPr>
        <w:t>La Tasa Social de Descuento estimada</w:t>
      </w:r>
      <w:r w:rsidRPr="005C2321">
        <w:rPr>
          <w:rStyle w:val="FootnoteReference"/>
          <w:rFonts w:ascii="Arial" w:hAnsi="Arial" w:cs="Arial"/>
          <w:sz w:val="24"/>
          <w:szCs w:val="24"/>
          <w:lang w:val="es-ES"/>
        </w:rPr>
        <w:footnoteReference w:id="25"/>
      </w:r>
      <w:r w:rsidRPr="005C2321">
        <w:rPr>
          <w:rFonts w:ascii="Arial" w:hAnsi="Arial" w:cs="Arial"/>
          <w:sz w:val="24"/>
          <w:szCs w:val="24"/>
          <w:lang w:val="es-ES"/>
        </w:rPr>
        <w:t xml:space="preserve"> para Paraguay asciende a 9% y es el que se utilizará para la estimación del Valor Actual Neto del proyecto.</w:t>
      </w:r>
    </w:p>
    <w:p w14:paraId="16AD9654" w14:textId="77777777" w:rsidR="00745BAE" w:rsidRPr="005C2321" w:rsidRDefault="00745BAE" w:rsidP="00745BAE">
      <w:pPr>
        <w:pStyle w:val="BodyText"/>
        <w:ind w:left="720" w:firstLine="0"/>
        <w:rPr>
          <w:rFonts w:ascii="Arial" w:hAnsi="Arial" w:cs="Arial"/>
          <w:sz w:val="24"/>
          <w:szCs w:val="24"/>
          <w:lang w:val="es-ES"/>
        </w:rPr>
      </w:pPr>
    </w:p>
    <w:p w14:paraId="2049BE06" w14:textId="77777777" w:rsidR="00AD53C6" w:rsidRPr="005C2321" w:rsidRDefault="00AD53C6" w:rsidP="00AD53C6">
      <w:pPr>
        <w:pStyle w:val="BodyText"/>
        <w:ind w:firstLine="0"/>
        <w:rPr>
          <w:rFonts w:ascii="Arial" w:hAnsi="Arial" w:cs="Arial"/>
          <w:b/>
          <w:sz w:val="24"/>
          <w:szCs w:val="24"/>
          <w:lang w:val="es-ES"/>
        </w:rPr>
      </w:pPr>
      <w:r w:rsidRPr="005C2321">
        <w:rPr>
          <w:rFonts w:ascii="Arial" w:hAnsi="Arial" w:cs="Arial"/>
          <w:b/>
          <w:sz w:val="24"/>
          <w:szCs w:val="24"/>
          <w:lang w:val="es-ES"/>
        </w:rPr>
        <w:t>Banco Interamericano de Desar</w:t>
      </w:r>
      <w:r w:rsidR="00231A15" w:rsidRPr="005C2321">
        <w:rPr>
          <w:rFonts w:ascii="Arial" w:hAnsi="Arial" w:cs="Arial"/>
          <w:b/>
          <w:sz w:val="24"/>
          <w:szCs w:val="24"/>
          <w:lang w:val="es-ES"/>
        </w:rPr>
        <w:t>r</w:t>
      </w:r>
      <w:r w:rsidRPr="005C2321">
        <w:rPr>
          <w:rFonts w:ascii="Arial" w:hAnsi="Arial" w:cs="Arial"/>
          <w:b/>
          <w:sz w:val="24"/>
          <w:szCs w:val="24"/>
          <w:lang w:val="es-ES"/>
        </w:rPr>
        <w:t>ollo</w:t>
      </w:r>
    </w:p>
    <w:p w14:paraId="480BA37A" w14:textId="16BF2855" w:rsidR="00D00E6B" w:rsidRPr="005C2321" w:rsidRDefault="00D00E6B" w:rsidP="00D00E6B">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De acuerdo </w:t>
      </w:r>
      <w:r w:rsidR="005F56E6" w:rsidRPr="005C2321">
        <w:rPr>
          <w:rFonts w:ascii="Arial" w:hAnsi="Arial" w:cs="Arial"/>
          <w:sz w:val="24"/>
          <w:szCs w:val="24"/>
          <w:lang w:val="es-ES"/>
        </w:rPr>
        <w:t>con</w:t>
      </w:r>
      <w:r w:rsidRPr="005C2321">
        <w:rPr>
          <w:rFonts w:ascii="Arial" w:hAnsi="Arial" w:cs="Arial"/>
          <w:sz w:val="24"/>
          <w:szCs w:val="24"/>
          <w:lang w:val="es-ES"/>
        </w:rPr>
        <w:t xml:space="preserve"> las “Herramientas para la aplicación del DEM” aprobado en enero del 2017 se estableció que el Análisis Costo-Beneficio (ACB) analiza y compara los costos incrementales (situación con proyecto menos situación sin proyecto) y los beneficios asociados con el proyecto. El DEM tiene cinco preguntas para evaluar los requisitos básicos para un ACB adecuado que a continuación se detalla.</w:t>
      </w:r>
    </w:p>
    <w:p w14:paraId="018B5B1D" w14:textId="77777777" w:rsidR="005A1C78" w:rsidRPr="005C2321" w:rsidRDefault="00D00E6B" w:rsidP="005A1C78">
      <w:pPr>
        <w:pStyle w:val="BodyText"/>
        <w:numPr>
          <w:ilvl w:val="0"/>
          <w:numId w:val="14"/>
        </w:numPr>
        <w:rPr>
          <w:rFonts w:ascii="Arial" w:hAnsi="Arial" w:cs="Arial"/>
          <w:sz w:val="24"/>
          <w:szCs w:val="24"/>
          <w:lang w:val="es-ES"/>
        </w:rPr>
      </w:pPr>
      <w:r w:rsidRPr="005C2321">
        <w:rPr>
          <w:rFonts w:ascii="Arial" w:hAnsi="Arial" w:cs="Arial"/>
          <w:sz w:val="24"/>
          <w:szCs w:val="24"/>
          <w:lang w:val="es-MX"/>
        </w:rPr>
        <w:t>El proyecto tiene un</w:t>
      </w:r>
      <w:r w:rsidR="00BA0FEF" w:rsidRPr="005C2321">
        <w:rPr>
          <w:rFonts w:ascii="Arial" w:hAnsi="Arial" w:cs="Arial"/>
          <w:sz w:val="24"/>
          <w:szCs w:val="24"/>
          <w:lang w:val="es-MX"/>
        </w:rPr>
        <w:t xml:space="preserve"> Tasa de Rentabilidad Económica</w:t>
      </w:r>
      <w:r w:rsidRPr="005C2321">
        <w:rPr>
          <w:rFonts w:ascii="Arial" w:hAnsi="Arial" w:cs="Arial"/>
          <w:sz w:val="24"/>
          <w:szCs w:val="24"/>
          <w:lang w:val="es-MX"/>
        </w:rPr>
        <w:t xml:space="preserve"> </w:t>
      </w:r>
      <w:r w:rsidR="00BA0FEF" w:rsidRPr="005C2321">
        <w:rPr>
          <w:rFonts w:ascii="Arial" w:hAnsi="Arial" w:cs="Arial"/>
          <w:sz w:val="24"/>
          <w:szCs w:val="24"/>
          <w:lang w:val="es-MX"/>
        </w:rPr>
        <w:t>(</w:t>
      </w:r>
      <w:r w:rsidRPr="005C2321">
        <w:rPr>
          <w:rFonts w:ascii="Arial" w:hAnsi="Arial" w:cs="Arial"/>
          <w:sz w:val="24"/>
          <w:szCs w:val="24"/>
          <w:lang w:val="es-MX"/>
        </w:rPr>
        <w:t>ERR</w:t>
      </w:r>
      <w:r w:rsidR="00BA0FEF" w:rsidRPr="005C2321">
        <w:rPr>
          <w:rFonts w:ascii="Arial" w:hAnsi="Arial" w:cs="Arial"/>
          <w:sz w:val="24"/>
          <w:szCs w:val="24"/>
          <w:lang w:val="es-MX"/>
        </w:rPr>
        <w:t>)</w:t>
      </w:r>
      <w:r w:rsidRPr="005C2321">
        <w:rPr>
          <w:rFonts w:ascii="Arial" w:hAnsi="Arial" w:cs="Arial"/>
          <w:sz w:val="24"/>
          <w:szCs w:val="24"/>
          <w:lang w:val="es-MX"/>
        </w:rPr>
        <w:t xml:space="preserve"> y/o </w:t>
      </w:r>
      <w:r w:rsidR="00BA0FEF" w:rsidRPr="005C2321">
        <w:rPr>
          <w:rFonts w:ascii="Arial" w:hAnsi="Arial" w:cs="Arial"/>
          <w:sz w:val="24"/>
          <w:szCs w:val="24"/>
          <w:lang w:val="es-MX"/>
        </w:rPr>
        <w:t>Valor Presente Neto (</w:t>
      </w:r>
      <w:r w:rsidRPr="005C2321">
        <w:rPr>
          <w:rFonts w:ascii="Arial" w:hAnsi="Arial" w:cs="Arial"/>
          <w:sz w:val="24"/>
          <w:szCs w:val="24"/>
          <w:lang w:val="es-MX"/>
        </w:rPr>
        <w:t>NPV</w:t>
      </w:r>
      <w:r w:rsidR="00BA0FEF" w:rsidRPr="005C2321">
        <w:rPr>
          <w:rFonts w:ascii="Arial" w:hAnsi="Arial" w:cs="Arial"/>
          <w:sz w:val="24"/>
          <w:szCs w:val="24"/>
          <w:lang w:val="es-MX"/>
        </w:rPr>
        <w:t>)</w:t>
      </w:r>
      <w:r w:rsidRPr="005C2321">
        <w:rPr>
          <w:rFonts w:ascii="Arial" w:hAnsi="Arial" w:cs="Arial"/>
          <w:sz w:val="24"/>
          <w:szCs w:val="24"/>
          <w:lang w:val="es-MX"/>
        </w:rPr>
        <w:t xml:space="preserve"> para sus componentes principales (4 puntos en el DEM). Una ventaja del ACB es que produce una métrica estándar para medir ex ante la efectividad y la eficiencia de la intervención, ya sea la ERR o el VPN</w:t>
      </w:r>
      <w:r w:rsidR="00020EBD" w:rsidRPr="005C2321">
        <w:rPr>
          <w:rStyle w:val="FootnoteReference"/>
          <w:rFonts w:ascii="Arial" w:hAnsi="Arial" w:cs="Arial"/>
          <w:sz w:val="24"/>
          <w:szCs w:val="24"/>
          <w:lang w:val="es-MX"/>
        </w:rPr>
        <w:footnoteReference w:id="26"/>
      </w:r>
      <w:r w:rsidRPr="005C2321">
        <w:rPr>
          <w:rFonts w:ascii="Arial" w:hAnsi="Arial" w:cs="Arial"/>
          <w:sz w:val="24"/>
          <w:szCs w:val="24"/>
          <w:lang w:val="es-MX"/>
        </w:rPr>
        <w:t>. El DEM requiere que el CBA se haga al proyecto en su totalidad o para sus componentes principales.</w:t>
      </w:r>
    </w:p>
    <w:p w14:paraId="5A330834" w14:textId="77777777" w:rsidR="005A1C78" w:rsidRPr="005C2321" w:rsidRDefault="00D00E6B" w:rsidP="005A1C78">
      <w:pPr>
        <w:pStyle w:val="BodyText"/>
        <w:numPr>
          <w:ilvl w:val="0"/>
          <w:numId w:val="14"/>
        </w:numPr>
        <w:rPr>
          <w:rFonts w:ascii="Arial" w:hAnsi="Arial" w:cs="Arial"/>
          <w:sz w:val="24"/>
          <w:szCs w:val="24"/>
          <w:lang w:val="es-ES"/>
        </w:rPr>
      </w:pPr>
      <w:r w:rsidRPr="005C2321">
        <w:rPr>
          <w:rFonts w:ascii="Arial" w:hAnsi="Arial" w:cs="Arial"/>
          <w:sz w:val="24"/>
          <w:szCs w:val="24"/>
          <w:lang w:val="es-MX"/>
        </w:rPr>
        <w:t>Los beneficios económicos se identifican y cuantifican adecuadamente (1.5 puntos en el DEM). La definición ex ante de los beneficios debe justificarse en base a la evidencia (estudios previos que demuestran que tales beneficios ocurrieron en entornos que son significativamente similares al proyecto propuesto) y/o en estimaciones sólidas; los beneficios deben identificarse y cuantificarse teniendo en cuenta su naturaleza incremental (es decir, debe incluirse el análisis contrafactual). Todos los beneficios incluidos en el ACB deben estar relacionados con las actividades y productos que se financian con el proyecto, y los principales beneficios deben incluirse en la Matriz de resultados. Además, la evaluación ex post del proyecto debe medir los beneficios realizados para compararlos con las estimaciones ex ante que se incluyen en el ACB.</w:t>
      </w:r>
    </w:p>
    <w:p w14:paraId="72CE9439" w14:textId="77777777" w:rsidR="005A1C78" w:rsidRPr="005C2321" w:rsidRDefault="00D00E6B" w:rsidP="005A1C78">
      <w:pPr>
        <w:pStyle w:val="BodyText"/>
        <w:numPr>
          <w:ilvl w:val="0"/>
          <w:numId w:val="14"/>
        </w:numPr>
        <w:rPr>
          <w:rFonts w:ascii="Arial" w:hAnsi="Arial" w:cs="Arial"/>
          <w:sz w:val="24"/>
          <w:szCs w:val="24"/>
          <w:lang w:val="es-ES"/>
        </w:rPr>
      </w:pPr>
      <w:r w:rsidRPr="005C2321">
        <w:rPr>
          <w:rFonts w:ascii="Arial" w:hAnsi="Arial" w:cs="Arial"/>
          <w:sz w:val="24"/>
          <w:szCs w:val="24"/>
          <w:lang w:val="es-MX"/>
        </w:rPr>
        <w:t xml:space="preserve">Todos los costos de recursos reales generados por el proyecto durante su vida se incluyen en el cálculo (1.5 puntos en el DEM). La cuestión clave </w:t>
      </w:r>
      <w:proofErr w:type="gramStart"/>
      <w:r w:rsidRPr="005C2321">
        <w:rPr>
          <w:rFonts w:ascii="Arial" w:hAnsi="Arial" w:cs="Arial"/>
          <w:sz w:val="24"/>
          <w:szCs w:val="24"/>
          <w:lang w:val="es-MX"/>
        </w:rPr>
        <w:t>a</w:t>
      </w:r>
      <w:proofErr w:type="gramEnd"/>
      <w:r w:rsidRPr="005C2321">
        <w:rPr>
          <w:rFonts w:ascii="Arial" w:hAnsi="Arial" w:cs="Arial"/>
          <w:sz w:val="24"/>
          <w:szCs w:val="24"/>
          <w:lang w:val="es-MX"/>
        </w:rPr>
        <w:t xml:space="preserve"> tener en cuenta aquí es que los costos relevantes no son los del préstamo, sino los del proyecto, y que los costos deben cubrir la vida del proyecto e incluir todos los costos necesarios para producir el flujo de beneficios </w:t>
      </w:r>
      <w:r w:rsidRPr="005C2321">
        <w:rPr>
          <w:rFonts w:ascii="Arial" w:hAnsi="Arial" w:cs="Arial"/>
          <w:sz w:val="24"/>
          <w:szCs w:val="24"/>
          <w:lang w:val="es-MX"/>
        </w:rPr>
        <w:lastRenderedPageBreak/>
        <w:t>acumulados durante ese período</w:t>
      </w:r>
      <w:r w:rsidR="00020EBD" w:rsidRPr="005C2321">
        <w:rPr>
          <w:rFonts w:ascii="Arial" w:hAnsi="Arial" w:cs="Arial"/>
          <w:sz w:val="24"/>
          <w:szCs w:val="24"/>
          <w:lang w:val="es-MX"/>
        </w:rPr>
        <w:t xml:space="preserve"> es decir se deben considerar los costos de operación, mantenimiento y reposiciones necesarias durante el </w:t>
      </w:r>
      <w:r w:rsidRPr="005C2321">
        <w:rPr>
          <w:rFonts w:ascii="Arial" w:hAnsi="Arial" w:cs="Arial"/>
          <w:sz w:val="24"/>
          <w:szCs w:val="24"/>
          <w:lang w:val="es-MX"/>
        </w:rPr>
        <w:t>período. Los costos deben ajustarse, cuando sea necesario, para reflejar los costos reales de los recursos para la economía utilizando los precios sombra adecuados o los índices contables de precios.</w:t>
      </w:r>
    </w:p>
    <w:p w14:paraId="7A193222" w14:textId="77777777" w:rsidR="005A1C78" w:rsidRPr="005C2321" w:rsidRDefault="00D00E6B" w:rsidP="005A1C78">
      <w:pPr>
        <w:pStyle w:val="BodyText"/>
        <w:numPr>
          <w:ilvl w:val="0"/>
          <w:numId w:val="14"/>
        </w:numPr>
        <w:rPr>
          <w:rFonts w:ascii="Arial" w:hAnsi="Arial" w:cs="Arial"/>
          <w:sz w:val="24"/>
          <w:szCs w:val="24"/>
          <w:lang w:val="es-ES"/>
        </w:rPr>
      </w:pPr>
      <w:r w:rsidRPr="005C2321">
        <w:rPr>
          <w:rFonts w:ascii="Arial" w:hAnsi="Arial" w:cs="Arial"/>
          <w:sz w:val="24"/>
          <w:szCs w:val="24"/>
          <w:lang w:val="es-MX"/>
        </w:rPr>
        <w:t>Las suposiciones utilizadas en el análisis son razonables y están claramente explicadas (1.5 puntos en el DEM). Un ACB ex ante hace varias suposiciones con respecto a qué beneficios se generarán y su magnitud. Todas las suposiciones sobre por qué se seleccionaron los beneficios propuestos y por qué se materializarán deben explicarse detalladamente. La validez externa e interna de los estudios utilizados para construir las estimaciones de los beneficios debe ser discutida. La suposición sobre el análisis contrafactual para determinar los valores incrementales también debe explicarse claramente.</w:t>
      </w:r>
    </w:p>
    <w:p w14:paraId="33A5440E" w14:textId="77777777" w:rsidR="00D00E6B" w:rsidRPr="005C2321" w:rsidRDefault="00D00E6B" w:rsidP="005A1C78">
      <w:pPr>
        <w:pStyle w:val="BodyText"/>
        <w:numPr>
          <w:ilvl w:val="0"/>
          <w:numId w:val="14"/>
        </w:numPr>
        <w:rPr>
          <w:rFonts w:ascii="Arial" w:hAnsi="Arial" w:cs="Arial"/>
          <w:sz w:val="24"/>
          <w:szCs w:val="24"/>
          <w:lang w:val="es-ES"/>
        </w:rPr>
      </w:pPr>
      <w:r w:rsidRPr="005C2321">
        <w:rPr>
          <w:rFonts w:ascii="Arial" w:hAnsi="Arial" w:cs="Arial"/>
          <w:sz w:val="24"/>
          <w:szCs w:val="24"/>
          <w:lang w:val="es-MX"/>
        </w:rPr>
        <w:t>Se realiza un análisis de sensibilidad e incluye todas las variables clave que podrían afectar los costos, beneficios y suposiciones del proyecto (1.5 puntos en el DEM). La mayoría de los elementos del CBA son estimaciones y, por lo tanto, tienen un error de estimación asociado a ellos. Por lo tanto, el CBA necesita considerar varios escenarios para diferentes valores dentro del rango razonable de costos y beneficios para evaluar la solidez de los resultados.</w:t>
      </w:r>
    </w:p>
    <w:p w14:paraId="663090BF" w14:textId="3B3F3E42" w:rsidR="00AD53C6" w:rsidRPr="005C2321" w:rsidRDefault="005A1C78" w:rsidP="00D00E6B">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Complementariamente se está considerando 10 años como el </w:t>
      </w:r>
      <w:r w:rsidR="00AD53C6" w:rsidRPr="005C2321">
        <w:rPr>
          <w:rFonts w:ascii="Arial" w:hAnsi="Arial" w:cs="Arial"/>
          <w:sz w:val="24"/>
          <w:szCs w:val="24"/>
          <w:lang w:val="es-ES"/>
        </w:rPr>
        <w:t xml:space="preserve">horizonte </w:t>
      </w:r>
      <w:r w:rsidRPr="005C2321">
        <w:rPr>
          <w:rFonts w:ascii="Arial" w:hAnsi="Arial" w:cs="Arial"/>
          <w:sz w:val="24"/>
          <w:szCs w:val="24"/>
          <w:lang w:val="es-ES"/>
        </w:rPr>
        <w:t>de evaluación del proyecto, de los cuales 6</w:t>
      </w:r>
      <w:r w:rsidR="00AD53C6" w:rsidRPr="005C2321">
        <w:rPr>
          <w:rFonts w:ascii="Arial" w:hAnsi="Arial" w:cs="Arial"/>
          <w:sz w:val="24"/>
          <w:szCs w:val="24"/>
          <w:lang w:val="es-ES"/>
        </w:rPr>
        <w:t xml:space="preserve"> años </w:t>
      </w:r>
      <w:r w:rsidRPr="005C2321">
        <w:rPr>
          <w:rFonts w:ascii="Arial" w:hAnsi="Arial" w:cs="Arial"/>
          <w:sz w:val="24"/>
          <w:szCs w:val="24"/>
          <w:lang w:val="es-ES"/>
        </w:rPr>
        <w:t xml:space="preserve">demorará la ejecución </w:t>
      </w:r>
      <w:r w:rsidR="00BA0FEF" w:rsidRPr="005C2321">
        <w:rPr>
          <w:rFonts w:ascii="Arial" w:hAnsi="Arial" w:cs="Arial"/>
          <w:sz w:val="24"/>
          <w:szCs w:val="24"/>
          <w:lang w:val="es-ES"/>
        </w:rPr>
        <w:t xml:space="preserve">y los </w:t>
      </w:r>
      <w:r w:rsidRPr="005C2321">
        <w:rPr>
          <w:rFonts w:ascii="Arial" w:hAnsi="Arial" w:cs="Arial"/>
          <w:sz w:val="24"/>
          <w:szCs w:val="24"/>
          <w:lang w:val="es-ES"/>
        </w:rPr>
        <w:t>beneficios se comenzarán a generar desde el 5</w:t>
      </w:r>
      <w:r w:rsidR="001A223C" w:rsidRPr="005C2321">
        <w:rPr>
          <w:rFonts w:ascii="Arial" w:hAnsi="Arial" w:cs="Arial"/>
          <w:sz w:val="24"/>
          <w:szCs w:val="24"/>
          <w:lang w:val="es-ES"/>
        </w:rPr>
        <w:t>to</w:t>
      </w:r>
      <w:r w:rsidRPr="005C2321">
        <w:rPr>
          <w:rFonts w:ascii="Arial" w:hAnsi="Arial" w:cs="Arial"/>
          <w:sz w:val="24"/>
          <w:szCs w:val="24"/>
          <w:lang w:val="es-ES"/>
        </w:rPr>
        <w:t xml:space="preserve"> año</w:t>
      </w:r>
      <w:r w:rsidR="00AD53C6" w:rsidRPr="005C2321">
        <w:rPr>
          <w:rFonts w:ascii="Arial" w:hAnsi="Arial" w:cs="Arial"/>
          <w:sz w:val="24"/>
          <w:szCs w:val="24"/>
          <w:lang w:val="es-ES"/>
        </w:rPr>
        <w:t>.</w:t>
      </w:r>
    </w:p>
    <w:p w14:paraId="2737D921" w14:textId="77777777" w:rsidR="007E2E2B" w:rsidRPr="005C2321" w:rsidRDefault="007E2E2B">
      <w:pPr>
        <w:rPr>
          <w:rFonts w:ascii="Arial" w:hAnsi="Arial" w:cs="Arial"/>
          <w:caps/>
          <w:sz w:val="24"/>
          <w:szCs w:val="24"/>
          <w:lang w:val="es-ES"/>
        </w:rPr>
      </w:pPr>
    </w:p>
    <w:p w14:paraId="2491972A" w14:textId="77777777" w:rsidR="007E2E2B" w:rsidRPr="005C2321" w:rsidRDefault="007E2E2B">
      <w:pPr>
        <w:rPr>
          <w:rFonts w:ascii="Arial" w:hAnsi="Arial" w:cs="Arial"/>
          <w:caps/>
          <w:sz w:val="24"/>
          <w:szCs w:val="24"/>
          <w:lang w:val="es-ES"/>
        </w:rPr>
      </w:pPr>
    </w:p>
    <w:p w14:paraId="29CB69E8" w14:textId="77777777" w:rsidR="002E468D" w:rsidRPr="005C2321" w:rsidRDefault="002E468D">
      <w:pPr>
        <w:rPr>
          <w:rFonts w:ascii="Arial" w:eastAsia="Times New Roman" w:hAnsi="Arial" w:cs="Arial"/>
          <w:b/>
          <w:sz w:val="24"/>
          <w:szCs w:val="24"/>
          <w:lang w:val="es-ES" w:eastAsia="es-ES" w:bidi="hi-IN"/>
        </w:rPr>
      </w:pPr>
      <w:r w:rsidRPr="005C2321">
        <w:rPr>
          <w:rFonts w:ascii="Arial" w:hAnsi="Arial" w:cs="Arial"/>
          <w:caps/>
          <w:sz w:val="24"/>
          <w:szCs w:val="24"/>
          <w:lang w:val="es-ES"/>
        </w:rPr>
        <w:br w:type="page"/>
      </w:r>
    </w:p>
    <w:p w14:paraId="27AD2652" w14:textId="53096097" w:rsidR="00E1584E" w:rsidRPr="005C2321" w:rsidRDefault="00570ACA" w:rsidP="00570ACA">
      <w:pPr>
        <w:pStyle w:val="Heading1"/>
        <w:numPr>
          <w:ilvl w:val="0"/>
          <w:numId w:val="1"/>
        </w:numPr>
        <w:jc w:val="left"/>
        <w:rPr>
          <w:rFonts w:ascii="Arial" w:hAnsi="Arial" w:cs="Arial"/>
          <w:caps w:val="0"/>
          <w:spacing w:val="0"/>
          <w:kern w:val="0"/>
          <w:sz w:val="24"/>
          <w:szCs w:val="24"/>
          <w:lang w:val="es-ES"/>
        </w:rPr>
      </w:pPr>
      <w:bookmarkStart w:id="8" w:name="_Toc523133731"/>
      <w:r w:rsidRPr="005C2321">
        <w:rPr>
          <w:rFonts w:ascii="Arial" w:hAnsi="Arial" w:cs="Arial"/>
          <w:caps w:val="0"/>
          <w:spacing w:val="0"/>
          <w:kern w:val="0"/>
          <w:sz w:val="24"/>
          <w:szCs w:val="24"/>
          <w:lang w:val="es-ES"/>
        </w:rPr>
        <w:lastRenderedPageBreak/>
        <w:t>El proyecto tiene un</w:t>
      </w:r>
      <w:r w:rsidR="00010D6A" w:rsidRPr="005C2321">
        <w:rPr>
          <w:rFonts w:ascii="Arial" w:hAnsi="Arial" w:cs="Arial"/>
          <w:caps w:val="0"/>
          <w:spacing w:val="0"/>
          <w:kern w:val="0"/>
          <w:sz w:val="24"/>
          <w:szCs w:val="24"/>
          <w:lang w:val="es-ES"/>
        </w:rPr>
        <w:t>a</w:t>
      </w:r>
      <w:r w:rsidRPr="005C2321">
        <w:rPr>
          <w:rFonts w:ascii="Arial" w:hAnsi="Arial" w:cs="Arial"/>
          <w:caps w:val="0"/>
          <w:spacing w:val="0"/>
          <w:kern w:val="0"/>
          <w:sz w:val="24"/>
          <w:szCs w:val="24"/>
          <w:lang w:val="es-ES"/>
        </w:rPr>
        <w:t xml:space="preserve"> Tasa de Rentabilidad Económica (</w:t>
      </w:r>
      <w:r w:rsidR="000913DB" w:rsidRPr="005C2321">
        <w:rPr>
          <w:rFonts w:ascii="Arial" w:hAnsi="Arial" w:cs="Arial"/>
          <w:caps w:val="0"/>
          <w:spacing w:val="0"/>
          <w:kern w:val="0"/>
          <w:sz w:val="24"/>
          <w:szCs w:val="24"/>
          <w:lang w:val="es-ES"/>
        </w:rPr>
        <w:t>TRE</w:t>
      </w:r>
      <w:r w:rsidRPr="005C2321">
        <w:rPr>
          <w:rFonts w:ascii="Arial" w:hAnsi="Arial" w:cs="Arial"/>
          <w:caps w:val="0"/>
          <w:spacing w:val="0"/>
          <w:kern w:val="0"/>
          <w:sz w:val="24"/>
          <w:szCs w:val="24"/>
          <w:lang w:val="es-ES"/>
        </w:rPr>
        <w:t xml:space="preserve">) y/o Valor </w:t>
      </w:r>
      <w:r w:rsidR="000913DB" w:rsidRPr="005C2321">
        <w:rPr>
          <w:rFonts w:ascii="Arial" w:hAnsi="Arial" w:cs="Arial"/>
          <w:caps w:val="0"/>
          <w:spacing w:val="0"/>
          <w:kern w:val="0"/>
          <w:sz w:val="24"/>
          <w:szCs w:val="24"/>
          <w:lang w:val="es-ES"/>
        </w:rPr>
        <w:t xml:space="preserve">Actual </w:t>
      </w:r>
      <w:r w:rsidRPr="005C2321">
        <w:rPr>
          <w:rFonts w:ascii="Arial" w:hAnsi="Arial" w:cs="Arial"/>
          <w:caps w:val="0"/>
          <w:spacing w:val="0"/>
          <w:kern w:val="0"/>
          <w:sz w:val="24"/>
          <w:szCs w:val="24"/>
          <w:lang w:val="es-ES"/>
        </w:rPr>
        <w:t>Neto</w:t>
      </w:r>
      <w:r w:rsidR="00901A51" w:rsidRPr="005C2321">
        <w:rPr>
          <w:rFonts w:ascii="Arial" w:hAnsi="Arial" w:cs="Arial"/>
          <w:caps w:val="0"/>
          <w:spacing w:val="0"/>
          <w:kern w:val="0"/>
          <w:sz w:val="24"/>
          <w:szCs w:val="24"/>
          <w:lang w:val="es-ES"/>
        </w:rPr>
        <w:t xml:space="preserve"> Social</w:t>
      </w:r>
      <w:r w:rsidRPr="005C2321">
        <w:rPr>
          <w:rFonts w:ascii="Arial" w:hAnsi="Arial" w:cs="Arial"/>
          <w:caps w:val="0"/>
          <w:spacing w:val="0"/>
          <w:kern w:val="0"/>
          <w:sz w:val="24"/>
          <w:szCs w:val="24"/>
          <w:lang w:val="es-ES"/>
        </w:rPr>
        <w:t xml:space="preserve"> (</w:t>
      </w:r>
      <w:r w:rsidR="00901A51" w:rsidRPr="005C2321">
        <w:rPr>
          <w:rFonts w:ascii="Arial" w:hAnsi="Arial" w:cs="Arial"/>
          <w:caps w:val="0"/>
          <w:spacing w:val="0"/>
          <w:kern w:val="0"/>
          <w:sz w:val="24"/>
          <w:szCs w:val="24"/>
          <w:lang w:val="es-ES"/>
        </w:rPr>
        <w:t>VANS</w:t>
      </w:r>
      <w:r w:rsidRPr="005C2321">
        <w:rPr>
          <w:rFonts w:ascii="Arial" w:hAnsi="Arial" w:cs="Arial"/>
          <w:caps w:val="0"/>
          <w:spacing w:val="0"/>
          <w:kern w:val="0"/>
          <w:sz w:val="24"/>
          <w:szCs w:val="24"/>
          <w:lang w:val="es-ES"/>
        </w:rPr>
        <w:t>) para sus componentes principales</w:t>
      </w:r>
      <w:bookmarkEnd w:id="8"/>
    </w:p>
    <w:p w14:paraId="38A3EA49" w14:textId="21DFE9D8" w:rsidR="000C6DB0" w:rsidRPr="005C2321" w:rsidRDefault="000C6DB0" w:rsidP="000C6DB0">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Considerando la tasa social de descuento de 12%, un horizonte de evaluación de 10 años y los beneficios y costos a precios de mercado, se está obteniendo para </w:t>
      </w:r>
      <w:r w:rsidR="00901A51" w:rsidRPr="005C2321">
        <w:rPr>
          <w:rFonts w:ascii="Arial" w:hAnsi="Arial" w:cs="Arial"/>
          <w:sz w:val="24"/>
          <w:szCs w:val="24"/>
          <w:lang w:val="es-ES" w:bidi="es-ES"/>
        </w:rPr>
        <w:t>la totalidad d</w:t>
      </w:r>
      <w:r w:rsidRPr="005C2321">
        <w:rPr>
          <w:rFonts w:ascii="Arial" w:hAnsi="Arial" w:cs="Arial"/>
          <w:sz w:val="24"/>
          <w:szCs w:val="24"/>
          <w:lang w:val="es-ES" w:bidi="es-ES"/>
        </w:rPr>
        <w:t xml:space="preserve">el </w:t>
      </w:r>
      <w:r w:rsidR="00901A51" w:rsidRPr="005C2321">
        <w:rPr>
          <w:rFonts w:ascii="Arial" w:hAnsi="Arial" w:cs="Arial"/>
          <w:sz w:val="24"/>
          <w:szCs w:val="24"/>
          <w:lang w:val="es-ES" w:bidi="es-ES"/>
        </w:rPr>
        <w:t xml:space="preserve">Proyecto </w:t>
      </w:r>
      <w:r w:rsidRPr="005C2321">
        <w:rPr>
          <w:rFonts w:ascii="Arial" w:hAnsi="Arial" w:cs="Arial"/>
          <w:sz w:val="24"/>
          <w:szCs w:val="24"/>
          <w:lang w:val="es-ES" w:bidi="es-ES"/>
        </w:rPr>
        <w:t>un VAN</w:t>
      </w:r>
      <w:r w:rsidR="00901A51" w:rsidRPr="005C2321">
        <w:rPr>
          <w:rFonts w:ascii="Arial" w:hAnsi="Arial" w:cs="Arial"/>
          <w:sz w:val="24"/>
          <w:szCs w:val="24"/>
          <w:lang w:val="es-ES" w:bidi="es-ES"/>
        </w:rPr>
        <w:t>S</w:t>
      </w:r>
      <w:r w:rsidRPr="005C2321">
        <w:rPr>
          <w:rFonts w:ascii="Arial" w:hAnsi="Arial" w:cs="Arial"/>
          <w:sz w:val="24"/>
          <w:szCs w:val="24"/>
          <w:lang w:val="es-ES" w:bidi="es-ES"/>
        </w:rPr>
        <w:t xml:space="preserve"> de US$ </w:t>
      </w:r>
      <w:r w:rsidR="002A6465" w:rsidRPr="005C2321">
        <w:rPr>
          <w:rFonts w:ascii="Arial" w:hAnsi="Arial" w:cs="Arial"/>
          <w:sz w:val="24"/>
          <w:szCs w:val="24"/>
          <w:lang w:val="es-ES" w:bidi="es-ES"/>
        </w:rPr>
        <w:t>2</w:t>
      </w:r>
      <w:r w:rsidR="0071095D" w:rsidRPr="005C2321">
        <w:rPr>
          <w:rFonts w:ascii="Arial" w:hAnsi="Arial" w:cs="Arial"/>
          <w:sz w:val="24"/>
          <w:szCs w:val="24"/>
          <w:lang w:val="es-ES" w:bidi="es-ES"/>
        </w:rPr>
        <w:t>8.1</w:t>
      </w:r>
      <w:r w:rsidRPr="005C2321">
        <w:rPr>
          <w:rFonts w:ascii="Arial" w:hAnsi="Arial" w:cs="Arial"/>
          <w:sz w:val="24"/>
          <w:szCs w:val="24"/>
          <w:lang w:val="es-ES" w:bidi="es-ES"/>
        </w:rPr>
        <w:t xml:space="preserve"> millones y una </w:t>
      </w:r>
      <w:r w:rsidR="00901A51" w:rsidRPr="005C2321">
        <w:rPr>
          <w:rFonts w:ascii="Arial" w:hAnsi="Arial" w:cs="Arial"/>
          <w:sz w:val="24"/>
          <w:szCs w:val="24"/>
          <w:lang w:val="es-ES" w:bidi="es-ES"/>
        </w:rPr>
        <w:t>TRE</w:t>
      </w:r>
      <w:r w:rsidRPr="005C2321">
        <w:rPr>
          <w:rFonts w:ascii="Arial" w:hAnsi="Arial" w:cs="Arial"/>
          <w:sz w:val="24"/>
          <w:szCs w:val="24"/>
          <w:lang w:val="es-ES" w:bidi="es-ES"/>
        </w:rPr>
        <w:t xml:space="preserve"> de </w:t>
      </w:r>
      <w:r w:rsidR="0071095D" w:rsidRPr="005C2321">
        <w:rPr>
          <w:rFonts w:ascii="Arial" w:hAnsi="Arial" w:cs="Arial"/>
          <w:sz w:val="24"/>
          <w:szCs w:val="24"/>
          <w:lang w:val="es-ES" w:bidi="es-ES"/>
        </w:rPr>
        <w:t>3</w:t>
      </w:r>
      <w:r w:rsidR="002A6465" w:rsidRPr="005C2321">
        <w:rPr>
          <w:rFonts w:ascii="Arial" w:hAnsi="Arial" w:cs="Arial"/>
          <w:sz w:val="24"/>
          <w:szCs w:val="24"/>
          <w:lang w:val="es-ES" w:bidi="es-ES"/>
        </w:rPr>
        <w:t>5</w:t>
      </w:r>
      <w:r w:rsidRPr="005C2321">
        <w:rPr>
          <w:rFonts w:ascii="Arial" w:hAnsi="Arial" w:cs="Arial"/>
          <w:sz w:val="24"/>
          <w:szCs w:val="24"/>
          <w:lang w:val="es-ES" w:bidi="es-ES"/>
        </w:rPr>
        <w:t>.</w:t>
      </w:r>
      <w:r w:rsidR="0071095D" w:rsidRPr="005C2321">
        <w:rPr>
          <w:rFonts w:ascii="Arial" w:hAnsi="Arial" w:cs="Arial"/>
          <w:sz w:val="24"/>
          <w:szCs w:val="24"/>
          <w:lang w:val="es-ES" w:bidi="es-ES"/>
        </w:rPr>
        <w:t>3</w:t>
      </w:r>
      <w:proofErr w:type="gramStart"/>
      <w:r w:rsidRPr="005C2321">
        <w:rPr>
          <w:rFonts w:ascii="Arial" w:hAnsi="Arial" w:cs="Arial"/>
          <w:sz w:val="24"/>
          <w:szCs w:val="24"/>
          <w:lang w:val="es-ES" w:bidi="es-ES"/>
        </w:rPr>
        <w:t>%.(</w:t>
      </w:r>
      <w:proofErr w:type="gramEnd"/>
      <w:r w:rsidRPr="005C2321">
        <w:rPr>
          <w:rFonts w:ascii="Arial" w:hAnsi="Arial" w:cs="Arial"/>
          <w:sz w:val="24"/>
          <w:szCs w:val="24"/>
          <w:lang w:val="es-ES" w:bidi="es-ES"/>
        </w:rPr>
        <w:t xml:space="preserve">Ver Anexo </w:t>
      </w:r>
      <w:r w:rsidR="00901A51" w:rsidRPr="005C2321">
        <w:rPr>
          <w:rFonts w:ascii="Arial" w:hAnsi="Arial" w:cs="Arial"/>
          <w:sz w:val="24"/>
          <w:szCs w:val="24"/>
          <w:lang w:val="es-ES" w:bidi="es-ES"/>
        </w:rPr>
        <w:t>II</w:t>
      </w:r>
      <w:r w:rsidRPr="005C2321">
        <w:rPr>
          <w:rFonts w:ascii="Arial" w:hAnsi="Arial" w:cs="Arial"/>
          <w:sz w:val="24"/>
          <w:szCs w:val="24"/>
          <w:lang w:val="es-ES" w:bidi="es-ES"/>
        </w:rPr>
        <w:t>).</w:t>
      </w:r>
    </w:p>
    <w:p w14:paraId="035FCBD7" w14:textId="2701C031" w:rsidR="00901A51" w:rsidRPr="005C2321" w:rsidRDefault="000C6DB0" w:rsidP="00901A51">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Considerando la tasa social de descuento de 12%, un horizonte de evaluación de 1</w:t>
      </w:r>
      <w:r w:rsidR="00555AD3" w:rsidRPr="005C2321">
        <w:rPr>
          <w:rFonts w:ascii="Arial" w:hAnsi="Arial" w:cs="Arial"/>
          <w:sz w:val="24"/>
          <w:szCs w:val="24"/>
          <w:lang w:val="es-ES" w:bidi="es-ES"/>
        </w:rPr>
        <w:t>0</w:t>
      </w:r>
      <w:r w:rsidRPr="005C2321">
        <w:rPr>
          <w:rFonts w:ascii="Arial" w:hAnsi="Arial" w:cs="Arial"/>
          <w:sz w:val="24"/>
          <w:szCs w:val="24"/>
          <w:lang w:val="es-ES" w:bidi="es-ES"/>
        </w:rPr>
        <w:t xml:space="preserve"> años y los beneficios y costos a precios sin considerar los impuestos</w:t>
      </w:r>
      <w:r w:rsidR="00901A51" w:rsidRPr="005C2321">
        <w:rPr>
          <w:rFonts w:ascii="Arial" w:hAnsi="Arial" w:cs="Arial"/>
          <w:sz w:val="24"/>
          <w:szCs w:val="24"/>
          <w:lang w:val="es-ES" w:bidi="es-ES"/>
        </w:rPr>
        <w:t xml:space="preserve">, se está obteniendo para la totalidad del Proyecto un VANS de US$ </w:t>
      </w:r>
      <w:r w:rsidR="0071095D" w:rsidRPr="005C2321">
        <w:rPr>
          <w:rFonts w:ascii="Arial" w:hAnsi="Arial" w:cs="Arial"/>
          <w:sz w:val="24"/>
          <w:szCs w:val="24"/>
          <w:lang w:val="es-ES" w:bidi="es-ES"/>
        </w:rPr>
        <w:t>30.3</w:t>
      </w:r>
      <w:r w:rsidR="00901A51" w:rsidRPr="005C2321">
        <w:rPr>
          <w:rFonts w:ascii="Arial" w:hAnsi="Arial" w:cs="Arial"/>
          <w:sz w:val="24"/>
          <w:szCs w:val="24"/>
          <w:lang w:val="es-ES" w:bidi="es-ES"/>
        </w:rPr>
        <w:t xml:space="preserve"> millones y una TRE de </w:t>
      </w:r>
      <w:r w:rsidR="00D54F29" w:rsidRPr="005C2321">
        <w:rPr>
          <w:rFonts w:ascii="Arial" w:hAnsi="Arial" w:cs="Arial"/>
          <w:sz w:val="24"/>
          <w:szCs w:val="24"/>
          <w:lang w:val="es-ES" w:bidi="es-ES"/>
        </w:rPr>
        <w:t>3</w:t>
      </w:r>
      <w:r w:rsidR="00DE2601" w:rsidRPr="005C2321">
        <w:rPr>
          <w:rFonts w:ascii="Arial" w:hAnsi="Arial" w:cs="Arial"/>
          <w:sz w:val="24"/>
          <w:szCs w:val="24"/>
          <w:lang w:val="es-ES" w:bidi="es-ES"/>
        </w:rPr>
        <w:t>8.5</w:t>
      </w:r>
      <w:proofErr w:type="gramStart"/>
      <w:r w:rsidR="00901A51" w:rsidRPr="005C2321">
        <w:rPr>
          <w:rFonts w:ascii="Arial" w:hAnsi="Arial" w:cs="Arial"/>
          <w:sz w:val="24"/>
          <w:szCs w:val="24"/>
          <w:lang w:val="es-ES" w:bidi="es-ES"/>
        </w:rPr>
        <w:t>%.(</w:t>
      </w:r>
      <w:proofErr w:type="gramEnd"/>
      <w:r w:rsidR="00901A51" w:rsidRPr="005C2321">
        <w:rPr>
          <w:rFonts w:ascii="Arial" w:hAnsi="Arial" w:cs="Arial"/>
          <w:sz w:val="24"/>
          <w:szCs w:val="24"/>
          <w:lang w:val="es-ES" w:bidi="es-ES"/>
        </w:rPr>
        <w:t>Ver Anexo III).</w:t>
      </w:r>
    </w:p>
    <w:p w14:paraId="67B7E33C" w14:textId="77777777" w:rsidR="007E2E2B" w:rsidRPr="005C2321" w:rsidRDefault="007E2E2B" w:rsidP="007E2E2B">
      <w:pPr>
        <w:pStyle w:val="BodyText"/>
        <w:ind w:firstLine="0"/>
        <w:rPr>
          <w:rFonts w:ascii="Arial" w:hAnsi="Arial" w:cs="Arial"/>
          <w:sz w:val="24"/>
          <w:szCs w:val="24"/>
          <w:lang w:val="es-ES" w:bidi="es-ES"/>
        </w:rPr>
      </w:pPr>
    </w:p>
    <w:p w14:paraId="14955515" w14:textId="77777777" w:rsidR="007E2E2B" w:rsidRPr="005C2321" w:rsidRDefault="007E2E2B" w:rsidP="007E2E2B">
      <w:pPr>
        <w:pStyle w:val="BodyText"/>
        <w:ind w:firstLine="0"/>
        <w:rPr>
          <w:rFonts w:ascii="Arial" w:hAnsi="Arial" w:cs="Arial"/>
          <w:sz w:val="24"/>
          <w:szCs w:val="24"/>
          <w:lang w:val="es-ES" w:bidi="es-ES"/>
        </w:rPr>
      </w:pPr>
    </w:p>
    <w:p w14:paraId="4B9FFEB7" w14:textId="77777777" w:rsidR="00E05262" w:rsidRPr="005C2321" w:rsidRDefault="00E05262">
      <w:pPr>
        <w:rPr>
          <w:rFonts w:ascii="Arial" w:eastAsia="Times New Roman" w:hAnsi="Arial" w:cs="Arial"/>
          <w:b/>
          <w:sz w:val="24"/>
          <w:szCs w:val="24"/>
          <w:lang w:val="es-ES" w:eastAsia="es-ES" w:bidi="hi-IN"/>
        </w:rPr>
      </w:pPr>
      <w:bookmarkStart w:id="9" w:name="_Toc379588625"/>
      <w:r w:rsidRPr="005C2321">
        <w:rPr>
          <w:rFonts w:ascii="Arial" w:hAnsi="Arial" w:cs="Arial"/>
          <w:caps/>
          <w:sz w:val="24"/>
          <w:szCs w:val="24"/>
          <w:lang w:val="es-ES"/>
        </w:rPr>
        <w:br w:type="page"/>
      </w:r>
    </w:p>
    <w:p w14:paraId="76A307DF" w14:textId="3563AAE6" w:rsidR="006B15BA" w:rsidRPr="005C2321" w:rsidRDefault="00570ACA" w:rsidP="00570ACA">
      <w:pPr>
        <w:pStyle w:val="Heading1"/>
        <w:numPr>
          <w:ilvl w:val="0"/>
          <w:numId w:val="1"/>
        </w:numPr>
        <w:jc w:val="left"/>
        <w:rPr>
          <w:rFonts w:ascii="Arial" w:hAnsi="Arial" w:cs="Arial"/>
          <w:caps w:val="0"/>
          <w:spacing w:val="0"/>
          <w:kern w:val="0"/>
          <w:sz w:val="24"/>
          <w:szCs w:val="24"/>
          <w:lang w:val="es-ES"/>
        </w:rPr>
      </w:pPr>
      <w:bookmarkStart w:id="10" w:name="_Toc523133732"/>
      <w:r w:rsidRPr="005C2321">
        <w:rPr>
          <w:rFonts w:ascii="Arial" w:hAnsi="Arial" w:cs="Arial"/>
          <w:caps w:val="0"/>
          <w:spacing w:val="0"/>
          <w:kern w:val="0"/>
          <w:sz w:val="24"/>
          <w:szCs w:val="24"/>
          <w:lang w:val="es-ES"/>
        </w:rPr>
        <w:lastRenderedPageBreak/>
        <w:t xml:space="preserve">Los </w:t>
      </w:r>
      <w:r w:rsidR="006B15BA" w:rsidRPr="005C2321">
        <w:rPr>
          <w:rFonts w:ascii="Arial" w:hAnsi="Arial" w:cs="Arial"/>
          <w:caps w:val="0"/>
          <w:spacing w:val="0"/>
          <w:kern w:val="0"/>
          <w:sz w:val="24"/>
          <w:szCs w:val="24"/>
          <w:lang w:val="es-ES"/>
        </w:rPr>
        <w:t>Beneficios económicos</w:t>
      </w:r>
      <w:bookmarkEnd w:id="9"/>
      <w:r w:rsidRPr="005C2321">
        <w:rPr>
          <w:rFonts w:ascii="Arial" w:hAnsi="Arial" w:cs="Arial"/>
          <w:caps w:val="0"/>
          <w:spacing w:val="0"/>
          <w:kern w:val="0"/>
          <w:sz w:val="24"/>
          <w:szCs w:val="24"/>
          <w:lang w:val="es-ES"/>
        </w:rPr>
        <w:t xml:space="preserve"> se identifican y cuantifican adecuadamente</w:t>
      </w:r>
      <w:bookmarkEnd w:id="10"/>
    </w:p>
    <w:p w14:paraId="55E31BB9" w14:textId="66E687F8" w:rsidR="00C478C7" w:rsidRPr="005C2321" w:rsidRDefault="00C478C7" w:rsidP="00D57134">
      <w:pPr>
        <w:pStyle w:val="BodyText"/>
        <w:numPr>
          <w:ilvl w:val="1"/>
          <w:numId w:val="1"/>
        </w:numPr>
        <w:rPr>
          <w:rFonts w:ascii="Arial" w:hAnsi="Arial" w:cs="Arial"/>
          <w:sz w:val="24"/>
          <w:szCs w:val="24"/>
          <w:lang w:val="es-ES"/>
        </w:rPr>
      </w:pPr>
      <w:r w:rsidRPr="005C2321">
        <w:rPr>
          <w:rFonts w:ascii="Arial" w:hAnsi="Arial" w:cs="Arial"/>
          <w:sz w:val="24"/>
          <w:szCs w:val="24"/>
          <w:lang w:val="es-ES"/>
        </w:rPr>
        <w:t>La evidencia empírica de los beneficios de las intervenciones se ha presentado en los numerales 3.2 a 3.6 y también complementariamente se desarrolla en la Lógica Vertical.</w:t>
      </w:r>
    </w:p>
    <w:p w14:paraId="6771E7FA" w14:textId="2259267C" w:rsidR="00957F3F" w:rsidRPr="005C2321" w:rsidRDefault="00DF41C9" w:rsidP="00D57134">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Para el cálculo </w:t>
      </w:r>
      <w:r w:rsidR="003C2F4A" w:rsidRPr="005C2321">
        <w:rPr>
          <w:rFonts w:ascii="Arial" w:hAnsi="Arial" w:cs="Arial"/>
          <w:sz w:val="24"/>
          <w:szCs w:val="24"/>
          <w:lang w:val="es-ES"/>
        </w:rPr>
        <w:t xml:space="preserve">y valoración </w:t>
      </w:r>
      <w:r w:rsidRPr="005C2321">
        <w:rPr>
          <w:rFonts w:ascii="Arial" w:hAnsi="Arial" w:cs="Arial"/>
          <w:sz w:val="24"/>
          <w:szCs w:val="24"/>
          <w:lang w:val="es-ES"/>
        </w:rPr>
        <w:t xml:space="preserve">de los beneficios del </w:t>
      </w:r>
      <w:r w:rsidR="007B3AFD" w:rsidRPr="005C2321">
        <w:rPr>
          <w:rFonts w:ascii="Arial" w:hAnsi="Arial" w:cs="Arial"/>
          <w:sz w:val="24"/>
          <w:szCs w:val="24"/>
          <w:lang w:val="es-ES"/>
        </w:rPr>
        <w:t>P</w:t>
      </w:r>
      <w:r w:rsidR="00017D22" w:rsidRPr="005C2321">
        <w:rPr>
          <w:rFonts w:ascii="Arial" w:hAnsi="Arial" w:cs="Arial"/>
          <w:sz w:val="24"/>
          <w:szCs w:val="24"/>
          <w:lang w:val="es-ES"/>
        </w:rPr>
        <w:t xml:space="preserve">royecto </w:t>
      </w:r>
      <w:r w:rsidRPr="005C2321">
        <w:rPr>
          <w:rFonts w:ascii="Arial" w:hAnsi="Arial" w:cs="Arial"/>
          <w:sz w:val="24"/>
          <w:szCs w:val="24"/>
          <w:lang w:val="es-ES"/>
        </w:rPr>
        <w:t>se ha realizado una revisión de in</w:t>
      </w:r>
      <w:r w:rsidR="003C2F4A" w:rsidRPr="005C2321">
        <w:rPr>
          <w:rFonts w:ascii="Arial" w:hAnsi="Arial" w:cs="Arial"/>
          <w:sz w:val="24"/>
          <w:szCs w:val="24"/>
          <w:lang w:val="es-ES"/>
        </w:rPr>
        <w:t xml:space="preserve">formación secundaria y primaria y se debe expresar que </w:t>
      </w:r>
      <w:r w:rsidR="00957F3F" w:rsidRPr="005C2321">
        <w:rPr>
          <w:rFonts w:ascii="Arial" w:hAnsi="Arial" w:cs="Arial"/>
          <w:sz w:val="24"/>
          <w:szCs w:val="24"/>
          <w:lang w:val="es-ES"/>
        </w:rPr>
        <w:t>se ha tenido considerables limitaciones de información</w:t>
      </w:r>
      <w:r w:rsidR="00EE36B2" w:rsidRPr="005C2321">
        <w:rPr>
          <w:rFonts w:ascii="Arial" w:hAnsi="Arial" w:cs="Arial"/>
          <w:sz w:val="24"/>
          <w:szCs w:val="24"/>
          <w:lang w:val="es-ES"/>
        </w:rPr>
        <w:t xml:space="preserve">, por lo que se han adoptado supuestos razonables </w:t>
      </w:r>
      <w:r w:rsidR="00681B96" w:rsidRPr="005C2321">
        <w:rPr>
          <w:rFonts w:ascii="Arial" w:hAnsi="Arial" w:cs="Arial"/>
          <w:sz w:val="24"/>
          <w:szCs w:val="24"/>
          <w:lang w:val="es-ES"/>
        </w:rPr>
        <w:t>y escenarios sustancialmente pesimistas para el análisis</w:t>
      </w:r>
      <w:r w:rsidR="00957F3F" w:rsidRPr="005C2321">
        <w:rPr>
          <w:rFonts w:ascii="Arial" w:hAnsi="Arial" w:cs="Arial"/>
          <w:sz w:val="24"/>
          <w:szCs w:val="24"/>
          <w:lang w:val="es-ES"/>
        </w:rPr>
        <w:t>.</w:t>
      </w:r>
    </w:p>
    <w:p w14:paraId="17DD464D" w14:textId="51262056" w:rsidR="00D57134" w:rsidRPr="005C2321" w:rsidRDefault="00D57134" w:rsidP="00D00E6B">
      <w:pPr>
        <w:pStyle w:val="ListParagraph"/>
        <w:numPr>
          <w:ilvl w:val="1"/>
          <w:numId w:val="1"/>
        </w:numPr>
        <w:jc w:val="both"/>
        <w:rPr>
          <w:rFonts w:ascii="Arial" w:hAnsi="Arial" w:cs="Arial"/>
          <w:sz w:val="24"/>
          <w:szCs w:val="24"/>
          <w:lang w:val="es-ES"/>
        </w:rPr>
      </w:pPr>
      <w:r w:rsidRPr="005C2321">
        <w:rPr>
          <w:rFonts w:ascii="Arial" w:hAnsi="Arial" w:cs="Arial"/>
          <w:sz w:val="24"/>
          <w:szCs w:val="24"/>
          <w:lang w:val="es-ES"/>
        </w:rPr>
        <w:t xml:space="preserve">Así mismo </w:t>
      </w:r>
      <w:r w:rsidR="0016391A" w:rsidRPr="005C2321">
        <w:rPr>
          <w:rFonts w:ascii="Arial" w:hAnsi="Arial" w:cs="Arial"/>
          <w:sz w:val="24"/>
          <w:szCs w:val="24"/>
          <w:lang w:val="es-ES"/>
        </w:rPr>
        <w:t>el análisis se ha realizado considerando escenarios pesimistas que en cada cálculo de beneficios se explica</w:t>
      </w:r>
      <w:r w:rsidR="00EE082A" w:rsidRPr="005C2321">
        <w:rPr>
          <w:rFonts w:ascii="Arial" w:hAnsi="Arial" w:cs="Arial"/>
          <w:sz w:val="24"/>
          <w:szCs w:val="24"/>
          <w:lang w:val="es-ES"/>
        </w:rPr>
        <w:t>n</w:t>
      </w:r>
      <w:r w:rsidR="0016391A" w:rsidRPr="005C2321">
        <w:rPr>
          <w:rFonts w:ascii="Arial" w:hAnsi="Arial" w:cs="Arial"/>
          <w:sz w:val="24"/>
          <w:szCs w:val="24"/>
          <w:lang w:val="es-ES"/>
        </w:rPr>
        <w:t xml:space="preserve"> a detalle.</w:t>
      </w:r>
    </w:p>
    <w:p w14:paraId="1EDEC1B4" w14:textId="77777777" w:rsidR="00957F3F" w:rsidRPr="005C2321" w:rsidRDefault="00957F3F" w:rsidP="00D00E6B">
      <w:pPr>
        <w:pStyle w:val="BodyText"/>
        <w:numPr>
          <w:ilvl w:val="1"/>
          <w:numId w:val="1"/>
        </w:numPr>
        <w:rPr>
          <w:rFonts w:ascii="Arial" w:hAnsi="Arial" w:cs="Arial"/>
          <w:sz w:val="24"/>
          <w:szCs w:val="24"/>
          <w:lang w:val="es-ES"/>
        </w:rPr>
      </w:pPr>
      <w:r w:rsidRPr="005C2321">
        <w:rPr>
          <w:rFonts w:ascii="Arial" w:hAnsi="Arial" w:cs="Arial"/>
          <w:sz w:val="24"/>
          <w:szCs w:val="24"/>
          <w:lang w:val="es-ES"/>
        </w:rPr>
        <w:t>Considerando las limitaciones</w:t>
      </w:r>
      <w:r w:rsidR="00017D22" w:rsidRPr="005C2321">
        <w:rPr>
          <w:rFonts w:ascii="Arial" w:hAnsi="Arial" w:cs="Arial"/>
          <w:sz w:val="24"/>
          <w:szCs w:val="24"/>
          <w:lang w:val="es-ES"/>
        </w:rPr>
        <w:t xml:space="preserve">, a </w:t>
      </w:r>
      <w:proofErr w:type="gramStart"/>
      <w:r w:rsidR="00017D22" w:rsidRPr="005C2321">
        <w:rPr>
          <w:rFonts w:ascii="Arial" w:hAnsi="Arial" w:cs="Arial"/>
          <w:sz w:val="24"/>
          <w:szCs w:val="24"/>
          <w:lang w:val="es-ES"/>
        </w:rPr>
        <w:t>continuación</w:t>
      </w:r>
      <w:proofErr w:type="gramEnd"/>
      <w:r w:rsidR="00017D22" w:rsidRPr="005C2321">
        <w:rPr>
          <w:rFonts w:ascii="Arial" w:hAnsi="Arial" w:cs="Arial"/>
          <w:sz w:val="24"/>
          <w:szCs w:val="24"/>
          <w:lang w:val="es-ES"/>
        </w:rPr>
        <w:t xml:space="preserve"> se presenta la identificación de los beneficios y l</w:t>
      </w:r>
      <w:r w:rsidR="008A7F79" w:rsidRPr="005C2321">
        <w:rPr>
          <w:rFonts w:ascii="Arial" w:hAnsi="Arial" w:cs="Arial"/>
          <w:sz w:val="24"/>
          <w:szCs w:val="24"/>
          <w:lang w:val="es-ES"/>
        </w:rPr>
        <w:t>a cuantificación correspondiente considerando los precios sociales y el valor del dinero en el tiempo</w:t>
      </w:r>
      <w:r w:rsidR="00017D22" w:rsidRPr="005C2321">
        <w:rPr>
          <w:rFonts w:ascii="Arial" w:hAnsi="Arial" w:cs="Arial"/>
          <w:sz w:val="24"/>
          <w:szCs w:val="24"/>
          <w:lang w:val="es-ES"/>
        </w:rPr>
        <w:t>:</w:t>
      </w:r>
    </w:p>
    <w:p w14:paraId="0CD0D533" w14:textId="1FE41F96" w:rsidR="00A72344" w:rsidRPr="005C2321" w:rsidRDefault="00A72344" w:rsidP="00A72344">
      <w:pPr>
        <w:pStyle w:val="BodyText"/>
        <w:jc w:val="center"/>
        <w:rPr>
          <w:rFonts w:ascii="Arial" w:hAnsi="Arial" w:cs="Arial"/>
          <w:sz w:val="24"/>
          <w:szCs w:val="24"/>
          <w:lang w:val="es-ES" w:bidi="es-ES"/>
        </w:rPr>
      </w:pPr>
      <w:r w:rsidRPr="005C2321">
        <w:rPr>
          <w:rFonts w:ascii="Arial" w:hAnsi="Arial" w:cs="Arial"/>
          <w:sz w:val="24"/>
          <w:szCs w:val="24"/>
          <w:lang w:val="es-ES" w:bidi="es-ES"/>
        </w:rPr>
        <w:t xml:space="preserve">Tabla </w:t>
      </w:r>
      <w:r w:rsidRPr="005C2321">
        <w:rPr>
          <w:rFonts w:ascii="Arial" w:hAnsi="Arial" w:cs="Arial"/>
          <w:sz w:val="24"/>
          <w:szCs w:val="24"/>
          <w:lang w:val="es-ES" w:bidi="es-ES"/>
        </w:rPr>
        <w:fldChar w:fldCharType="begin"/>
      </w:r>
      <w:r w:rsidRPr="005C2321">
        <w:rPr>
          <w:rFonts w:ascii="Arial" w:hAnsi="Arial" w:cs="Arial"/>
          <w:sz w:val="24"/>
          <w:szCs w:val="24"/>
          <w:lang w:val="es-ES" w:bidi="es-ES"/>
        </w:rPr>
        <w:instrText xml:space="preserve"> SEQ Tabla \* ARABIC </w:instrText>
      </w:r>
      <w:r w:rsidRPr="005C2321">
        <w:rPr>
          <w:rFonts w:ascii="Arial" w:hAnsi="Arial" w:cs="Arial"/>
          <w:sz w:val="24"/>
          <w:szCs w:val="24"/>
          <w:lang w:val="es-ES" w:bidi="es-ES"/>
        </w:rPr>
        <w:fldChar w:fldCharType="separate"/>
      </w:r>
      <w:r w:rsidR="004A1BA5" w:rsidRPr="005C2321">
        <w:rPr>
          <w:rFonts w:ascii="Arial" w:hAnsi="Arial" w:cs="Arial"/>
          <w:noProof/>
          <w:sz w:val="24"/>
          <w:szCs w:val="24"/>
          <w:lang w:val="es-ES" w:bidi="es-ES"/>
        </w:rPr>
        <w:t>1</w:t>
      </w:r>
      <w:r w:rsidRPr="005C2321">
        <w:rPr>
          <w:rFonts w:ascii="Arial" w:hAnsi="Arial" w:cs="Arial"/>
          <w:sz w:val="24"/>
          <w:szCs w:val="24"/>
          <w:lang w:val="es-ES" w:bidi="es-ES"/>
        </w:rPr>
        <w:fldChar w:fldCharType="end"/>
      </w:r>
      <w:r w:rsidRPr="005C2321">
        <w:rPr>
          <w:rFonts w:ascii="Arial" w:hAnsi="Arial" w:cs="Arial"/>
          <w:sz w:val="24"/>
          <w:szCs w:val="24"/>
          <w:lang w:val="es-ES" w:bidi="es-ES"/>
        </w:rPr>
        <w:t>: Resumen de beneficios</w:t>
      </w:r>
    </w:p>
    <w:tbl>
      <w:tblPr>
        <w:tblStyle w:val="TableGrid"/>
        <w:tblW w:w="0" w:type="auto"/>
        <w:tblInd w:w="360" w:type="dxa"/>
        <w:tblLook w:val="04A0" w:firstRow="1" w:lastRow="0" w:firstColumn="1" w:lastColumn="0" w:noHBand="0" w:noVBand="1"/>
      </w:tblPr>
      <w:tblGrid>
        <w:gridCol w:w="6439"/>
        <w:gridCol w:w="2029"/>
      </w:tblGrid>
      <w:tr w:rsidR="008A7F79" w:rsidRPr="005C2321" w14:paraId="6DCA7911" w14:textId="77777777" w:rsidTr="001F0C78">
        <w:tc>
          <w:tcPr>
            <w:tcW w:w="6439" w:type="dxa"/>
          </w:tcPr>
          <w:p w14:paraId="62B9E60A" w14:textId="77777777" w:rsidR="008A7F79" w:rsidRPr="005C2321" w:rsidRDefault="001F0C78" w:rsidP="001F0C78">
            <w:pPr>
              <w:pStyle w:val="BodyText"/>
              <w:ind w:firstLine="0"/>
              <w:jc w:val="center"/>
              <w:rPr>
                <w:rFonts w:ascii="Arial" w:hAnsi="Arial" w:cs="Arial"/>
                <w:b/>
                <w:szCs w:val="24"/>
                <w:lang w:val="es-ES"/>
              </w:rPr>
            </w:pPr>
            <w:r w:rsidRPr="005C2321">
              <w:rPr>
                <w:rFonts w:ascii="Arial" w:hAnsi="Arial" w:cs="Arial"/>
                <w:b/>
                <w:szCs w:val="24"/>
                <w:lang w:val="es-ES"/>
              </w:rPr>
              <w:t>BENEFICIOS</w:t>
            </w:r>
          </w:p>
        </w:tc>
        <w:tc>
          <w:tcPr>
            <w:tcW w:w="2029" w:type="dxa"/>
          </w:tcPr>
          <w:p w14:paraId="10BAEAB2" w14:textId="77777777" w:rsidR="008A7F79" w:rsidRPr="005C2321" w:rsidRDefault="001F0C78" w:rsidP="001F0C78">
            <w:pPr>
              <w:pStyle w:val="BodyText"/>
              <w:ind w:firstLine="0"/>
              <w:jc w:val="center"/>
              <w:rPr>
                <w:rFonts w:ascii="Arial" w:hAnsi="Arial" w:cs="Arial"/>
                <w:b/>
                <w:szCs w:val="24"/>
                <w:lang w:val="es-ES"/>
              </w:rPr>
            </w:pPr>
            <w:r w:rsidRPr="005C2321">
              <w:rPr>
                <w:rFonts w:ascii="Arial" w:hAnsi="Arial" w:cs="Arial"/>
                <w:b/>
                <w:szCs w:val="24"/>
                <w:lang w:val="es-ES"/>
              </w:rPr>
              <w:t>US$</w:t>
            </w:r>
          </w:p>
        </w:tc>
      </w:tr>
      <w:tr w:rsidR="008A7F79" w:rsidRPr="005C2321" w14:paraId="1CB1245A" w14:textId="77777777" w:rsidTr="001F0C78">
        <w:tc>
          <w:tcPr>
            <w:tcW w:w="6439" w:type="dxa"/>
          </w:tcPr>
          <w:p w14:paraId="0B93692E" w14:textId="77777777" w:rsidR="008A7F79" w:rsidRPr="005C2321" w:rsidRDefault="001F0C78" w:rsidP="001F0C78">
            <w:pPr>
              <w:pStyle w:val="BodyText"/>
              <w:ind w:firstLine="0"/>
              <w:rPr>
                <w:rFonts w:ascii="Arial" w:hAnsi="Arial" w:cs="Arial"/>
                <w:szCs w:val="24"/>
                <w:lang w:val="es-ES"/>
              </w:rPr>
            </w:pPr>
            <w:r w:rsidRPr="005C2321">
              <w:rPr>
                <w:rFonts w:ascii="Arial" w:hAnsi="Arial" w:cs="Arial"/>
                <w:szCs w:val="24"/>
                <w:lang w:val="es-ES"/>
              </w:rPr>
              <w:t>1. Incremento de los beneficios sociales por incremento de recaudación</w:t>
            </w:r>
          </w:p>
        </w:tc>
        <w:tc>
          <w:tcPr>
            <w:tcW w:w="2029" w:type="dxa"/>
          </w:tcPr>
          <w:p w14:paraId="3136C1AF" w14:textId="77777777" w:rsidR="008A7F79" w:rsidRPr="005C2321" w:rsidRDefault="001F0C78" w:rsidP="001F0C78">
            <w:pPr>
              <w:jc w:val="right"/>
              <w:rPr>
                <w:rFonts w:ascii="Arial" w:hAnsi="Arial" w:cs="Arial"/>
                <w:color w:val="000000" w:themeColor="text1"/>
                <w:lang w:val="es-MX"/>
              </w:rPr>
            </w:pPr>
            <w:r w:rsidRPr="005C2321">
              <w:rPr>
                <w:rFonts w:ascii="Arial" w:hAnsi="Arial" w:cs="Arial"/>
                <w:color w:val="000000" w:themeColor="text1"/>
              </w:rPr>
              <w:t xml:space="preserve">  4 324 796</w:t>
            </w:r>
          </w:p>
        </w:tc>
      </w:tr>
      <w:tr w:rsidR="008A7F79" w:rsidRPr="005C2321" w14:paraId="1FD58D07" w14:textId="77777777" w:rsidTr="001F0C78">
        <w:trPr>
          <w:trHeight w:val="160"/>
        </w:trPr>
        <w:tc>
          <w:tcPr>
            <w:tcW w:w="6439" w:type="dxa"/>
          </w:tcPr>
          <w:p w14:paraId="52CC5900" w14:textId="77777777" w:rsidR="008A7F79" w:rsidRPr="005C2321" w:rsidRDefault="001F0C78" w:rsidP="001F0C78">
            <w:pPr>
              <w:pStyle w:val="BodyText"/>
              <w:ind w:firstLine="0"/>
              <w:rPr>
                <w:rFonts w:ascii="Arial" w:hAnsi="Arial" w:cs="Arial"/>
                <w:szCs w:val="24"/>
                <w:lang w:val="es-ES"/>
              </w:rPr>
            </w:pPr>
            <w:r w:rsidRPr="005C2321">
              <w:rPr>
                <w:rFonts w:ascii="Arial" w:hAnsi="Arial" w:cs="Arial"/>
                <w:szCs w:val="24"/>
                <w:lang w:val="es-ES"/>
              </w:rPr>
              <w:t>2. Beneficios por reducción de los gastos de gestión de facturas</w:t>
            </w:r>
          </w:p>
        </w:tc>
        <w:tc>
          <w:tcPr>
            <w:tcW w:w="2029" w:type="dxa"/>
          </w:tcPr>
          <w:p w14:paraId="047F39B5" w14:textId="77777777" w:rsidR="008A7F79" w:rsidRPr="005C2321" w:rsidRDefault="001F0C78" w:rsidP="001F0C78">
            <w:pPr>
              <w:pStyle w:val="BodyText"/>
              <w:ind w:firstLine="0"/>
              <w:jc w:val="right"/>
              <w:rPr>
                <w:rFonts w:ascii="Arial" w:hAnsi="Arial" w:cs="Arial"/>
                <w:szCs w:val="24"/>
                <w:lang w:val="es-ES"/>
              </w:rPr>
            </w:pPr>
            <w:r w:rsidRPr="005C2321">
              <w:rPr>
                <w:rFonts w:ascii="Arial" w:hAnsi="Arial" w:cs="Arial"/>
                <w:szCs w:val="24"/>
                <w:lang w:val="es-ES"/>
              </w:rPr>
              <w:t xml:space="preserve">  18 319 101</w:t>
            </w:r>
          </w:p>
        </w:tc>
      </w:tr>
      <w:tr w:rsidR="001F0C78" w:rsidRPr="005C2321" w14:paraId="277C09BB" w14:textId="77777777" w:rsidTr="001F0C78">
        <w:tc>
          <w:tcPr>
            <w:tcW w:w="6439" w:type="dxa"/>
          </w:tcPr>
          <w:p w14:paraId="5E9008D4" w14:textId="77777777" w:rsidR="001F0C78" w:rsidRPr="005C2321" w:rsidRDefault="001F0C78" w:rsidP="001F0C78">
            <w:pPr>
              <w:pStyle w:val="BodyText"/>
              <w:ind w:firstLine="0"/>
              <w:rPr>
                <w:rFonts w:ascii="Arial" w:hAnsi="Arial" w:cs="Arial"/>
                <w:szCs w:val="24"/>
                <w:lang w:val="es-ES"/>
              </w:rPr>
            </w:pPr>
            <w:r w:rsidRPr="005C2321">
              <w:rPr>
                <w:rFonts w:ascii="Arial" w:hAnsi="Arial" w:cs="Arial"/>
                <w:szCs w:val="24"/>
                <w:lang w:val="es-ES"/>
              </w:rPr>
              <w:t>3. Beneficios por reducción de tiempos - mejora de la ejecución presupuestal</w:t>
            </w:r>
          </w:p>
        </w:tc>
        <w:tc>
          <w:tcPr>
            <w:tcW w:w="2029" w:type="dxa"/>
          </w:tcPr>
          <w:p w14:paraId="56AF8B33" w14:textId="77777777" w:rsidR="001F0C78" w:rsidRPr="005C2321" w:rsidRDefault="001F0C78" w:rsidP="001F0C78">
            <w:pPr>
              <w:pStyle w:val="BodyText"/>
              <w:ind w:firstLine="0"/>
              <w:jc w:val="right"/>
              <w:rPr>
                <w:rFonts w:ascii="Arial" w:hAnsi="Arial" w:cs="Arial"/>
                <w:szCs w:val="24"/>
                <w:lang w:val="es-ES"/>
              </w:rPr>
            </w:pPr>
            <w:r w:rsidRPr="005C2321">
              <w:rPr>
                <w:rFonts w:ascii="Arial" w:hAnsi="Arial" w:cs="Arial"/>
                <w:szCs w:val="24"/>
                <w:lang w:val="es-ES"/>
              </w:rPr>
              <w:t xml:space="preserve">  12 233 801</w:t>
            </w:r>
          </w:p>
        </w:tc>
      </w:tr>
      <w:tr w:rsidR="008A7F79" w:rsidRPr="005C2321" w14:paraId="56344FE4" w14:textId="77777777" w:rsidTr="001F0C78">
        <w:tc>
          <w:tcPr>
            <w:tcW w:w="6439" w:type="dxa"/>
          </w:tcPr>
          <w:p w14:paraId="5C8E1B7B" w14:textId="77777777" w:rsidR="008A7F79" w:rsidRPr="005C2321" w:rsidRDefault="001F0C78" w:rsidP="001F0C78">
            <w:pPr>
              <w:pStyle w:val="BodyText"/>
              <w:ind w:firstLine="0"/>
              <w:rPr>
                <w:rFonts w:ascii="Arial" w:hAnsi="Arial" w:cs="Arial"/>
                <w:szCs w:val="24"/>
                <w:lang w:val="es-ES"/>
              </w:rPr>
            </w:pPr>
            <w:r w:rsidRPr="005C2321">
              <w:rPr>
                <w:rFonts w:ascii="Arial" w:hAnsi="Arial" w:cs="Arial"/>
                <w:szCs w:val="24"/>
                <w:lang w:val="es-ES"/>
              </w:rPr>
              <w:t>4. Beneficios por reducción de costos administrativos de la gestión de las transferencias</w:t>
            </w:r>
          </w:p>
        </w:tc>
        <w:tc>
          <w:tcPr>
            <w:tcW w:w="2029" w:type="dxa"/>
          </w:tcPr>
          <w:p w14:paraId="52C121A3" w14:textId="77777777" w:rsidR="008A7F79" w:rsidRPr="005C2321" w:rsidRDefault="001F0C78" w:rsidP="001F0C78">
            <w:pPr>
              <w:pStyle w:val="BodyText"/>
              <w:ind w:firstLine="0"/>
              <w:jc w:val="right"/>
              <w:rPr>
                <w:rFonts w:ascii="Arial" w:hAnsi="Arial" w:cs="Arial"/>
                <w:szCs w:val="24"/>
                <w:lang w:val="es-ES"/>
              </w:rPr>
            </w:pPr>
            <w:r w:rsidRPr="005C2321">
              <w:rPr>
                <w:rFonts w:ascii="Arial" w:hAnsi="Arial" w:cs="Arial"/>
                <w:szCs w:val="24"/>
                <w:lang w:val="es-ES"/>
              </w:rPr>
              <w:t xml:space="preserve">   907 410</w:t>
            </w:r>
          </w:p>
        </w:tc>
      </w:tr>
      <w:tr w:rsidR="008A7F79" w:rsidRPr="005C2321" w14:paraId="2300FFEA" w14:textId="77777777" w:rsidTr="001F0C78">
        <w:tc>
          <w:tcPr>
            <w:tcW w:w="6439" w:type="dxa"/>
          </w:tcPr>
          <w:p w14:paraId="2FE9CA53" w14:textId="0936D6F8" w:rsidR="008A7F79" w:rsidRPr="005C2321" w:rsidRDefault="001F0C78" w:rsidP="001F0C78">
            <w:pPr>
              <w:pStyle w:val="BodyText"/>
              <w:ind w:firstLine="0"/>
              <w:rPr>
                <w:rFonts w:ascii="Arial" w:hAnsi="Arial" w:cs="Arial"/>
                <w:szCs w:val="24"/>
                <w:lang w:val="es-ES"/>
              </w:rPr>
            </w:pPr>
            <w:r w:rsidRPr="005C2321">
              <w:rPr>
                <w:rFonts w:ascii="Arial" w:hAnsi="Arial" w:cs="Arial"/>
                <w:szCs w:val="24"/>
                <w:lang w:val="es-ES"/>
              </w:rPr>
              <w:t xml:space="preserve">5. </w:t>
            </w:r>
            <w:r w:rsidR="00DE2601" w:rsidRPr="005C2321">
              <w:rPr>
                <w:rFonts w:ascii="Arial" w:hAnsi="Arial" w:cs="Arial"/>
                <w:szCs w:val="24"/>
                <w:lang w:val="es-ES"/>
              </w:rPr>
              <w:t>Liberación de recursos por la compra a un mejor precio</w:t>
            </w:r>
          </w:p>
        </w:tc>
        <w:tc>
          <w:tcPr>
            <w:tcW w:w="2029" w:type="dxa"/>
          </w:tcPr>
          <w:p w14:paraId="3703AC97" w14:textId="17E1A04B" w:rsidR="008A7F79" w:rsidRPr="005C2321" w:rsidRDefault="001F0C78" w:rsidP="001F0C78">
            <w:pPr>
              <w:pStyle w:val="BodyText"/>
              <w:ind w:firstLine="0"/>
              <w:jc w:val="right"/>
              <w:rPr>
                <w:rFonts w:ascii="Arial" w:hAnsi="Arial" w:cs="Arial"/>
                <w:szCs w:val="24"/>
                <w:lang w:val="es-ES"/>
              </w:rPr>
            </w:pPr>
            <w:r w:rsidRPr="005C2321">
              <w:rPr>
                <w:rFonts w:ascii="Arial" w:hAnsi="Arial" w:cs="Arial"/>
                <w:szCs w:val="24"/>
                <w:lang w:val="es-ES"/>
              </w:rPr>
              <w:t xml:space="preserve">  </w:t>
            </w:r>
            <w:r w:rsidR="00DE2601" w:rsidRPr="005C2321">
              <w:rPr>
                <w:rFonts w:ascii="Arial" w:hAnsi="Arial" w:cs="Arial"/>
                <w:szCs w:val="24"/>
                <w:lang w:val="es-ES"/>
              </w:rPr>
              <w:t>14 115 216</w:t>
            </w:r>
          </w:p>
        </w:tc>
      </w:tr>
    </w:tbl>
    <w:p w14:paraId="78666C6D" w14:textId="77777777" w:rsidR="006F432F" w:rsidRPr="005C2321" w:rsidRDefault="006F432F" w:rsidP="00DD0C13">
      <w:pPr>
        <w:pStyle w:val="BodyText"/>
        <w:ind w:left="360" w:firstLine="0"/>
        <w:rPr>
          <w:rFonts w:ascii="Arial" w:hAnsi="Arial" w:cs="Arial"/>
          <w:sz w:val="24"/>
          <w:szCs w:val="24"/>
          <w:highlight w:val="green"/>
          <w:lang w:val="es-ES"/>
        </w:rPr>
      </w:pPr>
    </w:p>
    <w:p w14:paraId="5D936582" w14:textId="096D0C9D" w:rsidR="00A72344" w:rsidRPr="005C2321" w:rsidRDefault="00A72344">
      <w:pPr>
        <w:rPr>
          <w:rFonts w:ascii="Arial" w:eastAsia="Times New Roman" w:hAnsi="Arial" w:cs="Arial"/>
          <w:b/>
          <w:sz w:val="24"/>
          <w:szCs w:val="24"/>
          <w:lang w:val="es-ES" w:eastAsia="es-ES" w:bidi="hi-IN"/>
        </w:rPr>
      </w:pPr>
    </w:p>
    <w:p w14:paraId="72462E59" w14:textId="77777777" w:rsidR="00E05262" w:rsidRPr="005C2321" w:rsidRDefault="00E05262">
      <w:pPr>
        <w:rPr>
          <w:rFonts w:ascii="Arial" w:eastAsia="Times New Roman" w:hAnsi="Arial" w:cs="Arial"/>
          <w:b/>
          <w:sz w:val="24"/>
          <w:szCs w:val="24"/>
          <w:lang w:val="es-ES" w:eastAsia="es-ES" w:bidi="hi-IN"/>
        </w:rPr>
      </w:pPr>
      <w:r w:rsidRPr="005C2321">
        <w:rPr>
          <w:rFonts w:ascii="Arial" w:hAnsi="Arial" w:cs="Arial"/>
          <w:caps/>
          <w:sz w:val="24"/>
          <w:szCs w:val="24"/>
          <w:lang w:val="es-ES"/>
        </w:rPr>
        <w:br w:type="page"/>
      </w:r>
    </w:p>
    <w:p w14:paraId="0C5A8930" w14:textId="53FB7F0E" w:rsidR="006B15BA" w:rsidRPr="005C2321" w:rsidRDefault="00570ACA" w:rsidP="00570ACA">
      <w:pPr>
        <w:pStyle w:val="Heading1"/>
        <w:numPr>
          <w:ilvl w:val="0"/>
          <w:numId w:val="1"/>
        </w:numPr>
        <w:jc w:val="left"/>
        <w:rPr>
          <w:rFonts w:ascii="Arial" w:hAnsi="Arial" w:cs="Arial"/>
          <w:caps w:val="0"/>
          <w:spacing w:val="0"/>
          <w:kern w:val="0"/>
          <w:sz w:val="24"/>
          <w:szCs w:val="24"/>
          <w:lang w:val="es-ES"/>
        </w:rPr>
      </w:pPr>
      <w:bookmarkStart w:id="11" w:name="_Toc523133733"/>
      <w:r w:rsidRPr="005C2321">
        <w:rPr>
          <w:rFonts w:ascii="Arial" w:hAnsi="Arial" w:cs="Arial"/>
          <w:caps w:val="0"/>
          <w:spacing w:val="0"/>
          <w:kern w:val="0"/>
          <w:sz w:val="24"/>
          <w:szCs w:val="24"/>
          <w:lang w:val="es-ES"/>
        </w:rPr>
        <w:lastRenderedPageBreak/>
        <w:t>Todos los costos de recursos reales generados por el proyecto durante su vida se incluyen en el cálculo.</w:t>
      </w:r>
      <w:bookmarkEnd w:id="11"/>
    </w:p>
    <w:p w14:paraId="084DA605" w14:textId="77777777" w:rsidR="00637082" w:rsidRPr="005C2321" w:rsidRDefault="006B15BA" w:rsidP="00D00E6B">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El presupuesto </w:t>
      </w:r>
      <w:r w:rsidR="00925817" w:rsidRPr="005C2321">
        <w:rPr>
          <w:rFonts w:ascii="Arial" w:hAnsi="Arial" w:cs="Arial"/>
          <w:sz w:val="24"/>
          <w:szCs w:val="24"/>
          <w:lang w:val="es-ES" w:bidi="es-ES"/>
        </w:rPr>
        <w:t xml:space="preserve">del </w:t>
      </w:r>
      <w:r w:rsidR="00637082" w:rsidRPr="005C2321">
        <w:rPr>
          <w:rFonts w:ascii="Arial" w:hAnsi="Arial" w:cs="Arial"/>
          <w:sz w:val="24"/>
          <w:szCs w:val="24"/>
          <w:lang w:val="es-ES" w:bidi="es-ES"/>
        </w:rPr>
        <w:t xml:space="preserve">Proyecto </w:t>
      </w:r>
      <w:r w:rsidR="00925817" w:rsidRPr="005C2321">
        <w:rPr>
          <w:rFonts w:ascii="Arial" w:hAnsi="Arial" w:cs="Arial"/>
          <w:sz w:val="24"/>
          <w:szCs w:val="24"/>
          <w:lang w:val="es-ES" w:bidi="es-ES"/>
        </w:rPr>
        <w:t xml:space="preserve">asciende a US$ </w:t>
      </w:r>
      <w:r w:rsidR="00A67EF7" w:rsidRPr="005C2321">
        <w:rPr>
          <w:rFonts w:ascii="Arial" w:hAnsi="Arial" w:cs="Arial"/>
          <w:sz w:val="24"/>
          <w:szCs w:val="24"/>
          <w:lang w:val="es-ES" w:bidi="es-ES"/>
        </w:rPr>
        <w:t>2</w:t>
      </w:r>
      <w:r w:rsidR="00637082" w:rsidRPr="005C2321">
        <w:rPr>
          <w:rFonts w:ascii="Arial" w:hAnsi="Arial" w:cs="Arial"/>
          <w:sz w:val="24"/>
          <w:szCs w:val="24"/>
          <w:lang w:val="es-ES" w:bidi="es-ES"/>
        </w:rPr>
        <w:t xml:space="preserve">6.34 </w:t>
      </w:r>
      <w:r w:rsidR="00925817" w:rsidRPr="005C2321">
        <w:rPr>
          <w:rFonts w:ascii="Arial" w:hAnsi="Arial" w:cs="Arial"/>
          <w:sz w:val="24"/>
          <w:szCs w:val="24"/>
          <w:lang w:val="es-ES" w:bidi="es-ES"/>
        </w:rPr>
        <w:t xml:space="preserve">millones de dólares </w:t>
      </w:r>
      <w:r w:rsidR="00637082" w:rsidRPr="005C2321">
        <w:rPr>
          <w:rFonts w:ascii="Arial" w:hAnsi="Arial" w:cs="Arial"/>
          <w:sz w:val="24"/>
          <w:szCs w:val="24"/>
          <w:lang w:val="es-ES" w:bidi="es-ES"/>
        </w:rPr>
        <w:t>con el siguiente desagregado y fuente de financiamiento:</w:t>
      </w:r>
    </w:p>
    <w:p w14:paraId="00E31F4B" w14:textId="344DA7E5" w:rsidR="00A72344" w:rsidRPr="005C2321" w:rsidRDefault="00A72344" w:rsidP="00A72344">
      <w:pPr>
        <w:pStyle w:val="BodyText"/>
        <w:jc w:val="center"/>
        <w:rPr>
          <w:rFonts w:ascii="Arial" w:hAnsi="Arial" w:cs="Arial"/>
          <w:sz w:val="24"/>
          <w:szCs w:val="24"/>
          <w:lang w:val="es-ES" w:bidi="es-ES"/>
        </w:rPr>
      </w:pPr>
      <w:r w:rsidRPr="005C2321">
        <w:rPr>
          <w:rFonts w:ascii="Arial" w:hAnsi="Arial" w:cs="Arial"/>
          <w:sz w:val="24"/>
          <w:szCs w:val="24"/>
          <w:lang w:val="es-ES" w:bidi="es-ES"/>
        </w:rPr>
        <w:t xml:space="preserve">Tabla </w:t>
      </w:r>
      <w:r w:rsidRPr="005C2321">
        <w:rPr>
          <w:rFonts w:ascii="Arial" w:hAnsi="Arial" w:cs="Arial"/>
          <w:sz w:val="24"/>
          <w:szCs w:val="24"/>
          <w:lang w:val="es-ES" w:bidi="es-ES"/>
        </w:rPr>
        <w:fldChar w:fldCharType="begin"/>
      </w:r>
      <w:r w:rsidRPr="005C2321">
        <w:rPr>
          <w:rFonts w:ascii="Arial" w:hAnsi="Arial" w:cs="Arial"/>
          <w:sz w:val="24"/>
          <w:szCs w:val="24"/>
          <w:lang w:val="es-ES" w:bidi="es-ES"/>
        </w:rPr>
        <w:instrText xml:space="preserve"> SEQ Tabla \* ARABIC </w:instrText>
      </w:r>
      <w:r w:rsidRPr="005C2321">
        <w:rPr>
          <w:rFonts w:ascii="Arial" w:hAnsi="Arial" w:cs="Arial"/>
          <w:sz w:val="24"/>
          <w:szCs w:val="24"/>
          <w:lang w:val="es-ES" w:bidi="es-ES"/>
        </w:rPr>
        <w:fldChar w:fldCharType="separate"/>
      </w:r>
      <w:r w:rsidR="004A1BA5" w:rsidRPr="005C2321">
        <w:rPr>
          <w:rFonts w:ascii="Arial" w:hAnsi="Arial" w:cs="Arial"/>
          <w:noProof/>
          <w:sz w:val="24"/>
          <w:szCs w:val="24"/>
          <w:lang w:val="es-ES" w:bidi="es-ES"/>
        </w:rPr>
        <w:t>2</w:t>
      </w:r>
      <w:r w:rsidRPr="005C2321">
        <w:rPr>
          <w:rFonts w:ascii="Arial" w:hAnsi="Arial" w:cs="Arial"/>
          <w:sz w:val="24"/>
          <w:szCs w:val="24"/>
          <w:lang w:val="es-ES" w:bidi="es-ES"/>
        </w:rPr>
        <w:fldChar w:fldCharType="end"/>
      </w:r>
      <w:r w:rsidRPr="005C2321">
        <w:rPr>
          <w:rFonts w:ascii="Arial" w:hAnsi="Arial" w:cs="Arial"/>
          <w:sz w:val="24"/>
          <w:szCs w:val="24"/>
          <w:lang w:val="es-ES" w:bidi="es-ES"/>
        </w:rPr>
        <w:t>: Presupuesto resumido</w:t>
      </w:r>
    </w:p>
    <w:p w14:paraId="25E6CE68" w14:textId="77777777" w:rsidR="00637082" w:rsidRPr="005C2321" w:rsidRDefault="00F31D83" w:rsidP="00637082">
      <w:pPr>
        <w:pStyle w:val="BodyText"/>
        <w:ind w:left="360" w:firstLine="0"/>
        <w:jc w:val="center"/>
        <w:rPr>
          <w:rFonts w:ascii="Arial" w:hAnsi="Arial" w:cs="Arial"/>
          <w:sz w:val="24"/>
          <w:szCs w:val="24"/>
          <w:lang w:val="es-ES" w:bidi="es-ES"/>
        </w:rPr>
      </w:pPr>
      <w:r w:rsidRPr="005C2321">
        <w:rPr>
          <w:rFonts w:ascii="Arial" w:hAnsi="Arial" w:cs="Arial"/>
          <w:noProof/>
          <w:lang w:val="es-MX" w:eastAsia="es-MX" w:bidi="ar-SA"/>
        </w:rPr>
        <w:drawing>
          <wp:inline distT="0" distB="0" distL="0" distR="0" wp14:anchorId="7EC40955" wp14:editId="41A701A2">
            <wp:extent cx="5397690" cy="1961143"/>
            <wp:effectExtent l="0" t="0" r="0" b="127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8277" cy="1968623"/>
                    </a:xfrm>
                    <a:prstGeom prst="rect">
                      <a:avLst/>
                    </a:prstGeom>
                    <a:noFill/>
                    <a:ln>
                      <a:noFill/>
                    </a:ln>
                  </pic:spPr>
                </pic:pic>
              </a:graphicData>
            </a:graphic>
          </wp:inline>
        </w:drawing>
      </w:r>
    </w:p>
    <w:p w14:paraId="2289354A" w14:textId="3EB37369" w:rsidR="00F31D83" w:rsidRPr="005C2321" w:rsidRDefault="00F31D83" w:rsidP="00F31D83">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Respecto a la estructura del financiamiento se tiene que el BID </w:t>
      </w:r>
      <w:r w:rsidR="00FC3994" w:rsidRPr="005C2321">
        <w:rPr>
          <w:rFonts w:ascii="Arial" w:hAnsi="Arial" w:cs="Arial"/>
          <w:sz w:val="24"/>
          <w:szCs w:val="24"/>
          <w:lang w:val="es-ES" w:bidi="es-ES"/>
        </w:rPr>
        <w:t xml:space="preserve">aportará </w:t>
      </w:r>
      <w:r w:rsidRPr="005C2321">
        <w:rPr>
          <w:rFonts w:ascii="Arial" w:hAnsi="Arial" w:cs="Arial"/>
          <w:sz w:val="24"/>
          <w:szCs w:val="24"/>
          <w:lang w:val="es-ES" w:bidi="es-ES"/>
        </w:rPr>
        <w:t xml:space="preserve">US$ 25 millones y el aporte local </w:t>
      </w:r>
      <w:r w:rsidR="00FC3994" w:rsidRPr="005C2321">
        <w:rPr>
          <w:rFonts w:ascii="Arial" w:hAnsi="Arial" w:cs="Arial"/>
          <w:sz w:val="24"/>
          <w:szCs w:val="24"/>
          <w:lang w:val="es-ES" w:bidi="es-ES"/>
        </w:rPr>
        <w:t xml:space="preserve">será de </w:t>
      </w:r>
      <w:r w:rsidRPr="005C2321">
        <w:rPr>
          <w:rFonts w:ascii="Arial" w:hAnsi="Arial" w:cs="Arial"/>
          <w:sz w:val="24"/>
          <w:szCs w:val="24"/>
          <w:lang w:val="es-ES" w:bidi="es-ES"/>
        </w:rPr>
        <w:t>US$ 1.34 millones.</w:t>
      </w:r>
    </w:p>
    <w:p w14:paraId="04CE12A1" w14:textId="055F59C4" w:rsidR="0026692B" w:rsidRPr="005C2321" w:rsidRDefault="00F31D83" w:rsidP="00D00E6B">
      <w:pPr>
        <w:pStyle w:val="BodyText"/>
        <w:numPr>
          <w:ilvl w:val="1"/>
          <w:numId w:val="1"/>
        </w:numPr>
        <w:rPr>
          <w:rFonts w:ascii="Arial" w:hAnsi="Arial" w:cs="Arial"/>
          <w:sz w:val="24"/>
          <w:szCs w:val="24"/>
          <w:lang w:val="es-ES" w:bidi="es-ES"/>
        </w:rPr>
      </w:pPr>
      <w:proofErr w:type="gramStart"/>
      <w:r w:rsidRPr="005C2321">
        <w:rPr>
          <w:rFonts w:ascii="Arial" w:hAnsi="Arial" w:cs="Arial"/>
          <w:sz w:val="24"/>
          <w:szCs w:val="24"/>
          <w:lang w:val="es-ES" w:bidi="es-ES"/>
        </w:rPr>
        <w:t>De acuerdo al</w:t>
      </w:r>
      <w:proofErr w:type="gramEnd"/>
      <w:r w:rsidRPr="005C2321">
        <w:rPr>
          <w:rFonts w:ascii="Arial" w:hAnsi="Arial" w:cs="Arial"/>
          <w:sz w:val="24"/>
          <w:szCs w:val="24"/>
          <w:lang w:val="es-ES" w:bidi="es-ES"/>
        </w:rPr>
        <w:t xml:space="preserve"> Plan de Ejecución Plurianual</w:t>
      </w:r>
      <w:r w:rsidR="00330ED2" w:rsidRPr="005C2321">
        <w:rPr>
          <w:rFonts w:ascii="Arial" w:hAnsi="Arial" w:cs="Arial"/>
          <w:sz w:val="24"/>
          <w:szCs w:val="24"/>
          <w:lang w:val="es-ES" w:bidi="es-ES"/>
        </w:rPr>
        <w:t>,</w:t>
      </w:r>
      <w:r w:rsidRPr="005C2321">
        <w:rPr>
          <w:rFonts w:ascii="Arial" w:hAnsi="Arial" w:cs="Arial"/>
          <w:sz w:val="24"/>
          <w:szCs w:val="24"/>
          <w:lang w:val="es-ES" w:bidi="es-ES"/>
        </w:rPr>
        <w:t xml:space="preserve"> el cronograma de desembolsos a lo largo de los 6 años de ejecución </w:t>
      </w:r>
      <w:r w:rsidR="00330ED2" w:rsidRPr="005C2321">
        <w:rPr>
          <w:rFonts w:ascii="Arial" w:hAnsi="Arial" w:cs="Arial"/>
          <w:sz w:val="24"/>
          <w:szCs w:val="24"/>
          <w:lang w:val="es-ES" w:bidi="es-ES"/>
        </w:rPr>
        <w:t xml:space="preserve">se resume </w:t>
      </w:r>
      <w:r w:rsidRPr="005C2321">
        <w:rPr>
          <w:rFonts w:ascii="Arial" w:hAnsi="Arial" w:cs="Arial"/>
          <w:sz w:val="24"/>
          <w:szCs w:val="24"/>
          <w:lang w:val="es-ES" w:bidi="es-ES"/>
        </w:rPr>
        <w:t>en el cuadro sigu</w:t>
      </w:r>
      <w:r w:rsidR="00A40F28" w:rsidRPr="005C2321">
        <w:rPr>
          <w:rFonts w:ascii="Arial" w:hAnsi="Arial" w:cs="Arial"/>
          <w:sz w:val="24"/>
          <w:szCs w:val="24"/>
          <w:lang w:val="es-ES" w:bidi="es-ES"/>
        </w:rPr>
        <w:t>i</w:t>
      </w:r>
      <w:r w:rsidRPr="005C2321">
        <w:rPr>
          <w:rFonts w:ascii="Arial" w:hAnsi="Arial" w:cs="Arial"/>
          <w:sz w:val="24"/>
          <w:szCs w:val="24"/>
          <w:lang w:val="es-ES" w:bidi="es-ES"/>
        </w:rPr>
        <w:t>ente:</w:t>
      </w:r>
    </w:p>
    <w:p w14:paraId="2DFA311B" w14:textId="514337B5" w:rsidR="00A72344" w:rsidRPr="005C2321" w:rsidRDefault="00A72344" w:rsidP="00A72344">
      <w:pPr>
        <w:pStyle w:val="BodyText"/>
        <w:jc w:val="center"/>
        <w:rPr>
          <w:rFonts w:ascii="Arial" w:hAnsi="Arial" w:cs="Arial"/>
          <w:sz w:val="24"/>
          <w:szCs w:val="24"/>
          <w:lang w:val="es-ES" w:bidi="es-ES"/>
        </w:rPr>
      </w:pPr>
      <w:r w:rsidRPr="005C2321">
        <w:rPr>
          <w:rFonts w:ascii="Arial" w:hAnsi="Arial" w:cs="Arial"/>
          <w:sz w:val="24"/>
          <w:szCs w:val="24"/>
          <w:lang w:val="es-ES" w:bidi="es-ES"/>
        </w:rPr>
        <w:t xml:space="preserve">Tabla </w:t>
      </w:r>
      <w:r w:rsidRPr="005C2321">
        <w:rPr>
          <w:rFonts w:ascii="Arial" w:hAnsi="Arial" w:cs="Arial"/>
          <w:sz w:val="24"/>
          <w:szCs w:val="24"/>
          <w:lang w:val="es-ES" w:bidi="es-ES"/>
        </w:rPr>
        <w:fldChar w:fldCharType="begin"/>
      </w:r>
      <w:r w:rsidRPr="005C2321">
        <w:rPr>
          <w:rFonts w:ascii="Arial" w:hAnsi="Arial" w:cs="Arial"/>
          <w:sz w:val="24"/>
          <w:szCs w:val="24"/>
          <w:lang w:val="es-ES" w:bidi="es-ES"/>
        </w:rPr>
        <w:instrText xml:space="preserve"> SEQ Tabla \* ARABIC </w:instrText>
      </w:r>
      <w:r w:rsidRPr="005C2321">
        <w:rPr>
          <w:rFonts w:ascii="Arial" w:hAnsi="Arial" w:cs="Arial"/>
          <w:sz w:val="24"/>
          <w:szCs w:val="24"/>
          <w:lang w:val="es-ES" w:bidi="es-ES"/>
        </w:rPr>
        <w:fldChar w:fldCharType="separate"/>
      </w:r>
      <w:r w:rsidR="004A1BA5" w:rsidRPr="005C2321">
        <w:rPr>
          <w:rFonts w:ascii="Arial" w:hAnsi="Arial" w:cs="Arial"/>
          <w:noProof/>
          <w:sz w:val="24"/>
          <w:szCs w:val="24"/>
          <w:lang w:val="es-ES" w:bidi="es-ES"/>
        </w:rPr>
        <w:t>3</w:t>
      </w:r>
      <w:r w:rsidRPr="005C2321">
        <w:rPr>
          <w:rFonts w:ascii="Arial" w:hAnsi="Arial" w:cs="Arial"/>
          <w:sz w:val="24"/>
          <w:szCs w:val="24"/>
          <w:lang w:val="es-ES" w:bidi="es-ES"/>
        </w:rPr>
        <w:fldChar w:fldCharType="end"/>
      </w:r>
      <w:r w:rsidRPr="005C2321">
        <w:rPr>
          <w:rFonts w:ascii="Arial" w:hAnsi="Arial" w:cs="Arial"/>
          <w:sz w:val="24"/>
          <w:szCs w:val="24"/>
          <w:lang w:val="es-ES" w:bidi="es-ES"/>
        </w:rPr>
        <w:t>: PEP resumido</w:t>
      </w:r>
    </w:p>
    <w:p w14:paraId="5C8AD9B7" w14:textId="77777777" w:rsidR="006A784E" w:rsidRPr="005C2321" w:rsidRDefault="00DE2601" w:rsidP="009024B7">
      <w:pPr>
        <w:pStyle w:val="BodyText"/>
        <w:ind w:left="360" w:firstLine="0"/>
        <w:rPr>
          <w:rFonts w:ascii="Arial" w:hAnsi="Arial" w:cs="Arial"/>
          <w:sz w:val="24"/>
          <w:szCs w:val="24"/>
          <w:lang w:val="es-ES" w:bidi="es-ES"/>
        </w:rPr>
      </w:pPr>
      <w:r w:rsidRPr="005C2321">
        <w:rPr>
          <w:rFonts w:ascii="Arial" w:hAnsi="Arial" w:cs="Arial"/>
          <w:noProof/>
          <w:lang w:val="es-MX" w:eastAsia="es-MX" w:bidi="ar-SA"/>
        </w:rPr>
        <w:drawing>
          <wp:inline distT="0" distB="0" distL="0" distR="0" wp14:anchorId="55CF1792" wp14:editId="07217A0E">
            <wp:extent cx="5335809" cy="15906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3036" cy="1598792"/>
                    </a:xfrm>
                    <a:prstGeom prst="rect">
                      <a:avLst/>
                    </a:prstGeom>
                    <a:noFill/>
                    <a:ln>
                      <a:noFill/>
                    </a:ln>
                  </pic:spPr>
                </pic:pic>
              </a:graphicData>
            </a:graphic>
          </wp:inline>
        </w:drawing>
      </w:r>
    </w:p>
    <w:p w14:paraId="48508381" w14:textId="77777777" w:rsidR="00CE6590" w:rsidRPr="005C2321" w:rsidRDefault="00CE6590" w:rsidP="00D00E6B">
      <w:pPr>
        <w:pStyle w:val="BodyText"/>
        <w:numPr>
          <w:ilvl w:val="1"/>
          <w:numId w:val="1"/>
        </w:numPr>
        <w:rPr>
          <w:rFonts w:ascii="Arial" w:hAnsi="Arial" w:cs="Arial"/>
          <w:sz w:val="24"/>
          <w:szCs w:val="24"/>
          <w:lang w:val="es-ES"/>
        </w:rPr>
      </w:pPr>
      <w:r w:rsidRPr="005C2321">
        <w:rPr>
          <w:rFonts w:ascii="Arial" w:hAnsi="Arial" w:cs="Arial"/>
          <w:sz w:val="24"/>
          <w:szCs w:val="24"/>
          <w:lang w:val="es-ES"/>
        </w:rPr>
        <w:t>Para una verdadera valoración económica de los recursos necesarios para la ejecución se está quitando los impuestos (10% de IVA y 10% de Impuesto a la Renta) a los precios de mercado de las diversas intervenciones consideradas en la Inversión.</w:t>
      </w:r>
    </w:p>
    <w:p w14:paraId="53D1B837" w14:textId="66742CD1" w:rsidR="00925817" w:rsidRPr="005C2321" w:rsidRDefault="00CE6590" w:rsidP="00CE6590">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Para lograr la sostenibilidad del proyecto se está considerando </w:t>
      </w:r>
      <w:r w:rsidR="00284E07" w:rsidRPr="005C2321">
        <w:rPr>
          <w:rFonts w:ascii="Arial" w:hAnsi="Arial" w:cs="Arial"/>
          <w:sz w:val="24"/>
          <w:szCs w:val="24"/>
          <w:lang w:val="es-ES"/>
        </w:rPr>
        <w:t xml:space="preserve">adicionalmente </w:t>
      </w:r>
      <w:r w:rsidRPr="005C2321">
        <w:rPr>
          <w:rFonts w:ascii="Arial" w:hAnsi="Arial" w:cs="Arial"/>
          <w:sz w:val="24"/>
          <w:szCs w:val="24"/>
          <w:lang w:val="es-ES"/>
        </w:rPr>
        <w:t>los costos siguiente</w:t>
      </w:r>
      <w:r w:rsidR="00157DC3" w:rsidRPr="005C2321">
        <w:rPr>
          <w:rFonts w:ascii="Arial" w:hAnsi="Arial" w:cs="Arial"/>
          <w:sz w:val="24"/>
          <w:szCs w:val="24"/>
          <w:lang w:val="es-ES"/>
        </w:rPr>
        <w:t>s</w:t>
      </w:r>
      <w:r w:rsidRPr="005C2321">
        <w:rPr>
          <w:rFonts w:ascii="Arial" w:hAnsi="Arial" w:cs="Arial"/>
          <w:sz w:val="24"/>
          <w:szCs w:val="24"/>
          <w:lang w:val="es-ES"/>
        </w:rPr>
        <w:t xml:space="preserve">: (a) A partir del año siguiente de concluida la ejecución del </w:t>
      </w:r>
      <w:r w:rsidRPr="005C2321">
        <w:rPr>
          <w:rFonts w:ascii="Arial" w:hAnsi="Arial" w:cs="Arial"/>
          <w:sz w:val="24"/>
          <w:szCs w:val="24"/>
          <w:lang w:val="es-ES"/>
        </w:rPr>
        <w:lastRenderedPageBreak/>
        <w:t xml:space="preserve">componente un 10% </w:t>
      </w:r>
      <w:r w:rsidR="00284E07" w:rsidRPr="005C2321">
        <w:rPr>
          <w:rFonts w:ascii="Arial" w:hAnsi="Arial" w:cs="Arial"/>
          <w:sz w:val="24"/>
          <w:szCs w:val="24"/>
          <w:lang w:val="es-ES"/>
        </w:rPr>
        <w:t xml:space="preserve">del monto de dicho componente </w:t>
      </w:r>
      <w:r w:rsidRPr="005C2321">
        <w:rPr>
          <w:rFonts w:ascii="Arial" w:hAnsi="Arial" w:cs="Arial"/>
          <w:sz w:val="24"/>
          <w:szCs w:val="24"/>
          <w:lang w:val="es-ES"/>
        </w:rPr>
        <w:t xml:space="preserve">para </w:t>
      </w:r>
      <w:r w:rsidR="00284E07" w:rsidRPr="005C2321">
        <w:rPr>
          <w:rFonts w:ascii="Arial" w:hAnsi="Arial" w:cs="Arial"/>
          <w:sz w:val="24"/>
          <w:szCs w:val="24"/>
          <w:lang w:val="es-ES"/>
        </w:rPr>
        <w:t xml:space="preserve">financiar la </w:t>
      </w:r>
      <w:r w:rsidRPr="005C2321">
        <w:rPr>
          <w:rFonts w:ascii="Arial" w:hAnsi="Arial" w:cs="Arial"/>
          <w:sz w:val="24"/>
          <w:szCs w:val="24"/>
          <w:lang w:val="es-ES"/>
        </w:rPr>
        <w:t>operación y mantenimiento</w:t>
      </w:r>
      <w:r w:rsidR="008D5AFA" w:rsidRPr="005C2321">
        <w:rPr>
          <w:rFonts w:ascii="Arial" w:hAnsi="Arial" w:cs="Arial"/>
          <w:sz w:val="24"/>
          <w:szCs w:val="24"/>
          <w:lang w:val="es-ES"/>
        </w:rPr>
        <w:t xml:space="preserve"> (profesionales funcionales y técnicos permanentes para apoyar el funcionamiento del SIFEN, SIARE-N, SIARE-M y el SICP-Transaccional, adicionalmente el costo de los servicios básicos adicionales por el mayor número de personas, </w:t>
      </w:r>
      <w:r w:rsidR="005B43E5" w:rsidRPr="005C2321">
        <w:rPr>
          <w:rFonts w:ascii="Arial" w:hAnsi="Arial" w:cs="Arial"/>
          <w:sz w:val="24"/>
          <w:szCs w:val="24"/>
          <w:lang w:val="es-ES"/>
        </w:rPr>
        <w:t xml:space="preserve">los </w:t>
      </w:r>
      <w:r w:rsidR="008D5AFA" w:rsidRPr="005C2321">
        <w:rPr>
          <w:rFonts w:ascii="Arial" w:hAnsi="Arial" w:cs="Arial"/>
          <w:sz w:val="24"/>
          <w:szCs w:val="24"/>
          <w:lang w:val="es-ES"/>
        </w:rPr>
        <w:t>gastos de mantenimiento periódico a los aplicativos informáticos y al hardware, entre otros)</w:t>
      </w:r>
      <w:r w:rsidR="00284E07" w:rsidRPr="005C2321">
        <w:rPr>
          <w:rFonts w:ascii="Arial" w:hAnsi="Arial" w:cs="Arial"/>
          <w:sz w:val="24"/>
          <w:szCs w:val="24"/>
          <w:lang w:val="es-ES"/>
        </w:rPr>
        <w:t xml:space="preserve">; (b) </w:t>
      </w:r>
      <w:r w:rsidR="005B43E5" w:rsidRPr="005C2321">
        <w:rPr>
          <w:rFonts w:ascii="Arial" w:hAnsi="Arial" w:cs="Arial"/>
          <w:sz w:val="24"/>
          <w:szCs w:val="24"/>
          <w:lang w:val="es-ES"/>
        </w:rPr>
        <w:t xml:space="preserve">considerando que este proyecto tiene un fuerte componente tecnológico se está considerando al año 9 un monto ascendiente al </w:t>
      </w:r>
      <w:r w:rsidR="00284E07" w:rsidRPr="005C2321">
        <w:rPr>
          <w:rFonts w:ascii="Arial" w:hAnsi="Arial" w:cs="Arial"/>
          <w:sz w:val="24"/>
          <w:szCs w:val="24"/>
          <w:lang w:val="es-ES"/>
        </w:rPr>
        <w:t>10% del componente</w:t>
      </w:r>
      <w:r w:rsidR="005B43E5" w:rsidRPr="005C2321">
        <w:rPr>
          <w:rFonts w:ascii="Arial" w:hAnsi="Arial" w:cs="Arial"/>
          <w:sz w:val="24"/>
          <w:szCs w:val="24"/>
          <w:lang w:val="es-ES"/>
        </w:rPr>
        <w:t>,</w:t>
      </w:r>
      <w:r w:rsidR="00284E07" w:rsidRPr="005C2321">
        <w:rPr>
          <w:rFonts w:ascii="Arial" w:hAnsi="Arial" w:cs="Arial"/>
          <w:sz w:val="24"/>
          <w:szCs w:val="24"/>
          <w:lang w:val="es-ES"/>
        </w:rPr>
        <w:t xml:space="preserve"> para financiar los gastos de reposiciones </w:t>
      </w:r>
      <w:r w:rsidR="005B43E5" w:rsidRPr="005C2321">
        <w:rPr>
          <w:rFonts w:ascii="Arial" w:hAnsi="Arial" w:cs="Arial"/>
          <w:sz w:val="24"/>
          <w:szCs w:val="24"/>
          <w:lang w:val="es-ES"/>
        </w:rPr>
        <w:t>(equipos informáticos que tenga vida útil menor a 4 años, tales como computadoras, estabilizadores, impresoras, entre otros).</w:t>
      </w:r>
    </w:p>
    <w:p w14:paraId="2F94F358" w14:textId="77777777" w:rsidR="00FD737F" w:rsidRPr="005C2321" w:rsidRDefault="00FD737F" w:rsidP="00FD737F">
      <w:pPr>
        <w:pStyle w:val="BodyText"/>
        <w:ind w:left="360" w:firstLine="0"/>
        <w:rPr>
          <w:rFonts w:ascii="Arial" w:hAnsi="Arial" w:cs="Arial"/>
          <w:sz w:val="24"/>
          <w:szCs w:val="24"/>
          <w:lang w:val="es-ES"/>
        </w:rPr>
      </w:pPr>
    </w:p>
    <w:p w14:paraId="6810A7D6" w14:textId="5EEF106E" w:rsidR="00A72344" w:rsidRPr="005C2321" w:rsidRDefault="00A72344">
      <w:pPr>
        <w:rPr>
          <w:rFonts w:ascii="Arial" w:eastAsia="Times New Roman" w:hAnsi="Arial" w:cs="Arial"/>
          <w:b/>
          <w:sz w:val="24"/>
          <w:szCs w:val="24"/>
          <w:lang w:val="es-ES" w:eastAsia="es-ES" w:bidi="hi-IN"/>
        </w:rPr>
      </w:pPr>
    </w:p>
    <w:p w14:paraId="3431F355" w14:textId="77777777" w:rsidR="00E05262" w:rsidRPr="005C2321" w:rsidRDefault="00E05262">
      <w:pPr>
        <w:rPr>
          <w:rFonts w:ascii="Arial" w:eastAsia="Times New Roman" w:hAnsi="Arial" w:cs="Arial"/>
          <w:b/>
          <w:sz w:val="24"/>
          <w:szCs w:val="24"/>
          <w:lang w:val="es-ES" w:eastAsia="es-ES" w:bidi="hi-IN"/>
        </w:rPr>
      </w:pPr>
      <w:r w:rsidRPr="005C2321">
        <w:rPr>
          <w:rFonts w:ascii="Arial" w:hAnsi="Arial" w:cs="Arial"/>
          <w:caps/>
          <w:sz w:val="24"/>
          <w:szCs w:val="24"/>
          <w:lang w:val="es-ES"/>
        </w:rPr>
        <w:br w:type="page"/>
      </w:r>
    </w:p>
    <w:p w14:paraId="004836E3" w14:textId="37899550" w:rsidR="006B15BA" w:rsidRPr="005C2321" w:rsidRDefault="00F43393" w:rsidP="00F43393">
      <w:pPr>
        <w:pStyle w:val="Heading1"/>
        <w:numPr>
          <w:ilvl w:val="0"/>
          <w:numId w:val="1"/>
        </w:numPr>
        <w:jc w:val="left"/>
        <w:rPr>
          <w:rFonts w:ascii="Arial" w:hAnsi="Arial" w:cs="Arial"/>
          <w:caps w:val="0"/>
          <w:spacing w:val="0"/>
          <w:kern w:val="0"/>
          <w:sz w:val="24"/>
          <w:szCs w:val="24"/>
          <w:lang w:val="es-ES"/>
        </w:rPr>
      </w:pPr>
      <w:bookmarkStart w:id="12" w:name="_Toc523133734"/>
      <w:r w:rsidRPr="005C2321">
        <w:rPr>
          <w:rFonts w:ascii="Arial" w:hAnsi="Arial" w:cs="Arial"/>
          <w:caps w:val="0"/>
          <w:spacing w:val="0"/>
          <w:kern w:val="0"/>
          <w:sz w:val="24"/>
          <w:szCs w:val="24"/>
          <w:lang w:val="es-ES"/>
        </w:rPr>
        <w:lastRenderedPageBreak/>
        <w:t>Explicación de l</w:t>
      </w:r>
      <w:r w:rsidR="0037406F" w:rsidRPr="005C2321">
        <w:rPr>
          <w:rFonts w:ascii="Arial" w:hAnsi="Arial" w:cs="Arial"/>
          <w:caps w:val="0"/>
          <w:spacing w:val="0"/>
          <w:kern w:val="0"/>
          <w:sz w:val="24"/>
          <w:szCs w:val="24"/>
          <w:lang w:val="es-ES"/>
        </w:rPr>
        <w:t>o</w:t>
      </w:r>
      <w:r w:rsidRPr="005C2321">
        <w:rPr>
          <w:rFonts w:ascii="Arial" w:hAnsi="Arial" w:cs="Arial"/>
          <w:caps w:val="0"/>
          <w:spacing w:val="0"/>
          <w:kern w:val="0"/>
          <w:sz w:val="24"/>
          <w:szCs w:val="24"/>
          <w:lang w:val="es-ES"/>
        </w:rPr>
        <w:t xml:space="preserve">s </w:t>
      </w:r>
      <w:r w:rsidR="0037406F" w:rsidRPr="005C2321">
        <w:rPr>
          <w:rFonts w:ascii="Arial" w:hAnsi="Arial" w:cs="Arial"/>
          <w:caps w:val="0"/>
          <w:spacing w:val="0"/>
          <w:kern w:val="0"/>
          <w:sz w:val="24"/>
          <w:szCs w:val="24"/>
          <w:lang w:val="es-ES"/>
        </w:rPr>
        <w:t xml:space="preserve">supuestos </w:t>
      </w:r>
      <w:r w:rsidRPr="005C2321">
        <w:rPr>
          <w:rFonts w:ascii="Arial" w:hAnsi="Arial" w:cs="Arial"/>
          <w:caps w:val="0"/>
          <w:spacing w:val="0"/>
          <w:kern w:val="0"/>
          <w:sz w:val="24"/>
          <w:szCs w:val="24"/>
          <w:lang w:val="es-ES"/>
        </w:rPr>
        <w:t>utilizad</w:t>
      </w:r>
      <w:r w:rsidR="0037406F" w:rsidRPr="005C2321">
        <w:rPr>
          <w:rFonts w:ascii="Arial" w:hAnsi="Arial" w:cs="Arial"/>
          <w:caps w:val="0"/>
          <w:spacing w:val="0"/>
          <w:kern w:val="0"/>
          <w:sz w:val="24"/>
          <w:szCs w:val="24"/>
          <w:lang w:val="es-ES"/>
        </w:rPr>
        <w:t>o</w:t>
      </w:r>
      <w:r w:rsidRPr="005C2321">
        <w:rPr>
          <w:rFonts w:ascii="Arial" w:hAnsi="Arial" w:cs="Arial"/>
          <w:caps w:val="0"/>
          <w:spacing w:val="0"/>
          <w:kern w:val="0"/>
          <w:sz w:val="24"/>
          <w:szCs w:val="24"/>
          <w:lang w:val="es-ES"/>
        </w:rPr>
        <w:t>s</w:t>
      </w:r>
      <w:bookmarkEnd w:id="12"/>
      <w:r w:rsidRPr="005C2321">
        <w:rPr>
          <w:rFonts w:ascii="Arial" w:hAnsi="Arial" w:cs="Arial"/>
          <w:caps w:val="0"/>
          <w:spacing w:val="0"/>
          <w:kern w:val="0"/>
          <w:sz w:val="24"/>
          <w:szCs w:val="24"/>
          <w:lang w:val="es-ES"/>
        </w:rPr>
        <w:t xml:space="preserve"> </w:t>
      </w:r>
    </w:p>
    <w:p w14:paraId="6D6E539E" w14:textId="37BBE046" w:rsidR="00F43393" w:rsidRPr="005C2321" w:rsidRDefault="00F43393" w:rsidP="00F43393">
      <w:pPr>
        <w:pStyle w:val="BodyText"/>
        <w:numPr>
          <w:ilvl w:val="1"/>
          <w:numId w:val="1"/>
        </w:numPr>
        <w:rPr>
          <w:rFonts w:ascii="Arial" w:hAnsi="Arial" w:cs="Arial"/>
          <w:sz w:val="24"/>
          <w:szCs w:val="24"/>
          <w:lang w:val="es-ES"/>
        </w:rPr>
      </w:pPr>
      <w:r w:rsidRPr="005C2321">
        <w:rPr>
          <w:rFonts w:ascii="Arial" w:hAnsi="Arial" w:cs="Arial"/>
          <w:sz w:val="24"/>
          <w:szCs w:val="24"/>
          <w:lang w:val="es-ES"/>
        </w:rPr>
        <w:t>A continuación</w:t>
      </w:r>
      <w:r w:rsidR="005F56E6" w:rsidRPr="005C2321">
        <w:rPr>
          <w:rFonts w:ascii="Arial" w:hAnsi="Arial" w:cs="Arial"/>
          <w:sz w:val="24"/>
          <w:szCs w:val="24"/>
          <w:lang w:val="es-ES"/>
        </w:rPr>
        <w:t>,</w:t>
      </w:r>
      <w:r w:rsidRPr="005C2321">
        <w:rPr>
          <w:rFonts w:ascii="Arial" w:hAnsi="Arial" w:cs="Arial"/>
          <w:sz w:val="24"/>
          <w:szCs w:val="24"/>
          <w:lang w:val="es-ES"/>
        </w:rPr>
        <w:t xml:space="preserve"> se presenta</w:t>
      </w:r>
      <w:r w:rsidR="00157DC3" w:rsidRPr="005C2321">
        <w:rPr>
          <w:rFonts w:ascii="Arial" w:hAnsi="Arial" w:cs="Arial"/>
          <w:sz w:val="24"/>
          <w:szCs w:val="24"/>
          <w:lang w:val="es-ES"/>
        </w:rPr>
        <w:t>n</w:t>
      </w:r>
      <w:r w:rsidRPr="005C2321">
        <w:rPr>
          <w:rFonts w:ascii="Arial" w:hAnsi="Arial" w:cs="Arial"/>
          <w:sz w:val="24"/>
          <w:szCs w:val="24"/>
          <w:lang w:val="es-ES"/>
        </w:rPr>
        <w:t xml:space="preserve"> los principales supuestos utilizados y la explicación correspondiente</w:t>
      </w:r>
      <w:r w:rsidR="00017D22" w:rsidRPr="005C2321">
        <w:rPr>
          <w:rFonts w:ascii="Arial" w:hAnsi="Arial" w:cs="Arial"/>
          <w:sz w:val="24"/>
          <w:szCs w:val="24"/>
          <w:lang w:val="es-ES"/>
        </w:rPr>
        <w:t xml:space="preserve"> para los beneficios</w:t>
      </w:r>
      <w:r w:rsidRPr="005C2321">
        <w:rPr>
          <w:rFonts w:ascii="Arial" w:hAnsi="Arial" w:cs="Arial"/>
          <w:sz w:val="24"/>
          <w:szCs w:val="24"/>
          <w:lang w:val="es-ES"/>
        </w:rPr>
        <w:t>:</w:t>
      </w:r>
    </w:p>
    <w:p w14:paraId="30312FF3" w14:textId="77777777" w:rsidR="00017D22" w:rsidRPr="005C2321" w:rsidRDefault="00017D22" w:rsidP="00017D22">
      <w:pPr>
        <w:pStyle w:val="BodyText"/>
        <w:ind w:firstLine="0"/>
        <w:rPr>
          <w:rFonts w:ascii="Arial" w:hAnsi="Arial" w:cs="Arial"/>
          <w:b/>
          <w:sz w:val="24"/>
          <w:szCs w:val="24"/>
          <w:lang w:val="es-ES"/>
        </w:rPr>
      </w:pPr>
      <w:r w:rsidRPr="005C2321">
        <w:rPr>
          <w:rFonts w:ascii="Arial" w:hAnsi="Arial" w:cs="Arial"/>
          <w:b/>
          <w:sz w:val="24"/>
          <w:szCs w:val="24"/>
          <w:lang w:val="es-ES"/>
        </w:rPr>
        <w:t>Beneficio 1: Incremento de los beneficios sociales por incremento de recaudación.</w:t>
      </w:r>
    </w:p>
    <w:p w14:paraId="2FE3ADBC" w14:textId="6CDDC8BF" w:rsidR="00B821F3" w:rsidRPr="005C2321" w:rsidRDefault="00E45467" w:rsidP="00017D22">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En la situación sin proyecto tenemos la información siguiente: (i) </w:t>
      </w:r>
      <w:r w:rsidR="00017D22" w:rsidRPr="005C2321">
        <w:rPr>
          <w:rFonts w:ascii="Arial" w:hAnsi="Arial" w:cs="Arial"/>
          <w:sz w:val="24"/>
          <w:szCs w:val="24"/>
          <w:lang w:val="es-ES"/>
        </w:rPr>
        <w:t xml:space="preserve">De acuerdo a la información de la SET, Paraguay </w:t>
      </w:r>
      <w:r w:rsidRPr="005C2321">
        <w:rPr>
          <w:rFonts w:ascii="Arial" w:hAnsi="Arial" w:cs="Arial"/>
          <w:sz w:val="24"/>
          <w:szCs w:val="24"/>
          <w:lang w:val="es-ES"/>
        </w:rPr>
        <w:t xml:space="preserve">tuvo </w:t>
      </w:r>
      <w:r w:rsidR="00017D22" w:rsidRPr="005C2321">
        <w:rPr>
          <w:rFonts w:ascii="Arial" w:hAnsi="Arial" w:cs="Arial"/>
          <w:sz w:val="24"/>
          <w:szCs w:val="24"/>
          <w:lang w:val="es-ES"/>
        </w:rPr>
        <w:t xml:space="preserve">un ingreso tributario </w:t>
      </w:r>
      <w:r w:rsidRPr="005C2321">
        <w:rPr>
          <w:rFonts w:ascii="Arial" w:hAnsi="Arial" w:cs="Arial"/>
          <w:sz w:val="24"/>
          <w:szCs w:val="24"/>
          <w:lang w:val="es-ES"/>
        </w:rPr>
        <w:t xml:space="preserve">para el 2017 </w:t>
      </w:r>
      <w:r w:rsidR="00017D22" w:rsidRPr="005C2321">
        <w:rPr>
          <w:rFonts w:ascii="Arial" w:hAnsi="Arial" w:cs="Arial"/>
          <w:sz w:val="24"/>
          <w:szCs w:val="24"/>
          <w:lang w:val="es-ES"/>
        </w:rPr>
        <w:t>asc</w:t>
      </w:r>
      <w:r w:rsidRPr="005C2321">
        <w:rPr>
          <w:rFonts w:ascii="Arial" w:hAnsi="Arial" w:cs="Arial"/>
          <w:sz w:val="24"/>
          <w:szCs w:val="24"/>
          <w:lang w:val="es-ES"/>
        </w:rPr>
        <w:t xml:space="preserve">endiente a </w:t>
      </w:r>
      <w:r w:rsidR="00017D22" w:rsidRPr="005C2321">
        <w:rPr>
          <w:rFonts w:ascii="Arial" w:hAnsi="Arial" w:cs="Arial"/>
          <w:sz w:val="24"/>
          <w:szCs w:val="24"/>
          <w:lang w:val="es-ES"/>
        </w:rPr>
        <w:t>US$ 3 739 millones</w:t>
      </w:r>
      <w:r w:rsidR="00017D22" w:rsidRPr="005C2321">
        <w:rPr>
          <w:rStyle w:val="FootnoteReference"/>
          <w:rFonts w:ascii="Arial" w:hAnsi="Arial" w:cs="Arial"/>
          <w:sz w:val="24"/>
          <w:szCs w:val="24"/>
          <w:lang w:val="es-ES"/>
        </w:rPr>
        <w:footnoteReference w:id="27"/>
      </w:r>
      <w:r w:rsidR="00B64B82" w:rsidRPr="005C2321">
        <w:rPr>
          <w:rFonts w:ascii="Arial" w:hAnsi="Arial" w:cs="Arial"/>
          <w:sz w:val="24"/>
          <w:szCs w:val="24"/>
          <w:lang w:val="es-ES"/>
        </w:rPr>
        <w:t>;</w:t>
      </w:r>
      <w:r w:rsidRPr="005C2321">
        <w:rPr>
          <w:rFonts w:ascii="Arial" w:hAnsi="Arial" w:cs="Arial"/>
          <w:sz w:val="24"/>
          <w:szCs w:val="24"/>
          <w:lang w:val="es-ES"/>
        </w:rPr>
        <w:t xml:space="preserve"> (ii) </w:t>
      </w:r>
      <w:r w:rsidR="00B64B82" w:rsidRPr="005C2321">
        <w:rPr>
          <w:rFonts w:ascii="Arial" w:hAnsi="Arial" w:cs="Arial"/>
          <w:sz w:val="24"/>
          <w:szCs w:val="24"/>
          <w:lang w:val="es-ES"/>
        </w:rPr>
        <w:t xml:space="preserve">como es necesario realizar la evaluación del proyecto a 10 años, se está asumiendo como </w:t>
      </w:r>
      <w:r w:rsidR="00B64B82" w:rsidRPr="005C2321">
        <w:rPr>
          <w:rFonts w:ascii="Arial" w:hAnsi="Arial" w:cs="Arial"/>
          <w:b/>
          <w:sz w:val="24"/>
          <w:szCs w:val="24"/>
          <w:lang w:val="es-ES"/>
        </w:rPr>
        <w:t>supuesto</w:t>
      </w:r>
      <w:r w:rsidR="004352AA" w:rsidRPr="005C2321">
        <w:rPr>
          <w:rFonts w:ascii="Arial" w:hAnsi="Arial" w:cs="Arial"/>
          <w:b/>
          <w:sz w:val="24"/>
          <w:szCs w:val="24"/>
          <w:lang w:val="es-ES"/>
        </w:rPr>
        <w:t xml:space="preserve"> 1</w:t>
      </w:r>
      <w:r w:rsidR="00B64B82" w:rsidRPr="005C2321">
        <w:rPr>
          <w:rFonts w:ascii="Arial" w:hAnsi="Arial" w:cs="Arial"/>
          <w:sz w:val="24"/>
          <w:szCs w:val="24"/>
          <w:lang w:val="es-ES"/>
        </w:rPr>
        <w:t xml:space="preserve"> que la recaudación sube a una tasa de </w:t>
      </w:r>
      <w:r w:rsidR="00017D22" w:rsidRPr="005C2321">
        <w:rPr>
          <w:rFonts w:ascii="Arial" w:hAnsi="Arial" w:cs="Arial"/>
          <w:sz w:val="24"/>
          <w:szCs w:val="24"/>
          <w:lang w:val="es-ES"/>
        </w:rPr>
        <w:t>1.53%</w:t>
      </w:r>
      <w:r w:rsidR="00B64B82" w:rsidRPr="005C2321">
        <w:rPr>
          <w:rFonts w:ascii="Arial" w:hAnsi="Arial" w:cs="Arial"/>
          <w:sz w:val="24"/>
          <w:szCs w:val="24"/>
          <w:lang w:val="es-ES"/>
        </w:rPr>
        <w:t xml:space="preserve"> que corresponde a la tasa promedio anual de crecimiento de </w:t>
      </w:r>
      <w:r w:rsidR="004C1075" w:rsidRPr="005C2321">
        <w:rPr>
          <w:rFonts w:ascii="Arial" w:hAnsi="Arial" w:cs="Arial"/>
          <w:sz w:val="24"/>
          <w:szCs w:val="24"/>
          <w:lang w:val="es-ES"/>
        </w:rPr>
        <w:t xml:space="preserve">la </w:t>
      </w:r>
      <w:r w:rsidR="00B64B82" w:rsidRPr="005C2321">
        <w:rPr>
          <w:rFonts w:ascii="Arial" w:hAnsi="Arial" w:cs="Arial"/>
          <w:sz w:val="24"/>
          <w:szCs w:val="24"/>
          <w:lang w:val="es-ES"/>
        </w:rPr>
        <w:t>presión tributaria del Paraguay</w:t>
      </w:r>
      <w:r w:rsidR="004C1075" w:rsidRPr="005C2321">
        <w:rPr>
          <w:rFonts w:ascii="Arial" w:hAnsi="Arial" w:cs="Arial"/>
          <w:sz w:val="24"/>
          <w:szCs w:val="24"/>
          <w:lang w:val="es-ES"/>
        </w:rPr>
        <w:t xml:space="preserve">, esto con el objeto de suavizar el crecimiento </w:t>
      </w:r>
      <w:r w:rsidR="004352AA" w:rsidRPr="005C2321">
        <w:rPr>
          <w:rFonts w:ascii="Arial" w:hAnsi="Arial" w:cs="Arial"/>
          <w:sz w:val="24"/>
          <w:szCs w:val="24"/>
          <w:lang w:val="es-ES"/>
        </w:rPr>
        <w:t xml:space="preserve">promedio anual </w:t>
      </w:r>
      <w:r w:rsidR="004C1075" w:rsidRPr="005C2321">
        <w:rPr>
          <w:rFonts w:ascii="Arial" w:hAnsi="Arial" w:cs="Arial"/>
          <w:sz w:val="24"/>
          <w:szCs w:val="24"/>
          <w:lang w:val="es-ES"/>
        </w:rPr>
        <w:t>de 9,6%  que ha registrado la recaudación tributaria</w:t>
      </w:r>
      <w:r w:rsidR="004352AA" w:rsidRPr="005C2321">
        <w:rPr>
          <w:rFonts w:ascii="Arial" w:hAnsi="Arial" w:cs="Arial"/>
          <w:sz w:val="24"/>
          <w:szCs w:val="24"/>
          <w:lang w:val="es-ES"/>
        </w:rPr>
        <w:t xml:space="preserve"> ya que dicho </w:t>
      </w:r>
      <w:r w:rsidR="004C1075" w:rsidRPr="005C2321">
        <w:rPr>
          <w:rFonts w:ascii="Arial" w:hAnsi="Arial" w:cs="Arial"/>
          <w:sz w:val="24"/>
          <w:szCs w:val="24"/>
          <w:lang w:val="es-ES"/>
        </w:rPr>
        <w:t>histórico podría generar beneficios demasiados altos</w:t>
      </w:r>
      <w:r w:rsidR="004352AA" w:rsidRPr="005C2321">
        <w:rPr>
          <w:rFonts w:ascii="Arial" w:hAnsi="Arial" w:cs="Arial"/>
          <w:sz w:val="24"/>
          <w:szCs w:val="24"/>
          <w:lang w:val="es-ES"/>
        </w:rPr>
        <w:t>; (iii)</w:t>
      </w:r>
      <w:r w:rsidR="00B64B82" w:rsidRPr="005C2321">
        <w:rPr>
          <w:rFonts w:ascii="Arial" w:hAnsi="Arial" w:cs="Arial"/>
          <w:sz w:val="24"/>
          <w:szCs w:val="24"/>
          <w:lang w:val="es-ES"/>
        </w:rPr>
        <w:t xml:space="preserve"> </w:t>
      </w:r>
      <w:r w:rsidR="00017D22" w:rsidRPr="005C2321">
        <w:rPr>
          <w:rFonts w:ascii="Arial" w:hAnsi="Arial" w:cs="Arial"/>
          <w:sz w:val="24"/>
          <w:szCs w:val="24"/>
          <w:lang w:val="es-ES"/>
        </w:rPr>
        <w:t>Otro dato relevante proporcionado por el Ministerio de Hacienda es que del total del presupuesto, Paraguay destina a inversiones un 35%</w:t>
      </w:r>
      <w:r w:rsidR="004352AA" w:rsidRPr="005C2321">
        <w:rPr>
          <w:rStyle w:val="FootnoteReference"/>
          <w:rFonts w:ascii="Arial" w:hAnsi="Arial" w:cs="Arial"/>
          <w:sz w:val="24"/>
          <w:szCs w:val="24"/>
          <w:lang w:val="es-ES"/>
        </w:rPr>
        <w:footnoteReference w:id="28"/>
      </w:r>
      <w:r w:rsidR="004352AA" w:rsidRPr="005C2321">
        <w:rPr>
          <w:rFonts w:ascii="Arial" w:hAnsi="Arial" w:cs="Arial"/>
          <w:sz w:val="24"/>
          <w:szCs w:val="24"/>
          <w:lang w:val="es-ES"/>
        </w:rPr>
        <w:t>;</w:t>
      </w:r>
      <w:r w:rsidR="00B821F3" w:rsidRPr="005C2321">
        <w:rPr>
          <w:rFonts w:ascii="Arial" w:hAnsi="Arial" w:cs="Arial"/>
          <w:sz w:val="24"/>
          <w:szCs w:val="24"/>
          <w:lang w:val="es-ES"/>
        </w:rPr>
        <w:t xml:space="preserve"> y </w:t>
      </w:r>
      <w:r w:rsidR="004352AA" w:rsidRPr="005C2321">
        <w:rPr>
          <w:rFonts w:ascii="Arial" w:hAnsi="Arial" w:cs="Arial"/>
          <w:sz w:val="24"/>
          <w:szCs w:val="24"/>
          <w:lang w:val="es-ES"/>
        </w:rPr>
        <w:t xml:space="preserve">(iv) </w:t>
      </w:r>
      <w:r w:rsidR="00017D22" w:rsidRPr="005C2321">
        <w:rPr>
          <w:rFonts w:ascii="Arial" w:hAnsi="Arial" w:cs="Arial"/>
          <w:sz w:val="24"/>
          <w:szCs w:val="24"/>
          <w:lang w:val="es-ES"/>
        </w:rPr>
        <w:t xml:space="preserve">así mismo el Sistema Nacional de Inversión de Paraguay establece que para ejecutar sus inversiones, estas deben al menos demostrar una rentabilidad social de </w:t>
      </w:r>
      <w:r w:rsidR="008C213B" w:rsidRPr="005C2321">
        <w:rPr>
          <w:rFonts w:ascii="Arial" w:hAnsi="Arial" w:cs="Arial"/>
          <w:sz w:val="24"/>
          <w:szCs w:val="24"/>
          <w:lang w:val="es-ES"/>
        </w:rPr>
        <w:t xml:space="preserve">9 </w:t>
      </w:r>
      <w:r w:rsidR="00017D22" w:rsidRPr="005C2321">
        <w:rPr>
          <w:rFonts w:ascii="Arial" w:hAnsi="Arial" w:cs="Arial"/>
          <w:sz w:val="24"/>
          <w:szCs w:val="24"/>
          <w:lang w:val="es-ES"/>
        </w:rPr>
        <w:t>%</w:t>
      </w:r>
      <w:r w:rsidR="00017D22" w:rsidRPr="005C2321">
        <w:rPr>
          <w:rStyle w:val="FootnoteReference"/>
          <w:rFonts w:ascii="Arial" w:hAnsi="Arial" w:cs="Arial"/>
          <w:sz w:val="24"/>
          <w:szCs w:val="24"/>
          <w:lang w:val="es-ES"/>
        </w:rPr>
        <w:footnoteReference w:id="29"/>
      </w:r>
      <w:r w:rsidR="004352AA" w:rsidRPr="005C2321">
        <w:rPr>
          <w:rFonts w:ascii="Arial" w:hAnsi="Arial" w:cs="Arial"/>
          <w:sz w:val="24"/>
          <w:szCs w:val="24"/>
          <w:lang w:val="es-ES"/>
        </w:rPr>
        <w:t xml:space="preserve">; </w:t>
      </w:r>
    </w:p>
    <w:p w14:paraId="1B2FE230" w14:textId="4659A637" w:rsidR="00B821F3" w:rsidRPr="005C2321" w:rsidRDefault="00B821F3" w:rsidP="00017D22">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La situación con proyecto planteada toma </w:t>
      </w:r>
      <w:r w:rsidR="00017D22" w:rsidRPr="005C2321">
        <w:rPr>
          <w:rFonts w:ascii="Arial" w:hAnsi="Arial" w:cs="Arial"/>
          <w:sz w:val="24"/>
          <w:szCs w:val="24"/>
          <w:lang w:val="es-ES"/>
        </w:rPr>
        <w:t>en consideración las diversas evaluaciones de impacto realizadas</w:t>
      </w:r>
      <w:r w:rsidR="00BE00BE" w:rsidRPr="005C2321">
        <w:rPr>
          <w:rFonts w:ascii="Arial" w:hAnsi="Arial" w:cs="Arial"/>
          <w:sz w:val="24"/>
          <w:szCs w:val="24"/>
          <w:lang w:val="es-ES"/>
        </w:rPr>
        <w:t>,</w:t>
      </w:r>
      <w:r w:rsidR="00017D22" w:rsidRPr="005C2321">
        <w:rPr>
          <w:rFonts w:ascii="Arial" w:hAnsi="Arial" w:cs="Arial"/>
          <w:sz w:val="24"/>
          <w:szCs w:val="24"/>
          <w:lang w:val="es-ES"/>
        </w:rPr>
        <w:t xml:space="preserve"> como es el caso de Argentina donde se demuestra que la implementación de la factura electrónica ha tenido un impacto en la recaudación que va desde 0 a 10.7%, </w:t>
      </w:r>
      <w:r w:rsidRPr="005C2321">
        <w:rPr>
          <w:rFonts w:ascii="Arial" w:hAnsi="Arial" w:cs="Arial"/>
          <w:sz w:val="24"/>
          <w:szCs w:val="24"/>
          <w:lang w:val="es-ES"/>
        </w:rPr>
        <w:t xml:space="preserve">sin embargo </w:t>
      </w:r>
      <w:r w:rsidR="00017D22" w:rsidRPr="005C2321">
        <w:rPr>
          <w:rFonts w:ascii="Arial" w:hAnsi="Arial" w:cs="Arial"/>
          <w:sz w:val="24"/>
          <w:szCs w:val="24"/>
          <w:lang w:val="es-ES"/>
        </w:rPr>
        <w:t xml:space="preserve">para el presente </w:t>
      </w:r>
      <w:r w:rsidR="004352AA" w:rsidRPr="005C2321">
        <w:rPr>
          <w:rFonts w:ascii="Arial" w:hAnsi="Arial" w:cs="Arial"/>
          <w:sz w:val="24"/>
          <w:szCs w:val="24"/>
          <w:lang w:val="es-ES"/>
        </w:rPr>
        <w:t xml:space="preserve">beneficio </w:t>
      </w:r>
      <w:r w:rsidR="00017D22" w:rsidRPr="005C2321">
        <w:rPr>
          <w:rFonts w:ascii="Arial" w:hAnsi="Arial" w:cs="Arial"/>
          <w:sz w:val="24"/>
          <w:szCs w:val="24"/>
          <w:lang w:val="es-ES"/>
        </w:rPr>
        <w:t xml:space="preserve">se ha considerado </w:t>
      </w:r>
      <w:r w:rsidR="004352AA" w:rsidRPr="005C2321">
        <w:rPr>
          <w:rFonts w:ascii="Arial" w:hAnsi="Arial" w:cs="Arial"/>
          <w:sz w:val="24"/>
          <w:szCs w:val="24"/>
          <w:lang w:val="es-ES"/>
        </w:rPr>
        <w:t xml:space="preserve">el </w:t>
      </w:r>
      <w:r w:rsidR="004352AA" w:rsidRPr="005C2321">
        <w:rPr>
          <w:rFonts w:ascii="Arial" w:hAnsi="Arial" w:cs="Arial"/>
          <w:b/>
          <w:sz w:val="24"/>
          <w:szCs w:val="24"/>
          <w:lang w:val="es-ES"/>
        </w:rPr>
        <w:t>supuesto 2</w:t>
      </w:r>
      <w:r w:rsidR="004352AA" w:rsidRPr="005C2321">
        <w:rPr>
          <w:rFonts w:ascii="Arial" w:hAnsi="Arial" w:cs="Arial"/>
          <w:sz w:val="24"/>
          <w:szCs w:val="24"/>
          <w:lang w:val="es-ES"/>
        </w:rPr>
        <w:t xml:space="preserve"> </w:t>
      </w:r>
      <w:r w:rsidR="00017D22" w:rsidRPr="005C2321">
        <w:rPr>
          <w:rFonts w:ascii="Arial" w:hAnsi="Arial" w:cs="Arial"/>
          <w:sz w:val="24"/>
          <w:szCs w:val="24"/>
          <w:lang w:val="es-ES"/>
        </w:rPr>
        <w:t xml:space="preserve">que </w:t>
      </w:r>
      <w:r w:rsidR="004352AA" w:rsidRPr="005C2321">
        <w:rPr>
          <w:rFonts w:ascii="Arial" w:hAnsi="Arial" w:cs="Arial"/>
          <w:sz w:val="24"/>
          <w:szCs w:val="24"/>
          <w:lang w:val="es-ES"/>
        </w:rPr>
        <w:t xml:space="preserve">consiste en que la factura electrónica sólo tendrá una mejora en la recaudación del </w:t>
      </w:r>
      <w:r w:rsidR="00017D22" w:rsidRPr="005C2321">
        <w:rPr>
          <w:rFonts w:ascii="Arial" w:hAnsi="Arial" w:cs="Arial"/>
          <w:sz w:val="24"/>
          <w:szCs w:val="24"/>
          <w:lang w:val="es-ES"/>
        </w:rPr>
        <w:t>1%</w:t>
      </w:r>
      <w:r w:rsidR="004352AA" w:rsidRPr="005C2321">
        <w:rPr>
          <w:rFonts w:ascii="Arial" w:hAnsi="Arial" w:cs="Arial"/>
          <w:sz w:val="24"/>
          <w:szCs w:val="24"/>
          <w:lang w:val="es-ES"/>
        </w:rPr>
        <w:t xml:space="preserve"> anual a lo largo de los 10 años de evaluación</w:t>
      </w:r>
      <w:r w:rsidR="00BE00BE" w:rsidRPr="005C2321">
        <w:rPr>
          <w:rFonts w:ascii="Arial" w:hAnsi="Arial" w:cs="Arial"/>
          <w:sz w:val="24"/>
          <w:szCs w:val="24"/>
          <w:lang w:val="es-ES"/>
        </w:rPr>
        <w:t>,</w:t>
      </w:r>
      <w:r w:rsidR="00017D22" w:rsidRPr="005C2321">
        <w:rPr>
          <w:rFonts w:ascii="Arial" w:hAnsi="Arial" w:cs="Arial"/>
          <w:sz w:val="24"/>
          <w:szCs w:val="24"/>
          <w:lang w:val="es-ES"/>
        </w:rPr>
        <w:t xml:space="preserve"> lo cual es extremadamente pesimista. </w:t>
      </w:r>
    </w:p>
    <w:p w14:paraId="6FF2F8A3" w14:textId="17E887C1" w:rsidR="00861D2F" w:rsidRPr="005C2321" w:rsidRDefault="00B821F3" w:rsidP="00A566ED">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Para </w:t>
      </w:r>
      <w:r w:rsidR="00017D22" w:rsidRPr="005C2321">
        <w:rPr>
          <w:rFonts w:ascii="Arial" w:hAnsi="Arial" w:cs="Arial"/>
          <w:sz w:val="24"/>
          <w:szCs w:val="24"/>
          <w:lang w:val="es-ES"/>
        </w:rPr>
        <w:t xml:space="preserve">Tomando todo lo señalado se realiza el cálculo en el Anexo IV donde se puede apreciar que la recaudación incremental genera una inversión incremental, </w:t>
      </w:r>
      <w:r w:rsidRPr="005C2321">
        <w:rPr>
          <w:rFonts w:ascii="Arial" w:hAnsi="Arial" w:cs="Arial"/>
          <w:sz w:val="24"/>
          <w:szCs w:val="24"/>
          <w:lang w:val="es-ES"/>
        </w:rPr>
        <w:t xml:space="preserve">y esta a su vez </w:t>
      </w:r>
      <w:r w:rsidR="00017D22" w:rsidRPr="005C2321">
        <w:rPr>
          <w:rFonts w:ascii="Arial" w:hAnsi="Arial" w:cs="Arial"/>
          <w:sz w:val="24"/>
          <w:szCs w:val="24"/>
          <w:lang w:val="es-ES"/>
        </w:rPr>
        <w:t>generar un beneficio social incremental que puede ser atribuido al proyecto y asciende a US$ 4.3 millones.</w:t>
      </w:r>
      <w:r w:rsidR="005B43E5" w:rsidRPr="005C2321">
        <w:rPr>
          <w:rFonts w:ascii="Arial" w:hAnsi="Arial" w:cs="Arial"/>
          <w:sz w:val="24"/>
          <w:szCs w:val="24"/>
          <w:lang w:val="es-ES"/>
        </w:rPr>
        <w:t xml:space="preserve"> </w:t>
      </w:r>
    </w:p>
    <w:p w14:paraId="0692DE28" w14:textId="77777777" w:rsidR="00017D22" w:rsidRPr="005C2321" w:rsidRDefault="00017D22" w:rsidP="00017D22">
      <w:pPr>
        <w:pStyle w:val="BodyText"/>
        <w:ind w:firstLine="0"/>
        <w:rPr>
          <w:rFonts w:ascii="Arial" w:hAnsi="Arial" w:cs="Arial"/>
          <w:b/>
          <w:sz w:val="24"/>
          <w:szCs w:val="24"/>
          <w:lang w:val="es-ES"/>
        </w:rPr>
      </w:pPr>
      <w:r w:rsidRPr="005C2321">
        <w:rPr>
          <w:rFonts w:ascii="Arial" w:hAnsi="Arial" w:cs="Arial"/>
          <w:b/>
          <w:sz w:val="24"/>
          <w:szCs w:val="24"/>
          <w:lang w:val="es-ES"/>
        </w:rPr>
        <w:t>Beneficio 2: Beneficios por reducción de los gastos de gestión de facturas.</w:t>
      </w:r>
    </w:p>
    <w:p w14:paraId="061F5540" w14:textId="79815B3E" w:rsidR="00282055" w:rsidRPr="005C2321" w:rsidRDefault="00B821F3" w:rsidP="00A566ED">
      <w:pPr>
        <w:pStyle w:val="BodyText"/>
        <w:numPr>
          <w:ilvl w:val="1"/>
          <w:numId w:val="1"/>
        </w:numPr>
        <w:rPr>
          <w:rFonts w:ascii="Arial" w:hAnsi="Arial" w:cs="Arial"/>
          <w:sz w:val="24"/>
          <w:szCs w:val="24"/>
          <w:lang w:val="es-ES"/>
        </w:rPr>
      </w:pPr>
      <w:r w:rsidRPr="005C2321">
        <w:rPr>
          <w:rFonts w:ascii="Arial" w:hAnsi="Arial" w:cs="Arial"/>
          <w:sz w:val="24"/>
          <w:szCs w:val="24"/>
          <w:lang w:val="es-ES"/>
        </w:rPr>
        <w:lastRenderedPageBreak/>
        <w:t xml:space="preserve">En la situación sin proyecto tenemos la información siguiente: (i) </w:t>
      </w:r>
      <w:r w:rsidR="00017D22" w:rsidRPr="005C2321">
        <w:rPr>
          <w:rFonts w:ascii="Arial" w:hAnsi="Arial" w:cs="Arial"/>
          <w:sz w:val="24"/>
          <w:szCs w:val="24"/>
          <w:lang w:val="es-ES"/>
        </w:rPr>
        <w:t xml:space="preserve">La SET viene desarrollando un piloto de la Factura Electrónica con un grupo de empresas, las cuales ha informado que tienen diversos gastos para gestionar las facturas </w:t>
      </w:r>
      <w:r w:rsidR="0002608F" w:rsidRPr="005C2321">
        <w:rPr>
          <w:rFonts w:ascii="Arial" w:hAnsi="Arial" w:cs="Arial"/>
          <w:sz w:val="24"/>
          <w:szCs w:val="24"/>
          <w:lang w:val="es-ES"/>
        </w:rPr>
        <w:t xml:space="preserve">en papel e </w:t>
      </w:r>
      <w:r w:rsidR="00017D22" w:rsidRPr="005C2321">
        <w:rPr>
          <w:rFonts w:ascii="Arial" w:hAnsi="Arial" w:cs="Arial"/>
          <w:sz w:val="24"/>
          <w:szCs w:val="24"/>
          <w:lang w:val="es-ES"/>
        </w:rPr>
        <w:t xml:space="preserve">impresas (impresión, almacenamiento, </w:t>
      </w:r>
      <w:proofErr w:type="spellStart"/>
      <w:r w:rsidR="00017D22" w:rsidRPr="005C2321">
        <w:rPr>
          <w:rFonts w:ascii="Arial" w:hAnsi="Arial" w:cs="Arial"/>
          <w:sz w:val="24"/>
          <w:szCs w:val="24"/>
          <w:lang w:val="es-ES"/>
        </w:rPr>
        <w:t>courier</w:t>
      </w:r>
      <w:proofErr w:type="spellEnd"/>
      <w:r w:rsidR="00017D22" w:rsidRPr="005C2321">
        <w:rPr>
          <w:rFonts w:ascii="Arial" w:hAnsi="Arial" w:cs="Arial"/>
          <w:sz w:val="24"/>
          <w:szCs w:val="24"/>
          <w:lang w:val="es-ES"/>
        </w:rPr>
        <w:t xml:space="preserve">, papel, otros) </w:t>
      </w:r>
      <w:r w:rsidR="0002608F" w:rsidRPr="005C2321">
        <w:rPr>
          <w:rFonts w:ascii="Arial" w:hAnsi="Arial" w:cs="Arial"/>
          <w:sz w:val="24"/>
          <w:szCs w:val="24"/>
          <w:lang w:val="es-ES"/>
        </w:rPr>
        <w:t xml:space="preserve">los cuales van </w:t>
      </w:r>
      <w:r w:rsidR="00017D22" w:rsidRPr="005C2321">
        <w:rPr>
          <w:rFonts w:ascii="Arial" w:hAnsi="Arial" w:cs="Arial"/>
          <w:sz w:val="24"/>
          <w:szCs w:val="24"/>
          <w:lang w:val="es-ES"/>
        </w:rPr>
        <w:t xml:space="preserve">desde U$S 209 hasta US$ 1.3 millones al año. Sobre la base de dicha información y siempre considerando un escenario pesimista se asumió el </w:t>
      </w:r>
      <w:r w:rsidR="00017D22" w:rsidRPr="005C2321">
        <w:rPr>
          <w:rFonts w:ascii="Arial" w:hAnsi="Arial" w:cs="Arial"/>
          <w:b/>
          <w:sz w:val="24"/>
          <w:szCs w:val="24"/>
          <w:lang w:val="es-ES"/>
        </w:rPr>
        <w:t>supuesto</w:t>
      </w:r>
      <w:r w:rsidR="0002608F" w:rsidRPr="005C2321">
        <w:rPr>
          <w:rFonts w:ascii="Arial" w:hAnsi="Arial" w:cs="Arial"/>
          <w:b/>
          <w:sz w:val="24"/>
          <w:szCs w:val="24"/>
          <w:lang w:val="es-ES"/>
        </w:rPr>
        <w:t xml:space="preserve"> 1</w:t>
      </w:r>
      <w:r w:rsidR="00017D22" w:rsidRPr="005C2321">
        <w:rPr>
          <w:rFonts w:ascii="Arial" w:hAnsi="Arial" w:cs="Arial"/>
          <w:sz w:val="24"/>
          <w:szCs w:val="24"/>
          <w:lang w:val="es-ES"/>
        </w:rPr>
        <w:t xml:space="preserve"> que las grandes empresas gastan US$ 9 937 al año en gestionar las facturas electrónicas (este valor corresponde a la segunda</w:t>
      </w:r>
      <w:r w:rsidR="0002608F" w:rsidRPr="005C2321">
        <w:rPr>
          <w:rFonts w:ascii="Arial" w:hAnsi="Arial" w:cs="Arial"/>
          <w:sz w:val="24"/>
          <w:szCs w:val="24"/>
          <w:lang w:val="es-ES"/>
        </w:rPr>
        <w:t xml:space="preserve"> empresa que gasta menos), el </w:t>
      </w:r>
      <w:r w:rsidR="0002608F" w:rsidRPr="005C2321">
        <w:rPr>
          <w:rFonts w:ascii="Arial" w:hAnsi="Arial" w:cs="Arial"/>
          <w:b/>
          <w:sz w:val="24"/>
          <w:szCs w:val="24"/>
          <w:lang w:val="es-ES"/>
        </w:rPr>
        <w:t>supuesto 2</w:t>
      </w:r>
      <w:r w:rsidR="0002608F" w:rsidRPr="005C2321">
        <w:rPr>
          <w:rFonts w:ascii="Arial" w:hAnsi="Arial" w:cs="Arial"/>
          <w:sz w:val="24"/>
          <w:szCs w:val="24"/>
          <w:lang w:val="es-ES"/>
        </w:rPr>
        <w:t xml:space="preserve">, es que </w:t>
      </w:r>
      <w:r w:rsidR="00017D22" w:rsidRPr="005C2321">
        <w:rPr>
          <w:rFonts w:ascii="Arial" w:hAnsi="Arial" w:cs="Arial"/>
          <w:sz w:val="24"/>
          <w:szCs w:val="24"/>
          <w:lang w:val="es-ES"/>
        </w:rPr>
        <w:t xml:space="preserve">las empresas medianas </w:t>
      </w:r>
      <w:r w:rsidR="0002608F" w:rsidRPr="005C2321">
        <w:rPr>
          <w:rFonts w:ascii="Arial" w:hAnsi="Arial" w:cs="Arial"/>
          <w:sz w:val="24"/>
          <w:szCs w:val="24"/>
          <w:lang w:val="es-ES"/>
        </w:rPr>
        <w:t xml:space="preserve">gastan </w:t>
      </w:r>
      <w:r w:rsidR="00017D22" w:rsidRPr="005C2321">
        <w:rPr>
          <w:rFonts w:ascii="Arial" w:hAnsi="Arial" w:cs="Arial"/>
          <w:sz w:val="24"/>
          <w:szCs w:val="24"/>
          <w:lang w:val="es-ES"/>
        </w:rPr>
        <w:t xml:space="preserve">US$ 209 al año </w:t>
      </w:r>
      <w:r w:rsidR="0002608F" w:rsidRPr="005C2321">
        <w:rPr>
          <w:rFonts w:ascii="Arial" w:hAnsi="Arial" w:cs="Arial"/>
          <w:sz w:val="24"/>
          <w:szCs w:val="24"/>
          <w:lang w:val="es-ES"/>
        </w:rPr>
        <w:t xml:space="preserve">(valor más bajo informado por una empresas que participan en el piloto) </w:t>
      </w:r>
      <w:r w:rsidR="00017D22" w:rsidRPr="005C2321">
        <w:rPr>
          <w:rFonts w:ascii="Arial" w:hAnsi="Arial" w:cs="Arial"/>
          <w:sz w:val="24"/>
          <w:szCs w:val="24"/>
          <w:lang w:val="es-ES"/>
        </w:rPr>
        <w:t>y para las empresas pequeñas</w:t>
      </w:r>
      <w:r w:rsidR="0002608F" w:rsidRPr="005C2321">
        <w:rPr>
          <w:rFonts w:ascii="Arial" w:hAnsi="Arial" w:cs="Arial"/>
          <w:sz w:val="24"/>
          <w:szCs w:val="24"/>
          <w:lang w:val="es-ES"/>
        </w:rPr>
        <w:t xml:space="preserve"> y </w:t>
      </w:r>
      <w:r w:rsidR="00017D22" w:rsidRPr="005C2321">
        <w:rPr>
          <w:rFonts w:ascii="Arial" w:hAnsi="Arial" w:cs="Arial"/>
          <w:sz w:val="24"/>
          <w:szCs w:val="24"/>
          <w:lang w:val="es-ES"/>
        </w:rPr>
        <w:t xml:space="preserve">micro se está asumiendo </w:t>
      </w:r>
      <w:r w:rsidR="0002608F" w:rsidRPr="005C2321">
        <w:rPr>
          <w:rFonts w:ascii="Arial" w:hAnsi="Arial" w:cs="Arial"/>
          <w:sz w:val="24"/>
          <w:szCs w:val="24"/>
          <w:lang w:val="es-ES"/>
        </w:rPr>
        <w:t xml:space="preserve">el </w:t>
      </w:r>
      <w:r w:rsidR="0002608F" w:rsidRPr="005C2321">
        <w:rPr>
          <w:rFonts w:ascii="Arial" w:hAnsi="Arial" w:cs="Arial"/>
          <w:b/>
          <w:sz w:val="24"/>
          <w:szCs w:val="24"/>
          <w:lang w:val="es-ES"/>
        </w:rPr>
        <w:t>supuesto 3</w:t>
      </w:r>
      <w:r w:rsidR="0002608F" w:rsidRPr="005C2321">
        <w:rPr>
          <w:rFonts w:ascii="Arial" w:hAnsi="Arial" w:cs="Arial"/>
          <w:sz w:val="24"/>
          <w:szCs w:val="24"/>
          <w:lang w:val="es-ES"/>
        </w:rPr>
        <w:t xml:space="preserve"> </w:t>
      </w:r>
      <w:r w:rsidR="00017D22" w:rsidRPr="005C2321">
        <w:rPr>
          <w:rFonts w:ascii="Arial" w:hAnsi="Arial" w:cs="Arial"/>
          <w:sz w:val="24"/>
          <w:szCs w:val="24"/>
          <w:lang w:val="es-ES"/>
        </w:rPr>
        <w:t>que gastan US$ 1 dólar al mes para gestionar sus facturas</w:t>
      </w:r>
      <w:r w:rsidR="0002608F" w:rsidRPr="005C2321">
        <w:rPr>
          <w:rFonts w:ascii="Arial" w:hAnsi="Arial" w:cs="Arial"/>
          <w:sz w:val="24"/>
          <w:szCs w:val="24"/>
          <w:lang w:val="es-ES"/>
        </w:rPr>
        <w:t xml:space="preserve">; (ii) </w:t>
      </w:r>
      <w:r w:rsidR="007E0220" w:rsidRPr="005C2321">
        <w:rPr>
          <w:rFonts w:ascii="Arial" w:hAnsi="Arial" w:cs="Arial"/>
          <w:sz w:val="24"/>
          <w:szCs w:val="24"/>
          <w:lang w:val="es-ES"/>
        </w:rPr>
        <w:t>Según la SET, l</w:t>
      </w:r>
      <w:r w:rsidR="00017D22" w:rsidRPr="005C2321">
        <w:rPr>
          <w:rFonts w:ascii="Arial" w:hAnsi="Arial" w:cs="Arial"/>
          <w:sz w:val="24"/>
          <w:szCs w:val="24"/>
          <w:lang w:val="es-ES"/>
        </w:rPr>
        <w:t>as empresas grandes asciende</w:t>
      </w:r>
      <w:r w:rsidR="005D159F" w:rsidRPr="005C2321">
        <w:rPr>
          <w:rFonts w:ascii="Arial" w:hAnsi="Arial" w:cs="Arial"/>
          <w:sz w:val="24"/>
          <w:szCs w:val="24"/>
          <w:lang w:val="es-ES"/>
        </w:rPr>
        <w:t>n</w:t>
      </w:r>
      <w:r w:rsidR="00017D22" w:rsidRPr="005C2321">
        <w:rPr>
          <w:rFonts w:ascii="Arial" w:hAnsi="Arial" w:cs="Arial"/>
          <w:sz w:val="24"/>
          <w:szCs w:val="24"/>
          <w:lang w:val="es-ES"/>
        </w:rPr>
        <w:t xml:space="preserve"> a 750, las empresas medianas a 4 239 y las empresas pequeñas a 785 857</w:t>
      </w:r>
      <w:r w:rsidR="00282055" w:rsidRPr="005C2321">
        <w:rPr>
          <w:rFonts w:ascii="Arial" w:hAnsi="Arial" w:cs="Arial"/>
          <w:sz w:val="24"/>
          <w:szCs w:val="24"/>
          <w:lang w:val="es-ES"/>
        </w:rPr>
        <w:t>; (iii)</w:t>
      </w:r>
      <w:r w:rsidR="00282055" w:rsidRPr="005C2321" w:rsidDel="002A4FE6">
        <w:rPr>
          <w:rFonts w:ascii="Arial" w:hAnsi="Arial" w:cs="Arial"/>
          <w:sz w:val="24"/>
          <w:szCs w:val="24"/>
          <w:lang w:val="es-ES"/>
        </w:rPr>
        <w:t xml:space="preserve"> </w:t>
      </w:r>
      <w:r w:rsidR="00282055" w:rsidRPr="005C2321">
        <w:rPr>
          <w:rFonts w:ascii="Arial" w:hAnsi="Arial" w:cs="Arial"/>
          <w:sz w:val="24"/>
          <w:szCs w:val="24"/>
          <w:lang w:val="es-ES"/>
        </w:rPr>
        <w:t xml:space="preserve">En esa misma línea la SET calculó sus costos anuales de notificación en procesos de fiscalización, los cuales ascienden a US$ 73.9 mil; y (iv) también se está asumiendo el </w:t>
      </w:r>
      <w:r w:rsidR="00282055" w:rsidRPr="005C2321">
        <w:rPr>
          <w:rFonts w:ascii="Arial" w:hAnsi="Arial" w:cs="Arial"/>
          <w:b/>
          <w:sz w:val="24"/>
          <w:szCs w:val="24"/>
          <w:lang w:val="es-ES"/>
        </w:rPr>
        <w:t>supuesto 4</w:t>
      </w:r>
      <w:r w:rsidR="00282055" w:rsidRPr="005C2321">
        <w:rPr>
          <w:rFonts w:ascii="Arial" w:hAnsi="Arial" w:cs="Arial"/>
          <w:sz w:val="24"/>
          <w:szCs w:val="24"/>
          <w:lang w:val="es-ES"/>
        </w:rPr>
        <w:t xml:space="preserve"> que la tasa de crecimiento de estos gastos de gestión de las facturas es 1.53%</w:t>
      </w:r>
      <w:r w:rsidR="008537BC" w:rsidRPr="005C2321">
        <w:rPr>
          <w:rFonts w:ascii="Arial" w:hAnsi="Arial" w:cs="Arial"/>
          <w:sz w:val="24"/>
          <w:szCs w:val="24"/>
          <w:lang w:val="es-ES"/>
        </w:rPr>
        <w:t>,</w:t>
      </w:r>
      <w:r w:rsidR="00282055" w:rsidRPr="005C2321">
        <w:rPr>
          <w:rFonts w:ascii="Arial" w:hAnsi="Arial" w:cs="Arial"/>
          <w:sz w:val="24"/>
          <w:szCs w:val="24"/>
          <w:lang w:val="es-ES"/>
        </w:rPr>
        <w:t xml:space="preserve"> </w:t>
      </w:r>
      <w:r w:rsidR="008537BC" w:rsidRPr="005C2321">
        <w:rPr>
          <w:rFonts w:ascii="Arial" w:hAnsi="Arial" w:cs="Arial"/>
          <w:sz w:val="24"/>
          <w:szCs w:val="24"/>
          <w:lang w:val="es-ES"/>
        </w:rPr>
        <w:t xml:space="preserve">similar a </w:t>
      </w:r>
      <w:r w:rsidR="00282055" w:rsidRPr="005C2321">
        <w:rPr>
          <w:rFonts w:ascii="Arial" w:hAnsi="Arial" w:cs="Arial"/>
          <w:sz w:val="24"/>
          <w:szCs w:val="24"/>
          <w:lang w:val="es-ES"/>
        </w:rPr>
        <w:t>la tasa de crecimiento de la presión tributaria.</w:t>
      </w:r>
      <w:r w:rsidR="00017D22" w:rsidRPr="005C2321">
        <w:rPr>
          <w:rFonts w:ascii="Arial" w:hAnsi="Arial" w:cs="Arial"/>
          <w:sz w:val="24"/>
          <w:szCs w:val="24"/>
          <w:lang w:val="es-ES"/>
        </w:rPr>
        <w:t xml:space="preserve"> Sobre </w:t>
      </w:r>
      <w:r w:rsidR="003922BC" w:rsidRPr="005C2321">
        <w:rPr>
          <w:rFonts w:ascii="Arial" w:hAnsi="Arial" w:cs="Arial"/>
          <w:sz w:val="24"/>
          <w:szCs w:val="24"/>
          <w:lang w:val="es-ES"/>
        </w:rPr>
        <w:t xml:space="preserve">esta </w:t>
      </w:r>
      <w:r w:rsidR="00017D22" w:rsidRPr="005C2321">
        <w:rPr>
          <w:rFonts w:ascii="Arial" w:hAnsi="Arial" w:cs="Arial"/>
          <w:sz w:val="24"/>
          <w:szCs w:val="24"/>
          <w:lang w:val="es-ES"/>
        </w:rPr>
        <w:t xml:space="preserve">base </w:t>
      </w:r>
      <w:r w:rsidR="003922BC" w:rsidRPr="005C2321">
        <w:rPr>
          <w:rFonts w:ascii="Arial" w:hAnsi="Arial" w:cs="Arial"/>
          <w:sz w:val="24"/>
          <w:szCs w:val="24"/>
          <w:lang w:val="es-ES"/>
        </w:rPr>
        <w:t xml:space="preserve">y como se detalla </w:t>
      </w:r>
      <w:r w:rsidR="00017D22" w:rsidRPr="005C2321">
        <w:rPr>
          <w:rFonts w:ascii="Arial" w:hAnsi="Arial" w:cs="Arial"/>
          <w:sz w:val="24"/>
          <w:szCs w:val="24"/>
          <w:lang w:val="es-ES"/>
        </w:rPr>
        <w:t>en el Anexo V</w:t>
      </w:r>
      <w:r w:rsidR="005442AE" w:rsidRPr="005C2321">
        <w:rPr>
          <w:rFonts w:ascii="Arial" w:hAnsi="Arial" w:cs="Arial"/>
          <w:sz w:val="24"/>
          <w:szCs w:val="24"/>
          <w:lang w:val="es-ES"/>
        </w:rPr>
        <w:t>,</w:t>
      </w:r>
      <w:r w:rsidR="00017D22" w:rsidRPr="005C2321">
        <w:rPr>
          <w:rFonts w:ascii="Arial" w:hAnsi="Arial" w:cs="Arial"/>
          <w:sz w:val="24"/>
          <w:szCs w:val="24"/>
          <w:lang w:val="es-ES"/>
        </w:rPr>
        <w:t xml:space="preserve"> se realiza la estimación de los gastos </w:t>
      </w:r>
      <w:r w:rsidR="00282055" w:rsidRPr="005C2321">
        <w:rPr>
          <w:rFonts w:ascii="Arial" w:hAnsi="Arial" w:cs="Arial"/>
          <w:sz w:val="24"/>
          <w:szCs w:val="24"/>
          <w:lang w:val="es-ES"/>
        </w:rPr>
        <w:t xml:space="preserve">de </w:t>
      </w:r>
      <w:r w:rsidR="00017D22" w:rsidRPr="005C2321">
        <w:rPr>
          <w:rFonts w:ascii="Arial" w:hAnsi="Arial" w:cs="Arial"/>
          <w:sz w:val="24"/>
          <w:szCs w:val="24"/>
          <w:lang w:val="es-ES"/>
        </w:rPr>
        <w:t>las empresas del Paraguay para gestionar sus facturas electrónicas, lo</w:t>
      </w:r>
      <w:r w:rsidR="00E4537B" w:rsidRPr="005C2321">
        <w:rPr>
          <w:rFonts w:ascii="Arial" w:hAnsi="Arial" w:cs="Arial"/>
          <w:sz w:val="24"/>
          <w:szCs w:val="24"/>
          <w:lang w:val="es-ES"/>
        </w:rPr>
        <w:t>s</w:t>
      </w:r>
      <w:r w:rsidR="00017D22" w:rsidRPr="005C2321">
        <w:rPr>
          <w:rFonts w:ascii="Arial" w:hAnsi="Arial" w:cs="Arial"/>
          <w:sz w:val="24"/>
          <w:szCs w:val="24"/>
          <w:lang w:val="es-ES"/>
        </w:rPr>
        <w:t xml:space="preserve"> cual</w:t>
      </w:r>
      <w:r w:rsidR="00E4537B" w:rsidRPr="005C2321">
        <w:rPr>
          <w:rFonts w:ascii="Arial" w:hAnsi="Arial" w:cs="Arial"/>
          <w:sz w:val="24"/>
          <w:szCs w:val="24"/>
          <w:lang w:val="es-ES"/>
        </w:rPr>
        <w:t>es</w:t>
      </w:r>
      <w:r w:rsidR="00017D22" w:rsidRPr="005C2321">
        <w:rPr>
          <w:rFonts w:ascii="Arial" w:hAnsi="Arial" w:cs="Arial"/>
          <w:sz w:val="24"/>
          <w:szCs w:val="24"/>
          <w:lang w:val="es-ES"/>
        </w:rPr>
        <w:t xml:space="preserve"> ascendería</w:t>
      </w:r>
      <w:r w:rsidR="00E4537B" w:rsidRPr="005C2321">
        <w:rPr>
          <w:rFonts w:ascii="Arial" w:hAnsi="Arial" w:cs="Arial"/>
          <w:sz w:val="24"/>
          <w:szCs w:val="24"/>
          <w:lang w:val="es-ES"/>
        </w:rPr>
        <w:t>n</w:t>
      </w:r>
      <w:r w:rsidR="00017D22" w:rsidRPr="005C2321">
        <w:rPr>
          <w:rFonts w:ascii="Arial" w:hAnsi="Arial" w:cs="Arial"/>
          <w:sz w:val="24"/>
          <w:szCs w:val="24"/>
          <w:lang w:val="es-ES"/>
        </w:rPr>
        <w:t xml:space="preserve"> a US$ 17.8 millones</w:t>
      </w:r>
      <w:r w:rsidR="00282055" w:rsidRPr="005C2321">
        <w:rPr>
          <w:rFonts w:ascii="Arial" w:hAnsi="Arial" w:cs="Arial"/>
          <w:sz w:val="24"/>
          <w:szCs w:val="24"/>
          <w:lang w:val="es-ES"/>
        </w:rPr>
        <w:t xml:space="preserve"> </w:t>
      </w:r>
      <w:proofErr w:type="gramStart"/>
      <w:r w:rsidR="00282055" w:rsidRPr="005C2321">
        <w:rPr>
          <w:rFonts w:ascii="Arial" w:hAnsi="Arial" w:cs="Arial"/>
          <w:sz w:val="24"/>
          <w:szCs w:val="24"/>
          <w:lang w:val="es-ES"/>
        </w:rPr>
        <w:t>al años</w:t>
      </w:r>
      <w:proofErr w:type="gramEnd"/>
      <w:r w:rsidR="00282055" w:rsidRPr="005C2321">
        <w:rPr>
          <w:rFonts w:ascii="Arial" w:hAnsi="Arial" w:cs="Arial"/>
          <w:sz w:val="24"/>
          <w:szCs w:val="24"/>
          <w:lang w:val="es-ES"/>
        </w:rPr>
        <w:t xml:space="preserve"> más los US$ 73.9 mil que le cuesta a la SET por año.</w:t>
      </w:r>
    </w:p>
    <w:p w14:paraId="145660F3" w14:textId="3D97BF83" w:rsidR="00DF29A4" w:rsidRPr="005C2321" w:rsidRDefault="00DF29A4" w:rsidP="00A566ED">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Para la situación con proyecto, se ha considerado que el proyecto soportará la </w:t>
      </w:r>
      <w:r w:rsidR="00017D22" w:rsidRPr="005C2321">
        <w:rPr>
          <w:rFonts w:ascii="Arial" w:hAnsi="Arial" w:cs="Arial"/>
          <w:sz w:val="24"/>
          <w:szCs w:val="24"/>
          <w:lang w:val="es-ES"/>
        </w:rPr>
        <w:t>estrategia de implementación de la SET</w:t>
      </w:r>
      <w:r w:rsidRPr="005C2321">
        <w:rPr>
          <w:rFonts w:ascii="Arial" w:hAnsi="Arial" w:cs="Arial"/>
          <w:sz w:val="24"/>
          <w:szCs w:val="24"/>
          <w:lang w:val="es-ES"/>
        </w:rPr>
        <w:t xml:space="preserve">, lo cual consiste en que </w:t>
      </w:r>
      <w:r w:rsidR="00017D22" w:rsidRPr="005C2321">
        <w:rPr>
          <w:rFonts w:ascii="Arial" w:hAnsi="Arial" w:cs="Arial"/>
          <w:sz w:val="24"/>
          <w:szCs w:val="24"/>
          <w:lang w:val="es-ES"/>
        </w:rPr>
        <w:t>a partir del año 5 la factura electrónica será obligatoria</w:t>
      </w:r>
      <w:r w:rsidRPr="005C2321">
        <w:rPr>
          <w:rFonts w:ascii="Arial" w:hAnsi="Arial" w:cs="Arial"/>
          <w:sz w:val="24"/>
          <w:szCs w:val="24"/>
          <w:lang w:val="es-ES"/>
        </w:rPr>
        <w:t xml:space="preserve"> lo cual debería bajar los costos a cero, </w:t>
      </w:r>
      <w:r w:rsidR="00017D22" w:rsidRPr="005C2321">
        <w:rPr>
          <w:rFonts w:ascii="Arial" w:hAnsi="Arial" w:cs="Arial"/>
          <w:sz w:val="24"/>
          <w:szCs w:val="24"/>
          <w:lang w:val="es-ES"/>
        </w:rPr>
        <w:t>sin embargo</w:t>
      </w:r>
      <w:r w:rsidR="005F56E6" w:rsidRPr="005C2321">
        <w:rPr>
          <w:rFonts w:ascii="Arial" w:hAnsi="Arial" w:cs="Arial"/>
          <w:sz w:val="24"/>
          <w:szCs w:val="24"/>
          <w:lang w:val="es-ES"/>
        </w:rPr>
        <w:t>,</w:t>
      </w:r>
      <w:r w:rsidR="00017D22" w:rsidRPr="005C2321">
        <w:rPr>
          <w:rFonts w:ascii="Arial" w:hAnsi="Arial" w:cs="Arial"/>
          <w:sz w:val="24"/>
          <w:szCs w:val="24"/>
          <w:lang w:val="es-ES"/>
        </w:rPr>
        <w:t xml:space="preserve"> nuevamente </w:t>
      </w:r>
      <w:r w:rsidRPr="005C2321">
        <w:rPr>
          <w:rFonts w:ascii="Arial" w:hAnsi="Arial" w:cs="Arial"/>
          <w:sz w:val="24"/>
          <w:szCs w:val="24"/>
          <w:lang w:val="es-ES"/>
        </w:rPr>
        <w:t xml:space="preserve">en un escenario pesimista </w:t>
      </w:r>
      <w:r w:rsidR="00017D22" w:rsidRPr="005C2321">
        <w:rPr>
          <w:rFonts w:ascii="Arial" w:hAnsi="Arial" w:cs="Arial"/>
          <w:sz w:val="24"/>
          <w:szCs w:val="24"/>
          <w:lang w:val="es-ES"/>
        </w:rPr>
        <w:t xml:space="preserve">se está </w:t>
      </w:r>
      <w:r w:rsidR="00AC3CD9" w:rsidRPr="005C2321">
        <w:rPr>
          <w:rFonts w:ascii="Arial" w:hAnsi="Arial" w:cs="Arial"/>
          <w:sz w:val="24"/>
          <w:szCs w:val="24"/>
          <w:lang w:val="es-ES"/>
        </w:rPr>
        <w:t xml:space="preserve">considerando </w:t>
      </w:r>
      <w:r w:rsidR="00017D22" w:rsidRPr="005C2321">
        <w:rPr>
          <w:rFonts w:ascii="Arial" w:hAnsi="Arial" w:cs="Arial"/>
          <w:sz w:val="24"/>
          <w:szCs w:val="24"/>
          <w:lang w:val="es-ES"/>
        </w:rPr>
        <w:t xml:space="preserve">un </w:t>
      </w:r>
      <w:r w:rsidR="00017D22" w:rsidRPr="005C2321">
        <w:rPr>
          <w:rFonts w:ascii="Arial" w:hAnsi="Arial" w:cs="Arial"/>
          <w:b/>
          <w:sz w:val="24"/>
          <w:szCs w:val="24"/>
          <w:lang w:val="es-ES"/>
        </w:rPr>
        <w:t>supuesto</w:t>
      </w:r>
      <w:r w:rsidRPr="005C2321">
        <w:rPr>
          <w:rFonts w:ascii="Arial" w:hAnsi="Arial" w:cs="Arial"/>
          <w:b/>
          <w:sz w:val="24"/>
          <w:szCs w:val="24"/>
          <w:lang w:val="es-ES"/>
        </w:rPr>
        <w:t xml:space="preserve"> 5</w:t>
      </w:r>
      <w:r w:rsidRPr="005C2321">
        <w:rPr>
          <w:rFonts w:ascii="Arial" w:hAnsi="Arial" w:cs="Arial"/>
          <w:sz w:val="24"/>
          <w:szCs w:val="24"/>
          <w:lang w:val="es-ES"/>
        </w:rPr>
        <w:t xml:space="preserve"> consiste en disminuir progresivamente de un 10</w:t>
      </w:r>
      <w:r w:rsidR="00017D22" w:rsidRPr="005C2321">
        <w:rPr>
          <w:rFonts w:ascii="Arial" w:hAnsi="Arial" w:cs="Arial"/>
          <w:sz w:val="24"/>
          <w:szCs w:val="24"/>
          <w:lang w:val="es-ES"/>
        </w:rPr>
        <w:t xml:space="preserve">% en el año 5 hasta un </w:t>
      </w:r>
      <w:r w:rsidRPr="005C2321">
        <w:rPr>
          <w:rFonts w:ascii="Arial" w:hAnsi="Arial" w:cs="Arial"/>
          <w:sz w:val="24"/>
          <w:szCs w:val="24"/>
          <w:lang w:val="es-ES"/>
        </w:rPr>
        <w:t>70</w:t>
      </w:r>
      <w:r w:rsidR="00017D22" w:rsidRPr="005C2321">
        <w:rPr>
          <w:rFonts w:ascii="Arial" w:hAnsi="Arial" w:cs="Arial"/>
          <w:sz w:val="24"/>
          <w:szCs w:val="24"/>
          <w:lang w:val="es-ES"/>
        </w:rPr>
        <w:t>%</w:t>
      </w:r>
      <w:r w:rsidR="00017D22" w:rsidRPr="005C2321">
        <w:rPr>
          <w:rStyle w:val="FootnoteReference"/>
          <w:rFonts w:ascii="Arial" w:hAnsi="Arial" w:cs="Arial"/>
          <w:sz w:val="24"/>
          <w:szCs w:val="24"/>
          <w:lang w:val="es-ES"/>
        </w:rPr>
        <w:footnoteReference w:id="30"/>
      </w:r>
      <w:r w:rsidR="00017D22" w:rsidRPr="005C2321">
        <w:rPr>
          <w:rFonts w:ascii="Arial" w:hAnsi="Arial" w:cs="Arial"/>
          <w:sz w:val="24"/>
          <w:szCs w:val="24"/>
          <w:lang w:val="es-ES"/>
        </w:rPr>
        <w:t xml:space="preserve"> al año 10</w:t>
      </w:r>
      <w:r w:rsidRPr="005C2321">
        <w:rPr>
          <w:rFonts w:ascii="Arial" w:hAnsi="Arial" w:cs="Arial"/>
          <w:sz w:val="24"/>
          <w:szCs w:val="24"/>
          <w:lang w:val="es-ES"/>
        </w:rPr>
        <w:t xml:space="preserve"> los costos de gestionar la factura en papel</w:t>
      </w:r>
      <w:r w:rsidR="00017D22" w:rsidRPr="005C2321">
        <w:rPr>
          <w:rFonts w:ascii="Arial" w:hAnsi="Arial" w:cs="Arial"/>
          <w:sz w:val="24"/>
          <w:szCs w:val="24"/>
          <w:lang w:val="es-ES"/>
        </w:rPr>
        <w:t xml:space="preserve">. </w:t>
      </w:r>
    </w:p>
    <w:p w14:paraId="4B615636" w14:textId="5EAB3355" w:rsidR="00017D22" w:rsidRPr="005C2321" w:rsidRDefault="00017D22" w:rsidP="00A566ED">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El resultado final es que se generarían beneficios </w:t>
      </w:r>
      <w:r w:rsidR="00141D7E" w:rsidRPr="005C2321">
        <w:rPr>
          <w:rFonts w:ascii="Arial" w:hAnsi="Arial" w:cs="Arial"/>
          <w:sz w:val="24"/>
          <w:szCs w:val="24"/>
          <w:lang w:val="es-ES"/>
        </w:rPr>
        <w:t xml:space="preserve">por ahorro de gastos para los contribuyentes y la SET </w:t>
      </w:r>
      <w:r w:rsidRPr="005C2321">
        <w:rPr>
          <w:rFonts w:ascii="Arial" w:hAnsi="Arial" w:cs="Arial"/>
          <w:sz w:val="24"/>
          <w:szCs w:val="24"/>
          <w:lang w:val="es-ES"/>
        </w:rPr>
        <w:t>que ascienden en el horizonte de evaluación a US$ 18.3 millones</w:t>
      </w:r>
      <w:r w:rsidR="00DF29A4" w:rsidRPr="005C2321">
        <w:rPr>
          <w:rFonts w:ascii="Arial" w:hAnsi="Arial" w:cs="Arial"/>
          <w:sz w:val="24"/>
          <w:szCs w:val="24"/>
          <w:lang w:val="es-ES"/>
        </w:rPr>
        <w:t>, lo cual puede ser visto en el anexo V</w:t>
      </w:r>
      <w:r w:rsidRPr="005C2321">
        <w:rPr>
          <w:rFonts w:ascii="Arial" w:hAnsi="Arial" w:cs="Arial"/>
          <w:sz w:val="24"/>
          <w:szCs w:val="24"/>
          <w:lang w:val="es-ES"/>
        </w:rPr>
        <w:t>.</w:t>
      </w:r>
    </w:p>
    <w:p w14:paraId="4247904B" w14:textId="4CD051F4" w:rsidR="00017D22" w:rsidRPr="005C2321" w:rsidRDefault="00017D22" w:rsidP="00017D22">
      <w:pPr>
        <w:pStyle w:val="BodyText"/>
        <w:ind w:firstLine="0"/>
        <w:rPr>
          <w:rFonts w:ascii="Arial" w:hAnsi="Arial" w:cs="Arial"/>
          <w:b/>
          <w:sz w:val="24"/>
          <w:szCs w:val="24"/>
          <w:lang w:val="es-ES"/>
        </w:rPr>
      </w:pPr>
      <w:r w:rsidRPr="005C2321">
        <w:rPr>
          <w:rFonts w:ascii="Arial" w:hAnsi="Arial" w:cs="Arial"/>
          <w:b/>
          <w:sz w:val="24"/>
          <w:szCs w:val="24"/>
          <w:lang w:val="es-ES"/>
        </w:rPr>
        <w:t>Beneficio 3: Beneficios por reducción de tiempos - mejora de la ejecución presupuestal.</w:t>
      </w:r>
    </w:p>
    <w:p w14:paraId="68DD38EA" w14:textId="45E3E496" w:rsidR="00DF29A4" w:rsidRPr="005C2321" w:rsidRDefault="00DF29A4" w:rsidP="00017D22">
      <w:pPr>
        <w:pStyle w:val="BodyText"/>
        <w:numPr>
          <w:ilvl w:val="1"/>
          <w:numId w:val="1"/>
        </w:numPr>
        <w:rPr>
          <w:rFonts w:ascii="Arial" w:hAnsi="Arial" w:cs="Arial"/>
          <w:sz w:val="24"/>
          <w:szCs w:val="24"/>
          <w:lang w:val="es-ES"/>
        </w:rPr>
      </w:pPr>
      <w:r w:rsidRPr="005C2321">
        <w:rPr>
          <w:rFonts w:ascii="Arial" w:hAnsi="Arial" w:cs="Arial"/>
          <w:sz w:val="24"/>
          <w:szCs w:val="24"/>
          <w:lang w:val="es-ES"/>
        </w:rPr>
        <w:t>En la situación sin proyecto tenemos la información siguiente:</w:t>
      </w:r>
      <w:r w:rsidR="008C213B" w:rsidRPr="005C2321">
        <w:rPr>
          <w:rFonts w:ascii="Arial" w:hAnsi="Arial" w:cs="Arial"/>
          <w:sz w:val="24"/>
          <w:szCs w:val="24"/>
          <w:lang w:val="es-ES"/>
        </w:rPr>
        <w:t xml:space="preserve"> (i) </w:t>
      </w:r>
      <w:r w:rsidR="00C06E66" w:rsidRPr="005C2321">
        <w:rPr>
          <w:rFonts w:ascii="Arial" w:hAnsi="Arial" w:cs="Arial"/>
          <w:sz w:val="24"/>
          <w:szCs w:val="24"/>
          <w:lang w:val="es-ES"/>
        </w:rPr>
        <w:t xml:space="preserve">La inversión pública en Paraguay asciende a US$ 1,162 millones el 2017, la cual debe generar un beneficio social a la población y las empresas, sin embargo para el presente beneficio </w:t>
      </w:r>
      <w:r w:rsidR="008C213B" w:rsidRPr="005C2321">
        <w:rPr>
          <w:rFonts w:ascii="Arial" w:hAnsi="Arial" w:cs="Arial"/>
          <w:sz w:val="24"/>
          <w:szCs w:val="24"/>
          <w:lang w:val="es-ES"/>
        </w:rPr>
        <w:t xml:space="preserve">sólo </w:t>
      </w:r>
      <w:r w:rsidR="00C06E66" w:rsidRPr="005C2321">
        <w:rPr>
          <w:rFonts w:ascii="Arial" w:hAnsi="Arial" w:cs="Arial"/>
          <w:sz w:val="24"/>
          <w:szCs w:val="24"/>
          <w:lang w:val="es-ES"/>
        </w:rPr>
        <w:t xml:space="preserve">se va </w:t>
      </w:r>
      <w:r w:rsidR="008C213B" w:rsidRPr="005C2321">
        <w:rPr>
          <w:rFonts w:ascii="Arial" w:hAnsi="Arial" w:cs="Arial"/>
          <w:sz w:val="24"/>
          <w:szCs w:val="24"/>
          <w:lang w:val="es-ES"/>
        </w:rPr>
        <w:t xml:space="preserve">evaluar el impacto </w:t>
      </w:r>
      <w:r w:rsidR="00086DEB" w:rsidRPr="005C2321">
        <w:rPr>
          <w:rFonts w:ascii="Arial" w:hAnsi="Arial" w:cs="Arial"/>
          <w:sz w:val="24"/>
          <w:szCs w:val="24"/>
          <w:lang w:val="es-ES"/>
        </w:rPr>
        <w:t xml:space="preserve">de </w:t>
      </w:r>
      <w:r w:rsidR="008C213B" w:rsidRPr="005C2321">
        <w:rPr>
          <w:rFonts w:ascii="Arial" w:hAnsi="Arial" w:cs="Arial"/>
          <w:sz w:val="24"/>
          <w:szCs w:val="24"/>
          <w:lang w:val="es-ES"/>
        </w:rPr>
        <w:t>la</w:t>
      </w:r>
      <w:r w:rsidR="00086DEB" w:rsidRPr="005C2321">
        <w:rPr>
          <w:rFonts w:ascii="Arial" w:hAnsi="Arial" w:cs="Arial"/>
          <w:sz w:val="24"/>
          <w:szCs w:val="24"/>
          <w:lang w:val="es-ES"/>
        </w:rPr>
        <w:t>s</w:t>
      </w:r>
      <w:r w:rsidR="008C213B" w:rsidRPr="005C2321">
        <w:rPr>
          <w:rFonts w:ascii="Arial" w:hAnsi="Arial" w:cs="Arial"/>
          <w:sz w:val="24"/>
          <w:szCs w:val="24"/>
          <w:lang w:val="es-ES"/>
        </w:rPr>
        <w:t xml:space="preserve"> inversiones del Ministerio </w:t>
      </w:r>
      <w:r w:rsidR="008C213B" w:rsidRPr="005C2321">
        <w:rPr>
          <w:rFonts w:ascii="Arial" w:hAnsi="Arial" w:cs="Arial"/>
          <w:sz w:val="24"/>
          <w:szCs w:val="24"/>
          <w:lang w:val="es-ES"/>
        </w:rPr>
        <w:lastRenderedPageBreak/>
        <w:t>de Obras Públicas y Comunicaciones y las Gobernaciones</w:t>
      </w:r>
      <w:r w:rsidR="008C213B" w:rsidRPr="005C2321">
        <w:rPr>
          <w:rFonts w:ascii="Arial" w:hAnsi="Arial" w:cs="Arial"/>
          <w:sz w:val="24"/>
          <w:vertAlign w:val="superscript"/>
        </w:rPr>
        <w:footnoteReference w:id="31"/>
      </w:r>
      <w:r w:rsidR="008C213B" w:rsidRPr="005C2321">
        <w:rPr>
          <w:rFonts w:ascii="Arial" w:hAnsi="Arial" w:cs="Arial"/>
          <w:sz w:val="24"/>
          <w:szCs w:val="24"/>
          <w:lang w:val="es-ES"/>
        </w:rPr>
        <w:t xml:space="preserve"> las cuales sumadas ascienden a US$ 902.2 millones; (ii) </w:t>
      </w:r>
      <w:r w:rsidR="007242BC" w:rsidRPr="005C2321">
        <w:rPr>
          <w:rFonts w:ascii="Arial" w:hAnsi="Arial" w:cs="Arial"/>
          <w:sz w:val="24"/>
          <w:szCs w:val="24"/>
          <w:lang w:val="es-ES"/>
        </w:rPr>
        <w:t>El</w:t>
      </w:r>
      <w:r w:rsidR="008C213B" w:rsidRPr="005C2321">
        <w:rPr>
          <w:rFonts w:ascii="Arial" w:hAnsi="Arial" w:cs="Arial"/>
          <w:sz w:val="24"/>
          <w:szCs w:val="24"/>
          <w:lang w:val="es-ES"/>
        </w:rPr>
        <w:t xml:space="preserve"> </w:t>
      </w:r>
      <w:r w:rsidR="007242BC" w:rsidRPr="005C2321">
        <w:rPr>
          <w:rFonts w:ascii="Arial" w:hAnsi="Arial" w:cs="Arial"/>
          <w:sz w:val="24"/>
          <w:szCs w:val="24"/>
          <w:lang w:val="es-ES"/>
        </w:rPr>
        <w:t xml:space="preserve">2017 solo se logró </w:t>
      </w:r>
      <w:r w:rsidR="008C213B" w:rsidRPr="005C2321">
        <w:rPr>
          <w:rFonts w:ascii="Arial" w:hAnsi="Arial" w:cs="Arial"/>
          <w:sz w:val="24"/>
          <w:szCs w:val="24"/>
          <w:lang w:val="es-ES"/>
        </w:rPr>
        <w:t>ejecu</w:t>
      </w:r>
      <w:r w:rsidR="007242BC" w:rsidRPr="005C2321">
        <w:rPr>
          <w:rFonts w:ascii="Arial" w:hAnsi="Arial" w:cs="Arial"/>
          <w:sz w:val="24"/>
          <w:szCs w:val="24"/>
          <w:lang w:val="es-ES"/>
        </w:rPr>
        <w:t xml:space="preserve">tar un </w:t>
      </w:r>
      <w:r w:rsidR="008C213B" w:rsidRPr="005C2321">
        <w:rPr>
          <w:rFonts w:ascii="Arial" w:hAnsi="Arial" w:cs="Arial"/>
          <w:sz w:val="24"/>
          <w:szCs w:val="24"/>
          <w:lang w:val="es-ES"/>
        </w:rPr>
        <w:t>69%</w:t>
      </w:r>
      <w:r w:rsidR="00EB70A8" w:rsidRPr="005C2321">
        <w:rPr>
          <w:rFonts w:ascii="Arial" w:hAnsi="Arial" w:cs="Arial"/>
          <w:sz w:val="24"/>
          <w:szCs w:val="24"/>
          <w:lang w:val="es-ES"/>
        </w:rPr>
        <w:t xml:space="preserve"> </w:t>
      </w:r>
      <w:r w:rsidR="007242BC" w:rsidRPr="005C2321">
        <w:rPr>
          <w:rFonts w:ascii="Arial" w:hAnsi="Arial" w:cs="Arial"/>
          <w:sz w:val="24"/>
          <w:szCs w:val="24"/>
          <w:lang w:val="es-ES"/>
        </w:rPr>
        <w:t xml:space="preserve">del presupuesto de la inversión, quedando </w:t>
      </w:r>
      <w:r w:rsidR="00EB70A8" w:rsidRPr="005C2321">
        <w:rPr>
          <w:rFonts w:ascii="Arial" w:hAnsi="Arial" w:cs="Arial"/>
          <w:sz w:val="24"/>
          <w:szCs w:val="24"/>
          <w:lang w:val="es-ES"/>
        </w:rPr>
        <w:t>un 31% sin ejecutar y por ende sin generar beneficio social a la población</w:t>
      </w:r>
      <w:r w:rsidR="008C213B" w:rsidRPr="005C2321">
        <w:rPr>
          <w:rFonts w:ascii="Arial" w:hAnsi="Arial" w:cs="Arial"/>
          <w:sz w:val="24"/>
          <w:szCs w:val="24"/>
          <w:lang w:val="es-ES"/>
        </w:rPr>
        <w:t>; (iii)</w:t>
      </w:r>
      <w:r w:rsidR="00EB70A8" w:rsidRPr="005C2321">
        <w:rPr>
          <w:rFonts w:ascii="Arial" w:hAnsi="Arial" w:cs="Arial"/>
          <w:sz w:val="24"/>
          <w:szCs w:val="24"/>
          <w:lang w:val="es-ES"/>
        </w:rPr>
        <w:t xml:space="preserve"> El SIARE como se ha señalado ha iniciado su financiamiento con la operación de endeudamiento PR-L1027 </w:t>
      </w:r>
      <w:r w:rsidR="00F747C7" w:rsidRPr="005C2321">
        <w:rPr>
          <w:rFonts w:ascii="Arial" w:hAnsi="Arial" w:cs="Arial"/>
          <w:sz w:val="24"/>
          <w:szCs w:val="24"/>
          <w:lang w:val="es-ES"/>
        </w:rPr>
        <w:t xml:space="preserve">el cual tiene sus propios beneficios sociales, </w:t>
      </w:r>
      <w:r w:rsidR="00321368" w:rsidRPr="005C2321">
        <w:rPr>
          <w:rFonts w:ascii="Arial" w:hAnsi="Arial" w:cs="Arial"/>
          <w:sz w:val="24"/>
          <w:szCs w:val="24"/>
          <w:lang w:val="es-ES"/>
        </w:rPr>
        <w:t xml:space="preserve">en ese marco </w:t>
      </w:r>
      <w:r w:rsidR="00F747C7" w:rsidRPr="005C2321">
        <w:rPr>
          <w:rFonts w:ascii="Arial" w:hAnsi="Arial" w:cs="Arial"/>
          <w:sz w:val="24"/>
          <w:szCs w:val="24"/>
          <w:lang w:val="es-ES"/>
        </w:rPr>
        <w:t xml:space="preserve">se está asumiendo el </w:t>
      </w:r>
      <w:r w:rsidR="007242BC" w:rsidRPr="005C2321">
        <w:rPr>
          <w:rFonts w:ascii="Arial" w:hAnsi="Arial" w:cs="Arial"/>
          <w:b/>
          <w:sz w:val="24"/>
          <w:szCs w:val="24"/>
          <w:lang w:val="es-ES"/>
        </w:rPr>
        <w:t>supuesto 1</w:t>
      </w:r>
      <w:r w:rsidR="007242BC" w:rsidRPr="005C2321">
        <w:rPr>
          <w:rFonts w:ascii="Arial" w:hAnsi="Arial" w:cs="Arial"/>
          <w:sz w:val="24"/>
          <w:szCs w:val="24"/>
          <w:lang w:val="es-ES"/>
        </w:rPr>
        <w:t xml:space="preserve"> </w:t>
      </w:r>
      <w:r w:rsidR="00321368" w:rsidRPr="005C2321">
        <w:rPr>
          <w:rFonts w:ascii="Arial" w:hAnsi="Arial" w:cs="Arial"/>
          <w:sz w:val="24"/>
          <w:szCs w:val="24"/>
          <w:lang w:val="es-ES"/>
        </w:rPr>
        <w:t xml:space="preserve">que consiste en que </w:t>
      </w:r>
      <w:r w:rsidR="00F747C7" w:rsidRPr="005C2321">
        <w:rPr>
          <w:rFonts w:ascii="Arial" w:hAnsi="Arial" w:cs="Arial"/>
          <w:sz w:val="24"/>
          <w:szCs w:val="24"/>
          <w:lang w:val="es-ES"/>
        </w:rPr>
        <w:t>dich</w:t>
      </w:r>
      <w:r w:rsidR="00321368" w:rsidRPr="005C2321">
        <w:rPr>
          <w:rFonts w:ascii="Arial" w:hAnsi="Arial" w:cs="Arial"/>
          <w:sz w:val="24"/>
          <w:szCs w:val="24"/>
          <w:lang w:val="es-ES"/>
        </w:rPr>
        <w:t>o</w:t>
      </w:r>
      <w:r w:rsidR="00F747C7" w:rsidRPr="005C2321">
        <w:rPr>
          <w:rFonts w:ascii="Arial" w:hAnsi="Arial" w:cs="Arial"/>
          <w:sz w:val="24"/>
          <w:szCs w:val="24"/>
          <w:lang w:val="es-ES"/>
        </w:rPr>
        <w:t xml:space="preserve"> </w:t>
      </w:r>
      <w:r w:rsidR="00321368" w:rsidRPr="005C2321">
        <w:rPr>
          <w:rFonts w:ascii="Arial" w:hAnsi="Arial" w:cs="Arial"/>
          <w:sz w:val="24"/>
          <w:szCs w:val="24"/>
          <w:lang w:val="es-ES"/>
        </w:rPr>
        <w:t xml:space="preserve">proyecto </w:t>
      </w:r>
      <w:r w:rsidR="00F747C7" w:rsidRPr="005C2321">
        <w:rPr>
          <w:rFonts w:ascii="Arial" w:hAnsi="Arial" w:cs="Arial"/>
          <w:sz w:val="24"/>
          <w:szCs w:val="24"/>
          <w:lang w:val="es-ES"/>
        </w:rPr>
        <w:t xml:space="preserve">mejorará </w:t>
      </w:r>
      <w:r w:rsidR="00F776F1" w:rsidRPr="005C2321">
        <w:rPr>
          <w:rFonts w:ascii="Arial" w:hAnsi="Arial" w:cs="Arial"/>
          <w:sz w:val="24"/>
          <w:szCs w:val="24"/>
          <w:lang w:val="es-ES"/>
        </w:rPr>
        <w:t xml:space="preserve">el porcentaje anual </w:t>
      </w:r>
      <w:r w:rsidR="00321368" w:rsidRPr="005C2321">
        <w:rPr>
          <w:rFonts w:ascii="Arial" w:hAnsi="Arial" w:cs="Arial"/>
          <w:sz w:val="24"/>
          <w:szCs w:val="24"/>
          <w:lang w:val="es-ES"/>
        </w:rPr>
        <w:t xml:space="preserve">de la ejecución presupuestal de las inversiones en 2.5% del año anterior, partiendo </w:t>
      </w:r>
      <w:r w:rsidR="00EB70A8" w:rsidRPr="005C2321">
        <w:rPr>
          <w:rFonts w:ascii="Arial" w:hAnsi="Arial" w:cs="Arial"/>
          <w:sz w:val="24"/>
          <w:szCs w:val="24"/>
          <w:lang w:val="es-ES"/>
        </w:rPr>
        <w:t xml:space="preserve">del año 7 </w:t>
      </w:r>
      <w:r w:rsidR="00321368" w:rsidRPr="005C2321">
        <w:rPr>
          <w:rFonts w:ascii="Arial" w:hAnsi="Arial" w:cs="Arial"/>
          <w:sz w:val="24"/>
          <w:szCs w:val="24"/>
          <w:lang w:val="es-ES"/>
        </w:rPr>
        <w:t xml:space="preserve">en el que llegaría a </w:t>
      </w:r>
      <w:r w:rsidR="00F747C7" w:rsidRPr="005C2321">
        <w:rPr>
          <w:rFonts w:ascii="Arial" w:hAnsi="Arial" w:cs="Arial"/>
          <w:sz w:val="24"/>
          <w:szCs w:val="24"/>
          <w:lang w:val="es-ES"/>
        </w:rPr>
        <w:t xml:space="preserve">71% </w:t>
      </w:r>
      <w:r w:rsidR="00EB70A8" w:rsidRPr="005C2321">
        <w:rPr>
          <w:rFonts w:ascii="Arial" w:hAnsi="Arial" w:cs="Arial"/>
          <w:sz w:val="24"/>
          <w:szCs w:val="24"/>
          <w:lang w:val="es-ES"/>
        </w:rPr>
        <w:t xml:space="preserve">y </w:t>
      </w:r>
      <w:r w:rsidR="00321368" w:rsidRPr="005C2321">
        <w:rPr>
          <w:rFonts w:ascii="Arial" w:hAnsi="Arial" w:cs="Arial"/>
          <w:sz w:val="24"/>
          <w:szCs w:val="24"/>
          <w:lang w:val="es-ES"/>
        </w:rPr>
        <w:t xml:space="preserve">al décimo año a </w:t>
      </w:r>
      <w:r w:rsidR="00EB70A8" w:rsidRPr="005C2321">
        <w:rPr>
          <w:rFonts w:ascii="Arial" w:hAnsi="Arial" w:cs="Arial"/>
          <w:sz w:val="24"/>
          <w:szCs w:val="24"/>
          <w:lang w:val="es-ES"/>
        </w:rPr>
        <w:t>76%</w:t>
      </w:r>
      <w:r w:rsidR="00F776F1" w:rsidRPr="005C2321">
        <w:rPr>
          <w:rFonts w:ascii="Arial" w:hAnsi="Arial" w:cs="Arial"/>
          <w:sz w:val="24"/>
          <w:szCs w:val="24"/>
          <w:lang w:val="es-ES"/>
        </w:rPr>
        <w:t>; (iii) realizando los cálculos de los beneficios sociales generados por la inversión realizadas por el Ministerio de Obras Públicas y Comunicaciones y las Gobernaciones se tiene que el primer año ascendería a US$ 56.1 millones de acuerdo al Anexo VI y el año 10 llegaría US$ 73.1 millones, todo esto sin que se ejecute el proyecto materia del presente análisis.</w:t>
      </w:r>
    </w:p>
    <w:p w14:paraId="0C81E0A8" w14:textId="0B4D9C62" w:rsidR="00DF29A4" w:rsidRPr="005C2321" w:rsidRDefault="00F776F1" w:rsidP="00017D22">
      <w:pPr>
        <w:pStyle w:val="BodyText"/>
        <w:numPr>
          <w:ilvl w:val="1"/>
          <w:numId w:val="1"/>
        </w:numPr>
        <w:rPr>
          <w:rFonts w:ascii="Arial" w:hAnsi="Arial" w:cs="Arial"/>
          <w:sz w:val="24"/>
          <w:szCs w:val="24"/>
          <w:lang w:val="es-ES"/>
        </w:rPr>
      </w:pPr>
      <w:r w:rsidRPr="005C2321">
        <w:rPr>
          <w:rFonts w:ascii="Arial" w:hAnsi="Arial" w:cs="Arial"/>
          <w:sz w:val="24"/>
          <w:szCs w:val="24"/>
          <w:lang w:val="es-ES"/>
        </w:rPr>
        <w:t>Para la situaci</w:t>
      </w:r>
      <w:r w:rsidR="00086DEB" w:rsidRPr="005C2321">
        <w:rPr>
          <w:rFonts w:ascii="Arial" w:hAnsi="Arial" w:cs="Arial"/>
          <w:sz w:val="24"/>
          <w:szCs w:val="24"/>
          <w:lang w:val="es-ES"/>
        </w:rPr>
        <w:t xml:space="preserve">ón </w:t>
      </w:r>
      <w:r w:rsidR="00CC49AC" w:rsidRPr="005C2321">
        <w:rPr>
          <w:rFonts w:ascii="Arial" w:hAnsi="Arial" w:cs="Arial"/>
          <w:sz w:val="24"/>
          <w:szCs w:val="24"/>
          <w:lang w:val="es-ES"/>
        </w:rPr>
        <w:t>co</w:t>
      </w:r>
      <w:r w:rsidR="00086DEB" w:rsidRPr="005C2321">
        <w:rPr>
          <w:rFonts w:ascii="Arial" w:hAnsi="Arial" w:cs="Arial"/>
          <w:sz w:val="24"/>
          <w:szCs w:val="24"/>
          <w:lang w:val="es-ES"/>
        </w:rPr>
        <w:t xml:space="preserve">n proyecto se debe tener en cuenta el </w:t>
      </w:r>
      <w:r w:rsidR="00086DEB" w:rsidRPr="005C2321">
        <w:rPr>
          <w:rFonts w:ascii="Arial" w:hAnsi="Arial" w:cs="Arial"/>
          <w:b/>
          <w:sz w:val="24"/>
          <w:szCs w:val="24"/>
          <w:lang w:val="es-ES"/>
        </w:rPr>
        <w:t>supuesto 2</w:t>
      </w:r>
      <w:r w:rsidR="00086DEB" w:rsidRPr="005C2321">
        <w:rPr>
          <w:rFonts w:ascii="Arial" w:hAnsi="Arial" w:cs="Arial"/>
          <w:sz w:val="24"/>
          <w:szCs w:val="24"/>
          <w:lang w:val="es-ES"/>
        </w:rPr>
        <w:t xml:space="preserve"> que </w:t>
      </w:r>
      <w:r w:rsidR="00CC49AC" w:rsidRPr="005C2321">
        <w:rPr>
          <w:rFonts w:ascii="Arial" w:hAnsi="Arial" w:cs="Arial"/>
          <w:sz w:val="24"/>
          <w:szCs w:val="24"/>
          <w:lang w:val="es-ES"/>
        </w:rPr>
        <w:t xml:space="preserve">consiste en que </w:t>
      </w:r>
      <w:r w:rsidR="00086DEB" w:rsidRPr="005C2321">
        <w:rPr>
          <w:rFonts w:ascii="Arial" w:hAnsi="Arial" w:cs="Arial"/>
          <w:sz w:val="24"/>
          <w:szCs w:val="24"/>
          <w:lang w:val="es-ES"/>
        </w:rPr>
        <w:t xml:space="preserve">la mejora de la ejecución presupuestal se va iniciar a partir del año </w:t>
      </w:r>
      <w:r w:rsidR="00CC49AC" w:rsidRPr="005C2321">
        <w:rPr>
          <w:rFonts w:ascii="Arial" w:hAnsi="Arial" w:cs="Arial"/>
          <w:sz w:val="24"/>
          <w:szCs w:val="24"/>
          <w:lang w:val="es-ES"/>
        </w:rPr>
        <w:t>5 por la asistencia técnica brindada que facilita la conclusión del desarrollo del aplicativo y la implementación del SIARE (es decir, a partir del año 5 se comienza a incrementar la ejecución anual del presupuesto de las inversiones a una tasa de 2.5% respecto al año anterior) y que el desarrollo evolutivo del SIARE implementado acelera el crecimiento de la ejecución anual del presupuestal e inversiones en 1% respeto al año anterior. Considerando los 2 efectos se pasa de una ejecución anual del presupuesto de inversiones de 71% el año 5 al 85% el año 10.</w:t>
      </w:r>
      <w:r w:rsidR="003D765B" w:rsidRPr="005C2321">
        <w:rPr>
          <w:rFonts w:ascii="Arial" w:hAnsi="Arial" w:cs="Arial"/>
          <w:sz w:val="24"/>
          <w:szCs w:val="24"/>
          <w:lang w:val="es-ES"/>
        </w:rPr>
        <w:t xml:space="preserve"> Es importante resaltar que </w:t>
      </w:r>
      <w:r w:rsidR="00AA06EC" w:rsidRPr="005C2321">
        <w:rPr>
          <w:rFonts w:ascii="Arial" w:hAnsi="Arial" w:cs="Arial"/>
          <w:sz w:val="24"/>
          <w:szCs w:val="24"/>
          <w:lang w:val="es-ES"/>
        </w:rPr>
        <w:t xml:space="preserve">lo dicho </w:t>
      </w:r>
      <w:r w:rsidR="003D765B" w:rsidRPr="005C2321">
        <w:rPr>
          <w:rFonts w:ascii="Arial" w:hAnsi="Arial" w:cs="Arial"/>
          <w:sz w:val="24"/>
          <w:szCs w:val="24"/>
          <w:lang w:val="es-ES"/>
        </w:rPr>
        <w:t>es un escenario pesimista respecto al considerado en la MR que señala que al año 6 se lograría el 85%.</w:t>
      </w:r>
    </w:p>
    <w:p w14:paraId="4E7777DE" w14:textId="66DFE154" w:rsidR="00017D22" w:rsidRPr="005C2321" w:rsidRDefault="00017D22" w:rsidP="00017D22">
      <w:pPr>
        <w:pStyle w:val="BodyText"/>
        <w:numPr>
          <w:ilvl w:val="1"/>
          <w:numId w:val="1"/>
        </w:numPr>
        <w:rPr>
          <w:rFonts w:ascii="Arial" w:hAnsi="Arial" w:cs="Arial"/>
          <w:sz w:val="24"/>
          <w:szCs w:val="24"/>
          <w:lang w:val="es-ES"/>
        </w:rPr>
      </w:pPr>
      <w:r w:rsidRPr="005C2321">
        <w:rPr>
          <w:rFonts w:ascii="Arial" w:hAnsi="Arial" w:cs="Arial"/>
          <w:sz w:val="24"/>
          <w:szCs w:val="24"/>
          <w:lang w:val="es-ES"/>
        </w:rPr>
        <w:t>Considerando todo lo anterior en el Anexo VI se puede</w:t>
      </w:r>
      <w:r w:rsidR="0065176C" w:rsidRPr="005C2321">
        <w:rPr>
          <w:rFonts w:ascii="Arial" w:hAnsi="Arial" w:cs="Arial"/>
          <w:sz w:val="24"/>
          <w:szCs w:val="24"/>
          <w:lang w:val="es-ES"/>
        </w:rPr>
        <w:t>n</w:t>
      </w:r>
      <w:r w:rsidRPr="005C2321">
        <w:rPr>
          <w:rFonts w:ascii="Arial" w:hAnsi="Arial" w:cs="Arial"/>
          <w:sz w:val="24"/>
          <w:szCs w:val="24"/>
          <w:lang w:val="es-ES"/>
        </w:rPr>
        <w:t xml:space="preserve"> apreciar los cálculos, llegándose a obtener un beneficio incrementa</w:t>
      </w:r>
      <w:r w:rsidR="0065176C" w:rsidRPr="005C2321">
        <w:rPr>
          <w:rFonts w:ascii="Arial" w:hAnsi="Arial" w:cs="Arial"/>
          <w:sz w:val="24"/>
          <w:szCs w:val="24"/>
          <w:lang w:val="es-ES"/>
        </w:rPr>
        <w:t>l</w:t>
      </w:r>
      <w:r w:rsidRPr="005C2321">
        <w:rPr>
          <w:rFonts w:ascii="Arial" w:hAnsi="Arial" w:cs="Arial"/>
          <w:sz w:val="24"/>
          <w:szCs w:val="24"/>
          <w:lang w:val="es-ES"/>
        </w:rPr>
        <w:t xml:space="preserve"> de US$ 1</w:t>
      </w:r>
      <w:r w:rsidR="002A6465" w:rsidRPr="005C2321">
        <w:rPr>
          <w:rFonts w:ascii="Arial" w:hAnsi="Arial" w:cs="Arial"/>
          <w:sz w:val="24"/>
          <w:szCs w:val="24"/>
          <w:lang w:val="es-ES"/>
        </w:rPr>
        <w:t>2.3</w:t>
      </w:r>
      <w:r w:rsidRPr="005C2321">
        <w:rPr>
          <w:rFonts w:ascii="Arial" w:hAnsi="Arial" w:cs="Arial"/>
          <w:sz w:val="24"/>
          <w:szCs w:val="24"/>
          <w:lang w:val="es-ES"/>
        </w:rPr>
        <w:t xml:space="preserve"> millones, sólo atribuible a la operación de endeudamiento PR-L1150.</w:t>
      </w:r>
    </w:p>
    <w:p w14:paraId="583E6BB2" w14:textId="7FDE0F68" w:rsidR="00AD682C" w:rsidRPr="005C2321" w:rsidRDefault="00AD682C" w:rsidP="00A566ED">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Si bien no se </w:t>
      </w:r>
      <w:r w:rsidR="001B1118" w:rsidRPr="005C2321">
        <w:rPr>
          <w:rFonts w:ascii="Arial" w:hAnsi="Arial" w:cs="Arial"/>
          <w:sz w:val="24"/>
          <w:szCs w:val="24"/>
          <w:lang w:val="es-ES"/>
        </w:rPr>
        <w:t xml:space="preserve">va a </w:t>
      </w:r>
      <w:r w:rsidRPr="005C2321">
        <w:rPr>
          <w:rFonts w:ascii="Arial" w:hAnsi="Arial" w:cs="Arial"/>
          <w:sz w:val="24"/>
          <w:szCs w:val="24"/>
          <w:lang w:val="es-ES"/>
        </w:rPr>
        <w:t>considera</w:t>
      </w:r>
      <w:r w:rsidR="001B1118" w:rsidRPr="005C2321">
        <w:rPr>
          <w:rFonts w:ascii="Arial" w:hAnsi="Arial" w:cs="Arial"/>
          <w:sz w:val="24"/>
          <w:szCs w:val="24"/>
          <w:lang w:val="es-ES"/>
        </w:rPr>
        <w:t>r</w:t>
      </w:r>
      <w:r w:rsidRPr="005C2321">
        <w:rPr>
          <w:rFonts w:ascii="Arial" w:hAnsi="Arial" w:cs="Arial"/>
          <w:sz w:val="24"/>
          <w:szCs w:val="24"/>
          <w:lang w:val="es-ES"/>
        </w:rPr>
        <w:t xml:space="preserve"> en los flujos de evaluación económica, e</w:t>
      </w:r>
      <w:r w:rsidR="001B1118" w:rsidRPr="005C2321">
        <w:rPr>
          <w:rFonts w:ascii="Arial" w:hAnsi="Arial" w:cs="Arial"/>
          <w:sz w:val="24"/>
          <w:szCs w:val="24"/>
          <w:lang w:val="es-ES"/>
        </w:rPr>
        <w:t xml:space="preserve">s importante señalar que </w:t>
      </w:r>
      <w:r w:rsidR="003A15F5" w:rsidRPr="005C2321">
        <w:rPr>
          <w:rFonts w:ascii="Arial" w:hAnsi="Arial" w:cs="Arial"/>
          <w:sz w:val="24"/>
          <w:szCs w:val="24"/>
          <w:lang w:val="es-ES"/>
        </w:rPr>
        <w:t xml:space="preserve">la parada </w:t>
      </w:r>
      <w:r w:rsidR="004B0036" w:rsidRPr="005C2321">
        <w:rPr>
          <w:rFonts w:ascii="Arial" w:hAnsi="Arial" w:cs="Arial"/>
          <w:sz w:val="24"/>
          <w:szCs w:val="24"/>
          <w:lang w:val="es-ES"/>
        </w:rPr>
        <w:t xml:space="preserve">(no funcionamiento) </w:t>
      </w:r>
      <w:r w:rsidR="003A15F5" w:rsidRPr="005C2321">
        <w:rPr>
          <w:rFonts w:ascii="Arial" w:hAnsi="Arial" w:cs="Arial"/>
          <w:sz w:val="24"/>
          <w:szCs w:val="24"/>
          <w:lang w:val="es-ES"/>
        </w:rPr>
        <w:t xml:space="preserve">de un </w:t>
      </w:r>
      <w:r w:rsidRPr="005C2321">
        <w:rPr>
          <w:rFonts w:ascii="Arial" w:hAnsi="Arial" w:cs="Arial"/>
          <w:sz w:val="24"/>
          <w:szCs w:val="24"/>
          <w:lang w:val="es-ES"/>
        </w:rPr>
        <w:t>Centro de Procesamiento de Datos (CPD)</w:t>
      </w:r>
      <w:r w:rsidR="001B1118" w:rsidRPr="005C2321">
        <w:rPr>
          <w:rFonts w:ascii="Arial" w:hAnsi="Arial" w:cs="Arial"/>
          <w:sz w:val="24"/>
          <w:szCs w:val="24"/>
          <w:lang w:val="es-ES"/>
        </w:rPr>
        <w:t xml:space="preserve"> </w:t>
      </w:r>
      <w:r w:rsidR="003A15F5" w:rsidRPr="005C2321">
        <w:rPr>
          <w:rFonts w:ascii="Arial" w:hAnsi="Arial" w:cs="Arial"/>
          <w:sz w:val="24"/>
          <w:szCs w:val="24"/>
          <w:lang w:val="es-ES"/>
        </w:rPr>
        <w:t xml:space="preserve">genera costos importantes y es así que de </w:t>
      </w:r>
      <w:r w:rsidR="001B1118" w:rsidRPr="005C2321">
        <w:rPr>
          <w:rFonts w:ascii="Arial" w:hAnsi="Arial" w:cs="Arial"/>
          <w:sz w:val="24"/>
          <w:szCs w:val="24"/>
          <w:lang w:val="es-ES"/>
        </w:rPr>
        <w:t xml:space="preserve">acuerdo al Instituto </w:t>
      </w:r>
      <w:proofErr w:type="spellStart"/>
      <w:r w:rsidR="001B1118" w:rsidRPr="005C2321">
        <w:rPr>
          <w:rFonts w:ascii="Arial" w:hAnsi="Arial" w:cs="Arial"/>
          <w:sz w:val="24"/>
          <w:szCs w:val="24"/>
          <w:lang w:val="es-ES"/>
        </w:rPr>
        <w:t>Ponemon</w:t>
      </w:r>
      <w:proofErr w:type="spellEnd"/>
      <w:r w:rsidR="001B1118" w:rsidRPr="005C2321">
        <w:rPr>
          <w:rFonts w:ascii="Arial" w:hAnsi="Arial" w:cs="Arial"/>
          <w:sz w:val="24"/>
          <w:szCs w:val="24"/>
          <w:lang w:val="es-ES"/>
        </w:rPr>
        <w:t xml:space="preserve"> el costo </w:t>
      </w:r>
      <w:r w:rsidR="003A15F5" w:rsidRPr="005C2321">
        <w:rPr>
          <w:rFonts w:ascii="Arial" w:hAnsi="Arial" w:cs="Arial"/>
          <w:sz w:val="24"/>
          <w:szCs w:val="24"/>
          <w:lang w:val="es-ES"/>
        </w:rPr>
        <w:t xml:space="preserve">promedio </w:t>
      </w:r>
      <w:r w:rsidR="001B1118" w:rsidRPr="005C2321">
        <w:rPr>
          <w:rFonts w:ascii="Arial" w:hAnsi="Arial" w:cs="Arial"/>
          <w:sz w:val="24"/>
          <w:szCs w:val="24"/>
          <w:lang w:val="es-ES"/>
        </w:rPr>
        <w:t xml:space="preserve">de parar un </w:t>
      </w:r>
      <w:r w:rsidR="007F6415" w:rsidRPr="005C2321">
        <w:rPr>
          <w:rFonts w:ascii="Arial" w:hAnsi="Arial" w:cs="Arial"/>
          <w:sz w:val="24"/>
          <w:szCs w:val="24"/>
          <w:lang w:val="es-ES"/>
        </w:rPr>
        <w:t>CPD</w:t>
      </w:r>
      <w:r w:rsidR="001B1118" w:rsidRPr="005C2321">
        <w:rPr>
          <w:rFonts w:ascii="Arial" w:hAnsi="Arial" w:cs="Arial"/>
          <w:sz w:val="24"/>
          <w:szCs w:val="24"/>
          <w:lang w:val="es-ES"/>
        </w:rPr>
        <w:t xml:space="preserve"> por un minuto es de US$ 8</w:t>
      </w:r>
      <w:r w:rsidR="007F6415" w:rsidRPr="005C2321">
        <w:rPr>
          <w:rFonts w:ascii="Arial" w:hAnsi="Arial" w:cs="Arial"/>
          <w:sz w:val="24"/>
          <w:szCs w:val="24"/>
          <w:lang w:val="es-ES"/>
        </w:rPr>
        <w:t xml:space="preserve"> </w:t>
      </w:r>
      <w:r w:rsidR="001B1118" w:rsidRPr="005C2321">
        <w:rPr>
          <w:rFonts w:ascii="Arial" w:hAnsi="Arial" w:cs="Arial"/>
          <w:sz w:val="24"/>
          <w:szCs w:val="24"/>
          <w:lang w:val="es-ES"/>
        </w:rPr>
        <w:t>851 para el 201</w:t>
      </w:r>
      <w:r w:rsidR="003A15F5" w:rsidRPr="005C2321">
        <w:rPr>
          <w:rFonts w:ascii="Arial" w:hAnsi="Arial" w:cs="Arial"/>
          <w:sz w:val="24"/>
          <w:szCs w:val="24"/>
          <w:lang w:val="es-ES"/>
        </w:rPr>
        <w:t>6</w:t>
      </w:r>
      <w:r w:rsidR="001B1118" w:rsidRPr="005C2321">
        <w:rPr>
          <w:rFonts w:ascii="Arial" w:hAnsi="Arial" w:cs="Arial"/>
          <w:sz w:val="24"/>
          <w:szCs w:val="24"/>
          <w:lang w:val="es-ES"/>
        </w:rPr>
        <w:t xml:space="preserve"> (</w:t>
      </w:r>
      <w:hyperlink r:id="rId16" w:history="1">
        <w:r w:rsidR="003A15F5" w:rsidRPr="005C2321">
          <w:rPr>
            <w:rStyle w:val="Hyperlink"/>
            <w:rFonts w:ascii="Arial" w:hAnsi="Arial" w:cs="Arial"/>
            <w:sz w:val="24"/>
            <w:szCs w:val="24"/>
            <w:lang w:val="es-ES"/>
          </w:rPr>
          <w:t>https://www.vertivco.com/globalassets/documents/reports/2016-cost-of-data-</w:t>
        </w:r>
        <w:r w:rsidR="003A15F5" w:rsidRPr="005C2321">
          <w:rPr>
            <w:rStyle w:val="Hyperlink"/>
            <w:rFonts w:ascii="Arial" w:hAnsi="Arial" w:cs="Arial"/>
            <w:sz w:val="24"/>
            <w:szCs w:val="24"/>
            <w:lang w:val="es-ES"/>
          </w:rPr>
          <w:lastRenderedPageBreak/>
          <w:t>center-outages-11-11_51190_1.pdf</w:t>
        </w:r>
      </w:hyperlink>
      <w:r w:rsidR="001B1118" w:rsidRPr="005C2321">
        <w:rPr>
          <w:rFonts w:ascii="Arial" w:hAnsi="Arial" w:cs="Arial"/>
          <w:sz w:val="24"/>
          <w:szCs w:val="24"/>
          <w:lang w:val="es-ES"/>
        </w:rPr>
        <w:t>)</w:t>
      </w:r>
      <w:r w:rsidR="003A15F5" w:rsidRPr="005C2321">
        <w:rPr>
          <w:rFonts w:ascii="Arial" w:hAnsi="Arial" w:cs="Arial"/>
          <w:sz w:val="24"/>
          <w:szCs w:val="24"/>
          <w:lang w:val="es-ES"/>
        </w:rPr>
        <w:t xml:space="preserve">. En ese sentido, </w:t>
      </w:r>
      <w:proofErr w:type="gramStart"/>
      <w:r w:rsidR="003A15F5" w:rsidRPr="005C2321">
        <w:rPr>
          <w:rFonts w:ascii="Arial" w:hAnsi="Arial" w:cs="Arial"/>
          <w:sz w:val="24"/>
          <w:szCs w:val="24"/>
          <w:lang w:val="es-ES"/>
        </w:rPr>
        <w:t>de acuerdo a</w:t>
      </w:r>
      <w:proofErr w:type="gramEnd"/>
      <w:r w:rsidR="003A15F5" w:rsidRPr="005C2321">
        <w:rPr>
          <w:rFonts w:ascii="Arial" w:hAnsi="Arial" w:cs="Arial"/>
          <w:sz w:val="24"/>
          <w:szCs w:val="24"/>
          <w:lang w:val="es-ES"/>
        </w:rPr>
        <w:t xml:space="preserve"> la información recibida en las reuniones de trabajo con la DGIC del MH, los sistemas que administran tuvieron durante el 2017 una parada inesperada de </w:t>
      </w:r>
      <w:r w:rsidR="001B1118" w:rsidRPr="005C2321">
        <w:rPr>
          <w:rFonts w:ascii="Arial" w:hAnsi="Arial" w:cs="Arial"/>
          <w:sz w:val="24"/>
          <w:szCs w:val="24"/>
          <w:lang w:val="es-ES"/>
        </w:rPr>
        <w:t>24 horas</w:t>
      </w:r>
      <w:r w:rsidR="003A15F5" w:rsidRPr="005C2321">
        <w:rPr>
          <w:rFonts w:ascii="Arial" w:hAnsi="Arial" w:cs="Arial"/>
          <w:sz w:val="24"/>
          <w:szCs w:val="24"/>
          <w:lang w:val="es-ES"/>
        </w:rPr>
        <w:t xml:space="preserve">. Considerando dicha información los costos que se generaron ascenderían a </w:t>
      </w:r>
      <w:r w:rsidR="00DE1137" w:rsidRPr="005C2321">
        <w:rPr>
          <w:rFonts w:ascii="Arial" w:hAnsi="Arial" w:cs="Arial"/>
          <w:sz w:val="24"/>
          <w:szCs w:val="24"/>
          <w:lang w:val="es-ES"/>
        </w:rPr>
        <w:t xml:space="preserve">aproximadamente </w:t>
      </w:r>
      <w:r w:rsidR="003A15F5" w:rsidRPr="005C2321">
        <w:rPr>
          <w:rFonts w:ascii="Arial" w:hAnsi="Arial" w:cs="Arial"/>
          <w:sz w:val="24"/>
          <w:szCs w:val="24"/>
          <w:lang w:val="es-ES"/>
        </w:rPr>
        <w:t>US$ 12.7 millones.</w:t>
      </w:r>
      <w:r w:rsidR="00DE1137" w:rsidRPr="005C2321">
        <w:rPr>
          <w:rFonts w:ascii="Arial" w:hAnsi="Arial" w:cs="Arial"/>
          <w:sz w:val="24"/>
          <w:szCs w:val="24"/>
          <w:lang w:val="es-ES"/>
        </w:rPr>
        <w:t xml:space="preserve"> Esto da una dimensión de los beneficios de la implementación de un CPD de contingencia, que permita que no haya paradas en el funcionamiento de los sistemas.</w:t>
      </w:r>
    </w:p>
    <w:p w14:paraId="08F39C74" w14:textId="77777777" w:rsidR="00017D22" w:rsidRPr="005C2321" w:rsidRDefault="00017D22" w:rsidP="00017D22">
      <w:pPr>
        <w:pStyle w:val="BodyText"/>
        <w:ind w:firstLine="0"/>
        <w:rPr>
          <w:rFonts w:ascii="Arial" w:hAnsi="Arial" w:cs="Arial"/>
          <w:b/>
          <w:sz w:val="24"/>
          <w:szCs w:val="24"/>
          <w:lang w:val="es-ES"/>
        </w:rPr>
      </w:pPr>
      <w:r w:rsidRPr="005C2321">
        <w:rPr>
          <w:rFonts w:ascii="Arial" w:hAnsi="Arial" w:cs="Arial"/>
          <w:b/>
          <w:sz w:val="24"/>
          <w:szCs w:val="24"/>
          <w:lang w:val="es-ES"/>
        </w:rPr>
        <w:t>Beneficio 4: Beneficios por reducción de costos administrativos de la gestión de las transferencias.</w:t>
      </w:r>
    </w:p>
    <w:p w14:paraId="19252381" w14:textId="77C08C20" w:rsidR="00F03744" w:rsidRPr="005C2321" w:rsidRDefault="00D8251C" w:rsidP="00017D22">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En la situación sin proyecto tenemos la información siguiente: (i) </w:t>
      </w:r>
      <w:r w:rsidR="00F03744" w:rsidRPr="005C2321">
        <w:rPr>
          <w:rFonts w:ascii="Arial" w:hAnsi="Arial" w:cs="Arial"/>
          <w:sz w:val="24"/>
          <w:szCs w:val="24"/>
          <w:lang w:val="es-ES"/>
        </w:rPr>
        <w:t>L</w:t>
      </w:r>
      <w:r w:rsidR="00017D22" w:rsidRPr="005C2321">
        <w:rPr>
          <w:rFonts w:ascii="Arial" w:hAnsi="Arial" w:cs="Arial"/>
          <w:sz w:val="24"/>
          <w:szCs w:val="24"/>
          <w:lang w:val="es-ES"/>
        </w:rPr>
        <w:t>a UDM</w:t>
      </w:r>
      <w:r w:rsidR="00F03744" w:rsidRPr="005C2321">
        <w:rPr>
          <w:rFonts w:ascii="Arial" w:hAnsi="Arial" w:cs="Arial"/>
          <w:sz w:val="24"/>
          <w:szCs w:val="24"/>
          <w:lang w:val="es-ES"/>
        </w:rPr>
        <w:t xml:space="preserve"> informo que </w:t>
      </w:r>
      <w:r w:rsidR="00017D22" w:rsidRPr="005C2321">
        <w:rPr>
          <w:rFonts w:ascii="Arial" w:hAnsi="Arial" w:cs="Arial"/>
          <w:sz w:val="24"/>
          <w:szCs w:val="24"/>
          <w:lang w:val="es-ES"/>
        </w:rPr>
        <w:t xml:space="preserve">anualmente </w:t>
      </w:r>
      <w:r w:rsidR="00F03744" w:rsidRPr="005C2321">
        <w:rPr>
          <w:rFonts w:ascii="Arial" w:hAnsi="Arial" w:cs="Arial"/>
          <w:sz w:val="24"/>
          <w:szCs w:val="24"/>
          <w:lang w:val="es-ES"/>
        </w:rPr>
        <w:t xml:space="preserve">los municipios </w:t>
      </w:r>
      <w:r w:rsidR="00017D22" w:rsidRPr="005C2321">
        <w:rPr>
          <w:rFonts w:ascii="Arial" w:hAnsi="Arial" w:cs="Arial"/>
          <w:sz w:val="24"/>
          <w:szCs w:val="24"/>
          <w:lang w:val="es-ES"/>
        </w:rPr>
        <w:t xml:space="preserve">tienen que preparar y remitir aproximadamente 27 informes a los organismos rectores, </w:t>
      </w:r>
      <w:r w:rsidR="00D33D68" w:rsidRPr="005C2321">
        <w:rPr>
          <w:rFonts w:ascii="Arial" w:hAnsi="Arial" w:cs="Arial"/>
          <w:sz w:val="24"/>
          <w:szCs w:val="24"/>
          <w:lang w:val="es-ES"/>
        </w:rPr>
        <w:t xml:space="preserve">incluyendo </w:t>
      </w:r>
      <w:r w:rsidR="00F03744" w:rsidRPr="005C2321">
        <w:rPr>
          <w:rFonts w:ascii="Arial" w:hAnsi="Arial" w:cs="Arial"/>
          <w:sz w:val="24"/>
          <w:szCs w:val="24"/>
          <w:lang w:val="es-ES"/>
        </w:rPr>
        <w:t xml:space="preserve">el Ministerio de Hacienda; (ii) </w:t>
      </w:r>
      <w:r w:rsidR="00007B27" w:rsidRPr="005C2321">
        <w:rPr>
          <w:rFonts w:ascii="Arial" w:hAnsi="Arial" w:cs="Arial"/>
          <w:sz w:val="24"/>
          <w:szCs w:val="24"/>
          <w:lang w:val="es-ES"/>
        </w:rPr>
        <w:t xml:space="preserve">Para la preparación de estos informes se está el </w:t>
      </w:r>
      <w:r w:rsidR="00007B27" w:rsidRPr="005C2321">
        <w:rPr>
          <w:rFonts w:ascii="Arial" w:hAnsi="Arial" w:cs="Arial"/>
          <w:b/>
          <w:sz w:val="24"/>
          <w:szCs w:val="24"/>
          <w:lang w:val="es-ES"/>
        </w:rPr>
        <w:t>supuesto 1</w:t>
      </w:r>
      <w:r w:rsidR="00007B27" w:rsidRPr="005C2321">
        <w:rPr>
          <w:rFonts w:ascii="Arial" w:hAnsi="Arial" w:cs="Arial"/>
          <w:sz w:val="24"/>
          <w:szCs w:val="24"/>
          <w:lang w:val="es-ES"/>
        </w:rPr>
        <w:t xml:space="preserve"> referido a que cada municipio </w:t>
      </w:r>
      <w:r w:rsidR="00017D22" w:rsidRPr="005C2321">
        <w:rPr>
          <w:rFonts w:ascii="Arial" w:hAnsi="Arial" w:cs="Arial"/>
          <w:sz w:val="24"/>
          <w:szCs w:val="24"/>
          <w:lang w:val="es-ES"/>
        </w:rPr>
        <w:t>en promedio tienen 2 personas dedicadas a preparar los</w:t>
      </w:r>
      <w:r w:rsidR="00BF19CE" w:rsidRPr="005C2321">
        <w:rPr>
          <w:rFonts w:ascii="Arial" w:hAnsi="Arial" w:cs="Arial"/>
          <w:sz w:val="24"/>
          <w:szCs w:val="24"/>
          <w:lang w:val="es-ES"/>
        </w:rPr>
        <w:t xml:space="preserve"> reportes de las transferencias y que cada persona gana US$ 439 al mes de acuerdo a la Secretaría de la Función Pública; y (iii) adicionalmente los municipios tienen asumir los costos de envío pero que resultan menores. Entonces considerando los 256 municipios, los dos profesionales por municipio, el sueldo de US$ 5 267 al año y los costos de envío</w:t>
      </w:r>
      <w:r w:rsidR="008C5EE3" w:rsidRPr="005C2321">
        <w:rPr>
          <w:rFonts w:ascii="Arial" w:hAnsi="Arial" w:cs="Arial"/>
          <w:sz w:val="24"/>
          <w:szCs w:val="24"/>
          <w:lang w:val="es-ES"/>
        </w:rPr>
        <w:t>,</w:t>
      </w:r>
      <w:r w:rsidR="00BF19CE" w:rsidRPr="005C2321">
        <w:rPr>
          <w:rFonts w:ascii="Arial" w:hAnsi="Arial" w:cs="Arial"/>
          <w:sz w:val="24"/>
          <w:szCs w:val="24"/>
          <w:lang w:val="es-ES"/>
        </w:rPr>
        <w:t xml:space="preserve"> tenemos un </w:t>
      </w:r>
      <w:proofErr w:type="gramStart"/>
      <w:r w:rsidR="00BF19CE" w:rsidRPr="005C2321">
        <w:rPr>
          <w:rFonts w:ascii="Arial" w:hAnsi="Arial" w:cs="Arial"/>
          <w:sz w:val="24"/>
          <w:szCs w:val="24"/>
          <w:lang w:val="es-ES"/>
        </w:rPr>
        <w:t>costos anual</w:t>
      </w:r>
      <w:proofErr w:type="gramEnd"/>
      <w:r w:rsidR="00BF19CE" w:rsidRPr="005C2321">
        <w:rPr>
          <w:rFonts w:ascii="Arial" w:hAnsi="Arial" w:cs="Arial"/>
          <w:sz w:val="24"/>
          <w:szCs w:val="24"/>
          <w:lang w:val="es-ES"/>
        </w:rPr>
        <w:t xml:space="preserve"> aproximado de </w:t>
      </w:r>
      <w:r w:rsidR="008C5EE3" w:rsidRPr="005C2321">
        <w:rPr>
          <w:rFonts w:ascii="Arial" w:hAnsi="Arial" w:cs="Arial"/>
          <w:sz w:val="24"/>
          <w:szCs w:val="24"/>
          <w:lang w:val="es-ES"/>
        </w:rPr>
        <w:t xml:space="preserve">US$ 2.8 millones </w:t>
      </w:r>
      <w:r w:rsidR="00017D22" w:rsidRPr="005C2321">
        <w:rPr>
          <w:rFonts w:ascii="Arial" w:hAnsi="Arial" w:cs="Arial"/>
          <w:sz w:val="24"/>
          <w:szCs w:val="24"/>
          <w:lang w:val="es-ES"/>
        </w:rPr>
        <w:t xml:space="preserve">para gestionar la </w:t>
      </w:r>
      <w:r w:rsidR="008C5EE3" w:rsidRPr="005C2321">
        <w:rPr>
          <w:rFonts w:ascii="Arial" w:hAnsi="Arial" w:cs="Arial"/>
          <w:sz w:val="24"/>
          <w:szCs w:val="24"/>
          <w:lang w:val="es-ES"/>
        </w:rPr>
        <w:t xml:space="preserve">elaboración de </w:t>
      </w:r>
      <w:r w:rsidR="00017D22" w:rsidRPr="005C2321">
        <w:rPr>
          <w:rFonts w:ascii="Arial" w:hAnsi="Arial" w:cs="Arial"/>
          <w:sz w:val="24"/>
          <w:szCs w:val="24"/>
          <w:lang w:val="es-ES"/>
        </w:rPr>
        <w:t>inform</w:t>
      </w:r>
      <w:r w:rsidR="008C5EE3" w:rsidRPr="005C2321">
        <w:rPr>
          <w:rFonts w:ascii="Arial" w:hAnsi="Arial" w:cs="Arial"/>
          <w:sz w:val="24"/>
          <w:szCs w:val="24"/>
          <w:lang w:val="es-ES"/>
        </w:rPr>
        <w:t>es y el costo de envío.</w:t>
      </w:r>
    </w:p>
    <w:p w14:paraId="243BC231" w14:textId="45CF1990" w:rsidR="0082739F" w:rsidRPr="005C2321" w:rsidRDefault="00017D22" w:rsidP="00017D22">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Entonces de acuerdo </w:t>
      </w:r>
      <w:r w:rsidR="005F56E6" w:rsidRPr="005C2321">
        <w:rPr>
          <w:rFonts w:ascii="Arial" w:hAnsi="Arial" w:cs="Arial"/>
          <w:sz w:val="24"/>
          <w:szCs w:val="24"/>
          <w:lang w:val="es-ES"/>
        </w:rPr>
        <w:t xml:space="preserve">con el </w:t>
      </w:r>
      <w:r w:rsidRPr="005C2321">
        <w:rPr>
          <w:rFonts w:ascii="Arial" w:hAnsi="Arial" w:cs="Arial"/>
          <w:sz w:val="24"/>
          <w:szCs w:val="24"/>
          <w:lang w:val="es-ES"/>
        </w:rPr>
        <w:t xml:space="preserve">alcance del proyecto, </w:t>
      </w:r>
      <w:r w:rsidR="00CA3278" w:rsidRPr="005C2321">
        <w:rPr>
          <w:rFonts w:ascii="Arial" w:hAnsi="Arial" w:cs="Arial"/>
          <w:sz w:val="24"/>
          <w:szCs w:val="24"/>
          <w:lang w:val="es-ES"/>
        </w:rPr>
        <w:t xml:space="preserve">considerando que </w:t>
      </w:r>
      <w:r w:rsidRPr="005C2321">
        <w:rPr>
          <w:rFonts w:ascii="Arial" w:hAnsi="Arial" w:cs="Arial"/>
          <w:sz w:val="24"/>
          <w:szCs w:val="24"/>
          <w:lang w:val="es-ES"/>
        </w:rPr>
        <w:t xml:space="preserve">el SIARE Municipal será implementado el cuarto año en 20 municipios y el sexto año en 20 adicionales, tenemos que los costos señalados se reducirán en </w:t>
      </w:r>
      <w:r w:rsidR="0082739F" w:rsidRPr="005C2321">
        <w:rPr>
          <w:rFonts w:ascii="Arial" w:hAnsi="Arial" w:cs="Arial"/>
          <w:sz w:val="24"/>
          <w:szCs w:val="24"/>
          <w:lang w:val="es-ES"/>
        </w:rPr>
        <w:t>7.8% (20/256) y 15.6% (40/256), respectivamente</w:t>
      </w:r>
      <w:r w:rsidRPr="005C2321">
        <w:rPr>
          <w:rFonts w:ascii="Arial" w:hAnsi="Arial" w:cs="Arial"/>
          <w:sz w:val="24"/>
          <w:szCs w:val="24"/>
          <w:lang w:val="es-ES"/>
        </w:rPr>
        <w:t xml:space="preserve">. </w:t>
      </w:r>
    </w:p>
    <w:p w14:paraId="04C5C451" w14:textId="23958940" w:rsidR="00017D22" w:rsidRPr="005C2321" w:rsidRDefault="00017D22" w:rsidP="00017D22">
      <w:pPr>
        <w:pStyle w:val="BodyText"/>
        <w:numPr>
          <w:ilvl w:val="1"/>
          <w:numId w:val="1"/>
        </w:numPr>
        <w:rPr>
          <w:rFonts w:ascii="Arial" w:hAnsi="Arial" w:cs="Arial"/>
          <w:sz w:val="24"/>
          <w:szCs w:val="24"/>
          <w:lang w:val="es-ES"/>
        </w:rPr>
      </w:pPr>
      <w:r w:rsidRPr="005C2321">
        <w:rPr>
          <w:rFonts w:ascii="Arial" w:hAnsi="Arial" w:cs="Arial"/>
          <w:sz w:val="24"/>
          <w:szCs w:val="24"/>
          <w:lang w:val="es-ES"/>
        </w:rPr>
        <w:t>Todo el detalle de cálculo puede verse en el Anexo VII donde se estima que el beneficio social por la liberación de recursos asciende a US$ 907 mil.</w:t>
      </w:r>
    </w:p>
    <w:p w14:paraId="750FAC15" w14:textId="77777777" w:rsidR="00656298" w:rsidRPr="005C2321" w:rsidRDefault="00656298" w:rsidP="00656298">
      <w:pPr>
        <w:pStyle w:val="BodyText"/>
        <w:ind w:firstLine="0"/>
        <w:rPr>
          <w:rFonts w:ascii="Arial" w:hAnsi="Arial" w:cs="Arial"/>
          <w:b/>
          <w:sz w:val="24"/>
          <w:szCs w:val="24"/>
          <w:lang w:val="es-ES"/>
        </w:rPr>
      </w:pPr>
      <w:r w:rsidRPr="005C2321">
        <w:rPr>
          <w:rFonts w:ascii="Arial" w:hAnsi="Arial" w:cs="Arial"/>
          <w:b/>
          <w:sz w:val="24"/>
          <w:szCs w:val="24"/>
          <w:lang w:val="es-ES"/>
        </w:rPr>
        <w:t>Beneficio 5: Generación de ahorros por la obtención de un mejor precio en los procesos de selección</w:t>
      </w:r>
    </w:p>
    <w:p w14:paraId="75499E02" w14:textId="77777777" w:rsidR="00656298" w:rsidRPr="005C2321" w:rsidRDefault="00656298" w:rsidP="00656298">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La DNCP ha seleccionado 29 productos de alta frecuencia de compra y ha realizado una comparación entre el precio adjudicado respecto al precio de </w:t>
      </w:r>
      <w:proofErr w:type="spellStart"/>
      <w:r w:rsidRPr="005C2321">
        <w:rPr>
          <w:rFonts w:ascii="Arial" w:hAnsi="Arial" w:cs="Arial"/>
          <w:sz w:val="24"/>
          <w:szCs w:val="24"/>
          <w:lang w:val="es-ES"/>
        </w:rPr>
        <w:t>retail</w:t>
      </w:r>
      <w:proofErr w:type="spellEnd"/>
      <w:r w:rsidRPr="005C2321">
        <w:rPr>
          <w:rFonts w:ascii="Arial" w:hAnsi="Arial" w:cs="Arial"/>
          <w:sz w:val="24"/>
          <w:szCs w:val="24"/>
          <w:lang w:val="es-ES"/>
        </w:rPr>
        <w:t xml:space="preserve"> (mercado), obteniendo que en promedio el precio adjudicado es 34.6% mayor al precio </w:t>
      </w:r>
      <w:proofErr w:type="spellStart"/>
      <w:r w:rsidRPr="005C2321">
        <w:rPr>
          <w:rFonts w:ascii="Arial" w:hAnsi="Arial" w:cs="Arial"/>
          <w:sz w:val="24"/>
          <w:szCs w:val="24"/>
          <w:lang w:val="es-ES"/>
        </w:rPr>
        <w:t>retail</w:t>
      </w:r>
      <w:proofErr w:type="spellEnd"/>
      <w:r w:rsidRPr="005C2321">
        <w:rPr>
          <w:rFonts w:ascii="Arial" w:hAnsi="Arial" w:cs="Arial"/>
          <w:sz w:val="24"/>
          <w:szCs w:val="24"/>
          <w:lang w:val="es-ES"/>
        </w:rPr>
        <w:t>.</w:t>
      </w:r>
    </w:p>
    <w:p w14:paraId="243FA0A6" w14:textId="77777777" w:rsidR="00656298" w:rsidRPr="005C2321" w:rsidRDefault="00656298" w:rsidP="00656298">
      <w:pPr>
        <w:pStyle w:val="BodyText"/>
        <w:numPr>
          <w:ilvl w:val="1"/>
          <w:numId w:val="1"/>
        </w:numPr>
        <w:rPr>
          <w:rFonts w:ascii="Arial" w:hAnsi="Arial" w:cs="Arial"/>
          <w:sz w:val="24"/>
          <w:szCs w:val="24"/>
          <w:lang w:val="es-ES"/>
        </w:rPr>
      </w:pPr>
      <w:r w:rsidRPr="005C2321">
        <w:rPr>
          <w:rFonts w:ascii="Arial" w:hAnsi="Arial" w:cs="Arial"/>
          <w:sz w:val="24"/>
          <w:szCs w:val="24"/>
          <w:lang w:val="es-ES"/>
        </w:rPr>
        <w:t>Nuevamente con el objeto de ser conservador sólo se ha considerado que el presupuesto de inversiones del Ministerio de Obras Públicas y Telecomunicaciones, y de las gobernaciones como las únicas afectadas por la disminución de la variabilidad.</w:t>
      </w:r>
    </w:p>
    <w:p w14:paraId="3802C5C4" w14:textId="3AE9A2AA" w:rsidR="00656298" w:rsidRPr="005C2321" w:rsidRDefault="00656298" w:rsidP="00656298">
      <w:pPr>
        <w:pStyle w:val="BodyText"/>
        <w:numPr>
          <w:ilvl w:val="1"/>
          <w:numId w:val="1"/>
        </w:numPr>
        <w:rPr>
          <w:rFonts w:ascii="Arial" w:hAnsi="Arial" w:cs="Arial"/>
          <w:sz w:val="24"/>
          <w:szCs w:val="24"/>
          <w:lang w:val="es-ES"/>
        </w:rPr>
      </w:pPr>
      <w:r w:rsidRPr="005C2321">
        <w:rPr>
          <w:rFonts w:ascii="Arial" w:hAnsi="Arial" w:cs="Arial"/>
          <w:sz w:val="24"/>
          <w:szCs w:val="24"/>
          <w:lang w:val="es-ES"/>
        </w:rPr>
        <w:t>También de manera conservadora se está asumiendo el supuesto que en el horizonte de evaluación bajará gradualmente esta variabilidad a 33%.</w:t>
      </w:r>
    </w:p>
    <w:p w14:paraId="4FB5411A" w14:textId="5D69B24A" w:rsidR="00C378E9" w:rsidRPr="005C2321" w:rsidRDefault="00656298" w:rsidP="006C2B5D">
      <w:pPr>
        <w:pStyle w:val="BodyText"/>
        <w:numPr>
          <w:ilvl w:val="1"/>
          <w:numId w:val="1"/>
        </w:numPr>
        <w:rPr>
          <w:rFonts w:ascii="Arial" w:hAnsi="Arial" w:cs="Arial"/>
          <w:sz w:val="24"/>
          <w:szCs w:val="24"/>
          <w:lang w:val="es-ES"/>
        </w:rPr>
      </w:pPr>
      <w:r w:rsidRPr="005C2321">
        <w:rPr>
          <w:rFonts w:ascii="Arial" w:hAnsi="Arial" w:cs="Arial"/>
          <w:sz w:val="24"/>
          <w:szCs w:val="24"/>
          <w:lang w:val="es-ES"/>
        </w:rPr>
        <w:lastRenderedPageBreak/>
        <w:t>Considerando todo lo anterior, el Anexo VIII muestra que el beneficio social que se generaría durante los 10 años sería de US$ 14.1 millones.</w:t>
      </w:r>
    </w:p>
    <w:p w14:paraId="3209176A" w14:textId="367DD5EC" w:rsidR="00017D22" w:rsidRPr="005C2321" w:rsidRDefault="00017D22" w:rsidP="00017D22">
      <w:pPr>
        <w:pStyle w:val="BodyText"/>
        <w:ind w:firstLine="0"/>
        <w:rPr>
          <w:rFonts w:ascii="Arial" w:hAnsi="Arial" w:cs="Arial"/>
          <w:sz w:val="24"/>
          <w:szCs w:val="24"/>
          <w:lang w:val="es-ES"/>
        </w:rPr>
      </w:pPr>
      <w:r w:rsidRPr="005C2321">
        <w:rPr>
          <w:rFonts w:ascii="Arial" w:hAnsi="Arial" w:cs="Arial"/>
          <w:b/>
          <w:sz w:val="24"/>
          <w:szCs w:val="24"/>
          <w:lang w:val="es-ES"/>
        </w:rPr>
        <w:t xml:space="preserve">Beneficios </w:t>
      </w:r>
      <w:r w:rsidR="00857CF3" w:rsidRPr="005C2321">
        <w:rPr>
          <w:rFonts w:ascii="Arial" w:hAnsi="Arial" w:cs="Arial"/>
          <w:b/>
          <w:sz w:val="24"/>
          <w:szCs w:val="24"/>
          <w:lang w:val="es-ES"/>
        </w:rPr>
        <w:t>6: A</w:t>
      </w:r>
      <w:r w:rsidRPr="005C2321">
        <w:rPr>
          <w:rFonts w:ascii="Arial" w:hAnsi="Arial" w:cs="Arial"/>
          <w:b/>
          <w:sz w:val="24"/>
          <w:szCs w:val="24"/>
          <w:lang w:val="es-ES"/>
        </w:rPr>
        <w:t>los proveedores del estado por reducción de costos de transacción de la gestión de contratación.</w:t>
      </w:r>
    </w:p>
    <w:p w14:paraId="2C711F93" w14:textId="05230F7D" w:rsidR="00E31EE0" w:rsidRPr="005C2321" w:rsidRDefault="0082739F" w:rsidP="005F763B">
      <w:pPr>
        <w:pStyle w:val="BodyText"/>
        <w:numPr>
          <w:ilvl w:val="1"/>
          <w:numId w:val="1"/>
        </w:numPr>
        <w:rPr>
          <w:rFonts w:ascii="Arial" w:hAnsi="Arial" w:cs="Arial"/>
          <w:sz w:val="24"/>
          <w:szCs w:val="24"/>
          <w:lang w:val="es-ES"/>
        </w:rPr>
      </w:pPr>
      <w:r w:rsidRPr="005C2321">
        <w:rPr>
          <w:rFonts w:ascii="Arial" w:hAnsi="Arial" w:cs="Arial"/>
          <w:sz w:val="24"/>
          <w:szCs w:val="24"/>
          <w:lang w:val="es-ES"/>
        </w:rPr>
        <w:t>En la situación sin proyecto</w:t>
      </w:r>
      <w:r w:rsidR="002C3580" w:rsidRPr="005C2321">
        <w:rPr>
          <w:rFonts w:ascii="Arial" w:hAnsi="Arial" w:cs="Arial"/>
          <w:sz w:val="24"/>
          <w:szCs w:val="24"/>
          <w:lang w:val="es-ES"/>
        </w:rPr>
        <w:t xml:space="preserve">, la información proporcionada por la DNCP </w:t>
      </w:r>
      <w:r w:rsidRPr="005C2321">
        <w:rPr>
          <w:rFonts w:ascii="Arial" w:hAnsi="Arial" w:cs="Arial"/>
          <w:sz w:val="24"/>
          <w:szCs w:val="24"/>
          <w:lang w:val="es-ES"/>
        </w:rPr>
        <w:t xml:space="preserve"> </w:t>
      </w:r>
      <w:r w:rsidR="002C3580" w:rsidRPr="005C2321">
        <w:rPr>
          <w:rFonts w:ascii="Arial" w:hAnsi="Arial" w:cs="Arial"/>
          <w:sz w:val="24"/>
          <w:szCs w:val="24"/>
          <w:lang w:val="es-ES"/>
        </w:rPr>
        <w:t xml:space="preserve">es la </w:t>
      </w:r>
      <w:r w:rsidRPr="005C2321">
        <w:rPr>
          <w:rFonts w:ascii="Arial" w:hAnsi="Arial" w:cs="Arial"/>
          <w:sz w:val="24"/>
          <w:szCs w:val="24"/>
          <w:lang w:val="es-ES"/>
        </w:rPr>
        <w:t xml:space="preserve">siguiente: </w:t>
      </w:r>
      <w:r w:rsidR="00E31EE0" w:rsidRPr="005C2321">
        <w:rPr>
          <w:rFonts w:ascii="Arial" w:hAnsi="Arial" w:cs="Arial"/>
          <w:sz w:val="24"/>
          <w:szCs w:val="24"/>
          <w:lang w:val="es-ES"/>
        </w:rPr>
        <w:t xml:space="preserve">(i) </w:t>
      </w:r>
      <w:r w:rsidR="002C3580" w:rsidRPr="005C2321">
        <w:rPr>
          <w:rFonts w:ascii="Arial" w:hAnsi="Arial" w:cs="Arial"/>
          <w:sz w:val="24"/>
          <w:szCs w:val="24"/>
          <w:lang w:val="es-ES"/>
        </w:rPr>
        <w:t>E</w:t>
      </w:r>
      <w:r w:rsidR="00017D22" w:rsidRPr="005C2321">
        <w:rPr>
          <w:rFonts w:ascii="Arial" w:hAnsi="Arial" w:cs="Arial"/>
          <w:sz w:val="24"/>
          <w:szCs w:val="24"/>
          <w:lang w:val="es-ES"/>
        </w:rPr>
        <w:t xml:space="preserve">l Sistema de Información de Contratación Pública (SICP) del Paraguay </w:t>
      </w:r>
      <w:r w:rsidR="00E31EE0" w:rsidRPr="005C2321">
        <w:rPr>
          <w:rFonts w:ascii="Arial" w:hAnsi="Arial" w:cs="Arial"/>
          <w:sz w:val="24"/>
          <w:szCs w:val="24"/>
          <w:lang w:val="es-ES"/>
        </w:rPr>
        <w:t xml:space="preserve">actualmente </w:t>
      </w:r>
      <w:r w:rsidR="00017D22" w:rsidRPr="005C2321">
        <w:rPr>
          <w:rFonts w:ascii="Arial" w:hAnsi="Arial" w:cs="Arial"/>
          <w:sz w:val="24"/>
          <w:szCs w:val="24"/>
          <w:lang w:val="es-ES"/>
        </w:rPr>
        <w:t xml:space="preserve">sólo permite registrar información y </w:t>
      </w:r>
      <w:r w:rsidR="005973B7" w:rsidRPr="005C2321">
        <w:rPr>
          <w:rFonts w:ascii="Arial" w:hAnsi="Arial" w:cs="Arial"/>
          <w:sz w:val="24"/>
          <w:szCs w:val="24"/>
          <w:lang w:val="es-ES"/>
        </w:rPr>
        <w:t xml:space="preserve">generar </w:t>
      </w:r>
      <w:r w:rsidR="00017D22" w:rsidRPr="005C2321">
        <w:rPr>
          <w:rFonts w:ascii="Arial" w:hAnsi="Arial" w:cs="Arial"/>
          <w:sz w:val="24"/>
          <w:szCs w:val="24"/>
          <w:lang w:val="es-ES"/>
        </w:rPr>
        <w:t>vistas p</w:t>
      </w:r>
      <w:r w:rsidR="005973B7" w:rsidRPr="005C2321">
        <w:rPr>
          <w:rFonts w:ascii="Arial" w:hAnsi="Arial" w:cs="Arial"/>
          <w:sz w:val="24"/>
          <w:szCs w:val="24"/>
          <w:lang w:val="es-ES"/>
        </w:rPr>
        <w:t>a</w:t>
      </w:r>
      <w:r w:rsidR="00017D22" w:rsidRPr="005C2321">
        <w:rPr>
          <w:rFonts w:ascii="Arial" w:hAnsi="Arial" w:cs="Arial"/>
          <w:sz w:val="24"/>
          <w:szCs w:val="24"/>
          <w:lang w:val="es-ES"/>
        </w:rPr>
        <w:t>r</w:t>
      </w:r>
      <w:r w:rsidR="005973B7" w:rsidRPr="005C2321">
        <w:rPr>
          <w:rFonts w:ascii="Arial" w:hAnsi="Arial" w:cs="Arial"/>
          <w:sz w:val="24"/>
          <w:szCs w:val="24"/>
          <w:lang w:val="es-ES"/>
        </w:rPr>
        <w:t>a</w:t>
      </w:r>
      <w:r w:rsidR="00E31EE0" w:rsidRPr="005C2321">
        <w:rPr>
          <w:rFonts w:ascii="Arial" w:hAnsi="Arial" w:cs="Arial"/>
          <w:sz w:val="24"/>
          <w:szCs w:val="24"/>
          <w:lang w:val="es-ES"/>
        </w:rPr>
        <w:t xml:space="preserve"> todos los interesados, (ii) </w:t>
      </w:r>
      <w:r w:rsidR="002C3580" w:rsidRPr="005C2321">
        <w:rPr>
          <w:rFonts w:ascii="Arial" w:hAnsi="Arial" w:cs="Arial"/>
          <w:sz w:val="24"/>
          <w:szCs w:val="24"/>
          <w:lang w:val="es-ES"/>
        </w:rPr>
        <w:t xml:space="preserve">El 2017 </w:t>
      </w:r>
      <w:r w:rsidR="00E31EE0" w:rsidRPr="005C2321">
        <w:rPr>
          <w:rFonts w:ascii="Arial" w:hAnsi="Arial" w:cs="Arial"/>
          <w:sz w:val="24"/>
          <w:szCs w:val="24"/>
          <w:lang w:val="es-ES"/>
        </w:rPr>
        <w:t>en promedio se realiza</w:t>
      </w:r>
      <w:r w:rsidR="002C3580" w:rsidRPr="005C2321">
        <w:rPr>
          <w:rFonts w:ascii="Arial" w:hAnsi="Arial" w:cs="Arial"/>
          <w:sz w:val="24"/>
          <w:szCs w:val="24"/>
          <w:lang w:val="es-ES"/>
        </w:rPr>
        <w:t xml:space="preserve">ron </w:t>
      </w:r>
      <w:r w:rsidR="00E31EE0" w:rsidRPr="005C2321">
        <w:rPr>
          <w:rFonts w:ascii="Arial" w:hAnsi="Arial" w:cs="Arial"/>
          <w:sz w:val="24"/>
          <w:szCs w:val="24"/>
          <w:lang w:val="es-ES"/>
        </w:rPr>
        <w:t xml:space="preserve">11 633 procesos de selección; (iii) </w:t>
      </w:r>
      <w:r w:rsidR="002C3580" w:rsidRPr="005C2321">
        <w:rPr>
          <w:rFonts w:ascii="Arial" w:hAnsi="Arial" w:cs="Arial"/>
          <w:sz w:val="24"/>
          <w:szCs w:val="24"/>
          <w:lang w:val="es-ES"/>
        </w:rPr>
        <w:t>E</w:t>
      </w:r>
      <w:r w:rsidR="00E31EE0" w:rsidRPr="005C2321">
        <w:rPr>
          <w:rFonts w:ascii="Arial" w:hAnsi="Arial" w:cs="Arial"/>
          <w:sz w:val="24"/>
          <w:szCs w:val="24"/>
          <w:lang w:val="es-ES"/>
        </w:rPr>
        <w:t xml:space="preserve">n cada proceso de selección participan 2.41 proveedores que tienen que llevar sus propuestas hasta la entidad; (iv) </w:t>
      </w:r>
      <w:r w:rsidR="002C3580" w:rsidRPr="005C2321">
        <w:rPr>
          <w:rFonts w:ascii="Arial" w:hAnsi="Arial" w:cs="Arial"/>
          <w:sz w:val="24"/>
          <w:szCs w:val="24"/>
          <w:lang w:val="es-ES"/>
        </w:rPr>
        <w:t xml:space="preserve">Para </w:t>
      </w:r>
      <w:r w:rsidR="00E31EE0" w:rsidRPr="005C2321">
        <w:rPr>
          <w:rFonts w:ascii="Arial" w:hAnsi="Arial" w:cs="Arial"/>
          <w:sz w:val="24"/>
          <w:szCs w:val="24"/>
          <w:lang w:val="es-ES"/>
        </w:rPr>
        <w:t>cada proceso de selección adicionalmente el ganador tiene que viajar hasta la entidad para firmar el contrato</w:t>
      </w:r>
      <w:r w:rsidR="00EF5267" w:rsidRPr="005C2321">
        <w:rPr>
          <w:rFonts w:ascii="Arial" w:hAnsi="Arial" w:cs="Arial"/>
          <w:sz w:val="24"/>
          <w:szCs w:val="24"/>
          <w:lang w:val="es-ES"/>
        </w:rPr>
        <w:t xml:space="preserve">; </w:t>
      </w:r>
      <w:r w:rsidR="002C3580" w:rsidRPr="005C2321">
        <w:rPr>
          <w:rFonts w:ascii="Arial" w:hAnsi="Arial" w:cs="Arial"/>
          <w:sz w:val="24"/>
          <w:szCs w:val="24"/>
          <w:lang w:val="es-ES"/>
        </w:rPr>
        <w:t xml:space="preserve">(v) el porcentaje de crecimiento de las contrataciones en promedio asciende a 8.8%; y </w:t>
      </w:r>
      <w:r w:rsidR="00EF5267" w:rsidRPr="005C2321">
        <w:rPr>
          <w:rFonts w:ascii="Arial" w:hAnsi="Arial" w:cs="Arial"/>
          <w:sz w:val="24"/>
          <w:szCs w:val="24"/>
          <w:lang w:val="es-ES"/>
        </w:rPr>
        <w:t>(v</w:t>
      </w:r>
      <w:r w:rsidR="002C3580" w:rsidRPr="005C2321">
        <w:rPr>
          <w:rFonts w:ascii="Arial" w:hAnsi="Arial" w:cs="Arial"/>
          <w:sz w:val="24"/>
          <w:szCs w:val="24"/>
          <w:lang w:val="es-ES"/>
        </w:rPr>
        <w:t>i</w:t>
      </w:r>
      <w:r w:rsidR="00EF5267" w:rsidRPr="005C2321">
        <w:rPr>
          <w:rFonts w:ascii="Arial" w:hAnsi="Arial" w:cs="Arial"/>
          <w:sz w:val="24"/>
          <w:szCs w:val="24"/>
          <w:lang w:val="es-ES"/>
        </w:rPr>
        <w:t xml:space="preserve">) se asume el </w:t>
      </w:r>
      <w:r w:rsidR="00EF5267" w:rsidRPr="005C2321">
        <w:rPr>
          <w:rFonts w:ascii="Arial" w:hAnsi="Arial" w:cs="Arial"/>
          <w:b/>
          <w:sz w:val="24"/>
          <w:szCs w:val="24"/>
          <w:lang w:val="es-ES"/>
        </w:rPr>
        <w:t>supuesto 1</w:t>
      </w:r>
      <w:r w:rsidR="00EF5267" w:rsidRPr="005C2321">
        <w:rPr>
          <w:rFonts w:ascii="Arial" w:hAnsi="Arial" w:cs="Arial"/>
          <w:sz w:val="24"/>
          <w:szCs w:val="24"/>
          <w:lang w:val="es-ES"/>
        </w:rPr>
        <w:t xml:space="preserve"> que el costo de la presentación física de los documentos asciende entre el costo de oportunidad de la persona y los gastos de pasajes a US$</w:t>
      </w:r>
      <w:r w:rsidR="002C3580" w:rsidRPr="005C2321">
        <w:rPr>
          <w:rFonts w:ascii="Arial" w:hAnsi="Arial" w:cs="Arial"/>
          <w:sz w:val="24"/>
          <w:szCs w:val="24"/>
          <w:lang w:val="es-ES"/>
        </w:rPr>
        <w:t xml:space="preserve"> </w:t>
      </w:r>
      <w:r w:rsidR="00EF5267" w:rsidRPr="005C2321">
        <w:rPr>
          <w:rFonts w:ascii="Arial" w:hAnsi="Arial" w:cs="Arial"/>
          <w:sz w:val="24"/>
          <w:szCs w:val="24"/>
          <w:lang w:val="es-ES"/>
        </w:rPr>
        <w:t>12</w:t>
      </w:r>
      <w:r w:rsidR="002C3580" w:rsidRPr="005C2321">
        <w:rPr>
          <w:rFonts w:ascii="Arial" w:hAnsi="Arial" w:cs="Arial"/>
          <w:sz w:val="24"/>
          <w:szCs w:val="24"/>
          <w:lang w:val="es-ES"/>
        </w:rPr>
        <w:t xml:space="preserve">.  Entonces considerando el número de procesos de selección, el número de viajes, el costo del viaje </w:t>
      </w:r>
      <w:r w:rsidR="005F763B" w:rsidRPr="005C2321">
        <w:rPr>
          <w:rFonts w:ascii="Arial" w:hAnsi="Arial" w:cs="Arial"/>
          <w:sz w:val="24"/>
          <w:szCs w:val="24"/>
          <w:lang w:val="es-ES"/>
        </w:rPr>
        <w:t xml:space="preserve">y la tasa de </w:t>
      </w:r>
      <w:proofErr w:type="gramStart"/>
      <w:r w:rsidR="005F763B" w:rsidRPr="005C2321">
        <w:rPr>
          <w:rFonts w:ascii="Arial" w:hAnsi="Arial" w:cs="Arial"/>
          <w:sz w:val="24"/>
          <w:szCs w:val="24"/>
          <w:lang w:val="es-ES"/>
        </w:rPr>
        <w:t>crecimiento,</w:t>
      </w:r>
      <w:proofErr w:type="gramEnd"/>
      <w:r w:rsidR="005F763B" w:rsidRPr="005C2321">
        <w:rPr>
          <w:rFonts w:ascii="Arial" w:hAnsi="Arial" w:cs="Arial"/>
          <w:sz w:val="24"/>
          <w:szCs w:val="24"/>
          <w:lang w:val="es-ES"/>
        </w:rPr>
        <w:t xml:space="preserve"> se tiene que los proveedores asumen costos de transacción de la gestión de contratación ascendiente a </w:t>
      </w:r>
      <w:r w:rsidR="00F03EF7" w:rsidRPr="005C2321">
        <w:rPr>
          <w:rFonts w:ascii="Arial" w:hAnsi="Arial" w:cs="Arial"/>
          <w:sz w:val="24"/>
          <w:szCs w:val="24"/>
          <w:lang w:val="es-ES"/>
        </w:rPr>
        <w:t>US$ 475</w:t>
      </w:r>
      <w:r w:rsidR="002C3580" w:rsidRPr="005C2321">
        <w:rPr>
          <w:rFonts w:ascii="Arial" w:hAnsi="Arial" w:cs="Arial"/>
          <w:sz w:val="24"/>
          <w:szCs w:val="24"/>
          <w:lang w:val="es-ES"/>
        </w:rPr>
        <w:t xml:space="preserve"> mil </w:t>
      </w:r>
      <w:r w:rsidR="005F763B" w:rsidRPr="005C2321">
        <w:rPr>
          <w:rFonts w:ascii="Arial" w:hAnsi="Arial" w:cs="Arial"/>
          <w:sz w:val="24"/>
          <w:szCs w:val="24"/>
          <w:lang w:val="es-ES"/>
        </w:rPr>
        <w:t xml:space="preserve">el primer año hasta </w:t>
      </w:r>
      <w:r w:rsidR="002C3580" w:rsidRPr="005C2321">
        <w:rPr>
          <w:rFonts w:ascii="Arial" w:hAnsi="Arial" w:cs="Arial"/>
          <w:sz w:val="24"/>
          <w:szCs w:val="24"/>
          <w:lang w:val="es-ES"/>
        </w:rPr>
        <w:t xml:space="preserve">US$ 1 millón </w:t>
      </w:r>
      <w:r w:rsidR="005F763B" w:rsidRPr="005C2321">
        <w:rPr>
          <w:rFonts w:ascii="Arial" w:hAnsi="Arial" w:cs="Arial"/>
          <w:sz w:val="24"/>
          <w:szCs w:val="24"/>
          <w:lang w:val="es-ES"/>
        </w:rPr>
        <w:t>e</w:t>
      </w:r>
      <w:r w:rsidR="002C3580" w:rsidRPr="005C2321">
        <w:rPr>
          <w:rFonts w:ascii="Arial" w:hAnsi="Arial" w:cs="Arial"/>
          <w:sz w:val="24"/>
          <w:szCs w:val="24"/>
          <w:lang w:val="es-ES"/>
        </w:rPr>
        <w:t>l año diez</w:t>
      </w:r>
    </w:p>
    <w:p w14:paraId="65F68AF8" w14:textId="2BA41929" w:rsidR="005E5359" w:rsidRPr="005C2321" w:rsidRDefault="00F03EF7" w:rsidP="00A566ED">
      <w:pPr>
        <w:pStyle w:val="BodyText"/>
        <w:numPr>
          <w:ilvl w:val="1"/>
          <w:numId w:val="1"/>
        </w:numPr>
        <w:rPr>
          <w:rFonts w:ascii="Arial" w:hAnsi="Arial" w:cs="Arial"/>
          <w:sz w:val="24"/>
          <w:szCs w:val="24"/>
          <w:lang w:val="es-ES"/>
        </w:rPr>
      </w:pPr>
      <w:r w:rsidRPr="005C2321">
        <w:rPr>
          <w:rFonts w:ascii="Arial" w:hAnsi="Arial" w:cs="Arial"/>
          <w:sz w:val="24"/>
          <w:szCs w:val="24"/>
          <w:lang w:val="es-ES"/>
        </w:rPr>
        <w:t xml:space="preserve">En la situación con proyecto tenemos que el </w:t>
      </w:r>
      <w:r w:rsidR="00017D22" w:rsidRPr="005C2321">
        <w:rPr>
          <w:rFonts w:ascii="Arial" w:hAnsi="Arial" w:cs="Arial"/>
          <w:sz w:val="24"/>
          <w:szCs w:val="24"/>
          <w:lang w:val="es-ES"/>
        </w:rPr>
        <w:t xml:space="preserve">nuevo </w:t>
      </w:r>
      <w:r w:rsidRPr="005C2321">
        <w:rPr>
          <w:rFonts w:ascii="Arial" w:hAnsi="Arial" w:cs="Arial"/>
          <w:sz w:val="24"/>
          <w:szCs w:val="24"/>
          <w:lang w:val="es-ES"/>
        </w:rPr>
        <w:t xml:space="preserve">SICP tiene funcionalidades </w:t>
      </w:r>
      <w:r w:rsidR="00017D22" w:rsidRPr="005C2321">
        <w:rPr>
          <w:rFonts w:ascii="Arial" w:hAnsi="Arial" w:cs="Arial"/>
          <w:sz w:val="24"/>
          <w:szCs w:val="24"/>
          <w:lang w:val="es-ES"/>
        </w:rPr>
        <w:t>transaccional</w:t>
      </w:r>
      <w:r w:rsidRPr="005C2321">
        <w:rPr>
          <w:rFonts w:ascii="Arial" w:hAnsi="Arial" w:cs="Arial"/>
          <w:sz w:val="24"/>
          <w:szCs w:val="24"/>
          <w:lang w:val="es-ES"/>
        </w:rPr>
        <w:t>es</w:t>
      </w:r>
      <w:r w:rsidR="00017D22" w:rsidRPr="005C2321">
        <w:rPr>
          <w:rFonts w:ascii="Arial" w:hAnsi="Arial" w:cs="Arial"/>
          <w:sz w:val="24"/>
          <w:szCs w:val="24"/>
          <w:lang w:val="es-ES"/>
        </w:rPr>
        <w:t xml:space="preserve"> donde </w:t>
      </w:r>
      <w:r w:rsidRPr="005C2321">
        <w:rPr>
          <w:rFonts w:ascii="Arial" w:hAnsi="Arial" w:cs="Arial"/>
          <w:sz w:val="24"/>
          <w:szCs w:val="24"/>
          <w:lang w:val="es-ES"/>
        </w:rPr>
        <w:t>se pueda</w:t>
      </w:r>
      <w:r w:rsidR="00017D22" w:rsidRPr="005C2321">
        <w:rPr>
          <w:rFonts w:ascii="Arial" w:hAnsi="Arial" w:cs="Arial"/>
          <w:sz w:val="24"/>
          <w:szCs w:val="24"/>
          <w:lang w:val="es-ES"/>
        </w:rPr>
        <w:t>: (a) presentación electrónica de ofertas</w:t>
      </w:r>
      <w:r w:rsidR="002F1093" w:rsidRPr="005C2321">
        <w:rPr>
          <w:rFonts w:ascii="Arial" w:hAnsi="Arial" w:cs="Arial"/>
          <w:sz w:val="24"/>
          <w:szCs w:val="24"/>
          <w:lang w:val="es-ES"/>
        </w:rPr>
        <w:t>;</w:t>
      </w:r>
      <w:r w:rsidR="00017D22" w:rsidRPr="005C2321">
        <w:rPr>
          <w:rFonts w:ascii="Arial" w:hAnsi="Arial" w:cs="Arial"/>
          <w:sz w:val="24"/>
          <w:szCs w:val="24"/>
          <w:lang w:val="es-ES"/>
        </w:rPr>
        <w:t xml:space="preserve"> (b) apertura electrónica de sobres; (c) firmar el contrato en la plataforma; (d) gestión contractual electrónica. Estas nuevas funcionalidades generará</w:t>
      </w:r>
      <w:r w:rsidR="002F1093" w:rsidRPr="005C2321">
        <w:rPr>
          <w:rFonts w:ascii="Arial" w:hAnsi="Arial" w:cs="Arial"/>
          <w:sz w:val="24"/>
          <w:szCs w:val="24"/>
          <w:lang w:val="es-ES"/>
        </w:rPr>
        <w:t>n</w:t>
      </w:r>
      <w:r w:rsidR="00017D22" w:rsidRPr="005C2321">
        <w:rPr>
          <w:rFonts w:ascii="Arial" w:hAnsi="Arial" w:cs="Arial"/>
          <w:sz w:val="24"/>
          <w:szCs w:val="24"/>
          <w:lang w:val="es-ES"/>
        </w:rPr>
        <w:t xml:space="preserve"> que los proveedores reduzcan el número de sus viajes a la entidad pública que está realizando el proceso de selección. Nuevamente considerando una gradualidad </w:t>
      </w:r>
      <w:r w:rsidR="005E5359" w:rsidRPr="005C2321">
        <w:rPr>
          <w:rFonts w:ascii="Arial" w:hAnsi="Arial" w:cs="Arial"/>
          <w:sz w:val="24"/>
          <w:szCs w:val="24"/>
          <w:lang w:val="es-ES"/>
        </w:rPr>
        <w:t xml:space="preserve">en la </w:t>
      </w:r>
      <w:r w:rsidR="00017D22" w:rsidRPr="005C2321">
        <w:rPr>
          <w:rFonts w:ascii="Arial" w:hAnsi="Arial" w:cs="Arial"/>
          <w:sz w:val="24"/>
          <w:szCs w:val="24"/>
          <w:lang w:val="es-ES"/>
        </w:rPr>
        <w:t xml:space="preserve">implementación </w:t>
      </w:r>
      <w:r w:rsidR="005E5359" w:rsidRPr="005C2321">
        <w:rPr>
          <w:rFonts w:ascii="Arial" w:hAnsi="Arial" w:cs="Arial"/>
          <w:sz w:val="24"/>
          <w:szCs w:val="24"/>
          <w:lang w:val="es-ES"/>
        </w:rPr>
        <w:t xml:space="preserve">y un escenario pesimista se asume el </w:t>
      </w:r>
      <w:r w:rsidR="005E5359" w:rsidRPr="005C2321">
        <w:rPr>
          <w:rFonts w:ascii="Arial" w:hAnsi="Arial" w:cs="Arial"/>
          <w:b/>
          <w:sz w:val="24"/>
          <w:szCs w:val="24"/>
          <w:lang w:val="es-ES"/>
        </w:rPr>
        <w:t>supuesto 2</w:t>
      </w:r>
      <w:r w:rsidR="005E5359" w:rsidRPr="005C2321">
        <w:rPr>
          <w:rFonts w:ascii="Arial" w:hAnsi="Arial" w:cs="Arial"/>
          <w:sz w:val="24"/>
          <w:szCs w:val="24"/>
          <w:lang w:val="es-ES"/>
        </w:rPr>
        <w:t xml:space="preserve"> que </w:t>
      </w:r>
      <w:r w:rsidR="00017D22" w:rsidRPr="005C2321">
        <w:rPr>
          <w:rFonts w:ascii="Arial" w:hAnsi="Arial" w:cs="Arial"/>
          <w:sz w:val="24"/>
          <w:szCs w:val="24"/>
          <w:lang w:val="es-ES"/>
        </w:rPr>
        <w:t xml:space="preserve">a partir del año 4 se reduciría </w:t>
      </w:r>
      <w:r w:rsidR="005E5359" w:rsidRPr="005C2321">
        <w:rPr>
          <w:rFonts w:ascii="Arial" w:hAnsi="Arial" w:cs="Arial"/>
          <w:sz w:val="24"/>
          <w:szCs w:val="24"/>
          <w:lang w:val="es-ES"/>
        </w:rPr>
        <w:t xml:space="preserve">los costos de los proveedores </w:t>
      </w:r>
      <w:r w:rsidR="00017D22" w:rsidRPr="005C2321">
        <w:rPr>
          <w:rFonts w:ascii="Arial" w:hAnsi="Arial" w:cs="Arial"/>
          <w:sz w:val="24"/>
          <w:szCs w:val="24"/>
          <w:lang w:val="es-ES"/>
        </w:rPr>
        <w:t xml:space="preserve">en 20% hasta </w:t>
      </w:r>
      <w:r w:rsidR="005E5359" w:rsidRPr="005C2321">
        <w:rPr>
          <w:rFonts w:ascii="Arial" w:hAnsi="Arial" w:cs="Arial"/>
          <w:sz w:val="24"/>
          <w:szCs w:val="24"/>
          <w:lang w:val="es-ES"/>
        </w:rPr>
        <w:t xml:space="preserve">un 80% de reducción </w:t>
      </w:r>
      <w:r w:rsidR="00017D22" w:rsidRPr="005C2321">
        <w:rPr>
          <w:rFonts w:ascii="Arial" w:hAnsi="Arial" w:cs="Arial"/>
          <w:sz w:val="24"/>
          <w:szCs w:val="24"/>
          <w:lang w:val="es-ES"/>
        </w:rPr>
        <w:t>el año diez</w:t>
      </w:r>
      <w:r w:rsidR="005E5359" w:rsidRPr="005C2321">
        <w:rPr>
          <w:rStyle w:val="FootnoteReference"/>
          <w:rFonts w:ascii="Arial" w:hAnsi="Arial" w:cs="Arial"/>
          <w:sz w:val="24"/>
          <w:szCs w:val="24"/>
          <w:lang w:val="es-ES"/>
        </w:rPr>
        <w:footnoteReference w:id="32"/>
      </w:r>
      <w:r w:rsidR="00017D22" w:rsidRPr="005C2321">
        <w:rPr>
          <w:rFonts w:ascii="Arial" w:hAnsi="Arial" w:cs="Arial"/>
          <w:sz w:val="24"/>
          <w:szCs w:val="24"/>
          <w:lang w:val="es-ES"/>
        </w:rPr>
        <w:t>.</w:t>
      </w:r>
    </w:p>
    <w:p w14:paraId="21D41BFF" w14:textId="30262E6F" w:rsidR="00017D22" w:rsidRPr="005C2321" w:rsidRDefault="00017D22" w:rsidP="00A566ED">
      <w:pPr>
        <w:pStyle w:val="BodyText"/>
        <w:numPr>
          <w:ilvl w:val="1"/>
          <w:numId w:val="1"/>
        </w:numPr>
        <w:rPr>
          <w:rFonts w:ascii="Arial" w:hAnsi="Arial" w:cs="Arial"/>
          <w:sz w:val="24"/>
          <w:szCs w:val="24"/>
          <w:lang w:val="es-ES"/>
        </w:rPr>
      </w:pPr>
      <w:r w:rsidRPr="005C2321">
        <w:rPr>
          <w:rFonts w:ascii="Arial" w:hAnsi="Arial" w:cs="Arial"/>
          <w:sz w:val="24"/>
          <w:szCs w:val="24"/>
          <w:lang w:val="es-ES"/>
        </w:rPr>
        <w:t>Considerando todo lo anterior, el beneficio social que se generaría durante los 10 años sería de US$ 1.4 millones.</w:t>
      </w:r>
      <w:r w:rsidR="00A34A2E" w:rsidRPr="005C2321">
        <w:rPr>
          <w:rFonts w:ascii="Arial" w:hAnsi="Arial" w:cs="Arial"/>
          <w:sz w:val="24"/>
          <w:szCs w:val="24"/>
          <w:lang w:val="es-ES"/>
        </w:rPr>
        <w:t xml:space="preserve"> Sin </w:t>
      </w:r>
      <w:proofErr w:type="gramStart"/>
      <w:r w:rsidR="00A34A2E" w:rsidRPr="005C2321">
        <w:rPr>
          <w:rFonts w:ascii="Arial" w:hAnsi="Arial" w:cs="Arial"/>
          <w:sz w:val="24"/>
          <w:szCs w:val="24"/>
          <w:lang w:val="es-ES"/>
        </w:rPr>
        <w:t>embargo</w:t>
      </w:r>
      <w:proofErr w:type="gramEnd"/>
      <w:r w:rsidR="00A34A2E" w:rsidRPr="005C2321">
        <w:rPr>
          <w:rFonts w:ascii="Arial" w:hAnsi="Arial" w:cs="Arial"/>
          <w:sz w:val="24"/>
          <w:szCs w:val="24"/>
          <w:lang w:val="es-ES"/>
        </w:rPr>
        <w:t xml:space="preserve"> no se está considerando en el flujo de evaluación</w:t>
      </w:r>
      <w:r w:rsidR="00510D84" w:rsidRPr="005C2321">
        <w:rPr>
          <w:rFonts w:ascii="Arial" w:hAnsi="Arial" w:cs="Arial"/>
          <w:sz w:val="24"/>
          <w:szCs w:val="24"/>
          <w:lang w:val="es-ES"/>
        </w:rPr>
        <w:t>.</w:t>
      </w:r>
    </w:p>
    <w:p w14:paraId="6142BAFC" w14:textId="77777777" w:rsidR="003A15F5" w:rsidRPr="005C2321" w:rsidRDefault="003A15F5" w:rsidP="00A7388D">
      <w:pPr>
        <w:pStyle w:val="BodyText"/>
        <w:rPr>
          <w:rFonts w:ascii="Arial" w:hAnsi="Arial" w:cs="Arial"/>
          <w:sz w:val="24"/>
          <w:szCs w:val="24"/>
          <w:lang w:val="es-ES" w:bidi="es-ES"/>
        </w:rPr>
      </w:pPr>
    </w:p>
    <w:p w14:paraId="4C9825BC" w14:textId="77777777" w:rsidR="00B07F2E" w:rsidRPr="005C2321" w:rsidRDefault="00B07F2E" w:rsidP="00A7388D">
      <w:pPr>
        <w:pStyle w:val="BodyText"/>
        <w:rPr>
          <w:rFonts w:ascii="Arial" w:hAnsi="Arial" w:cs="Arial"/>
          <w:sz w:val="24"/>
          <w:szCs w:val="24"/>
          <w:lang w:val="es-ES" w:bidi="es-ES"/>
        </w:rPr>
      </w:pPr>
    </w:p>
    <w:p w14:paraId="66A780EA" w14:textId="77777777" w:rsidR="00E05262" w:rsidRPr="005C2321" w:rsidRDefault="00E05262">
      <w:pPr>
        <w:rPr>
          <w:rFonts w:ascii="Arial" w:eastAsia="Times New Roman" w:hAnsi="Arial" w:cs="Arial"/>
          <w:b/>
          <w:sz w:val="24"/>
          <w:szCs w:val="24"/>
          <w:lang w:val="es-ES" w:eastAsia="es-ES" w:bidi="hi-IN"/>
        </w:rPr>
      </w:pPr>
      <w:bookmarkStart w:id="13" w:name="_Toc379588628"/>
      <w:bookmarkStart w:id="14" w:name="_Toc478926041"/>
      <w:bookmarkStart w:id="15" w:name="_Toc483390357"/>
      <w:r w:rsidRPr="005C2321">
        <w:rPr>
          <w:rFonts w:ascii="Arial" w:hAnsi="Arial" w:cs="Arial"/>
          <w:caps/>
          <w:sz w:val="24"/>
          <w:szCs w:val="24"/>
          <w:lang w:val="es-ES"/>
        </w:rPr>
        <w:br w:type="page"/>
      </w:r>
    </w:p>
    <w:p w14:paraId="6865A4E8" w14:textId="7B50D27A" w:rsidR="00A7388D" w:rsidRPr="005C2321" w:rsidRDefault="00A7388D" w:rsidP="00D00E6B">
      <w:pPr>
        <w:pStyle w:val="Heading1"/>
        <w:numPr>
          <w:ilvl w:val="0"/>
          <w:numId w:val="1"/>
        </w:numPr>
        <w:jc w:val="left"/>
        <w:rPr>
          <w:rFonts w:ascii="Arial" w:hAnsi="Arial" w:cs="Arial"/>
          <w:caps w:val="0"/>
          <w:spacing w:val="0"/>
          <w:kern w:val="0"/>
          <w:sz w:val="24"/>
          <w:szCs w:val="24"/>
          <w:lang w:val="es-ES"/>
        </w:rPr>
      </w:pPr>
      <w:bookmarkStart w:id="16" w:name="_Toc523133735"/>
      <w:r w:rsidRPr="005C2321">
        <w:rPr>
          <w:rFonts w:ascii="Arial" w:hAnsi="Arial" w:cs="Arial"/>
          <w:caps w:val="0"/>
          <w:spacing w:val="0"/>
          <w:kern w:val="0"/>
          <w:sz w:val="24"/>
          <w:szCs w:val="24"/>
          <w:lang w:val="es-ES"/>
        </w:rPr>
        <w:lastRenderedPageBreak/>
        <w:t>Análisis de sensibilidad</w:t>
      </w:r>
      <w:bookmarkEnd w:id="13"/>
      <w:bookmarkEnd w:id="14"/>
      <w:bookmarkEnd w:id="15"/>
      <w:r w:rsidR="00846A12" w:rsidRPr="005C2321">
        <w:rPr>
          <w:rFonts w:ascii="Arial" w:hAnsi="Arial" w:cs="Arial"/>
          <w:caps w:val="0"/>
          <w:spacing w:val="0"/>
          <w:kern w:val="0"/>
          <w:sz w:val="24"/>
          <w:szCs w:val="24"/>
          <w:lang w:val="es-ES"/>
        </w:rPr>
        <w:t xml:space="preserve"> y riesgo</w:t>
      </w:r>
      <w:bookmarkEnd w:id="16"/>
    </w:p>
    <w:p w14:paraId="2F581843" w14:textId="77777777" w:rsidR="0062592C" w:rsidRPr="005C2321" w:rsidRDefault="0062592C" w:rsidP="0062592C">
      <w:pPr>
        <w:pStyle w:val="BodyText"/>
        <w:ind w:firstLine="0"/>
        <w:rPr>
          <w:rFonts w:ascii="Arial" w:hAnsi="Arial" w:cs="Arial"/>
          <w:b/>
          <w:sz w:val="24"/>
          <w:szCs w:val="24"/>
          <w:lang w:val="es-ES" w:bidi="es-ES"/>
        </w:rPr>
      </w:pPr>
      <w:r w:rsidRPr="005C2321">
        <w:rPr>
          <w:rFonts w:ascii="Arial" w:hAnsi="Arial" w:cs="Arial"/>
          <w:b/>
          <w:sz w:val="24"/>
          <w:szCs w:val="24"/>
          <w:lang w:val="es-ES" w:bidi="es-ES"/>
        </w:rPr>
        <w:t>Análisis de sensibilidad</w:t>
      </w:r>
    </w:p>
    <w:p w14:paraId="61A786AC" w14:textId="77777777" w:rsidR="0062592C" w:rsidRPr="005C2321" w:rsidRDefault="0062592C" w:rsidP="0062592C">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Es importante tener en cuenta que adicionalmente al escenario pesimista que se ha considerado para las variables que permiten calcular los beneficios, a </w:t>
      </w:r>
      <w:proofErr w:type="gramStart"/>
      <w:r w:rsidRPr="005C2321">
        <w:rPr>
          <w:rFonts w:ascii="Arial" w:hAnsi="Arial" w:cs="Arial"/>
          <w:sz w:val="24"/>
          <w:szCs w:val="24"/>
          <w:lang w:val="es-ES" w:bidi="es-ES"/>
        </w:rPr>
        <w:t>continuación</w:t>
      </w:r>
      <w:proofErr w:type="gramEnd"/>
      <w:r w:rsidRPr="005C2321">
        <w:rPr>
          <w:rFonts w:ascii="Arial" w:hAnsi="Arial" w:cs="Arial"/>
          <w:sz w:val="24"/>
          <w:szCs w:val="24"/>
          <w:lang w:val="es-ES" w:bidi="es-ES"/>
        </w:rPr>
        <w:t xml:space="preserve"> se muestra en la tabla los rangos de fluctuación de dichas variables, tanto hacia abajo como hacia arriba, las cuales se han realizado en márgenes bastante importantes que permiten ver sus efectos sobre el VAN Social.</w:t>
      </w:r>
    </w:p>
    <w:p w14:paraId="72E6677F" w14:textId="77777777" w:rsidR="0062592C" w:rsidRPr="005C2321" w:rsidRDefault="0062592C" w:rsidP="0062592C">
      <w:pPr>
        <w:pStyle w:val="BodyText"/>
        <w:ind w:firstLine="0"/>
        <w:jc w:val="center"/>
        <w:rPr>
          <w:rFonts w:ascii="Arial" w:hAnsi="Arial" w:cs="Arial"/>
          <w:sz w:val="24"/>
          <w:szCs w:val="24"/>
          <w:lang w:val="es-ES" w:bidi="es-ES"/>
        </w:rPr>
      </w:pPr>
      <w:r w:rsidRPr="005C2321">
        <w:rPr>
          <w:rFonts w:ascii="Arial" w:hAnsi="Arial" w:cs="Arial"/>
          <w:sz w:val="24"/>
          <w:szCs w:val="24"/>
          <w:lang w:val="es-ES" w:bidi="es-ES"/>
        </w:rPr>
        <w:t xml:space="preserve">Tabla </w:t>
      </w:r>
      <w:r w:rsidRPr="005C2321">
        <w:rPr>
          <w:rFonts w:ascii="Arial" w:hAnsi="Arial" w:cs="Arial"/>
          <w:sz w:val="24"/>
          <w:szCs w:val="24"/>
          <w:lang w:val="es-ES" w:bidi="es-ES"/>
        </w:rPr>
        <w:fldChar w:fldCharType="begin"/>
      </w:r>
      <w:r w:rsidRPr="005C2321">
        <w:rPr>
          <w:rFonts w:ascii="Arial" w:hAnsi="Arial" w:cs="Arial"/>
          <w:sz w:val="24"/>
          <w:szCs w:val="24"/>
          <w:lang w:val="es-ES" w:bidi="es-ES"/>
        </w:rPr>
        <w:instrText xml:space="preserve"> SEQ Tabla \* ARABIC </w:instrText>
      </w:r>
      <w:r w:rsidRPr="005C2321">
        <w:rPr>
          <w:rFonts w:ascii="Arial" w:hAnsi="Arial" w:cs="Arial"/>
          <w:sz w:val="24"/>
          <w:szCs w:val="24"/>
          <w:lang w:val="es-ES" w:bidi="es-ES"/>
        </w:rPr>
        <w:fldChar w:fldCharType="separate"/>
      </w:r>
      <w:r w:rsidRPr="005C2321">
        <w:rPr>
          <w:rFonts w:ascii="Arial" w:hAnsi="Arial" w:cs="Arial"/>
          <w:noProof/>
          <w:sz w:val="24"/>
          <w:szCs w:val="24"/>
          <w:lang w:val="es-ES" w:bidi="es-ES"/>
        </w:rPr>
        <w:t>4</w:t>
      </w:r>
      <w:r w:rsidRPr="005C2321">
        <w:rPr>
          <w:rFonts w:ascii="Arial" w:hAnsi="Arial" w:cs="Arial"/>
          <w:sz w:val="24"/>
          <w:szCs w:val="24"/>
          <w:lang w:val="es-ES" w:bidi="es-ES"/>
        </w:rPr>
        <w:fldChar w:fldCharType="end"/>
      </w:r>
      <w:r w:rsidRPr="005C2321">
        <w:rPr>
          <w:rFonts w:ascii="Arial" w:hAnsi="Arial" w:cs="Arial"/>
          <w:sz w:val="24"/>
          <w:szCs w:val="24"/>
          <w:lang w:val="es-ES" w:bidi="es-ES"/>
        </w:rPr>
        <w:t>: Rango de fluctuación de las variables que generan incertidumbre respecto del valor del VAN</w:t>
      </w:r>
    </w:p>
    <w:p w14:paraId="0C1D6C60" w14:textId="77777777" w:rsidR="0062592C" w:rsidRPr="005C2321" w:rsidRDefault="0062592C" w:rsidP="0062592C">
      <w:pPr>
        <w:pStyle w:val="BodyText"/>
        <w:spacing w:after="0" w:line="240" w:lineRule="auto"/>
        <w:ind w:firstLine="0"/>
        <w:jc w:val="center"/>
        <w:rPr>
          <w:rFonts w:ascii="Arial" w:hAnsi="Arial" w:cs="Arial"/>
          <w:sz w:val="24"/>
          <w:szCs w:val="24"/>
          <w:lang w:val="es-MX"/>
        </w:rPr>
      </w:pPr>
      <w:r w:rsidRPr="005C2321">
        <w:rPr>
          <w:rFonts w:ascii="Arial" w:hAnsi="Arial" w:cs="Arial"/>
          <w:noProof/>
          <w:lang w:val="es-MX" w:eastAsia="es-MX" w:bidi="ar-SA"/>
        </w:rPr>
        <w:drawing>
          <wp:inline distT="0" distB="0" distL="0" distR="0" wp14:anchorId="0AA5B97F" wp14:editId="12C9EC7F">
            <wp:extent cx="5612130" cy="3191211"/>
            <wp:effectExtent l="0" t="0" r="7620"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3191211"/>
                    </a:xfrm>
                    <a:prstGeom prst="rect">
                      <a:avLst/>
                    </a:prstGeom>
                    <a:noFill/>
                    <a:ln>
                      <a:noFill/>
                    </a:ln>
                  </pic:spPr>
                </pic:pic>
              </a:graphicData>
            </a:graphic>
          </wp:inline>
        </w:drawing>
      </w:r>
    </w:p>
    <w:p w14:paraId="5FD34E74" w14:textId="77777777" w:rsidR="0062592C" w:rsidRPr="005C2321" w:rsidRDefault="0062592C" w:rsidP="0062592C">
      <w:pPr>
        <w:spacing w:after="0" w:line="240" w:lineRule="auto"/>
        <w:jc w:val="both"/>
        <w:rPr>
          <w:rFonts w:ascii="Arial" w:hAnsi="Arial" w:cs="Arial"/>
          <w:sz w:val="20"/>
          <w:szCs w:val="20"/>
        </w:rPr>
      </w:pPr>
      <w:r w:rsidRPr="005C2321">
        <w:rPr>
          <w:rFonts w:ascii="Arial" w:hAnsi="Arial" w:cs="Arial"/>
          <w:sz w:val="20"/>
          <w:szCs w:val="20"/>
        </w:rPr>
        <w:t>Elaboración propia</w:t>
      </w:r>
    </w:p>
    <w:p w14:paraId="48759F18" w14:textId="77777777" w:rsidR="0062592C" w:rsidRPr="005C2321" w:rsidRDefault="0062592C" w:rsidP="0062592C">
      <w:pPr>
        <w:jc w:val="both"/>
        <w:rPr>
          <w:rFonts w:ascii="Arial" w:hAnsi="Arial" w:cs="Arial"/>
          <w:sz w:val="24"/>
          <w:szCs w:val="24"/>
        </w:rPr>
      </w:pPr>
    </w:p>
    <w:p w14:paraId="63652539" w14:textId="67CC72EB" w:rsidR="0062592C" w:rsidRPr="005C2321" w:rsidRDefault="0062592C" w:rsidP="0062592C">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El software utilizado para el análisis de sensibilidad es el </w:t>
      </w:r>
      <w:proofErr w:type="spellStart"/>
      <w:r w:rsidRPr="005C2321">
        <w:rPr>
          <w:rFonts w:ascii="Arial" w:hAnsi="Arial" w:cs="Arial"/>
          <w:sz w:val="24"/>
          <w:szCs w:val="24"/>
          <w:lang w:val="es-ES" w:bidi="es-ES"/>
        </w:rPr>
        <w:t>Crystall</w:t>
      </w:r>
      <w:proofErr w:type="spellEnd"/>
      <w:r w:rsidRPr="005C2321">
        <w:rPr>
          <w:rFonts w:ascii="Arial" w:hAnsi="Arial" w:cs="Arial"/>
          <w:sz w:val="24"/>
          <w:szCs w:val="24"/>
          <w:lang w:val="es-ES" w:bidi="es-ES"/>
        </w:rPr>
        <w:t xml:space="preserve"> Ball, el cual considera que:</w:t>
      </w:r>
    </w:p>
    <w:p w14:paraId="3A51DCD1" w14:textId="77777777" w:rsidR="0062592C" w:rsidRPr="005C2321" w:rsidRDefault="0062592C" w:rsidP="0062592C">
      <w:pPr>
        <w:pStyle w:val="BodyText"/>
        <w:numPr>
          <w:ilvl w:val="0"/>
          <w:numId w:val="2"/>
        </w:numPr>
        <w:ind w:left="709"/>
        <w:rPr>
          <w:rFonts w:ascii="Arial" w:hAnsi="Arial" w:cs="Arial"/>
          <w:sz w:val="24"/>
          <w:szCs w:val="24"/>
          <w:lang w:val="es-ES"/>
        </w:rPr>
      </w:pPr>
      <w:r w:rsidRPr="005C2321">
        <w:rPr>
          <w:rFonts w:ascii="Arial" w:hAnsi="Arial" w:cs="Arial"/>
          <w:sz w:val="24"/>
          <w:szCs w:val="24"/>
          <w:lang w:val="es-ES"/>
        </w:rPr>
        <w:t>Para el caso de variables que presentan una distribución triangular, se tiene que estas distribuciones son usadas bajo las siguientes condiciones:</w:t>
      </w:r>
    </w:p>
    <w:p w14:paraId="719100FC" w14:textId="77777777" w:rsidR="0062592C" w:rsidRPr="005C2321" w:rsidRDefault="0062592C" w:rsidP="0062592C">
      <w:pPr>
        <w:pStyle w:val="BodyText"/>
        <w:numPr>
          <w:ilvl w:val="1"/>
          <w:numId w:val="2"/>
        </w:numPr>
        <w:ind w:left="1430"/>
        <w:rPr>
          <w:rFonts w:ascii="Arial" w:hAnsi="Arial" w:cs="Arial"/>
          <w:sz w:val="24"/>
          <w:szCs w:val="24"/>
          <w:lang w:val="es-ES"/>
        </w:rPr>
      </w:pPr>
      <w:r w:rsidRPr="005C2321">
        <w:rPr>
          <w:rFonts w:ascii="Arial" w:hAnsi="Arial" w:cs="Arial"/>
          <w:sz w:val="24"/>
          <w:szCs w:val="24"/>
          <w:lang w:val="es-ES"/>
        </w:rPr>
        <w:t>Cuando se conoce el valor mínimo, máximo y el valor más probable de la variable.</w:t>
      </w:r>
    </w:p>
    <w:p w14:paraId="62DFB330" w14:textId="77777777" w:rsidR="0062592C" w:rsidRPr="005C2321" w:rsidRDefault="0062592C" w:rsidP="0062592C">
      <w:pPr>
        <w:pStyle w:val="BodyText"/>
        <w:numPr>
          <w:ilvl w:val="1"/>
          <w:numId w:val="2"/>
        </w:numPr>
        <w:ind w:left="1430"/>
        <w:rPr>
          <w:rFonts w:ascii="Arial" w:hAnsi="Arial" w:cs="Arial"/>
          <w:sz w:val="24"/>
          <w:szCs w:val="24"/>
          <w:lang w:val="es-ES"/>
        </w:rPr>
      </w:pPr>
      <w:r w:rsidRPr="005C2321">
        <w:rPr>
          <w:rFonts w:ascii="Arial" w:hAnsi="Arial" w:cs="Arial"/>
          <w:sz w:val="24"/>
          <w:szCs w:val="24"/>
          <w:lang w:val="es-ES"/>
        </w:rPr>
        <w:lastRenderedPageBreak/>
        <w:t>Cuando los valores cercanos a la media son más probables que los valores cercanos a los extremos.</w:t>
      </w:r>
    </w:p>
    <w:p w14:paraId="3AEA2B27" w14:textId="77777777" w:rsidR="0062592C" w:rsidRPr="005C2321" w:rsidRDefault="0062592C" w:rsidP="0062592C">
      <w:pPr>
        <w:pStyle w:val="BodyText"/>
        <w:numPr>
          <w:ilvl w:val="0"/>
          <w:numId w:val="2"/>
        </w:numPr>
        <w:ind w:left="709"/>
        <w:rPr>
          <w:rFonts w:ascii="Arial" w:hAnsi="Arial" w:cs="Arial"/>
          <w:sz w:val="24"/>
          <w:szCs w:val="24"/>
          <w:lang w:val="es-ES"/>
        </w:rPr>
      </w:pPr>
      <w:r w:rsidRPr="005C2321">
        <w:rPr>
          <w:rFonts w:ascii="Arial" w:hAnsi="Arial" w:cs="Arial"/>
          <w:sz w:val="24"/>
          <w:szCs w:val="24"/>
          <w:lang w:val="es-ES"/>
        </w:rPr>
        <w:t>Para el caso de las variables que presentan una distribución normal, las características que se deben de tener en cuenta son:</w:t>
      </w:r>
    </w:p>
    <w:p w14:paraId="44865487" w14:textId="77777777" w:rsidR="0062592C" w:rsidRPr="005C2321" w:rsidRDefault="0062592C" w:rsidP="0062592C">
      <w:pPr>
        <w:pStyle w:val="BodyText"/>
        <w:numPr>
          <w:ilvl w:val="1"/>
          <w:numId w:val="2"/>
        </w:numPr>
        <w:ind w:left="1430"/>
        <w:rPr>
          <w:rFonts w:ascii="Arial" w:hAnsi="Arial" w:cs="Arial"/>
          <w:sz w:val="24"/>
          <w:szCs w:val="24"/>
          <w:lang w:val="es-ES"/>
        </w:rPr>
      </w:pPr>
      <w:r w:rsidRPr="005C2321">
        <w:rPr>
          <w:rFonts w:ascii="Arial" w:hAnsi="Arial" w:cs="Arial"/>
          <w:sz w:val="24"/>
          <w:szCs w:val="24"/>
          <w:lang w:val="es-ES"/>
        </w:rPr>
        <w:t>La variable posee un valor que es el más probable (la media de la distribución)</w:t>
      </w:r>
    </w:p>
    <w:p w14:paraId="7065A551" w14:textId="77777777" w:rsidR="0062592C" w:rsidRPr="005C2321" w:rsidRDefault="0062592C" w:rsidP="0062592C">
      <w:pPr>
        <w:pStyle w:val="BodyText"/>
        <w:numPr>
          <w:ilvl w:val="1"/>
          <w:numId w:val="2"/>
        </w:numPr>
        <w:ind w:left="1430"/>
        <w:rPr>
          <w:rFonts w:ascii="Arial" w:hAnsi="Arial" w:cs="Arial"/>
          <w:sz w:val="24"/>
          <w:szCs w:val="24"/>
          <w:lang w:val="es-ES"/>
        </w:rPr>
      </w:pPr>
      <w:r w:rsidRPr="005C2321">
        <w:rPr>
          <w:rFonts w:ascii="Arial" w:hAnsi="Arial" w:cs="Arial"/>
          <w:sz w:val="24"/>
          <w:szCs w:val="24"/>
          <w:lang w:val="es-ES"/>
        </w:rPr>
        <w:t>La variable puede estar por encima o por debajo de la media.</w:t>
      </w:r>
    </w:p>
    <w:p w14:paraId="0684124F" w14:textId="77777777" w:rsidR="0062592C" w:rsidRPr="005C2321" w:rsidRDefault="0062592C" w:rsidP="0062592C">
      <w:pPr>
        <w:pStyle w:val="BodyText"/>
        <w:numPr>
          <w:ilvl w:val="1"/>
          <w:numId w:val="2"/>
        </w:numPr>
        <w:ind w:left="1430"/>
        <w:rPr>
          <w:rFonts w:ascii="Arial" w:hAnsi="Arial" w:cs="Arial"/>
          <w:sz w:val="24"/>
          <w:szCs w:val="24"/>
          <w:lang w:val="es-ES"/>
        </w:rPr>
      </w:pPr>
      <w:r w:rsidRPr="005C2321">
        <w:rPr>
          <w:rFonts w:ascii="Arial" w:hAnsi="Arial" w:cs="Arial"/>
          <w:sz w:val="24"/>
          <w:szCs w:val="24"/>
          <w:lang w:val="es-ES"/>
        </w:rPr>
        <w:t>La existencia de una mayor probabilidad de que la variable esté cerca de la media que lejos.</w:t>
      </w:r>
    </w:p>
    <w:p w14:paraId="13BF1A2C" w14:textId="77777777" w:rsidR="0062592C" w:rsidRPr="005C2321" w:rsidRDefault="0062592C" w:rsidP="0062592C">
      <w:pPr>
        <w:pStyle w:val="BodyText"/>
        <w:numPr>
          <w:ilvl w:val="1"/>
          <w:numId w:val="2"/>
        </w:numPr>
        <w:ind w:left="1440"/>
        <w:rPr>
          <w:rFonts w:ascii="Arial" w:hAnsi="Arial" w:cs="Arial"/>
          <w:sz w:val="24"/>
          <w:szCs w:val="24"/>
          <w:lang w:val="es-ES"/>
        </w:rPr>
      </w:pPr>
      <w:r w:rsidRPr="005C2321">
        <w:rPr>
          <w:rFonts w:ascii="Arial" w:hAnsi="Arial" w:cs="Arial"/>
          <w:sz w:val="24"/>
          <w:szCs w:val="24"/>
          <w:lang w:val="es-ES"/>
        </w:rPr>
        <w:t>En el 68% de los casos la variable se encuentra entre +/- 1 desviación estándar de la media.</w:t>
      </w:r>
    </w:p>
    <w:p w14:paraId="255BC9AD" w14:textId="77777777" w:rsidR="0062592C" w:rsidRPr="005C2321" w:rsidRDefault="0062592C" w:rsidP="0062592C">
      <w:pPr>
        <w:pStyle w:val="BodyText"/>
        <w:numPr>
          <w:ilvl w:val="0"/>
          <w:numId w:val="2"/>
        </w:numPr>
        <w:ind w:left="709"/>
        <w:rPr>
          <w:rFonts w:ascii="Arial" w:hAnsi="Arial" w:cs="Arial"/>
          <w:sz w:val="24"/>
          <w:szCs w:val="24"/>
          <w:lang w:val="es-ES"/>
        </w:rPr>
      </w:pPr>
      <w:r w:rsidRPr="005C2321">
        <w:rPr>
          <w:rFonts w:ascii="Arial" w:hAnsi="Arial" w:cs="Arial"/>
          <w:sz w:val="24"/>
          <w:szCs w:val="24"/>
          <w:lang w:val="es-ES"/>
        </w:rPr>
        <w:t>Para el caso de las variables que presentan una distribución uniforme, se debe de tener en cuenta que se hace uso de esta distribución:</w:t>
      </w:r>
    </w:p>
    <w:p w14:paraId="4D54B475" w14:textId="77777777" w:rsidR="0062592C" w:rsidRPr="005C2321" w:rsidRDefault="0062592C" w:rsidP="0062592C">
      <w:pPr>
        <w:pStyle w:val="BodyText"/>
        <w:numPr>
          <w:ilvl w:val="1"/>
          <w:numId w:val="2"/>
        </w:numPr>
        <w:ind w:left="1430"/>
        <w:rPr>
          <w:rFonts w:ascii="Arial" w:hAnsi="Arial" w:cs="Arial"/>
          <w:sz w:val="24"/>
          <w:szCs w:val="24"/>
          <w:lang w:val="es-ES"/>
        </w:rPr>
      </w:pPr>
      <w:r w:rsidRPr="005C2321">
        <w:rPr>
          <w:rFonts w:ascii="Arial" w:hAnsi="Arial" w:cs="Arial"/>
          <w:sz w:val="24"/>
          <w:szCs w:val="24"/>
          <w:lang w:val="es-ES"/>
        </w:rPr>
        <w:t>Cuando se conoce el valor mínimo y máximo.</w:t>
      </w:r>
    </w:p>
    <w:p w14:paraId="459BD8B3" w14:textId="77777777" w:rsidR="0062592C" w:rsidRPr="005C2321" w:rsidRDefault="0062592C" w:rsidP="0062592C">
      <w:pPr>
        <w:pStyle w:val="BodyText"/>
        <w:numPr>
          <w:ilvl w:val="1"/>
          <w:numId w:val="2"/>
        </w:numPr>
        <w:ind w:left="1430"/>
        <w:rPr>
          <w:rFonts w:ascii="Arial" w:hAnsi="Arial" w:cs="Arial"/>
          <w:sz w:val="24"/>
          <w:szCs w:val="24"/>
          <w:lang w:val="es-ES"/>
        </w:rPr>
      </w:pPr>
      <w:r w:rsidRPr="005C2321">
        <w:rPr>
          <w:rFonts w:ascii="Arial" w:hAnsi="Arial" w:cs="Arial"/>
          <w:sz w:val="24"/>
          <w:szCs w:val="24"/>
          <w:lang w:val="es-ES"/>
        </w:rPr>
        <w:t>Cuando todos los valores entre el mínimo y máximo tienen igual probabilidad de ocurrencia.</w:t>
      </w:r>
    </w:p>
    <w:p w14:paraId="06D52FF6" w14:textId="77777777" w:rsidR="0062592C" w:rsidRPr="005C2321" w:rsidRDefault="0062592C" w:rsidP="0062592C">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Así mismo el </w:t>
      </w:r>
      <w:proofErr w:type="spellStart"/>
      <w:r w:rsidRPr="005C2321">
        <w:rPr>
          <w:rFonts w:ascii="Arial" w:hAnsi="Arial" w:cs="Arial"/>
          <w:sz w:val="24"/>
          <w:szCs w:val="24"/>
          <w:lang w:val="es-ES" w:bidi="es-ES"/>
        </w:rPr>
        <w:t>Crystall</w:t>
      </w:r>
      <w:proofErr w:type="spellEnd"/>
      <w:r w:rsidRPr="005C2321">
        <w:rPr>
          <w:rFonts w:ascii="Arial" w:hAnsi="Arial" w:cs="Arial"/>
          <w:sz w:val="24"/>
          <w:szCs w:val="24"/>
          <w:lang w:val="es-ES" w:bidi="es-ES"/>
        </w:rPr>
        <w:t xml:space="preserve"> Ball, permite observar cómo afecta el cambio de cada una de las variables mostradas, en la Tabla anterior, al VAN; también permite identificar las variables más importantes que generan incertidumbre y por lo tanto deben de considerarse al momento de tomar una decisión. Para esto se ha construido un modelo en el que se muestra el flujo de beneficios y costos del proyecto que permite medir las consecuencias, que se reflejan en el VAN, asociadas a cada valor que tomen las variables que se muestran en la Tabla 5.</w:t>
      </w:r>
    </w:p>
    <w:p w14:paraId="3B9D972E" w14:textId="77777777" w:rsidR="0062592C" w:rsidRPr="005C2321" w:rsidRDefault="0062592C" w:rsidP="0062592C">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 La sensibilidad que se realiza permite identificar cuáles de estas variables contribuyen en mayor medida a la variación del VAN. </w:t>
      </w:r>
      <w:r w:rsidRPr="005C2321">
        <w:rPr>
          <w:rFonts w:ascii="Arial" w:hAnsi="Arial" w:cs="Arial"/>
          <w:b/>
          <w:sz w:val="24"/>
          <w:szCs w:val="24"/>
          <w:lang w:val="es-ES" w:bidi="es-ES"/>
        </w:rPr>
        <w:t>Esto lo realiza el software a través del reemplazo de los valores que pueden tomar cada una de las variables (teniendo en cuenta el tipo de distribución que se está considerando para cada una de las variables), y sus efectos en el flujo de beneficios que se ha modelado y luego calcula el VAN asociado a este nuevo valor</w:t>
      </w:r>
      <w:r w:rsidRPr="005C2321">
        <w:rPr>
          <w:rFonts w:ascii="Arial" w:hAnsi="Arial" w:cs="Arial"/>
          <w:sz w:val="24"/>
          <w:szCs w:val="24"/>
          <w:lang w:val="es-ES" w:bidi="es-ES"/>
        </w:rPr>
        <w:t>. El siguiente gráfico muestra la contribución de cada variable a la variación del VAN.</w:t>
      </w:r>
    </w:p>
    <w:p w14:paraId="27BD9D00" w14:textId="77777777" w:rsidR="0062592C" w:rsidRPr="005C2321" w:rsidRDefault="0062592C" w:rsidP="0062592C">
      <w:pPr>
        <w:pStyle w:val="BodyText"/>
        <w:rPr>
          <w:rFonts w:ascii="Arial" w:hAnsi="Arial" w:cs="Arial"/>
          <w:sz w:val="24"/>
          <w:szCs w:val="24"/>
          <w:lang w:val="es-ES" w:bidi="es-ES"/>
        </w:rPr>
      </w:pPr>
    </w:p>
    <w:p w14:paraId="303CC1F2" w14:textId="77777777" w:rsidR="0062592C" w:rsidRPr="005C2321" w:rsidRDefault="0062592C" w:rsidP="0062592C">
      <w:pPr>
        <w:pStyle w:val="BodyText"/>
        <w:rPr>
          <w:rFonts w:ascii="Arial" w:hAnsi="Arial" w:cs="Arial"/>
          <w:sz w:val="24"/>
          <w:szCs w:val="24"/>
          <w:lang w:val="es-ES" w:bidi="es-ES"/>
        </w:rPr>
      </w:pPr>
    </w:p>
    <w:p w14:paraId="25E93C8E" w14:textId="77777777" w:rsidR="0062592C" w:rsidRPr="005C2321" w:rsidRDefault="0062592C" w:rsidP="0062592C">
      <w:pPr>
        <w:pStyle w:val="BodyText"/>
        <w:rPr>
          <w:rFonts w:ascii="Arial" w:hAnsi="Arial" w:cs="Arial"/>
          <w:sz w:val="24"/>
          <w:szCs w:val="24"/>
          <w:lang w:val="es-ES" w:bidi="es-ES"/>
        </w:rPr>
      </w:pPr>
    </w:p>
    <w:p w14:paraId="7FC4CCAD" w14:textId="77777777" w:rsidR="0062592C" w:rsidRPr="005C2321" w:rsidRDefault="0062592C" w:rsidP="0062592C">
      <w:pPr>
        <w:pStyle w:val="Caption"/>
        <w:keepNext/>
        <w:spacing w:after="0"/>
        <w:rPr>
          <w:rFonts w:ascii="Arial" w:hAnsi="Arial" w:cs="Arial"/>
          <w:i w:val="0"/>
          <w:sz w:val="24"/>
          <w:szCs w:val="24"/>
          <w:lang w:val="es-ES"/>
        </w:rPr>
      </w:pPr>
      <w:r w:rsidRPr="005C2321">
        <w:rPr>
          <w:rFonts w:ascii="Arial" w:hAnsi="Arial" w:cs="Arial"/>
          <w:i w:val="0"/>
          <w:sz w:val="24"/>
          <w:szCs w:val="24"/>
          <w:lang w:val="es-ES"/>
        </w:rPr>
        <w:lastRenderedPageBreak/>
        <w:t xml:space="preserve">Gráfico </w:t>
      </w:r>
      <w:r w:rsidRPr="005C2321">
        <w:rPr>
          <w:rFonts w:ascii="Arial" w:hAnsi="Arial" w:cs="Arial"/>
          <w:i w:val="0"/>
          <w:sz w:val="24"/>
          <w:szCs w:val="24"/>
        </w:rPr>
        <w:fldChar w:fldCharType="begin"/>
      </w:r>
      <w:r w:rsidRPr="005C2321">
        <w:rPr>
          <w:rFonts w:ascii="Arial" w:hAnsi="Arial" w:cs="Arial"/>
          <w:i w:val="0"/>
          <w:sz w:val="24"/>
          <w:szCs w:val="24"/>
          <w:lang w:val="es-ES"/>
        </w:rPr>
        <w:instrText xml:space="preserve"> SEQ Tabla \* ARABIC </w:instrText>
      </w:r>
      <w:r w:rsidRPr="005C2321">
        <w:rPr>
          <w:rFonts w:ascii="Arial" w:hAnsi="Arial" w:cs="Arial"/>
          <w:i w:val="0"/>
          <w:sz w:val="24"/>
          <w:szCs w:val="24"/>
        </w:rPr>
        <w:fldChar w:fldCharType="separate"/>
      </w:r>
      <w:r w:rsidRPr="005C2321">
        <w:rPr>
          <w:rFonts w:ascii="Arial" w:hAnsi="Arial" w:cs="Arial"/>
          <w:i w:val="0"/>
          <w:noProof/>
          <w:sz w:val="24"/>
          <w:szCs w:val="24"/>
          <w:lang w:val="es-ES"/>
        </w:rPr>
        <w:t>5</w:t>
      </w:r>
      <w:r w:rsidRPr="005C2321">
        <w:rPr>
          <w:rFonts w:ascii="Arial" w:hAnsi="Arial" w:cs="Arial"/>
          <w:i w:val="0"/>
          <w:sz w:val="24"/>
          <w:szCs w:val="24"/>
        </w:rPr>
        <w:fldChar w:fldCharType="end"/>
      </w:r>
      <w:r w:rsidRPr="005C2321">
        <w:rPr>
          <w:rFonts w:ascii="Arial" w:hAnsi="Arial" w:cs="Arial"/>
          <w:i w:val="0"/>
          <w:sz w:val="24"/>
          <w:szCs w:val="24"/>
          <w:lang w:val="es-ES"/>
        </w:rPr>
        <w:t>: Contribución a la variación del Valor Actual Neto</w:t>
      </w:r>
    </w:p>
    <w:p w14:paraId="3BED18C9" w14:textId="77777777" w:rsidR="0062592C" w:rsidRPr="005C2321" w:rsidRDefault="0062592C" w:rsidP="0062592C">
      <w:pPr>
        <w:pStyle w:val="BodyText"/>
        <w:rPr>
          <w:rFonts w:ascii="Arial" w:hAnsi="Arial" w:cs="Arial"/>
          <w:lang w:val="es-ES"/>
        </w:rPr>
      </w:pPr>
      <w:r w:rsidRPr="005C2321">
        <w:rPr>
          <w:rFonts w:ascii="Arial" w:hAnsi="Arial" w:cs="Arial"/>
          <w:noProof/>
          <w:lang w:val="es-MX" w:eastAsia="es-MX" w:bidi="ar-SA"/>
        </w:rPr>
        <w:drawing>
          <wp:inline distT="0" distB="0" distL="0" distR="0" wp14:anchorId="67826FD1" wp14:editId="1208A129">
            <wp:extent cx="5577534" cy="7543840"/>
            <wp:effectExtent l="0" t="0" r="444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77328" cy="7543561"/>
                    </a:xfrm>
                    <a:prstGeom prst="rect">
                      <a:avLst/>
                    </a:prstGeom>
                    <a:noFill/>
                  </pic:spPr>
                </pic:pic>
              </a:graphicData>
            </a:graphic>
          </wp:inline>
        </w:drawing>
      </w:r>
    </w:p>
    <w:p w14:paraId="11DCAE50" w14:textId="77777777" w:rsidR="0062592C" w:rsidRPr="005C2321" w:rsidRDefault="0062592C" w:rsidP="0062592C">
      <w:pPr>
        <w:spacing w:after="0" w:line="240" w:lineRule="auto"/>
        <w:ind w:firstLine="360"/>
        <w:jc w:val="both"/>
        <w:rPr>
          <w:rFonts w:ascii="Arial" w:hAnsi="Arial" w:cs="Arial"/>
          <w:sz w:val="20"/>
          <w:szCs w:val="20"/>
        </w:rPr>
      </w:pPr>
      <w:r w:rsidRPr="005C2321">
        <w:rPr>
          <w:rFonts w:ascii="Arial" w:hAnsi="Arial" w:cs="Arial"/>
          <w:sz w:val="20"/>
          <w:szCs w:val="20"/>
        </w:rPr>
        <w:t>Elaboración propia</w:t>
      </w:r>
    </w:p>
    <w:p w14:paraId="5A17FDFD" w14:textId="77777777" w:rsidR="0062592C" w:rsidRPr="005C2321" w:rsidRDefault="0062592C" w:rsidP="0062592C">
      <w:pPr>
        <w:pStyle w:val="Caption"/>
        <w:keepNext/>
        <w:rPr>
          <w:rFonts w:ascii="Arial" w:hAnsi="Arial" w:cs="Arial"/>
          <w:i w:val="0"/>
          <w:sz w:val="24"/>
          <w:szCs w:val="24"/>
          <w:lang w:val="es-PE"/>
        </w:rPr>
      </w:pPr>
      <w:r w:rsidRPr="005C2321">
        <w:rPr>
          <w:rFonts w:ascii="Arial" w:hAnsi="Arial" w:cs="Arial"/>
          <w:i w:val="0"/>
          <w:sz w:val="24"/>
          <w:szCs w:val="24"/>
          <w:lang w:val="es-ES" w:bidi="es-ES"/>
        </w:rPr>
        <w:lastRenderedPageBreak/>
        <w:t xml:space="preserve">Tabla </w:t>
      </w:r>
      <w:r w:rsidRPr="005C2321">
        <w:rPr>
          <w:rFonts w:ascii="Arial" w:hAnsi="Arial" w:cs="Arial"/>
          <w:i w:val="0"/>
          <w:sz w:val="24"/>
          <w:szCs w:val="24"/>
          <w:lang w:val="es-ES" w:bidi="es-ES"/>
        </w:rPr>
        <w:fldChar w:fldCharType="begin"/>
      </w:r>
      <w:r w:rsidRPr="005C2321">
        <w:rPr>
          <w:rFonts w:ascii="Arial" w:hAnsi="Arial" w:cs="Arial"/>
          <w:i w:val="0"/>
          <w:sz w:val="24"/>
          <w:szCs w:val="24"/>
          <w:lang w:val="es-ES" w:bidi="es-ES"/>
        </w:rPr>
        <w:instrText xml:space="preserve"> SEQ Tabla \* ARABIC </w:instrText>
      </w:r>
      <w:r w:rsidRPr="005C2321">
        <w:rPr>
          <w:rFonts w:ascii="Arial" w:hAnsi="Arial" w:cs="Arial"/>
          <w:i w:val="0"/>
          <w:sz w:val="24"/>
          <w:szCs w:val="24"/>
          <w:lang w:val="es-ES" w:bidi="es-ES"/>
        </w:rPr>
        <w:fldChar w:fldCharType="separate"/>
      </w:r>
      <w:r w:rsidRPr="005C2321">
        <w:rPr>
          <w:rFonts w:ascii="Arial" w:hAnsi="Arial" w:cs="Arial"/>
          <w:i w:val="0"/>
          <w:noProof/>
          <w:sz w:val="24"/>
          <w:szCs w:val="24"/>
          <w:lang w:val="es-ES" w:bidi="es-ES"/>
        </w:rPr>
        <w:t>6</w:t>
      </w:r>
      <w:r w:rsidRPr="005C2321">
        <w:rPr>
          <w:rFonts w:ascii="Arial" w:hAnsi="Arial" w:cs="Arial"/>
          <w:i w:val="0"/>
          <w:sz w:val="24"/>
          <w:szCs w:val="24"/>
          <w:lang w:val="es-ES" w:bidi="es-ES"/>
        </w:rPr>
        <w:fldChar w:fldCharType="end"/>
      </w:r>
      <w:r w:rsidRPr="005C2321">
        <w:rPr>
          <w:rFonts w:ascii="Arial" w:hAnsi="Arial" w:cs="Arial"/>
          <w:i w:val="0"/>
          <w:sz w:val="24"/>
          <w:szCs w:val="24"/>
          <w:lang w:val="es-ES" w:bidi="es-ES"/>
        </w:rPr>
        <w:t>:</w:t>
      </w:r>
      <w:r w:rsidRPr="005C2321">
        <w:rPr>
          <w:rFonts w:ascii="Arial" w:hAnsi="Arial" w:cs="Arial"/>
          <w:i w:val="0"/>
          <w:sz w:val="24"/>
          <w:szCs w:val="24"/>
          <w:lang w:val="es-PE"/>
        </w:rPr>
        <w:t xml:space="preserve"> Impacto en el VAN y porcentaje de variación generado por cada variable</w:t>
      </w:r>
    </w:p>
    <w:p w14:paraId="6577C553" w14:textId="77777777" w:rsidR="0062592C" w:rsidRPr="005C2321" w:rsidRDefault="0062592C" w:rsidP="0062592C">
      <w:pPr>
        <w:pStyle w:val="BodyText"/>
        <w:rPr>
          <w:rFonts w:ascii="Arial" w:hAnsi="Arial" w:cs="Arial"/>
          <w:lang w:val="es-PE"/>
        </w:rPr>
      </w:pPr>
      <w:r w:rsidRPr="005C2321">
        <w:rPr>
          <w:rFonts w:ascii="Arial" w:hAnsi="Arial" w:cs="Arial"/>
          <w:noProof/>
          <w:lang w:val="es-MX" w:eastAsia="es-MX" w:bidi="ar-SA"/>
        </w:rPr>
        <w:drawing>
          <wp:inline distT="0" distB="0" distL="0" distR="0" wp14:anchorId="701B5B83" wp14:editId="6492A494">
            <wp:extent cx="5612130" cy="3074414"/>
            <wp:effectExtent l="0" t="0" r="762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3074414"/>
                    </a:xfrm>
                    <a:prstGeom prst="rect">
                      <a:avLst/>
                    </a:prstGeom>
                    <a:noFill/>
                    <a:ln>
                      <a:noFill/>
                    </a:ln>
                  </pic:spPr>
                </pic:pic>
              </a:graphicData>
            </a:graphic>
          </wp:inline>
        </w:drawing>
      </w:r>
    </w:p>
    <w:p w14:paraId="3ED9E901" w14:textId="77777777" w:rsidR="0062592C" w:rsidRPr="005C2321" w:rsidRDefault="0062592C" w:rsidP="0062592C">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De acuerdo con el gráfico 6 obtenido se identifica las variables que generan mayor incertidumbre: porcentaje de ejecución anual, costo anual de almacenamiento de empresas grandes, Courier, impresión y otros, variabilidad entre valor adjudicado y valor de mercado y variabilidad entre valor adjudicado y valor de mercado con proyecto.</w:t>
      </w:r>
    </w:p>
    <w:p w14:paraId="48CC9BC3" w14:textId="77777777" w:rsidR="0062592C" w:rsidRPr="005C2321" w:rsidRDefault="0062592C" w:rsidP="0062592C">
      <w:pPr>
        <w:pStyle w:val="BodyText"/>
        <w:numPr>
          <w:ilvl w:val="1"/>
          <w:numId w:val="1"/>
        </w:numPr>
        <w:rPr>
          <w:rFonts w:ascii="Arial" w:hAnsi="Arial" w:cs="Arial"/>
          <w:sz w:val="24"/>
          <w:szCs w:val="24"/>
          <w:lang w:val="es-ES" w:bidi="es-ES"/>
        </w:rPr>
      </w:pPr>
      <w:proofErr w:type="gramStart"/>
      <w:r w:rsidRPr="005C2321">
        <w:rPr>
          <w:rFonts w:ascii="Arial" w:hAnsi="Arial" w:cs="Arial"/>
          <w:sz w:val="24"/>
          <w:szCs w:val="24"/>
          <w:lang w:val="es-ES" w:bidi="es-ES"/>
        </w:rPr>
        <w:t>Asimismo</w:t>
      </w:r>
      <w:proofErr w:type="gramEnd"/>
      <w:r w:rsidRPr="005C2321">
        <w:rPr>
          <w:rFonts w:ascii="Arial" w:hAnsi="Arial" w:cs="Arial"/>
          <w:sz w:val="24"/>
          <w:szCs w:val="24"/>
          <w:lang w:val="es-ES" w:bidi="es-ES"/>
        </w:rPr>
        <w:t xml:space="preserve"> en la tabla 7, se observa que el porcentaje de ejecución anual explica el 42.91% de la variación del VAN, manteniendo las demás variables constantes y en su valor medio o base. Para el caso de la variable costos anual de almacenamiento entre empresas grandes, Courier, impresión y otros, manteniendo los valores de las demás variables constantes, se tiene que esta explica también el 24.62% de la variación del VAN al hacer variar su valor base entre el rango de variación. Para el caso de la variable variabilidad entre valor adjudicado y valor de mercado, se tiene que ésta por sí sola explica el 16.33% de la variación del VAN, al alternar esta variable de su valor bajo a su valor alto. También, la variable variabilidad entre valor adjudicado y valor de mercado con proyecto explica el 15.03%. Por lo </w:t>
      </w:r>
      <w:proofErr w:type="gramStart"/>
      <w:r w:rsidRPr="005C2321">
        <w:rPr>
          <w:rFonts w:ascii="Arial" w:hAnsi="Arial" w:cs="Arial"/>
          <w:sz w:val="24"/>
          <w:szCs w:val="24"/>
          <w:lang w:val="es-ES" w:bidi="es-ES"/>
        </w:rPr>
        <w:t>tanto</w:t>
      </w:r>
      <w:proofErr w:type="gramEnd"/>
      <w:r w:rsidRPr="005C2321">
        <w:rPr>
          <w:rFonts w:ascii="Arial" w:hAnsi="Arial" w:cs="Arial"/>
          <w:sz w:val="24"/>
          <w:szCs w:val="24"/>
          <w:lang w:val="es-ES" w:bidi="es-ES"/>
        </w:rPr>
        <w:t xml:space="preserve"> estas 4 variables identificadas, son las que generan mayor incertidumbre, las cuales en conjunto explican el 98.89% de la variación del VAN. En ese sentido, se dice que estas variables son los factores que le generan mayor riesgo al Proyecto.</w:t>
      </w:r>
    </w:p>
    <w:p w14:paraId="6C805DDB" w14:textId="77777777" w:rsidR="0062592C" w:rsidRPr="005C2321" w:rsidRDefault="0062592C" w:rsidP="0062592C">
      <w:pPr>
        <w:pStyle w:val="BodyText"/>
        <w:ind w:left="360" w:firstLine="0"/>
        <w:rPr>
          <w:rFonts w:ascii="Arial" w:hAnsi="Arial" w:cs="Arial"/>
          <w:sz w:val="24"/>
          <w:szCs w:val="24"/>
          <w:lang w:val="es-ES" w:bidi="es-ES"/>
        </w:rPr>
      </w:pPr>
    </w:p>
    <w:p w14:paraId="139D887B" w14:textId="77777777" w:rsidR="0062592C" w:rsidRPr="005C2321" w:rsidRDefault="0062592C" w:rsidP="0062592C">
      <w:pPr>
        <w:pStyle w:val="BodyText"/>
        <w:ind w:firstLine="0"/>
        <w:rPr>
          <w:rFonts w:ascii="Arial" w:hAnsi="Arial" w:cs="Arial"/>
          <w:b/>
          <w:sz w:val="24"/>
          <w:szCs w:val="24"/>
          <w:lang w:val="es-ES"/>
        </w:rPr>
      </w:pPr>
      <w:r w:rsidRPr="005C2321">
        <w:rPr>
          <w:rFonts w:ascii="Arial" w:hAnsi="Arial" w:cs="Arial"/>
          <w:b/>
          <w:sz w:val="24"/>
          <w:szCs w:val="24"/>
          <w:lang w:val="es-ES"/>
        </w:rPr>
        <w:t>Análisis de riesgo</w:t>
      </w:r>
    </w:p>
    <w:p w14:paraId="1D899C25" w14:textId="77777777" w:rsidR="0062592C" w:rsidRPr="005C2321" w:rsidRDefault="0062592C" w:rsidP="0062592C">
      <w:pPr>
        <w:pStyle w:val="BodyText"/>
        <w:numPr>
          <w:ilvl w:val="1"/>
          <w:numId w:val="1"/>
        </w:numPr>
        <w:rPr>
          <w:rFonts w:ascii="Arial" w:hAnsi="Arial" w:cs="Arial"/>
          <w:sz w:val="24"/>
          <w:szCs w:val="24"/>
          <w:lang w:val="es-ES"/>
        </w:rPr>
      </w:pPr>
      <w:r w:rsidRPr="005C2321">
        <w:rPr>
          <w:rFonts w:ascii="Arial" w:hAnsi="Arial" w:cs="Arial"/>
          <w:sz w:val="24"/>
          <w:szCs w:val="24"/>
          <w:lang w:val="es-ES"/>
        </w:rPr>
        <w:lastRenderedPageBreak/>
        <w:t>Para el análisis de riesgo se está considerando a las variables que generan mayor incertidumbre al VAN las cuales han sido identificadas en el análisis de sensibilidad.</w:t>
      </w:r>
    </w:p>
    <w:p w14:paraId="4337F987" w14:textId="77777777" w:rsidR="0062592C" w:rsidRPr="005C2321" w:rsidRDefault="0062592C" w:rsidP="0062592C">
      <w:pPr>
        <w:pStyle w:val="BodyText"/>
        <w:numPr>
          <w:ilvl w:val="1"/>
          <w:numId w:val="1"/>
        </w:numPr>
        <w:rPr>
          <w:rFonts w:ascii="Arial" w:hAnsi="Arial" w:cs="Arial"/>
          <w:sz w:val="24"/>
          <w:szCs w:val="24"/>
          <w:lang w:val="es-ES"/>
        </w:rPr>
      </w:pPr>
      <w:r w:rsidRPr="005C2321">
        <w:rPr>
          <w:rFonts w:ascii="Arial" w:hAnsi="Arial" w:cs="Arial"/>
          <w:sz w:val="24"/>
          <w:szCs w:val="24"/>
          <w:lang w:val="es-ES"/>
        </w:rPr>
        <w:t>En el eje horizontal se muestra los posibles valores del VAN, mientras que, en el eje vertical se muestra la probabilidad asociada a las variaciones del VAN, al experimentarse cambios en las variables que generan incertidumbre respecto del valor del VAN.</w:t>
      </w:r>
    </w:p>
    <w:p w14:paraId="556C91D3" w14:textId="77777777" w:rsidR="0062592C" w:rsidRPr="005C2321" w:rsidRDefault="0062592C" w:rsidP="0062592C">
      <w:pPr>
        <w:pStyle w:val="BodyText"/>
        <w:ind w:firstLine="0"/>
        <w:jc w:val="center"/>
        <w:rPr>
          <w:rFonts w:ascii="Arial" w:hAnsi="Arial" w:cs="Arial"/>
          <w:sz w:val="24"/>
          <w:szCs w:val="24"/>
          <w:lang w:val="es-ES"/>
        </w:rPr>
      </w:pPr>
      <w:r w:rsidRPr="005C2321">
        <w:rPr>
          <w:rFonts w:ascii="Arial" w:hAnsi="Arial" w:cs="Arial"/>
          <w:sz w:val="24"/>
          <w:szCs w:val="24"/>
          <w:lang w:val="es-ES"/>
        </w:rPr>
        <w:t xml:space="preserve">Gráfico </w:t>
      </w:r>
      <w:r w:rsidRPr="005C2321">
        <w:rPr>
          <w:rFonts w:ascii="Arial" w:hAnsi="Arial" w:cs="Arial"/>
          <w:sz w:val="24"/>
          <w:szCs w:val="24"/>
        </w:rPr>
        <w:fldChar w:fldCharType="begin"/>
      </w:r>
      <w:r w:rsidRPr="005C2321">
        <w:rPr>
          <w:rFonts w:ascii="Arial" w:hAnsi="Arial" w:cs="Arial"/>
          <w:sz w:val="24"/>
          <w:szCs w:val="24"/>
          <w:lang w:val="es-ES"/>
        </w:rPr>
        <w:instrText xml:space="preserve"> SEQ Tabla \* ARABIC </w:instrText>
      </w:r>
      <w:r w:rsidRPr="005C2321">
        <w:rPr>
          <w:rFonts w:ascii="Arial" w:hAnsi="Arial" w:cs="Arial"/>
          <w:sz w:val="24"/>
          <w:szCs w:val="24"/>
        </w:rPr>
        <w:fldChar w:fldCharType="separate"/>
      </w:r>
      <w:r w:rsidRPr="005C2321">
        <w:rPr>
          <w:rFonts w:ascii="Arial" w:hAnsi="Arial" w:cs="Arial"/>
          <w:noProof/>
          <w:sz w:val="24"/>
          <w:szCs w:val="24"/>
          <w:lang w:val="es-ES"/>
        </w:rPr>
        <w:t>7</w:t>
      </w:r>
      <w:r w:rsidRPr="005C2321">
        <w:rPr>
          <w:rFonts w:ascii="Arial" w:hAnsi="Arial" w:cs="Arial"/>
          <w:sz w:val="24"/>
          <w:szCs w:val="24"/>
        </w:rPr>
        <w:fldChar w:fldCharType="end"/>
      </w:r>
      <w:r w:rsidRPr="005C2321">
        <w:rPr>
          <w:rFonts w:ascii="Arial" w:hAnsi="Arial" w:cs="Arial"/>
          <w:sz w:val="24"/>
          <w:szCs w:val="24"/>
          <w:lang w:val="es-ES"/>
        </w:rPr>
        <w:t>: Distribución de probabilidad del VAN</w:t>
      </w:r>
    </w:p>
    <w:p w14:paraId="41232711" w14:textId="77777777" w:rsidR="0062592C" w:rsidRPr="005C2321" w:rsidRDefault="0062592C" w:rsidP="0062592C">
      <w:pPr>
        <w:pStyle w:val="BodyText"/>
        <w:ind w:firstLine="0"/>
        <w:jc w:val="right"/>
        <w:rPr>
          <w:rFonts w:ascii="Arial" w:hAnsi="Arial" w:cs="Arial"/>
          <w:sz w:val="24"/>
          <w:szCs w:val="24"/>
          <w:lang w:val="es-ES"/>
        </w:rPr>
      </w:pPr>
      <w:r w:rsidRPr="005C2321">
        <w:rPr>
          <w:rFonts w:ascii="Arial" w:hAnsi="Arial" w:cs="Arial"/>
          <w:noProof/>
          <w:lang w:val="es-MX" w:eastAsia="es-MX" w:bidi="ar-SA"/>
        </w:rPr>
        <w:drawing>
          <wp:inline distT="0" distB="0" distL="0" distR="0" wp14:anchorId="68C0A27F" wp14:editId="4126CF15">
            <wp:extent cx="5612130" cy="202501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12130" cy="2025015"/>
                    </a:xfrm>
                    <a:prstGeom prst="rect">
                      <a:avLst/>
                    </a:prstGeom>
                  </pic:spPr>
                </pic:pic>
              </a:graphicData>
            </a:graphic>
          </wp:inline>
        </w:drawing>
      </w:r>
    </w:p>
    <w:p w14:paraId="7C9E81BA" w14:textId="77777777" w:rsidR="0062592C" w:rsidRPr="005C2321" w:rsidRDefault="0062592C" w:rsidP="0062592C">
      <w:pPr>
        <w:pStyle w:val="BodyText"/>
        <w:rPr>
          <w:rFonts w:ascii="Arial" w:hAnsi="Arial" w:cs="Arial"/>
          <w:lang w:val="es-ES"/>
        </w:rPr>
      </w:pPr>
      <w:r w:rsidRPr="005C2321">
        <w:rPr>
          <w:rFonts w:ascii="Arial" w:hAnsi="Arial" w:cs="Arial"/>
          <w:lang w:val="es-ES"/>
        </w:rPr>
        <w:t>Elaboración propia</w:t>
      </w:r>
    </w:p>
    <w:p w14:paraId="67E3B281" w14:textId="77777777" w:rsidR="0062592C" w:rsidRPr="005C2321" w:rsidRDefault="0062592C" w:rsidP="0062592C">
      <w:pPr>
        <w:pStyle w:val="BodyText"/>
        <w:numPr>
          <w:ilvl w:val="1"/>
          <w:numId w:val="1"/>
        </w:numPr>
        <w:rPr>
          <w:rFonts w:ascii="Arial" w:hAnsi="Arial" w:cs="Arial"/>
          <w:sz w:val="24"/>
          <w:szCs w:val="24"/>
          <w:lang w:val="es-ES"/>
        </w:rPr>
      </w:pPr>
      <w:r w:rsidRPr="005C2321">
        <w:rPr>
          <w:rFonts w:ascii="Arial" w:hAnsi="Arial" w:cs="Arial"/>
          <w:sz w:val="24"/>
          <w:szCs w:val="24"/>
          <w:lang w:val="es-ES"/>
        </w:rPr>
        <w:t>En el grafico anterior se puede apreciar que el valor mínimo que asume el VAN es de –US$ 60 millones. Así mismo, se puede apreciar que el nivel de confianza obtenido es de 100%, esto significa que la probabilidad de que el VAN se encuentre en el intervalo mostrado en el gráfico es del 100%.</w:t>
      </w:r>
    </w:p>
    <w:p w14:paraId="2543FB79" w14:textId="77777777" w:rsidR="0062592C" w:rsidRPr="005C2321" w:rsidRDefault="0062592C" w:rsidP="0062592C">
      <w:pPr>
        <w:pStyle w:val="BodyText"/>
        <w:ind w:firstLine="0"/>
        <w:jc w:val="center"/>
        <w:rPr>
          <w:rFonts w:ascii="Arial" w:hAnsi="Arial" w:cs="Arial"/>
          <w:sz w:val="24"/>
          <w:szCs w:val="24"/>
          <w:lang w:val="es-ES"/>
        </w:rPr>
      </w:pPr>
      <w:r w:rsidRPr="005C2321">
        <w:rPr>
          <w:rFonts w:ascii="Arial" w:hAnsi="Arial" w:cs="Arial"/>
          <w:sz w:val="24"/>
          <w:szCs w:val="24"/>
          <w:lang w:val="es-ES"/>
        </w:rPr>
        <w:t xml:space="preserve">Gráfico </w:t>
      </w:r>
      <w:r w:rsidRPr="005C2321">
        <w:rPr>
          <w:rFonts w:ascii="Arial" w:hAnsi="Arial" w:cs="Arial"/>
          <w:sz w:val="24"/>
          <w:szCs w:val="24"/>
        </w:rPr>
        <w:fldChar w:fldCharType="begin"/>
      </w:r>
      <w:r w:rsidRPr="005C2321">
        <w:rPr>
          <w:rFonts w:ascii="Arial" w:hAnsi="Arial" w:cs="Arial"/>
          <w:sz w:val="24"/>
          <w:szCs w:val="24"/>
          <w:lang w:val="es-ES"/>
        </w:rPr>
        <w:instrText xml:space="preserve"> SEQ Tabla \* ARABIC </w:instrText>
      </w:r>
      <w:r w:rsidRPr="005C2321">
        <w:rPr>
          <w:rFonts w:ascii="Arial" w:hAnsi="Arial" w:cs="Arial"/>
          <w:sz w:val="24"/>
          <w:szCs w:val="24"/>
        </w:rPr>
        <w:fldChar w:fldCharType="separate"/>
      </w:r>
      <w:r w:rsidRPr="005C2321">
        <w:rPr>
          <w:rFonts w:ascii="Arial" w:hAnsi="Arial" w:cs="Arial"/>
          <w:noProof/>
          <w:sz w:val="24"/>
          <w:szCs w:val="24"/>
          <w:lang w:val="es-ES"/>
        </w:rPr>
        <w:t>8</w:t>
      </w:r>
      <w:r w:rsidRPr="005C2321">
        <w:rPr>
          <w:rFonts w:ascii="Arial" w:hAnsi="Arial" w:cs="Arial"/>
          <w:sz w:val="24"/>
          <w:szCs w:val="24"/>
        </w:rPr>
        <w:fldChar w:fldCharType="end"/>
      </w:r>
      <w:r w:rsidRPr="005C2321">
        <w:rPr>
          <w:rFonts w:ascii="Arial" w:hAnsi="Arial" w:cs="Arial"/>
          <w:sz w:val="24"/>
          <w:szCs w:val="24"/>
          <w:lang w:val="es-ES"/>
        </w:rPr>
        <w:t>: Distribución de probabilidad acumulada del VAN</w:t>
      </w:r>
    </w:p>
    <w:p w14:paraId="3C13070E" w14:textId="77777777" w:rsidR="0062592C" w:rsidRPr="005C2321" w:rsidRDefault="0062592C" w:rsidP="0062592C">
      <w:pPr>
        <w:pStyle w:val="BodyText"/>
        <w:ind w:firstLine="0"/>
        <w:jc w:val="right"/>
        <w:rPr>
          <w:rFonts w:ascii="Arial" w:hAnsi="Arial" w:cs="Arial"/>
          <w:lang w:val="es-ES"/>
        </w:rPr>
      </w:pPr>
      <w:r w:rsidRPr="005C2321">
        <w:rPr>
          <w:rFonts w:ascii="Arial" w:hAnsi="Arial" w:cs="Arial"/>
          <w:noProof/>
          <w:lang w:val="es-MX" w:eastAsia="es-MX" w:bidi="ar-SA"/>
        </w:rPr>
        <w:drawing>
          <wp:inline distT="0" distB="0" distL="0" distR="0" wp14:anchorId="08E33685" wp14:editId="0FAF3049">
            <wp:extent cx="5612130" cy="2025015"/>
            <wp:effectExtent l="0" t="0" r="762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12130" cy="2025015"/>
                    </a:xfrm>
                    <a:prstGeom prst="rect">
                      <a:avLst/>
                    </a:prstGeom>
                  </pic:spPr>
                </pic:pic>
              </a:graphicData>
            </a:graphic>
          </wp:inline>
        </w:drawing>
      </w:r>
    </w:p>
    <w:p w14:paraId="41028378" w14:textId="77777777" w:rsidR="0062592C" w:rsidRPr="005C2321" w:rsidRDefault="0062592C" w:rsidP="0062592C">
      <w:pPr>
        <w:pStyle w:val="BodyText"/>
        <w:rPr>
          <w:rFonts w:ascii="Arial" w:hAnsi="Arial" w:cs="Arial"/>
          <w:lang w:val="es-ES"/>
        </w:rPr>
      </w:pPr>
      <w:r w:rsidRPr="005C2321">
        <w:rPr>
          <w:rFonts w:ascii="Arial" w:hAnsi="Arial" w:cs="Arial"/>
          <w:lang w:val="es-ES"/>
        </w:rPr>
        <w:t>Elaboración propia</w:t>
      </w:r>
    </w:p>
    <w:p w14:paraId="187A7534" w14:textId="77777777" w:rsidR="0062592C" w:rsidRPr="005C2321" w:rsidRDefault="0062592C" w:rsidP="0062592C">
      <w:pPr>
        <w:pStyle w:val="BodyText"/>
        <w:numPr>
          <w:ilvl w:val="1"/>
          <w:numId w:val="1"/>
        </w:numPr>
        <w:rPr>
          <w:rFonts w:ascii="Arial" w:hAnsi="Arial" w:cs="Arial"/>
          <w:sz w:val="24"/>
          <w:szCs w:val="24"/>
          <w:lang w:val="es-ES"/>
        </w:rPr>
      </w:pPr>
      <w:proofErr w:type="gramStart"/>
      <w:r w:rsidRPr="005C2321">
        <w:rPr>
          <w:rFonts w:ascii="Arial" w:hAnsi="Arial" w:cs="Arial"/>
          <w:sz w:val="24"/>
          <w:szCs w:val="24"/>
          <w:lang w:val="es-ES"/>
        </w:rPr>
        <w:lastRenderedPageBreak/>
        <w:t>Finalmente</w:t>
      </w:r>
      <w:proofErr w:type="gramEnd"/>
      <w:r w:rsidRPr="005C2321">
        <w:rPr>
          <w:rFonts w:ascii="Arial" w:hAnsi="Arial" w:cs="Arial"/>
          <w:sz w:val="24"/>
          <w:szCs w:val="24"/>
          <w:lang w:val="es-ES"/>
        </w:rPr>
        <w:t xml:space="preserve"> luego de realizado 10 mil iteraciones se aprecia que existe una probabilidad de 88.16% de que el VAN sea positivo. Entonces, la probabilidad de que el mismo se torne negativo es de 11.84%.</w:t>
      </w:r>
    </w:p>
    <w:p w14:paraId="2CEF00DE" w14:textId="77777777" w:rsidR="0062592C" w:rsidRPr="005C2321" w:rsidRDefault="0062592C" w:rsidP="0062592C">
      <w:pPr>
        <w:pStyle w:val="BodyText"/>
        <w:rPr>
          <w:rFonts w:ascii="Arial" w:hAnsi="Arial" w:cs="Arial"/>
          <w:sz w:val="24"/>
          <w:szCs w:val="24"/>
          <w:lang w:val="es-ES"/>
        </w:rPr>
      </w:pPr>
      <w:r w:rsidRPr="005C2321">
        <w:rPr>
          <w:rFonts w:ascii="Arial" w:hAnsi="Arial" w:cs="Arial"/>
          <w:noProof/>
          <w:lang w:val="es-MX" w:eastAsia="es-MX" w:bidi="ar-SA"/>
        </w:rPr>
        <w:drawing>
          <wp:inline distT="0" distB="0" distL="0" distR="0" wp14:anchorId="4EDC1B30" wp14:editId="6D0BE2E4">
            <wp:extent cx="5612130" cy="2025015"/>
            <wp:effectExtent l="0" t="0" r="762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12130" cy="2025015"/>
                    </a:xfrm>
                    <a:prstGeom prst="rect">
                      <a:avLst/>
                    </a:prstGeom>
                  </pic:spPr>
                </pic:pic>
              </a:graphicData>
            </a:graphic>
          </wp:inline>
        </w:drawing>
      </w:r>
    </w:p>
    <w:p w14:paraId="29021916" w14:textId="77777777" w:rsidR="00846A12" w:rsidRPr="005C2321" w:rsidRDefault="00846A12" w:rsidP="00846A12">
      <w:pPr>
        <w:rPr>
          <w:rFonts w:ascii="Arial" w:hAnsi="Arial" w:cs="Arial"/>
        </w:rPr>
      </w:pPr>
    </w:p>
    <w:p w14:paraId="50893031" w14:textId="77777777" w:rsidR="006B15BA" w:rsidRPr="005C2321" w:rsidRDefault="006B15BA" w:rsidP="00D00E6B">
      <w:pPr>
        <w:pStyle w:val="Heading1"/>
        <w:numPr>
          <w:ilvl w:val="0"/>
          <w:numId w:val="1"/>
        </w:numPr>
        <w:jc w:val="left"/>
        <w:rPr>
          <w:rFonts w:ascii="Arial" w:hAnsi="Arial" w:cs="Arial"/>
          <w:b w:val="0"/>
          <w:caps w:val="0"/>
          <w:spacing w:val="0"/>
          <w:kern w:val="0"/>
          <w:sz w:val="24"/>
          <w:szCs w:val="24"/>
          <w:lang w:val="es-ES"/>
        </w:rPr>
      </w:pPr>
      <w:bookmarkStart w:id="17" w:name="_Toc379588630"/>
      <w:bookmarkStart w:id="18" w:name="_Toc523133736"/>
      <w:r w:rsidRPr="005C2321">
        <w:rPr>
          <w:rFonts w:ascii="Arial" w:hAnsi="Arial" w:cs="Arial"/>
          <w:b w:val="0"/>
          <w:caps w:val="0"/>
          <w:spacing w:val="0"/>
          <w:kern w:val="0"/>
          <w:sz w:val="24"/>
          <w:szCs w:val="24"/>
          <w:lang w:val="es-ES"/>
        </w:rPr>
        <w:t>Conclusiones</w:t>
      </w:r>
      <w:bookmarkEnd w:id="17"/>
      <w:bookmarkEnd w:id="18"/>
    </w:p>
    <w:p w14:paraId="44DF42A3" w14:textId="19DF11E0" w:rsidR="00635B1A" w:rsidRPr="005C2321" w:rsidRDefault="00635B1A" w:rsidP="00DE5F04">
      <w:pPr>
        <w:pStyle w:val="BodyText"/>
        <w:numPr>
          <w:ilvl w:val="1"/>
          <w:numId w:val="1"/>
        </w:numPr>
        <w:rPr>
          <w:rFonts w:ascii="Arial" w:hAnsi="Arial" w:cs="Arial"/>
          <w:sz w:val="24"/>
          <w:szCs w:val="24"/>
          <w:lang w:val="es-ES" w:bidi="es-ES"/>
        </w:rPr>
      </w:pPr>
      <w:r w:rsidRPr="005C2321">
        <w:rPr>
          <w:rFonts w:ascii="Arial" w:hAnsi="Arial" w:cs="Arial"/>
          <w:sz w:val="24"/>
          <w:szCs w:val="24"/>
          <w:lang w:val="es-ES" w:bidi="es-ES"/>
        </w:rPr>
        <w:t xml:space="preserve">El </w:t>
      </w:r>
      <w:r w:rsidR="00B43E6D" w:rsidRPr="005C2321">
        <w:rPr>
          <w:rFonts w:ascii="Arial" w:hAnsi="Arial" w:cs="Arial"/>
          <w:sz w:val="24"/>
          <w:szCs w:val="24"/>
          <w:lang w:val="es-ES" w:bidi="es-ES"/>
        </w:rPr>
        <w:t xml:space="preserve">Proyecto </w:t>
      </w:r>
      <w:r w:rsidRPr="005C2321">
        <w:rPr>
          <w:rFonts w:ascii="Arial" w:hAnsi="Arial" w:cs="Arial"/>
          <w:sz w:val="24"/>
          <w:szCs w:val="24"/>
          <w:lang w:val="es-ES" w:bidi="es-ES"/>
        </w:rPr>
        <w:t xml:space="preserve">tiene un VAN </w:t>
      </w:r>
      <w:r w:rsidR="00B43E6D" w:rsidRPr="005C2321">
        <w:rPr>
          <w:rFonts w:ascii="Arial" w:hAnsi="Arial" w:cs="Arial"/>
          <w:sz w:val="24"/>
          <w:szCs w:val="24"/>
          <w:lang w:val="es-ES" w:bidi="es-ES"/>
        </w:rPr>
        <w:t>S</w:t>
      </w:r>
      <w:r w:rsidRPr="005C2321">
        <w:rPr>
          <w:rFonts w:ascii="Arial" w:hAnsi="Arial" w:cs="Arial"/>
          <w:sz w:val="24"/>
          <w:szCs w:val="24"/>
          <w:lang w:val="es-ES" w:bidi="es-ES"/>
        </w:rPr>
        <w:t xml:space="preserve">ocial de </w:t>
      </w:r>
      <w:r w:rsidR="00656298" w:rsidRPr="005C2321">
        <w:rPr>
          <w:rFonts w:ascii="Arial" w:hAnsi="Arial" w:cs="Arial"/>
          <w:sz w:val="24"/>
          <w:szCs w:val="24"/>
          <w:lang w:val="es-ES" w:bidi="es-ES"/>
        </w:rPr>
        <w:t xml:space="preserve">US$ 30.3 </w:t>
      </w:r>
      <w:r w:rsidRPr="005C2321">
        <w:rPr>
          <w:rFonts w:ascii="Arial" w:hAnsi="Arial" w:cs="Arial"/>
          <w:sz w:val="24"/>
          <w:szCs w:val="24"/>
          <w:lang w:val="es-ES" w:bidi="es-ES"/>
        </w:rPr>
        <w:t xml:space="preserve">millones y una </w:t>
      </w:r>
      <w:r w:rsidR="00D54F29" w:rsidRPr="005C2321">
        <w:rPr>
          <w:rFonts w:ascii="Arial" w:hAnsi="Arial" w:cs="Arial"/>
          <w:sz w:val="24"/>
          <w:szCs w:val="24"/>
          <w:lang w:val="es-ES" w:bidi="es-ES"/>
        </w:rPr>
        <w:t>TRE</w:t>
      </w:r>
      <w:r w:rsidRPr="005C2321">
        <w:rPr>
          <w:rFonts w:ascii="Arial" w:hAnsi="Arial" w:cs="Arial"/>
          <w:sz w:val="24"/>
          <w:szCs w:val="24"/>
          <w:lang w:val="es-ES" w:bidi="es-ES"/>
        </w:rPr>
        <w:t xml:space="preserve"> de </w:t>
      </w:r>
      <w:r w:rsidR="00656298" w:rsidRPr="005C2321">
        <w:rPr>
          <w:rFonts w:ascii="Arial" w:hAnsi="Arial" w:cs="Arial"/>
          <w:sz w:val="24"/>
          <w:szCs w:val="24"/>
          <w:lang w:val="es-ES" w:bidi="es-ES"/>
        </w:rPr>
        <w:t>38.5</w:t>
      </w:r>
      <w:r w:rsidRPr="005C2321">
        <w:rPr>
          <w:rFonts w:ascii="Arial" w:hAnsi="Arial" w:cs="Arial"/>
          <w:sz w:val="24"/>
          <w:szCs w:val="24"/>
          <w:lang w:val="es-ES" w:bidi="es-ES"/>
        </w:rPr>
        <w:t xml:space="preserve">%, lo cual demuestra que este </w:t>
      </w:r>
      <w:r w:rsidR="00B43E6D" w:rsidRPr="005C2321">
        <w:rPr>
          <w:rFonts w:ascii="Arial" w:hAnsi="Arial" w:cs="Arial"/>
          <w:sz w:val="24"/>
          <w:szCs w:val="24"/>
          <w:lang w:val="es-ES" w:bidi="es-ES"/>
        </w:rPr>
        <w:t xml:space="preserve">Proyecto </w:t>
      </w:r>
      <w:r w:rsidRPr="005C2321">
        <w:rPr>
          <w:rFonts w:ascii="Arial" w:hAnsi="Arial" w:cs="Arial"/>
          <w:sz w:val="24"/>
          <w:szCs w:val="24"/>
          <w:lang w:val="es-ES" w:bidi="es-ES"/>
        </w:rPr>
        <w:t xml:space="preserve">es viable y generaría beneficios netos para </w:t>
      </w:r>
      <w:r w:rsidR="00B43E6D" w:rsidRPr="005C2321">
        <w:rPr>
          <w:rFonts w:ascii="Arial" w:hAnsi="Arial" w:cs="Arial"/>
          <w:sz w:val="24"/>
          <w:szCs w:val="24"/>
          <w:lang w:val="es-ES" w:bidi="es-ES"/>
        </w:rPr>
        <w:t>Paraguay</w:t>
      </w:r>
      <w:r w:rsidRPr="005C2321">
        <w:rPr>
          <w:rFonts w:ascii="Arial" w:hAnsi="Arial" w:cs="Arial"/>
          <w:sz w:val="24"/>
          <w:szCs w:val="24"/>
          <w:lang w:val="es-ES" w:bidi="es-ES"/>
        </w:rPr>
        <w:t>.</w:t>
      </w:r>
    </w:p>
    <w:p w14:paraId="7BE3EB1E" w14:textId="77777777" w:rsidR="0062592C" w:rsidRPr="005C2321" w:rsidRDefault="0062592C" w:rsidP="0062592C">
      <w:pPr>
        <w:pStyle w:val="BodyText"/>
        <w:numPr>
          <w:ilvl w:val="1"/>
          <w:numId w:val="1"/>
        </w:numPr>
        <w:rPr>
          <w:rFonts w:ascii="Arial" w:hAnsi="Arial" w:cs="Arial"/>
          <w:sz w:val="24"/>
          <w:szCs w:val="24"/>
          <w:lang w:val="es-ES" w:bidi="es-ES"/>
        </w:rPr>
      </w:pPr>
      <w:r w:rsidRPr="005C2321">
        <w:rPr>
          <w:rFonts w:ascii="Arial" w:hAnsi="Arial" w:cs="Arial"/>
          <w:sz w:val="24"/>
          <w:szCs w:val="24"/>
          <w:lang w:val="es-ES"/>
        </w:rPr>
        <w:t xml:space="preserve">Realizando el análisis de riesgo tenemos una probabilidad de 88.16% de que el VAN sea positivo, lo cual permite afirmar </w:t>
      </w:r>
      <w:proofErr w:type="gramStart"/>
      <w:r w:rsidRPr="005C2321">
        <w:rPr>
          <w:rFonts w:ascii="Arial" w:hAnsi="Arial" w:cs="Arial"/>
          <w:sz w:val="24"/>
          <w:szCs w:val="24"/>
          <w:lang w:val="es-ES"/>
        </w:rPr>
        <w:t>que</w:t>
      </w:r>
      <w:proofErr w:type="gramEnd"/>
      <w:r w:rsidRPr="005C2321">
        <w:rPr>
          <w:rFonts w:ascii="Arial" w:hAnsi="Arial" w:cs="Arial"/>
          <w:sz w:val="24"/>
          <w:szCs w:val="24"/>
          <w:lang w:val="es-ES"/>
        </w:rPr>
        <w:t xml:space="preserve"> considerando los supuestos y los márgenes de variabilidad de los mismos, el Proyecto es altamente probable que resulte rentable socialmente.</w:t>
      </w:r>
    </w:p>
    <w:p w14:paraId="26F19332" w14:textId="4F3C92B8" w:rsidR="00635B1A" w:rsidRPr="005C2321" w:rsidRDefault="00635B1A" w:rsidP="00DE5F04">
      <w:pPr>
        <w:pStyle w:val="BodyText"/>
        <w:numPr>
          <w:ilvl w:val="1"/>
          <w:numId w:val="1"/>
        </w:numPr>
        <w:rPr>
          <w:rFonts w:ascii="Arial" w:hAnsi="Arial" w:cs="Arial"/>
          <w:sz w:val="24"/>
          <w:szCs w:val="24"/>
          <w:lang w:val="es-ES" w:bidi="es-ES"/>
        </w:rPr>
      </w:pPr>
      <w:r w:rsidRPr="005C2321">
        <w:rPr>
          <w:rFonts w:ascii="Arial" w:hAnsi="Arial" w:cs="Arial"/>
          <w:sz w:val="24"/>
          <w:szCs w:val="24"/>
          <w:lang w:val="es-ES"/>
        </w:rPr>
        <w:t>Por los resultados del análisis económico se recomienda concretar la operación de deuda</w:t>
      </w:r>
      <w:r w:rsidR="00745BAE" w:rsidRPr="005C2321">
        <w:rPr>
          <w:rFonts w:ascii="Arial" w:hAnsi="Arial" w:cs="Arial"/>
          <w:sz w:val="24"/>
          <w:szCs w:val="24"/>
          <w:lang w:val="es-ES"/>
        </w:rPr>
        <w:t>.</w:t>
      </w:r>
      <w:r w:rsidRPr="005C2321">
        <w:rPr>
          <w:rFonts w:ascii="Arial" w:hAnsi="Arial" w:cs="Arial"/>
          <w:sz w:val="24"/>
          <w:szCs w:val="24"/>
          <w:lang w:val="es-ES"/>
        </w:rPr>
        <w:t xml:space="preserve"> </w:t>
      </w:r>
      <w:r w:rsidRPr="005C2321">
        <w:rPr>
          <w:rFonts w:ascii="Arial" w:hAnsi="Arial" w:cs="Arial"/>
          <w:sz w:val="24"/>
          <w:szCs w:val="24"/>
          <w:lang w:val="es-ES"/>
        </w:rPr>
        <w:br w:type="page"/>
      </w:r>
    </w:p>
    <w:p w14:paraId="1CA8BB7C" w14:textId="77777777" w:rsidR="006B15BA" w:rsidRPr="005C2321" w:rsidRDefault="006B15BA" w:rsidP="006B15BA">
      <w:pPr>
        <w:pStyle w:val="BodyText"/>
        <w:ind w:firstLine="0"/>
        <w:rPr>
          <w:rFonts w:ascii="Arial" w:hAnsi="Arial" w:cs="Arial"/>
          <w:sz w:val="24"/>
          <w:szCs w:val="24"/>
          <w:highlight w:val="green"/>
          <w:lang w:val="es-ES" w:bidi="es-ES"/>
        </w:rPr>
      </w:pPr>
    </w:p>
    <w:p w14:paraId="102D411E" w14:textId="77777777" w:rsidR="006A561E" w:rsidRPr="005C2321" w:rsidRDefault="006A561E" w:rsidP="006B15BA">
      <w:pPr>
        <w:pStyle w:val="BodyText"/>
        <w:ind w:firstLine="0"/>
        <w:rPr>
          <w:rFonts w:ascii="Arial" w:hAnsi="Arial" w:cs="Arial"/>
          <w:sz w:val="24"/>
          <w:szCs w:val="24"/>
          <w:highlight w:val="green"/>
          <w:lang w:val="es-ES" w:bidi="es-ES"/>
        </w:rPr>
      </w:pPr>
    </w:p>
    <w:p w14:paraId="3327D0CD" w14:textId="77777777" w:rsidR="006A561E" w:rsidRPr="005C2321" w:rsidRDefault="006A561E" w:rsidP="006B15BA">
      <w:pPr>
        <w:pStyle w:val="BodyText"/>
        <w:ind w:firstLine="0"/>
        <w:rPr>
          <w:rFonts w:ascii="Arial" w:hAnsi="Arial" w:cs="Arial"/>
          <w:sz w:val="24"/>
          <w:szCs w:val="24"/>
          <w:highlight w:val="green"/>
          <w:lang w:val="es-ES" w:bidi="es-ES"/>
        </w:rPr>
      </w:pPr>
    </w:p>
    <w:p w14:paraId="19820518" w14:textId="77777777" w:rsidR="006A561E" w:rsidRPr="005C2321" w:rsidRDefault="006A561E" w:rsidP="006B15BA">
      <w:pPr>
        <w:pStyle w:val="BodyText"/>
        <w:ind w:firstLine="0"/>
        <w:rPr>
          <w:rFonts w:ascii="Arial" w:hAnsi="Arial" w:cs="Arial"/>
          <w:sz w:val="24"/>
          <w:szCs w:val="24"/>
          <w:highlight w:val="green"/>
          <w:lang w:val="es-ES" w:bidi="es-ES"/>
        </w:rPr>
      </w:pPr>
    </w:p>
    <w:p w14:paraId="2C0A1B2C" w14:textId="77777777" w:rsidR="006A561E" w:rsidRPr="005C2321" w:rsidRDefault="006A561E" w:rsidP="006B15BA">
      <w:pPr>
        <w:pStyle w:val="BodyText"/>
        <w:ind w:firstLine="0"/>
        <w:rPr>
          <w:rFonts w:ascii="Arial" w:hAnsi="Arial" w:cs="Arial"/>
          <w:sz w:val="24"/>
          <w:szCs w:val="24"/>
          <w:highlight w:val="green"/>
          <w:lang w:val="es-ES" w:bidi="es-ES"/>
        </w:rPr>
      </w:pPr>
    </w:p>
    <w:p w14:paraId="1AC13C55" w14:textId="77777777" w:rsidR="006A561E" w:rsidRPr="005C2321" w:rsidRDefault="006A561E" w:rsidP="006B15BA">
      <w:pPr>
        <w:pStyle w:val="BodyText"/>
        <w:ind w:firstLine="0"/>
        <w:rPr>
          <w:rFonts w:ascii="Arial" w:hAnsi="Arial" w:cs="Arial"/>
          <w:sz w:val="24"/>
          <w:szCs w:val="24"/>
          <w:highlight w:val="green"/>
          <w:lang w:val="es-ES" w:bidi="es-ES"/>
        </w:rPr>
      </w:pPr>
    </w:p>
    <w:p w14:paraId="02343816" w14:textId="77777777" w:rsidR="006A561E" w:rsidRPr="005C2321" w:rsidRDefault="006A561E" w:rsidP="006B15BA">
      <w:pPr>
        <w:pStyle w:val="BodyText"/>
        <w:ind w:firstLine="0"/>
        <w:rPr>
          <w:rFonts w:ascii="Arial" w:hAnsi="Arial" w:cs="Arial"/>
          <w:sz w:val="24"/>
          <w:szCs w:val="24"/>
          <w:highlight w:val="green"/>
          <w:lang w:val="es-ES" w:bidi="es-ES"/>
        </w:rPr>
      </w:pPr>
    </w:p>
    <w:p w14:paraId="2858681B" w14:textId="77777777" w:rsidR="006A561E" w:rsidRPr="005C2321" w:rsidRDefault="006A561E" w:rsidP="006B15BA">
      <w:pPr>
        <w:pStyle w:val="BodyText"/>
        <w:ind w:firstLine="0"/>
        <w:rPr>
          <w:rFonts w:ascii="Arial" w:hAnsi="Arial" w:cs="Arial"/>
          <w:sz w:val="24"/>
          <w:szCs w:val="24"/>
          <w:highlight w:val="green"/>
          <w:lang w:val="es-ES" w:bidi="es-ES"/>
        </w:rPr>
      </w:pPr>
    </w:p>
    <w:p w14:paraId="629E8B8E" w14:textId="77777777" w:rsidR="006A561E" w:rsidRPr="005C2321" w:rsidRDefault="006A561E" w:rsidP="006B15BA">
      <w:pPr>
        <w:pStyle w:val="BodyText"/>
        <w:ind w:firstLine="0"/>
        <w:rPr>
          <w:rFonts w:ascii="Arial" w:hAnsi="Arial" w:cs="Arial"/>
          <w:sz w:val="24"/>
          <w:szCs w:val="24"/>
          <w:highlight w:val="green"/>
          <w:lang w:val="es-ES" w:bidi="es-ES"/>
        </w:rPr>
      </w:pPr>
    </w:p>
    <w:p w14:paraId="775CBCD2" w14:textId="77777777" w:rsidR="006A561E" w:rsidRPr="005C2321" w:rsidRDefault="006A561E" w:rsidP="006B15BA">
      <w:pPr>
        <w:pStyle w:val="BodyText"/>
        <w:ind w:firstLine="0"/>
        <w:rPr>
          <w:rFonts w:ascii="Arial" w:hAnsi="Arial" w:cs="Arial"/>
          <w:sz w:val="24"/>
          <w:szCs w:val="24"/>
          <w:highlight w:val="green"/>
          <w:lang w:val="es-ES" w:bidi="es-ES"/>
        </w:rPr>
      </w:pPr>
    </w:p>
    <w:p w14:paraId="3BC4B641" w14:textId="77777777" w:rsidR="006A561E" w:rsidRPr="005C2321" w:rsidRDefault="006A561E" w:rsidP="006B15BA">
      <w:pPr>
        <w:pStyle w:val="BodyText"/>
        <w:ind w:firstLine="0"/>
        <w:rPr>
          <w:rFonts w:ascii="Arial" w:hAnsi="Arial" w:cs="Arial"/>
          <w:sz w:val="24"/>
          <w:szCs w:val="24"/>
          <w:highlight w:val="green"/>
          <w:lang w:val="es-ES" w:bidi="es-ES"/>
        </w:rPr>
      </w:pPr>
    </w:p>
    <w:p w14:paraId="0490C019" w14:textId="77777777" w:rsidR="006B15BA" w:rsidRPr="005C2321" w:rsidRDefault="006B15BA" w:rsidP="006B15BA">
      <w:pPr>
        <w:pStyle w:val="Heading1"/>
        <w:jc w:val="left"/>
        <w:rPr>
          <w:rFonts w:ascii="Arial" w:hAnsi="Arial" w:cs="Arial"/>
          <w:b w:val="0"/>
          <w:caps w:val="0"/>
          <w:spacing w:val="0"/>
          <w:kern w:val="0"/>
          <w:sz w:val="24"/>
          <w:szCs w:val="24"/>
          <w:lang w:val="es-ES"/>
        </w:rPr>
      </w:pPr>
      <w:bookmarkStart w:id="19" w:name="_Toc295122050"/>
      <w:bookmarkStart w:id="20" w:name="_Toc379588631"/>
      <w:bookmarkStart w:id="21" w:name="_Toc523133737"/>
      <w:r w:rsidRPr="005C2321">
        <w:rPr>
          <w:rFonts w:ascii="Arial" w:hAnsi="Arial" w:cs="Arial"/>
          <w:b w:val="0"/>
          <w:caps w:val="0"/>
          <w:spacing w:val="0"/>
          <w:kern w:val="0"/>
          <w:sz w:val="24"/>
          <w:szCs w:val="24"/>
          <w:lang w:val="es-ES"/>
        </w:rPr>
        <w:t>Anexos</w:t>
      </w:r>
      <w:bookmarkEnd w:id="19"/>
      <w:bookmarkEnd w:id="20"/>
      <w:r w:rsidR="000913DB" w:rsidRPr="005C2321">
        <w:rPr>
          <w:rFonts w:ascii="Arial" w:hAnsi="Arial" w:cs="Arial"/>
          <w:b w:val="0"/>
          <w:caps w:val="0"/>
          <w:spacing w:val="0"/>
          <w:kern w:val="0"/>
          <w:sz w:val="24"/>
          <w:szCs w:val="24"/>
          <w:lang w:val="es-ES"/>
        </w:rPr>
        <w:t xml:space="preserve"> I: Lógica Vertical</w:t>
      </w:r>
      <w:bookmarkEnd w:id="21"/>
    </w:p>
    <w:p w14:paraId="40262273" w14:textId="77777777" w:rsidR="006B15BA" w:rsidRPr="005C2321" w:rsidRDefault="006B15BA" w:rsidP="006B15BA">
      <w:pPr>
        <w:pStyle w:val="BodyText"/>
        <w:rPr>
          <w:rFonts w:ascii="Arial" w:hAnsi="Arial" w:cs="Arial"/>
          <w:sz w:val="24"/>
          <w:szCs w:val="24"/>
          <w:highlight w:val="green"/>
          <w:lang w:val="es-ES"/>
        </w:rPr>
      </w:pPr>
    </w:p>
    <w:p w14:paraId="1204656E" w14:textId="77777777" w:rsidR="006B15BA" w:rsidRPr="005C2321" w:rsidRDefault="006B15BA" w:rsidP="006B15BA">
      <w:pPr>
        <w:pStyle w:val="BodyText"/>
        <w:rPr>
          <w:rFonts w:ascii="Arial" w:hAnsi="Arial" w:cs="Arial"/>
          <w:sz w:val="24"/>
          <w:szCs w:val="24"/>
          <w:highlight w:val="green"/>
          <w:lang w:val="es-ES"/>
        </w:rPr>
      </w:pPr>
    </w:p>
    <w:p w14:paraId="4DB3E3A8" w14:textId="77777777" w:rsidR="006B15BA" w:rsidRPr="005C2321" w:rsidRDefault="006B15BA" w:rsidP="006B15BA">
      <w:pPr>
        <w:pStyle w:val="BodyText"/>
        <w:rPr>
          <w:rFonts w:ascii="Arial" w:hAnsi="Arial" w:cs="Arial"/>
          <w:sz w:val="24"/>
          <w:szCs w:val="24"/>
          <w:highlight w:val="green"/>
          <w:lang w:val="es-ES"/>
        </w:rPr>
      </w:pPr>
    </w:p>
    <w:p w14:paraId="093194CD" w14:textId="77777777" w:rsidR="006B15BA" w:rsidRPr="005C2321" w:rsidRDefault="006B15BA" w:rsidP="006B15BA">
      <w:pPr>
        <w:pStyle w:val="BodyText"/>
        <w:rPr>
          <w:rFonts w:ascii="Arial" w:hAnsi="Arial" w:cs="Arial"/>
          <w:sz w:val="24"/>
          <w:szCs w:val="24"/>
          <w:highlight w:val="green"/>
          <w:lang w:val="es-ES"/>
        </w:rPr>
      </w:pPr>
    </w:p>
    <w:p w14:paraId="4E263E1C" w14:textId="77777777" w:rsidR="006B15BA" w:rsidRPr="005C2321" w:rsidRDefault="006B15BA" w:rsidP="006B15BA">
      <w:pPr>
        <w:pStyle w:val="BodyText"/>
        <w:rPr>
          <w:rFonts w:ascii="Arial" w:hAnsi="Arial" w:cs="Arial"/>
          <w:sz w:val="24"/>
          <w:szCs w:val="24"/>
          <w:highlight w:val="green"/>
          <w:lang w:val="es-ES"/>
        </w:rPr>
      </w:pPr>
    </w:p>
    <w:p w14:paraId="2C299682" w14:textId="77777777" w:rsidR="006B15BA" w:rsidRPr="005C2321" w:rsidRDefault="006B15BA" w:rsidP="006B15BA">
      <w:pPr>
        <w:pStyle w:val="BodyText"/>
        <w:rPr>
          <w:rFonts w:ascii="Arial" w:hAnsi="Arial" w:cs="Arial"/>
          <w:sz w:val="24"/>
          <w:szCs w:val="24"/>
          <w:highlight w:val="green"/>
          <w:lang w:val="es-ES"/>
        </w:rPr>
      </w:pPr>
    </w:p>
    <w:p w14:paraId="527FC700" w14:textId="77777777" w:rsidR="006B15BA" w:rsidRPr="005C2321" w:rsidRDefault="006B15BA" w:rsidP="006B15BA">
      <w:pPr>
        <w:pStyle w:val="BodyText"/>
        <w:rPr>
          <w:rFonts w:ascii="Arial" w:hAnsi="Arial" w:cs="Arial"/>
          <w:sz w:val="24"/>
          <w:szCs w:val="24"/>
          <w:highlight w:val="green"/>
          <w:lang w:val="es-ES"/>
        </w:rPr>
      </w:pPr>
    </w:p>
    <w:p w14:paraId="0B0239AC" w14:textId="77777777" w:rsidR="006B15BA" w:rsidRPr="005C2321" w:rsidRDefault="006B15BA" w:rsidP="006B15BA">
      <w:pPr>
        <w:pStyle w:val="BodyText"/>
        <w:rPr>
          <w:rFonts w:ascii="Arial" w:hAnsi="Arial" w:cs="Arial"/>
          <w:sz w:val="24"/>
          <w:szCs w:val="24"/>
          <w:highlight w:val="green"/>
          <w:lang w:val="es-ES"/>
        </w:rPr>
      </w:pPr>
    </w:p>
    <w:p w14:paraId="6F6B39D2" w14:textId="77777777" w:rsidR="006B15BA" w:rsidRPr="005C2321" w:rsidRDefault="006B15BA" w:rsidP="006B15BA">
      <w:pPr>
        <w:pStyle w:val="BodyText"/>
        <w:rPr>
          <w:rFonts w:ascii="Arial" w:hAnsi="Arial" w:cs="Arial"/>
          <w:sz w:val="24"/>
          <w:szCs w:val="24"/>
          <w:highlight w:val="green"/>
          <w:lang w:val="es-ES"/>
        </w:rPr>
      </w:pPr>
    </w:p>
    <w:p w14:paraId="7F963249" w14:textId="77777777" w:rsidR="006B15BA" w:rsidRPr="005C2321" w:rsidRDefault="006B15BA" w:rsidP="006B15BA">
      <w:pPr>
        <w:pStyle w:val="BodyText"/>
        <w:rPr>
          <w:rFonts w:ascii="Arial" w:hAnsi="Arial" w:cs="Arial"/>
          <w:sz w:val="24"/>
          <w:szCs w:val="24"/>
          <w:highlight w:val="green"/>
          <w:lang w:val="es-ES"/>
        </w:rPr>
      </w:pPr>
    </w:p>
    <w:p w14:paraId="4014043E" w14:textId="77777777" w:rsidR="000913DB" w:rsidRPr="005C2321" w:rsidRDefault="000913DB" w:rsidP="006B15BA">
      <w:pPr>
        <w:pStyle w:val="BodyText"/>
        <w:rPr>
          <w:rFonts w:ascii="Arial" w:hAnsi="Arial" w:cs="Arial"/>
          <w:sz w:val="24"/>
          <w:szCs w:val="24"/>
          <w:highlight w:val="green"/>
          <w:lang w:val="es-ES"/>
        </w:rPr>
      </w:pPr>
    </w:p>
    <w:p w14:paraId="5AF3A3C0" w14:textId="77777777" w:rsidR="000913DB" w:rsidRPr="005C2321" w:rsidRDefault="000913DB" w:rsidP="006B15BA">
      <w:pPr>
        <w:pStyle w:val="BodyText"/>
        <w:rPr>
          <w:rFonts w:ascii="Arial" w:hAnsi="Arial" w:cs="Arial"/>
          <w:sz w:val="24"/>
          <w:szCs w:val="24"/>
          <w:highlight w:val="green"/>
          <w:lang w:val="es-ES"/>
        </w:rPr>
      </w:pPr>
    </w:p>
    <w:p w14:paraId="4FDDE5CC" w14:textId="77777777" w:rsidR="00C52EDB" w:rsidRPr="005C2321" w:rsidRDefault="00C52EDB">
      <w:pPr>
        <w:rPr>
          <w:rFonts w:ascii="Arial" w:hAnsi="Arial" w:cs="Arial"/>
          <w:sz w:val="24"/>
          <w:szCs w:val="24"/>
          <w:highlight w:val="green"/>
          <w:lang w:bidi="es-ES"/>
        </w:rPr>
        <w:sectPr w:rsidR="00C52EDB" w:rsidRPr="005C2321" w:rsidSect="008B022E">
          <w:headerReference w:type="default" r:id="rId23"/>
          <w:footerReference w:type="default" r:id="rId24"/>
          <w:pgSz w:w="12240" w:h="15840" w:code="1"/>
          <w:pgMar w:top="1417" w:right="1701" w:bottom="1417" w:left="1701" w:header="708" w:footer="708" w:gutter="0"/>
          <w:cols w:space="708"/>
          <w:docGrid w:linePitch="360"/>
        </w:sectPr>
      </w:pPr>
    </w:p>
    <w:p w14:paraId="0EC5B647" w14:textId="77777777" w:rsidR="000913DB" w:rsidRPr="005C2321" w:rsidRDefault="000913DB" w:rsidP="000913DB">
      <w:pPr>
        <w:pStyle w:val="Heading1"/>
        <w:jc w:val="left"/>
        <w:rPr>
          <w:rFonts w:ascii="Arial" w:hAnsi="Arial" w:cs="Arial"/>
          <w:b w:val="0"/>
          <w:caps w:val="0"/>
          <w:spacing w:val="0"/>
          <w:kern w:val="0"/>
          <w:sz w:val="24"/>
          <w:szCs w:val="24"/>
          <w:lang w:val="es-ES"/>
        </w:rPr>
      </w:pPr>
      <w:bookmarkStart w:id="22" w:name="_Toc523133738"/>
      <w:r w:rsidRPr="005C2321">
        <w:rPr>
          <w:rFonts w:ascii="Arial" w:hAnsi="Arial" w:cs="Arial"/>
          <w:b w:val="0"/>
          <w:caps w:val="0"/>
          <w:spacing w:val="0"/>
          <w:kern w:val="0"/>
          <w:sz w:val="24"/>
          <w:szCs w:val="24"/>
          <w:lang w:val="es-ES"/>
        </w:rPr>
        <w:lastRenderedPageBreak/>
        <w:t xml:space="preserve">Anexos II: </w:t>
      </w:r>
      <w:r w:rsidR="00555AD3" w:rsidRPr="005C2321">
        <w:rPr>
          <w:rFonts w:ascii="Arial" w:hAnsi="Arial" w:cs="Arial"/>
          <w:b w:val="0"/>
          <w:caps w:val="0"/>
          <w:spacing w:val="0"/>
          <w:kern w:val="0"/>
          <w:sz w:val="24"/>
          <w:szCs w:val="24"/>
          <w:lang w:val="es-ES"/>
        </w:rPr>
        <w:t>Evaluación económica a precios de mercado</w:t>
      </w:r>
      <w:bookmarkEnd w:id="22"/>
    </w:p>
    <w:p w14:paraId="51EE7C3C" w14:textId="77777777" w:rsidR="000913DB" w:rsidRPr="005C2321" w:rsidRDefault="000913DB" w:rsidP="000913DB">
      <w:pPr>
        <w:pStyle w:val="BodyText"/>
        <w:rPr>
          <w:rFonts w:ascii="Arial" w:hAnsi="Arial" w:cs="Arial"/>
          <w:sz w:val="24"/>
          <w:szCs w:val="24"/>
          <w:highlight w:val="green"/>
          <w:lang w:val="es-ES"/>
        </w:rPr>
      </w:pPr>
    </w:p>
    <w:p w14:paraId="4520FDB6" w14:textId="71A93B4E" w:rsidR="00555AD3" w:rsidRPr="005C2321" w:rsidRDefault="00A34A2E" w:rsidP="00BC3C25">
      <w:pPr>
        <w:pStyle w:val="BodyText"/>
        <w:ind w:firstLine="0"/>
        <w:rPr>
          <w:rFonts w:ascii="Arial" w:hAnsi="Arial" w:cs="Arial"/>
          <w:sz w:val="24"/>
          <w:szCs w:val="24"/>
          <w:highlight w:val="green"/>
          <w:lang w:val="es-ES"/>
        </w:rPr>
      </w:pPr>
      <w:r w:rsidRPr="005C2321">
        <w:rPr>
          <w:rFonts w:ascii="Arial" w:hAnsi="Arial" w:cs="Arial"/>
          <w:noProof/>
          <w:lang w:val="es-MX" w:eastAsia="es-MX" w:bidi="ar-SA"/>
        </w:rPr>
        <w:drawing>
          <wp:inline distT="0" distB="0" distL="0" distR="0" wp14:anchorId="0455162D" wp14:editId="59D30BB7">
            <wp:extent cx="8258810" cy="2784475"/>
            <wp:effectExtent l="0" t="0" r="8890" b="0"/>
            <wp:docPr id="7" name="Imagen 7"/>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8810" cy="2784475"/>
                    </a:xfrm>
                    <a:prstGeom prst="rect">
                      <a:avLst/>
                    </a:prstGeom>
                    <a:solidFill>
                      <a:schemeClr val="bg1"/>
                    </a:solidFill>
                    <a:ln>
                      <a:noFill/>
                    </a:ln>
                  </pic:spPr>
                </pic:pic>
              </a:graphicData>
            </a:graphic>
          </wp:inline>
        </w:drawing>
      </w:r>
    </w:p>
    <w:p w14:paraId="1DB208E2" w14:textId="72749766" w:rsidR="00891419" w:rsidRPr="005C2321" w:rsidRDefault="00891419" w:rsidP="00BB1B93">
      <w:pPr>
        <w:tabs>
          <w:tab w:val="left" w:pos="8156"/>
        </w:tabs>
        <w:rPr>
          <w:rFonts w:ascii="Arial" w:eastAsia="Times New Roman" w:hAnsi="Arial" w:cs="Arial"/>
          <w:sz w:val="24"/>
          <w:szCs w:val="24"/>
          <w:highlight w:val="green"/>
          <w:lang w:val="es-ES" w:eastAsia="es-ES" w:bidi="hi-IN"/>
        </w:rPr>
      </w:pPr>
      <w:r w:rsidRPr="005C2321">
        <w:rPr>
          <w:rFonts w:ascii="Arial" w:hAnsi="Arial" w:cs="Arial"/>
          <w:sz w:val="24"/>
          <w:szCs w:val="24"/>
          <w:highlight w:val="green"/>
          <w:lang w:val="es-ES"/>
        </w:rPr>
        <w:br w:type="page"/>
      </w:r>
    </w:p>
    <w:p w14:paraId="520B90CE" w14:textId="77777777" w:rsidR="00555AD3" w:rsidRPr="005C2321" w:rsidRDefault="00555AD3" w:rsidP="000913DB">
      <w:pPr>
        <w:pStyle w:val="BodyText"/>
        <w:rPr>
          <w:rFonts w:ascii="Arial" w:hAnsi="Arial" w:cs="Arial"/>
          <w:sz w:val="24"/>
          <w:szCs w:val="24"/>
          <w:highlight w:val="green"/>
          <w:lang w:val="es-ES"/>
        </w:rPr>
      </w:pPr>
    </w:p>
    <w:p w14:paraId="20BF0C59" w14:textId="77777777" w:rsidR="00555AD3" w:rsidRPr="005C2321" w:rsidRDefault="00555AD3" w:rsidP="00555AD3">
      <w:pPr>
        <w:pStyle w:val="Heading1"/>
        <w:jc w:val="left"/>
        <w:rPr>
          <w:rFonts w:ascii="Arial" w:hAnsi="Arial" w:cs="Arial"/>
          <w:b w:val="0"/>
          <w:caps w:val="0"/>
          <w:spacing w:val="0"/>
          <w:kern w:val="0"/>
          <w:sz w:val="24"/>
          <w:szCs w:val="24"/>
          <w:lang w:val="es-ES"/>
        </w:rPr>
      </w:pPr>
      <w:bookmarkStart w:id="23" w:name="_Toc523133739"/>
      <w:r w:rsidRPr="005C2321">
        <w:rPr>
          <w:rFonts w:ascii="Arial" w:hAnsi="Arial" w:cs="Arial"/>
          <w:b w:val="0"/>
          <w:caps w:val="0"/>
          <w:spacing w:val="0"/>
          <w:kern w:val="0"/>
          <w:sz w:val="24"/>
          <w:szCs w:val="24"/>
          <w:lang w:val="es-ES"/>
        </w:rPr>
        <w:t>Anexos III: Evaluación económica a precios social</w:t>
      </w:r>
      <w:bookmarkEnd w:id="23"/>
    </w:p>
    <w:p w14:paraId="5C49802E" w14:textId="77777777" w:rsidR="00555AD3" w:rsidRPr="005C2321" w:rsidRDefault="00555AD3" w:rsidP="000913DB">
      <w:pPr>
        <w:pStyle w:val="BodyText"/>
        <w:rPr>
          <w:rFonts w:ascii="Arial" w:hAnsi="Arial" w:cs="Arial"/>
          <w:sz w:val="24"/>
          <w:szCs w:val="24"/>
          <w:highlight w:val="green"/>
          <w:lang w:val="es-ES"/>
        </w:rPr>
      </w:pPr>
    </w:p>
    <w:p w14:paraId="0AC75A5A" w14:textId="0AC683EF" w:rsidR="000913DB" w:rsidRPr="005C2321" w:rsidRDefault="00A34A2E" w:rsidP="00BA3BCD">
      <w:pPr>
        <w:pStyle w:val="BodyText"/>
        <w:ind w:firstLine="0"/>
        <w:rPr>
          <w:rFonts w:ascii="Arial" w:hAnsi="Arial" w:cs="Arial"/>
          <w:sz w:val="24"/>
          <w:szCs w:val="24"/>
          <w:highlight w:val="green"/>
          <w:lang w:val="es-ES"/>
        </w:rPr>
      </w:pPr>
      <w:r w:rsidRPr="005C2321">
        <w:rPr>
          <w:rFonts w:ascii="Arial" w:hAnsi="Arial" w:cs="Arial"/>
          <w:noProof/>
          <w:lang w:val="es-MX" w:eastAsia="es-MX" w:bidi="ar-SA"/>
        </w:rPr>
        <w:drawing>
          <wp:inline distT="0" distB="0" distL="0" distR="0" wp14:anchorId="7CC010E2" wp14:editId="613AED08">
            <wp:extent cx="8258810" cy="3267710"/>
            <wp:effectExtent l="0" t="0" r="8890" b="8890"/>
            <wp:docPr id="12" name="Imagen 12"/>
            <wp:cNvGraphicFramePr/>
            <a:graphic xmlns:a="http://schemas.openxmlformats.org/drawingml/2006/main">
              <a:graphicData uri="http://schemas.openxmlformats.org/drawingml/2006/picture">
                <pic:pic xmlns:pic="http://schemas.openxmlformats.org/drawingml/2006/picture">
                  <pic:nvPicPr>
                    <pic:cNvPr id="12" name="Imagen 12"/>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58810" cy="3267710"/>
                    </a:xfrm>
                    <a:prstGeom prst="rect">
                      <a:avLst/>
                    </a:prstGeom>
                    <a:solidFill>
                      <a:schemeClr val="bg1"/>
                    </a:solidFill>
                    <a:ln>
                      <a:noFill/>
                    </a:ln>
                  </pic:spPr>
                </pic:pic>
              </a:graphicData>
            </a:graphic>
          </wp:inline>
        </w:drawing>
      </w:r>
    </w:p>
    <w:p w14:paraId="1CE1E8EB" w14:textId="77777777" w:rsidR="00F43393" w:rsidRPr="005C2321" w:rsidRDefault="00F43393" w:rsidP="00F43393">
      <w:pPr>
        <w:pStyle w:val="BodyText"/>
        <w:rPr>
          <w:rFonts w:ascii="Arial" w:hAnsi="Arial" w:cs="Arial"/>
          <w:sz w:val="24"/>
          <w:szCs w:val="24"/>
          <w:highlight w:val="green"/>
          <w:lang w:val="es-ES"/>
        </w:rPr>
      </w:pPr>
    </w:p>
    <w:p w14:paraId="21B13805" w14:textId="77777777" w:rsidR="00F43393" w:rsidRPr="005C2321" w:rsidRDefault="00F43393" w:rsidP="00F43393">
      <w:pPr>
        <w:pStyle w:val="BodyText"/>
        <w:rPr>
          <w:rFonts w:ascii="Arial" w:hAnsi="Arial" w:cs="Arial"/>
          <w:sz w:val="24"/>
          <w:szCs w:val="24"/>
          <w:highlight w:val="green"/>
          <w:lang w:val="es-ES"/>
        </w:rPr>
      </w:pPr>
    </w:p>
    <w:p w14:paraId="26BED795" w14:textId="77777777" w:rsidR="00F43393" w:rsidRPr="005C2321" w:rsidRDefault="00F43393" w:rsidP="00F43393">
      <w:pPr>
        <w:pStyle w:val="BodyText"/>
        <w:rPr>
          <w:rFonts w:ascii="Arial" w:hAnsi="Arial" w:cs="Arial"/>
          <w:sz w:val="24"/>
          <w:szCs w:val="24"/>
          <w:highlight w:val="green"/>
          <w:lang w:val="es-ES"/>
        </w:rPr>
      </w:pPr>
    </w:p>
    <w:p w14:paraId="026138B6" w14:textId="77777777" w:rsidR="00F43393" w:rsidRPr="005C2321" w:rsidRDefault="00F43393" w:rsidP="00F43393">
      <w:pPr>
        <w:pStyle w:val="Heading1"/>
        <w:jc w:val="left"/>
        <w:rPr>
          <w:rFonts w:ascii="Arial" w:hAnsi="Arial" w:cs="Arial"/>
          <w:b w:val="0"/>
          <w:caps w:val="0"/>
          <w:spacing w:val="0"/>
          <w:kern w:val="0"/>
          <w:sz w:val="24"/>
          <w:szCs w:val="24"/>
          <w:lang w:val="es-ES"/>
        </w:rPr>
      </w:pPr>
      <w:bookmarkStart w:id="24" w:name="_Toc523133740"/>
      <w:r w:rsidRPr="005C2321">
        <w:rPr>
          <w:rFonts w:ascii="Arial" w:hAnsi="Arial" w:cs="Arial"/>
          <w:b w:val="0"/>
          <w:caps w:val="0"/>
          <w:spacing w:val="0"/>
          <w:kern w:val="0"/>
          <w:sz w:val="24"/>
          <w:szCs w:val="24"/>
          <w:lang w:val="es-ES"/>
        </w:rPr>
        <w:lastRenderedPageBreak/>
        <w:t>Anexos IV: Beneficio 1</w:t>
      </w:r>
      <w:bookmarkEnd w:id="24"/>
    </w:p>
    <w:p w14:paraId="66C95FD4" w14:textId="77777777" w:rsidR="00F43393" w:rsidRPr="005C2321" w:rsidRDefault="00F43393" w:rsidP="00F43393">
      <w:pPr>
        <w:pStyle w:val="BodyText"/>
        <w:rPr>
          <w:rFonts w:ascii="Arial" w:hAnsi="Arial" w:cs="Arial"/>
          <w:sz w:val="24"/>
          <w:szCs w:val="24"/>
          <w:highlight w:val="green"/>
          <w:lang w:val="es-ES"/>
        </w:rPr>
      </w:pPr>
    </w:p>
    <w:p w14:paraId="566E2D52" w14:textId="297B7F3D" w:rsidR="008B022E" w:rsidRPr="005C2321" w:rsidRDefault="00BB1B93" w:rsidP="00307CBB">
      <w:pPr>
        <w:pStyle w:val="BodyText"/>
        <w:ind w:firstLine="0"/>
        <w:rPr>
          <w:rFonts w:ascii="Arial" w:hAnsi="Arial" w:cs="Arial"/>
          <w:noProof/>
          <w:highlight w:val="green"/>
          <w:lang w:val="es-MX" w:eastAsia="es-MX" w:bidi="ar-SA"/>
        </w:rPr>
      </w:pPr>
      <w:r w:rsidRPr="005C2321">
        <w:rPr>
          <w:rFonts w:ascii="Arial" w:hAnsi="Arial" w:cs="Arial"/>
          <w:noProof/>
          <w:highlight w:val="green"/>
          <w:lang w:val="es-MX" w:eastAsia="es-MX" w:bidi="ar-SA"/>
        </w:rPr>
        <w:drawing>
          <wp:inline distT="0" distB="0" distL="0" distR="0" wp14:anchorId="4D5B2006" wp14:editId="75C97EAB">
            <wp:extent cx="8258810" cy="3137753"/>
            <wp:effectExtent l="0" t="0" r="8890" b="571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58810" cy="3137753"/>
                    </a:xfrm>
                    <a:prstGeom prst="rect">
                      <a:avLst/>
                    </a:prstGeom>
                    <a:solidFill>
                      <a:schemeClr val="bg1"/>
                    </a:solidFill>
                    <a:ln>
                      <a:noFill/>
                    </a:ln>
                  </pic:spPr>
                </pic:pic>
              </a:graphicData>
            </a:graphic>
          </wp:inline>
        </w:drawing>
      </w:r>
    </w:p>
    <w:p w14:paraId="5BCD8372" w14:textId="77777777" w:rsidR="002A0A6F" w:rsidRPr="005C2321" w:rsidRDefault="002A0A6F" w:rsidP="002A0A6F">
      <w:pPr>
        <w:pStyle w:val="BodyText"/>
        <w:ind w:firstLine="0"/>
        <w:jc w:val="center"/>
        <w:rPr>
          <w:rFonts w:ascii="Arial" w:hAnsi="Arial" w:cs="Arial"/>
          <w:sz w:val="24"/>
          <w:szCs w:val="24"/>
          <w:highlight w:val="green"/>
          <w:lang w:val="es-ES"/>
        </w:rPr>
      </w:pPr>
    </w:p>
    <w:p w14:paraId="76389263" w14:textId="77777777" w:rsidR="002A0A6F" w:rsidRPr="005C2321" w:rsidRDefault="002A0A6F" w:rsidP="002A0A6F">
      <w:pPr>
        <w:pStyle w:val="BodyText"/>
        <w:ind w:firstLine="0"/>
        <w:jc w:val="center"/>
        <w:rPr>
          <w:rFonts w:ascii="Arial" w:hAnsi="Arial" w:cs="Arial"/>
          <w:sz w:val="24"/>
          <w:szCs w:val="24"/>
          <w:highlight w:val="green"/>
          <w:lang w:val="es-ES"/>
        </w:rPr>
      </w:pPr>
    </w:p>
    <w:p w14:paraId="7354E855" w14:textId="77777777" w:rsidR="002A0A6F" w:rsidRPr="005C2321" w:rsidRDefault="002A0A6F" w:rsidP="002A0A6F">
      <w:pPr>
        <w:pStyle w:val="BodyText"/>
        <w:ind w:firstLine="0"/>
        <w:jc w:val="center"/>
        <w:rPr>
          <w:rFonts w:ascii="Arial" w:hAnsi="Arial" w:cs="Arial"/>
          <w:sz w:val="24"/>
          <w:szCs w:val="24"/>
          <w:highlight w:val="green"/>
          <w:lang w:val="es-ES"/>
        </w:rPr>
      </w:pPr>
    </w:p>
    <w:p w14:paraId="1B61F533" w14:textId="77777777" w:rsidR="002A0A6F" w:rsidRPr="005C2321" w:rsidRDefault="002A0A6F" w:rsidP="002A0A6F">
      <w:pPr>
        <w:pStyle w:val="BodyText"/>
        <w:ind w:firstLine="0"/>
        <w:jc w:val="center"/>
        <w:rPr>
          <w:rFonts w:ascii="Arial" w:hAnsi="Arial" w:cs="Arial"/>
          <w:sz w:val="24"/>
          <w:szCs w:val="24"/>
          <w:highlight w:val="green"/>
          <w:lang w:val="es-ES"/>
        </w:rPr>
      </w:pPr>
    </w:p>
    <w:p w14:paraId="180863CC" w14:textId="77777777" w:rsidR="002A0A6F" w:rsidRPr="005C2321" w:rsidRDefault="002A0A6F" w:rsidP="002A0A6F">
      <w:pPr>
        <w:pStyle w:val="BodyText"/>
        <w:ind w:firstLine="0"/>
        <w:jc w:val="center"/>
        <w:rPr>
          <w:rFonts w:ascii="Arial" w:hAnsi="Arial" w:cs="Arial"/>
          <w:sz w:val="24"/>
          <w:szCs w:val="24"/>
          <w:highlight w:val="green"/>
          <w:lang w:val="es-ES"/>
        </w:rPr>
      </w:pPr>
    </w:p>
    <w:p w14:paraId="14E93A6A" w14:textId="77777777" w:rsidR="002A0A6F" w:rsidRPr="005C2321" w:rsidRDefault="002A0A6F" w:rsidP="002A0A6F">
      <w:pPr>
        <w:pStyle w:val="Heading1"/>
        <w:jc w:val="left"/>
        <w:rPr>
          <w:rFonts w:ascii="Arial" w:hAnsi="Arial" w:cs="Arial"/>
          <w:b w:val="0"/>
          <w:caps w:val="0"/>
          <w:spacing w:val="0"/>
          <w:kern w:val="0"/>
          <w:sz w:val="24"/>
          <w:szCs w:val="24"/>
          <w:lang w:val="es-ES"/>
        </w:rPr>
      </w:pPr>
      <w:bookmarkStart w:id="25" w:name="_Toc523133741"/>
      <w:r w:rsidRPr="005C2321">
        <w:rPr>
          <w:rFonts w:ascii="Arial" w:hAnsi="Arial" w:cs="Arial"/>
          <w:b w:val="0"/>
          <w:caps w:val="0"/>
          <w:spacing w:val="0"/>
          <w:kern w:val="0"/>
          <w:sz w:val="24"/>
          <w:szCs w:val="24"/>
          <w:lang w:val="es-ES"/>
        </w:rPr>
        <w:t>Anexos V: Beneficio 1I</w:t>
      </w:r>
      <w:bookmarkEnd w:id="25"/>
    </w:p>
    <w:p w14:paraId="5272BBEA" w14:textId="77777777" w:rsidR="002A0A6F" w:rsidRPr="005C2321" w:rsidRDefault="002A0A6F" w:rsidP="002A0A6F">
      <w:pPr>
        <w:pStyle w:val="BodyText"/>
        <w:ind w:firstLine="0"/>
        <w:rPr>
          <w:rFonts w:ascii="Arial" w:hAnsi="Arial" w:cs="Arial"/>
          <w:sz w:val="24"/>
          <w:szCs w:val="24"/>
          <w:highlight w:val="green"/>
          <w:lang w:val="es-ES"/>
        </w:rPr>
      </w:pPr>
    </w:p>
    <w:p w14:paraId="169FDDD2" w14:textId="77777777" w:rsidR="002A0A6F" w:rsidRPr="005C2321" w:rsidRDefault="00307CBB" w:rsidP="002A0A6F">
      <w:pPr>
        <w:pStyle w:val="BodyText"/>
        <w:ind w:firstLine="0"/>
        <w:rPr>
          <w:rFonts w:ascii="Arial" w:hAnsi="Arial" w:cs="Arial"/>
          <w:sz w:val="24"/>
          <w:szCs w:val="24"/>
          <w:highlight w:val="green"/>
          <w:lang w:val="es-ES"/>
        </w:rPr>
      </w:pPr>
      <w:r w:rsidRPr="005C2321">
        <w:rPr>
          <w:rFonts w:ascii="Arial" w:hAnsi="Arial" w:cs="Arial"/>
          <w:noProof/>
          <w:highlight w:val="green"/>
          <w:lang w:val="es-MX" w:eastAsia="es-MX" w:bidi="ar-SA"/>
        </w:rPr>
        <w:drawing>
          <wp:inline distT="0" distB="0" distL="0" distR="0" wp14:anchorId="3AD1DE25" wp14:editId="204412B3">
            <wp:extent cx="8258810" cy="424923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58810" cy="4249230"/>
                    </a:xfrm>
                    <a:prstGeom prst="rect">
                      <a:avLst/>
                    </a:prstGeom>
                    <a:solidFill>
                      <a:schemeClr val="bg1"/>
                    </a:solidFill>
                    <a:ln>
                      <a:noFill/>
                    </a:ln>
                  </pic:spPr>
                </pic:pic>
              </a:graphicData>
            </a:graphic>
          </wp:inline>
        </w:drawing>
      </w:r>
    </w:p>
    <w:p w14:paraId="0E0D84A7" w14:textId="77777777" w:rsidR="00E9661B" w:rsidRPr="005C2321" w:rsidRDefault="00E9661B" w:rsidP="002A0A6F">
      <w:pPr>
        <w:pStyle w:val="BodyText"/>
        <w:ind w:firstLine="0"/>
        <w:rPr>
          <w:rFonts w:ascii="Arial" w:hAnsi="Arial" w:cs="Arial"/>
          <w:sz w:val="24"/>
          <w:szCs w:val="24"/>
          <w:highlight w:val="green"/>
          <w:lang w:val="es-ES"/>
        </w:rPr>
      </w:pPr>
    </w:p>
    <w:p w14:paraId="37A6B975" w14:textId="77777777" w:rsidR="00E9661B" w:rsidRPr="005C2321" w:rsidRDefault="00E9661B" w:rsidP="00E9661B">
      <w:pPr>
        <w:pStyle w:val="Heading1"/>
        <w:jc w:val="left"/>
        <w:rPr>
          <w:rFonts w:ascii="Arial" w:hAnsi="Arial" w:cs="Arial"/>
          <w:b w:val="0"/>
          <w:caps w:val="0"/>
          <w:spacing w:val="0"/>
          <w:kern w:val="0"/>
          <w:sz w:val="24"/>
          <w:szCs w:val="24"/>
          <w:lang w:val="es-ES"/>
        </w:rPr>
      </w:pPr>
      <w:bookmarkStart w:id="26" w:name="_Toc523133742"/>
      <w:r w:rsidRPr="005C2321">
        <w:rPr>
          <w:rFonts w:ascii="Arial" w:hAnsi="Arial" w:cs="Arial"/>
          <w:b w:val="0"/>
          <w:caps w:val="0"/>
          <w:spacing w:val="0"/>
          <w:kern w:val="0"/>
          <w:sz w:val="24"/>
          <w:szCs w:val="24"/>
          <w:lang w:val="es-ES"/>
        </w:rPr>
        <w:t xml:space="preserve">Anexos VI: Beneficio </w:t>
      </w:r>
      <w:r w:rsidR="009937EF" w:rsidRPr="005C2321">
        <w:rPr>
          <w:rFonts w:ascii="Arial" w:hAnsi="Arial" w:cs="Arial"/>
          <w:b w:val="0"/>
          <w:caps w:val="0"/>
          <w:spacing w:val="0"/>
          <w:kern w:val="0"/>
          <w:sz w:val="24"/>
          <w:szCs w:val="24"/>
          <w:lang w:val="es-ES"/>
        </w:rPr>
        <w:t>I</w:t>
      </w:r>
      <w:r w:rsidRPr="005C2321">
        <w:rPr>
          <w:rFonts w:ascii="Arial" w:hAnsi="Arial" w:cs="Arial"/>
          <w:b w:val="0"/>
          <w:caps w:val="0"/>
          <w:spacing w:val="0"/>
          <w:kern w:val="0"/>
          <w:sz w:val="24"/>
          <w:szCs w:val="24"/>
          <w:lang w:val="es-ES"/>
        </w:rPr>
        <w:t>II</w:t>
      </w:r>
      <w:bookmarkEnd w:id="26"/>
    </w:p>
    <w:p w14:paraId="12259F97" w14:textId="77777777" w:rsidR="00E9661B" w:rsidRPr="005C2321" w:rsidRDefault="00E9661B" w:rsidP="002A0A6F">
      <w:pPr>
        <w:pStyle w:val="BodyText"/>
        <w:ind w:firstLine="0"/>
        <w:rPr>
          <w:rFonts w:ascii="Arial" w:hAnsi="Arial" w:cs="Arial"/>
          <w:sz w:val="24"/>
          <w:szCs w:val="24"/>
          <w:highlight w:val="green"/>
          <w:lang w:val="es-ES"/>
        </w:rPr>
      </w:pPr>
    </w:p>
    <w:p w14:paraId="48680E6A" w14:textId="77777777" w:rsidR="00E9661B" w:rsidRPr="005C2321" w:rsidRDefault="00307CBB" w:rsidP="002A0A6F">
      <w:pPr>
        <w:pStyle w:val="BodyText"/>
        <w:ind w:firstLine="0"/>
        <w:rPr>
          <w:rFonts w:ascii="Arial" w:hAnsi="Arial" w:cs="Arial"/>
          <w:sz w:val="24"/>
          <w:szCs w:val="24"/>
          <w:highlight w:val="green"/>
          <w:lang w:val="es-ES"/>
        </w:rPr>
      </w:pPr>
      <w:r w:rsidRPr="005C2321">
        <w:rPr>
          <w:rFonts w:ascii="Arial" w:hAnsi="Arial" w:cs="Arial"/>
          <w:noProof/>
          <w:highlight w:val="green"/>
          <w:lang w:val="es-MX" w:eastAsia="es-MX" w:bidi="ar-SA"/>
        </w:rPr>
        <w:drawing>
          <wp:inline distT="0" distB="0" distL="0" distR="0" wp14:anchorId="6E8E2E06" wp14:editId="5F888394">
            <wp:extent cx="8258810" cy="3436168"/>
            <wp:effectExtent l="0" t="0" r="889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58810" cy="3436168"/>
                    </a:xfrm>
                    <a:prstGeom prst="rect">
                      <a:avLst/>
                    </a:prstGeom>
                    <a:solidFill>
                      <a:schemeClr val="bg1"/>
                    </a:solidFill>
                    <a:ln>
                      <a:noFill/>
                    </a:ln>
                  </pic:spPr>
                </pic:pic>
              </a:graphicData>
            </a:graphic>
          </wp:inline>
        </w:drawing>
      </w:r>
    </w:p>
    <w:p w14:paraId="5778669F" w14:textId="1AD14505" w:rsidR="00E9661B" w:rsidRPr="005C2321" w:rsidRDefault="00E9661B" w:rsidP="007B0569">
      <w:pPr>
        <w:pStyle w:val="BodyText"/>
        <w:tabs>
          <w:tab w:val="left" w:pos="9112"/>
        </w:tabs>
        <w:ind w:firstLine="0"/>
        <w:rPr>
          <w:rFonts w:ascii="Arial" w:hAnsi="Arial" w:cs="Arial"/>
          <w:sz w:val="24"/>
          <w:szCs w:val="24"/>
          <w:highlight w:val="green"/>
          <w:lang w:val="es-ES"/>
        </w:rPr>
      </w:pPr>
    </w:p>
    <w:p w14:paraId="4105D022" w14:textId="77777777" w:rsidR="00806B96" w:rsidRPr="005C2321" w:rsidRDefault="00806B96" w:rsidP="002A0A6F">
      <w:pPr>
        <w:pStyle w:val="BodyText"/>
        <w:ind w:firstLine="0"/>
        <w:rPr>
          <w:rFonts w:ascii="Arial" w:hAnsi="Arial" w:cs="Arial"/>
          <w:sz w:val="24"/>
          <w:szCs w:val="24"/>
          <w:highlight w:val="green"/>
          <w:lang w:val="es-ES"/>
        </w:rPr>
      </w:pPr>
    </w:p>
    <w:p w14:paraId="170E712F" w14:textId="77777777" w:rsidR="00806B96" w:rsidRPr="005C2321" w:rsidRDefault="00806B96" w:rsidP="002A0A6F">
      <w:pPr>
        <w:pStyle w:val="BodyText"/>
        <w:ind w:firstLine="0"/>
        <w:rPr>
          <w:rFonts w:ascii="Arial" w:hAnsi="Arial" w:cs="Arial"/>
          <w:sz w:val="24"/>
          <w:szCs w:val="24"/>
          <w:highlight w:val="green"/>
          <w:lang w:val="es-ES"/>
        </w:rPr>
      </w:pPr>
    </w:p>
    <w:p w14:paraId="2018E0D5" w14:textId="77777777" w:rsidR="00806B96" w:rsidRPr="005C2321" w:rsidRDefault="00806B96" w:rsidP="00806B96">
      <w:pPr>
        <w:pStyle w:val="Heading1"/>
        <w:jc w:val="left"/>
        <w:rPr>
          <w:rFonts w:ascii="Arial" w:hAnsi="Arial" w:cs="Arial"/>
          <w:b w:val="0"/>
          <w:caps w:val="0"/>
          <w:spacing w:val="0"/>
          <w:kern w:val="0"/>
          <w:sz w:val="24"/>
          <w:szCs w:val="24"/>
          <w:lang w:val="es-ES"/>
        </w:rPr>
      </w:pPr>
      <w:bookmarkStart w:id="27" w:name="_Toc523133743"/>
      <w:r w:rsidRPr="005C2321">
        <w:rPr>
          <w:rFonts w:ascii="Arial" w:hAnsi="Arial" w:cs="Arial"/>
          <w:b w:val="0"/>
          <w:caps w:val="0"/>
          <w:spacing w:val="0"/>
          <w:kern w:val="0"/>
          <w:sz w:val="24"/>
          <w:szCs w:val="24"/>
          <w:lang w:val="es-ES"/>
        </w:rPr>
        <w:lastRenderedPageBreak/>
        <w:t>Anexos VII: Beneficio 1V</w:t>
      </w:r>
      <w:bookmarkEnd w:id="27"/>
    </w:p>
    <w:p w14:paraId="75760D2A" w14:textId="77777777" w:rsidR="00806B96" w:rsidRPr="005C2321" w:rsidRDefault="00806B96" w:rsidP="002A0A6F">
      <w:pPr>
        <w:pStyle w:val="BodyText"/>
        <w:ind w:firstLine="0"/>
        <w:rPr>
          <w:rFonts w:ascii="Arial" w:hAnsi="Arial" w:cs="Arial"/>
          <w:sz w:val="24"/>
          <w:szCs w:val="24"/>
          <w:highlight w:val="green"/>
          <w:lang w:val="es-ES"/>
        </w:rPr>
      </w:pPr>
    </w:p>
    <w:p w14:paraId="4CE3F087" w14:textId="77777777" w:rsidR="00806B96" w:rsidRPr="005C2321" w:rsidRDefault="00546F6E" w:rsidP="002A0A6F">
      <w:pPr>
        <w:pStyle w:val="BodyText"/>
        <w:ind w:firstLine="0"/>
        <w:rPr>
          <w:rFonts w:ascii="Arial" w:hAnsi="Arial" w:cs="Arial"/>
          <w:sz w:val="24"/>
          <w:szCs w:val="24"/>
          <w:lang w:val="es-ES"/>
        </w:rPr>
      </w:pPr>
      <w:r w:rsidRPr="005C2321">
        <w:rPr>
          <w:rFonts w:ascii="Arial" w:hAnsi="Arial" w:cs="Arial"/>
          <w:noProof/>
          <w:lang w:val="es-MX" w:eastAsia="es-MX" w:bidi="ar-SA"/>
        </w:rPr>
        <w:drawing>
          <wp:inline distT="0" distB="0" distL="0" distR="0" wp14:anchorId="132CB815" wp14:editId="7C1215B0">
            <wp:extent cx="8258810" cy="4182382"/>
            <wp:effectExtent l="0" t="0" r="8890" b="889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58810" cy="4182382"/>
                    </a:xfrm>
                    <a:prstGeom prst="rect">
                      <a:avLst/>
                    </a:prstGeom>
                    <a:solidFill>
                      <a:schemeClr val="bg1"/>
                    </a:solidFill>
                    <a:ln>
                      <a:noFill/>
                    </a:ln>
                  </pic:spPr>
                </pic:pic>
              </a:graphicData>
            </a:graphic>
          </wp:inline>
        </w:drawing>
      </w:r>
    </w:p>
    <w:p w14:paraId="5F8F5703" w14:textId="77777777" w:rsidR="002A0A6F" w:rsidRPr="005C2321" w:rsidRDefault="002A0A6F" w:rsidP="002A0A6F">
      <w:pPr>
        <w:pStyle w:val="BodyText"/>
        <w:ind w:firstLine="0"/>
        <w:jc w:val="center"/>
        <w:rPr>
          <w:rFonts w:ascii="Arial" w:hAnsi="Arial" w:cs="Arial"/>
          <w:sz w:val="24"/>
          <w:szCs w:val="24"/>
          <w:lang w:val="es-ES"/>
        </w:rPr>
      </w:pPr>
    </w:p>
    <w:p w14:paraId="190A047B" w14:textId="77777777" w:rsidR="00723A18" w:rsidRPr="005C2321" w:rsidRDefault="00723A18" w:rsidP="00723A18">
      <w:pPr>
        <w:pStyle w:val="Heading1"/>
        <w:jc w:val="left"/>
        <w:rPr>
          <w:rFonts w:ascii="Arial" w:hAnsi="Arial" w:cs="Arial"/>
          <w:b w:val="0"/>
          <w:caps w:val="0"/>
          <w:spacing w:val="0"/>
          <w:kern w:val="0"/>
          <w:sz w:val="24"/>
          <w:szCs w:val="24"/>
          <w:lang w:val="es-ES"/>
        </w:rPr>
      </w:pPr>
      <w:bookmarkStart w:id="28" w:name="_Toc523133744"/>
      <w:r w:rsidRPr="005C2321">
        <w:rPr>
          <w:rFonts w:ascii="Arial" w:hAnsi="Arial" w:cs="Arial"/>
          <w:b w:val="0"/>
          <w:caps w:val="0"/>
          <w:spacing w:val="0"/>
          <w:kern w:val="0"/>
          <w:sz w:val="24"/>
          <w:szCs w:val="24"/>
          <w:lang w:val="es-ES"/>
        </w:rPr>
        <w:lastRenderedPageBreak/>
        <w:t>Anexos VIII: Beneficio V</w:t>
      </w:r>
      <w:bookmarkEnd w:id="28"/>
    </w:p>
    <w:p w14:paraId="305A95DC" w14:textId="77777777" w:rsidR="006B15BA" w:rsidRPr="005C2321" w:rsidRDefault="006B15BA" w:rsidP="00723A18">
      <w:pPr>
        <w:rPr>
          <w:rFonts w:ascii="Arial" w:eastAsia="Times New Roman" w:hAnsi="Arial" w:cs="Arial"/>
          <w:sz w:val="20"/>
          <w:szCs w:val="20"/>
          <w:highlight w:val="green"/>
          <w:lang w:val="es-ES" w:eastAsia="es-ES" w:bidi="hi-IN"/>
        </w:rPr>
      </w:pPr>
    </w:p>
    <w:p w14:paraId="1E33F516" w14:textId="384A38E2" w:rsidR="00723A18" w:rsidRPr="005C2321" w:rsidRDefault="007B2284" w:rsidP="00723A18">
      <w:pPr>
        <w:rPr>
          <w:rFonts w:ascii="Arial" w:eastAsia="Times New Roman" w:hAnsi="Arial" w:cs="Arial"/>
          <w:sz w:val="20"/>
          <w:szCs w:val="20"/>
          <w:lang w:val="es-ES" w:eastAsia="es-ES" w:bidi="hi-IN"/>
        </w:rPr>
      </w:pPr>
      <w:r w:rsidRPr="005C2321">
        <w:rPr>
          <w:rFonts w:ascii="Arial" w:hAnsi="Arial" w:cs="Arial"/>
          <w:noProof/>
          <w:lang w:val="es-MX" w:eastAsia="es-MX"/>
        </w:rPr>
        <w:drawing>
          <wp:inline distT="0" distB="0" distL="0" distR="0" wp14:anchorId="1274F844" wp14:editId="14041CB0">
            <wp:extent cx="8258810" cy="2478405"/>
            <wp:effectExtent l="0" t="0" r="889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58810" cy="2478405"/>
                    </a:xfrm>
                    <a:prstGeom prst="rect">
                      <a:avLst/>
                    </a:prstGeom>
                    <a:noFill/>
                    <a:ln>
                      <a:noFill/>
                    </a:ln>
                  </pic:spPr>
                </pic:pic>
              </a:graphicData>
            </a:graphic>
          </wp:inline>
        </w:drawing>
      </w:r>
    </w:p>
    <w:p w14:paraId="69519AB2" w14:textId="77777777" w:rsidR="007B0569" w:rsidRPr="005C2321" w:rsidRDefault="007B0569" w:rsidP="00723A18">
      <w:pPr>
        <w:rPr>
          <w:rFonts w:ascii="Arial" w:eastAsia="Times New Roman" w:hAnsi="Arial" w:cs="Arial"/>
          <w:sz w:val="20"/>
          <w:szCs w:val="20"/>
          <w:lang w:val="es-ES" w:eastAsia="es-ES" w:bidi="hi-IN"/>
        </w:rPr>
      </w:pPr>
    </w:p>
    <w:p w14:paraId="7AA87C3F" w14:textId="77777777" w:rsidR="007B0569" w:rsidRPr="005C2321" w:rsidRDefault="007B0569" w:rsidP="00723A18">
      <w:pPr>
        <w:rPr>
          <w:rFonts w:ascii="Arial" w:eastAsia="Times New Roman" w:hAnsi="Arial" w:cs="Arial"/>
          <w:sz w:val="20"/>
          <w:szCs w:val="20"/>
          <w:highlight w:val="green"/>
          <w:lang w:val="es-ES" w:eastAsia="es-ES" w:bidi="hi-IN"/>
        </w:rPr>
      </w:pPr>
    </w:p>
    <w:p w14:paraId="4A4E1081" w14:textId="77777777" w:rsidR="00723A18" w:rsidRPr="005C2321" w:rsidRDefault="00723A18" w:rsidP="00723A18">
      <w:pPr>
        <w:rPr>
          <w:rFonts w:ascii="Arial" w:eastAsia="Times New Roman" w:hAnsi="Arial" w:cs="Arial"/>
          <w:sz w:val="20"/>
          <w:szCs w:val="20"/>
          <w:highlight w:val="green"/>
          <w:lang w:val="es-ES" w:eastAsia="es-ES" w:bidi="hi-IN"/>
        </w:rPr>
      </w:pPr>
    </w:p>
    <w:sectPr w:rsidR="00723A18" w:rsidRPr="005C2321" w:rsidSect="00C52EDB">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E1BCA" w14:textId="77777777" w:rsidR="004F7683" w:rsidRDefault="004F7683" w:rsidP="00434C4A">
      <w:pPr>
        <w:spacing w:after="0" w:line="240" w:lineRule="auto"/>
      </w:pPr>
      <w:r>
        <w:separator/>
      </w:r>
    </w:p>
  </w:endnote>
  <w:endnote w:type="continuationSeparator" w:id="0">
    <w:p w14:paraId="331B2017" w14:textId="77777777" w:rsidR="004F7683" w:rsidRDefault="004F7683" w:rsidP="00434C4A">
      <w:pPr>
        <w:spacing w:after="0" w:line="240" w:lineRule="auto"/>
      </w:pPr>
      <w:r>
        <w:continuationSeparator/>
      </w:r>
    </w:p>
  </w:endnote>
  <w:endnote w:type="continuationNotice" w:id="1">
    <w:p w14:paraId="5E9C3538" w14:textId="77777777" w:rsidR="004F7683" w:rsidRDefault="004F7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2E34A" w14:textId="31E76FF7" w:rsidR="00947691" w:rsidRPr="005C2321" w:rsidRDefault="00947691" w:rsidP="00434C4A">
    <w:pPr>
      <w:pBdr>
        <w:top w:val="single" w:sz="4" w:space="1" w:color="auto"/>
      </w:pBdr>
      <w:jc w:val="center"/>
      <w:rPr>
        <w:rFonts w:ascii="Arial" w:hAnsi="Arial" w:cs="Arial"/>
        <w:sz w:val="20"/>
        <w:szCs w:val="20"/>
      </w:rPr>
    </w:pPr>
    <w:r w:rsidRPr="005C2321">
      <w:rPr>
        <w:rFonts w:ascii="Arial" w:hAnsi="Arial" w:cs="Arial"/>
        <w:sz w:val="20"/>
        <w:szCs w:val="20"/>
      </w:rPr>
      <w:t>Versión 24 de agosto de 2018</w:t>
    </w:r>
  </w:p>
  <w:p w14:paraId="30A66B9F" w14:textId="77777777" w:rsidR="00947691" w:rsidRPr="005C2321" w:rsidRDefault="00947691" w:rsidP="00F938E1">
    <w:pPr>
      <w:pStyle w:val="Footer"/>
      <w:tabs>
        <w:tab w:val="clear" w:pos="4419"/>
        <w:tab w:val="clear" w:pos="8838"/>
        <w:tab w:val="left" w:pos="2974"/>
      </w:tabs>
      <w:rPr>
        <w:rFonts w:ascii="Arial" w:hAnsi="Arial" w:cs="Arial"/>
      </w:rPr>
    </w:pPr>
    <w:r w:rsidRPr="005C2321">
      <w:rPr>
        <w:rFonts w:ascii="Arial" w:hAnsi="Arial" w:cs="Arial"/>
      </w:rPr>
      <w:tab/>
    </w:r>
  </w:p>
  <w:p w14:paraId="7B7B6F27" w14:textId="77777777" w:rsidR="00947691" w:rsidRPr="005C2321" w:rsidRDefault="00947691">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CC5AE" w14:textId="77777777" w:rsidR="004F7683" w:rsidRDefault="004F7683" w:rsidP="00434C4A">
      <w:pPr>
        <w:spacing w:after="0" w:line="240" w:lineRule="auto"/>
      </w:pPr>
      <w:r>
        <w:separator/>
      </w:r>
    </w:p>
  </w:footnote>
  <w:footnote w:type="continuationSeparator" w:id="0">
    <w:p w14:paraId="1DD18B6E" w14:textId="77777777" w:rsidR="004F7683" w:rsidRDefault="004F7683" w:rsidP="00434C4A">
      <w:pPr>
        <w:spacing w:after="0" w:line="240" w:lineRule="auto"/>
      </w:pPr>
      <w:r>
        <w:continuationSeparator/>
      </w:r>
    </w:p>
  </w:footnote>
  <w:footnote w:type="continuationNotice" w:id="1">
    <w:p w14:paraId="20B6583C" w14:textId="77777777" w:rsidR="004F7683" w:rsidRDefault="004F7683">
      <w:pPr>
        <w:spacing w:after="0" w:line="240" w:lineRule="auto"/>
      </w:pPr>
    </w:p>
  </w:footnote>
  <w:footnote w:id="2">
    <w:p w14:paraId="49F77BB8" w14:textId="77777777" w:rsidR="00947691" w:rsidRPr="00E02541" w:rsidRDefault="00947691">
      <w:pPr>
        <w:pStyle w:val="FootnoteText"/>
      </w:pPr>
      <w:r>
        <w:rPr>
          <w:rStyle w:val="FootnoteReference"/>
        </w:rPr>
        <w:footnoteRef/>
      </w:r>
      <w:r>
        <w:t xml:space="preserve"> </w:t>
      </w:r>
      <w:r>
        <w:tab/>
        <w:t>Se toma 10 años de análisis por que el horizonte de evaluación del proyecto corresponde a dicho periodo de tiempo</w:t>
      </w:r>
    </w:p>
  </w:footnote>
  <w:footnote w:id="3">
    <w:p w14:paraId="3652207B" w14:textId="77777777" w:rsidR="00947691" w:rsidRPr="00705320" w:rsidRDefault="00947691" w:rsidP="00224036">
      <w:pPr>
        <w:pStyle w:val="FootnoteText"/>
        <w:jc w:val="both"/>
      </w:pPr>
      <w:r>
        <w:rPr>
          <w:rStyle w:val="FootnoteReference"/>
        </w:rPr>
        <w:footnoteRef/>
      </w:r>
      <w:r>
        <w:t xml:space="preserve"> </w:t>
      </w:r>
      <w:r>
        <w:tab/>
        <w:t xml:space="preserve">Portal de Datos del Banco Mundial (s.f.), recuperado el 06 de julio de 2018 de </w:t>
      </w:r>
      <w:hyperlink r:id="rId1" w:history="1">
        <w:r w:rsidRPr="00DB0E81">
          <w:rPr>
            <w:rStyle w:val="Hyperlink"/>
          </w:rPr>
          <w:t>https://datos.bancomundial.org/indicador/NY.GDP.MKTP.KD.ZG?locations=PY</w:t>
        </w:r>
      </w:hyperlink>
      <w:r>
        <w:t>, cálculos propios.</w:t>
      </w:r>
    </w:p>
  </w:footnote>
  <w:footnote w:id="4">
    <w:p w14:paraId="07B4D1F9" w14:textId="77777777" w:rsidR="00947691" w:rsidRPr="001E4F53" w:rsidRDefault="00947691" w:rsidP="00224036">
      <w:pPr>
        <w:pStyle w:val="FootnoteText"/>
        <w:tabs>
          <w:tab w:val="left" w:pos="992"/>
        </w:tabs>
        <w:jc w:val="both"/>
      </w:pPr>
      <w:r>
        <w:rPr>
          <w:rStyle w:val="FootnoteReference"/>
        </w:rPr>
        <w:footnoteRef/>
      </w:r>
      <w:r>
        <w:t xml:space="preserve"> </w:t>
      </w:r>
      <w:r>
        <w:tab/>
        <w:t xml:space="preserve">Portal de Datos del Banco Mundial (s.f.), recuperado el 06 de julio de 2018 de </w:t>
      </w:r>
      <w:hyperlink r:id="rId2" w:history="1">
        <w:r w:rsidRPr="00DB0E81">
          <w:rPr>
            <w:rStyle w:val="Hyperlink"/>
          </w:rPr>
          <w:t>https://datos.bancomundial.org/indicador/FP.CPI.TOTL.ZG?locations=PY</w:t>
        </w:r>
      </w:hyperlink>
      <w:r>
        <w:t>, cálculos propios.</w:t>
      </w:r>
    </w:p>
  </w:footnote>
  <w:footnote w:id="5">
    <w:p w14:paraId="3EE7F547" w14:textId="77777777" w:rsidR="00947691" w:rsidRPr="004204E2" w:rsidRDefault="00947691" w:rsidP="001E4F53">
      <w:pPr>
        <w:pStyle w:val="FootnoteText"/>
        <w:jc w:val="both"/>
      </w:pPr>
      <w:r>
        <w:rPr>
          <w:rStyle w:val="FootnoteReference"/>
        </w:rPr>
        <w:footnoteRef/>
      </w:r>
      <w:r>
        <w:t xml:space="preserve"> </w:t>
      </w:r>
      <w:r>
        <w:tab/>
        <w:t>E</w:t>
      </w:r>
      <w:r w:rsidRPr="004204E2">
        <w:t>specialmente del gasto salarial, de los gastos en bienes y servicios, y de las adquisiciones de vehículos, entre otros. Por primera vez en más de diez años, el año 2016 cerrará con un crecimiento nominal de los gastos en remuneraciones inferior al 2%, lo que implica una reducción del gasto salarial total equivalente al 0,5% del PIB.</w:t>
      </w:r>
    </w:p>
  </w:footnote>
  <w:footnote w:id="6">
    <w:p w14:paraId="63B98AFE" w14:textId="77777777" w:rsidR="00947691" w:rsidRPr="00962F86" w:rsidRDefault="00947691" w:rsidP="001E4F53">
      <w:pPr>
        <w:pStyle w:val="FootnoteText"/>
        <w:jc w:val="both"/>
      </w:pPr>
      <w:r>
        <w:rPr>
          <w:rStyle w:val="FootnoteReference"/>
        </w:rPr>
        <w:footnoteRef/>
      </w:r>
      <w:r w:rsidRPr="00962F86">
        <w:t xml:space="preserve"> </w:t>
      </w:r>
      <w:r>
        <w:tab/>
        <w:t xml:space="preserve">Fuentes: para 2002, Artículo IV del FMI (2003) y para 2017, blog Económico – Viceministerio de Economía. </w:t>
      </w:r>
    </w:p>
  </w:footnote>
  <w:footnote w:id="7">
    <w:p w14:paraId="6016292F" w14:textId="77777777" w:rsidR="00947691" w:rsidRPr="00AC4F16" w:rsidRDefault="00947691" w:rsidP="001E4F53">
      <w:pPr>
        <w:pStyle w:val="FootnoteText"/>
        <w:jc w:val="both"/>
      </w:pPr>
      <w:r>
        <w:rPr>
          <w:rStyle w:val="FootnoteReference"/>
        </w:rPr>
        <w:footnoteRef/>
      </w:r>
      <w:r w:rsidRPr="00AC4F16">
        <w:t xml:space="preserve"> </w:t>
      </w:r>
      <w:r>
        <w:tab/>
        <w:t xml:space="preserve">Portal de Datos del Banco Mundial (s.f.), recuperado el 06 de julio de 2018 de </w:t>
      </w:r>
      <w:hyperlink r:id="rId3" w:history="1">
        <w:r w:rsidRPr="00DB0E81">
          <w:rPr>
            <w:rStyle w:val="Hyperlink"/>
          </w:rPr>
          <w:t>https://datos.bancomundial.org/indicador/SI.POV.NAHC?end=2016&amp;locations=PY&amp;start=2002&amp;view=chart</w:t>
        </w:r>
      </w:hyperlink>
      <w:r>
        <w:t>.</w:t>
      </w:r>
    </w:p>
  </w:footnote>
  <w:footnote w:id="8">
    <w:p w14:paraId="4D36D407" w14:textId="77777777" w:rsidR="00947691" w:rsidRPr="007526CE" w:rsidRDefault="00947691">
      <w:pPr>
        <w:pStyle w:val="FootnoteText"/>
      </w:pPr>
      <w:r>
        <w:rPr>
          <w:rStyle w:val="FootnoteReference"/>
        </w:rPr>
        <w:footnoteRef/>
      </w:r>
      <w:r>
        <w:t xml:space="preserve"> </w:t>
      </w:r>
      <w:r>
        <w:tab/>
        <w:t>Dirección General de Estadísticas, Encuestas y Censos (2016), “Principales Resultados de la Pobreza y la distribución del ingreso”,</w:t>
      </w:r>
    </w:p>
  </w:footnote>
  <w:footnote w:id="9">
    <w:p w14:paraId="47A2AED7" w14:textId="77777777" w:rsidR="00947691" w:rsidRPr="00AC4F16" w:rsidRDefault="00947691" w:rsidP="000E02E0">
      <w:pPr>
        <w:pStyle w:val="FootnoteText"/>
        <w:jc w:val="both"/>
      </w:pPr>
      <w:r>
        <w:rPr>
          <w:rStyle w:val="FootnoteReference"/>
        </w:rPr>
        <w:footnoteRef/>
      </w:r>
      <w:r w:rsidRPr="00AC4F16">
        <w:t xml:space="preserve"> </w:t>
      </w:r>
      <w:r>
        <w:tab/>
        <w:t xml:space="preserve">Portal de Datos del Banco Mundial (s.f.), recuperado el 06 de julio de 2018 de </w:t>
      </w:r>
      <w:hyperlink r:id="rId4" w:history="1">
        <w:r w:rsidRPr="00DB0E81">
          <w:rPr>
            <w:rStyle w:val="Hyperlink"/>
          </w:rPr>
          <w:t>https://datos.bancomundial.org/indicador/SP.DYN.LE00.IN?locations=PY</w:t>
        </w:r>
      </w:hyperlink>
      <w:r>
        <w:t>.</w:t>
      </w:r>
    </w:p>
  </w:footnote>
  <w:footnote w:id="10">
    <w:p w14:paraId="471A488B" w14:textId="77777777" w:rsidR="00947691" w:rsidRPr="00AC4F16" w:rsidRDefault="00947691" w:rsidP="00A1594D">
      <w:pPr>
        <w:pStyle w:val="FootnoteText"/>
        <w:jc w:val="both"/>
      </w:pPr>
      <w:r>
        <w:rPr>
          <w:rStyle w:val="FootnoteReference"/>
        </w:rPr>
        <w:footnoteRef/>
      </w:r>
      <w:r w:rsidRPr="00AC4F16">
        <w:t xml:space="preserve"> </w:t>
      </w:r>
      <w:r>
        <w:tab/>
        <w:t xml:space="preserve">Portal de Datos del Banco Mundial (s.f.), recuperado el 06 de julio de 2018 de </w:t>
      </w:r>
      <w:hyperlink r:id="rId5" w:history="1">
        <w:r w:rsidRPr="00DB0E81">
          <w:rPr>
            <w:rStyle w:val="Hyperlink"/>
          </w:rPr>
          <w:t>https://datos.bancomundial.org/indicador/SP.POP.TOTL?locations=PY</w:t>
        </w:r>
      </w:hyperlink>
      <w:r>
        <w:t>.</w:t>
      </w:r>
    </w:p>
  </w:footnote>
  <w:footnote w:id="11">
    <w:p w14:paraId="2A475999" w14:textId="77777777" w:rsidR="00947691" w:rsidRPr="00277EF6" w:rsidRDefault="00947691" w:rsidP="00344E15">
      <w:pPr>
        <w:pStyle w:val="FootnoteText"/>
      </w:pPr>
      <w:r>
        <w:rPr>
          <w:rStyle w:val="FootnoteReference"/>
        </w:rPr>
        <w:footnoteRef/>
      </w:r>
      <w:r>
        <w:t xml:space="preserve"> Portal de BID, (s.f.), recuperado el 06 de febrero de 2018, de </w:t>
      </w:r>
      <w:hyperlink r:id="rId6" w:history="1">
        <w:r w:rsidRPr="000227D1">
          <w:rPr>
            <w:rStyle w:val="Hyperlink"/>
          </w:rPr>
          <w:t>https://www.iadb.org/es/project/PR-L1027</w:t>
        </w:r>
      </w:hyperlink>
      <w:r>
        <w:t>.</w:t>
      </w:r>
    </w:p>
  </w:footnote>
  <w:footnote w:id="12">
    <w:p w14:paraId="0E450772" w14:textId="77777777" w:rsidR="00947691" w:rsidRPr="003C5952" w:rsidRDefault="00947691" w:rsidP="00344E15">
      <w:pPr>
        <w:pStyle w:val="FootnoteText"/>
        <w:jc w:val="both"/>
      </w:pPr>
      <w:r>
        <w:rPr>
          <w:rStyle w:val="FootnoteReference"/>
        </w:rPr>
        <w:footnoteRef/>
      </w:r>
      <w:r>
        <w:t xml:space="preserve"> </w:t>
      </w:r>
      <w:r>
        <w:tab/>
        <w:t xml:space="preserve">Gobierno Nacional (2014), Plan Nacional de Desarrollo </w:t>
      </w:r>
    </w:p>
  </w:footnote>
  <w:footnote w:id="13">
    <w:p w14:paraId="093B511F" w14:textId="77777777" w:rsidR="00947691" w:rsidRPr="00C874B7" w:rsidRDefault="00947691" w:rsidP="00344E15">
      <w:pPr>
        <w:pStyle w:val="FootnoteText"/>
        <w:jc w:val="both"/>
      </w:pPr>
      <w:r>
        <w:rPr>
          <w:rStyle w:val="FootnoteReference"/>
        </w:rPr>
        <w:footnoteRef/>
      </w:r>
      <w:r>
        <w:t xml:space="preserve"> </w:t>
      </w:r>
      <w:r>
        <w:tab/>
        <w:t xml:space="preserve">Portal Ultima Hora, (2018), recuperado el 07 de julio de 2018, de </w:t>
      </w:r>
      <w:hyperlink r:id="rId7" w:history="1">
        <w:r w:rsidRPr="00DB0E81">
          <w:rPr>
            <w:rStyle w:val="Hyperlink"/>
          </w:rPr>
          <w:t>https://www.ultimahora.com/marito-propone-un-plan-estrategico-desarrollo-nacional-12-puntos-n1140913.html</w:t>
        </w:r>
      </w:hyperlink>
      <w:r>
        <w:t>.</w:t>
      </w:r>
    </w:p>
  </w:footnote>
  <w:footnote w:id="14">
    <w:p w14:paraId="565DDF8D" w14:textId="77777777" w:rsidR="00947691" w:rsidRPr="002D310A" w:rsidRDefault="00947691" w:rsidP="00C839A1">
      <w:pPr>
        <w:pStyle w:val="FootnoteText"/>
      </w:pPr>
      <w:r>
        <w:rPr>
          <w:rStyle w:val="FootnoteReference"/>
        </w:rPr>
        <w:footnoteRef/>
      </w:r>
      <w:r>
        <w:t xml:space="preserve"> BID Invest (2018) “Paraguay: rutas para el desarrollo” y datos de Penn World Tables. </w:t>
      </w:r>
    </w:p>
  </w:footnote>
  <w:footnote w:id="15">
    <w:p w14:paraId="6630A9FE" w14:textId="77777777" w:rsidR="00947691" w:rsidRPr="007E0136" w:rsidRDefault="00947691" w:rsidP="00284503">
      <w:pPr>
        <w:pStyle w:val="FootnoteText"/>
        <w:rPr>
          <w:lang w:val="es-MX"/>
        </w:rPr>
      </w:pPr>
      <w:r>
        <w:rPr>
          <w:rStyle w:val="FootnoteReference"/>
        </w:rPr>
        <w:footnoteRef/>
      </w:r>
      <w:r w:rsidRPr="00284503">
        <w:rPr>
          <w:lang w:val="en-US"/>
        </w:rPr>
        <w:t xml:space="preserve"> Ver Besley y Persson (2011), </w:t>
      </w:r>
      <w:r w:rsidRPr="00284503">
        <w:rPr>
          <w:i/>
          <w:lang w:val="en-US"/>
        </w:rPr>
        <w:t>Pillars of prosperity – The political economics of development clusters</w:t>
      </w:r>
      <w:r w:rsidRPr="00284503">
        <w:rPr>
          <w:lang w:val="en-US"/>
        </w:rPr>
        <w:t xml:space="preserve">. </w:t>
      </w:r>
      <w:r w:rsidRPr="007E0136">
        <w:rPr>
          <w:lang w:val="es-MX"/>
        </w:rPr>
        <w:t xml:space="preserve">Princeton University Press. </w:t>
      </w:r>
    </w:p>
  </w:footnote>
  <w:footnote w:id="16">
    <w:p w14:paraId="73F65B9F" w14:textId="77777777" w:rsidR="00947691" w:rsidRPr="007E0136" w:rsidRDefault="00947691" w:rsidP="00284503">
      <w:pPr>
        <w:pStyle w:val="FootnoteText"/>
        <w:rPr>
          <w:lang w:val="es-MX"/>
        </w:rPr>
      </w:pPr>
      <w:r>
        <w:rPr>
          <w:rStyle w:val="FootnoteReference"/>
        </w:rPr>
        <w:footnoteRef/>
      </w:r>
      <w:r w:rsidRPr="007E0136">
        <w:rPr>
          <w:lang w:val="es-MX"/>
        </w:rPr>
        <w:t xml:space="preserve"> Ver Barreix y Zambrano editores (2018), </w:t>
      </w:r>
      <w:r w:rsidRPr="007E0136">
        <w:rPr>
          <w:i/>
          <w:lang w:val="es-MX"/>
        </w:rPr>
        <w:t xml:space="preserve">La Factura Electrónica en América Latina. </w:t>
      </w:r>
      <w:r w:rsidRPr="007E0136">
        <w:rPr>
          <w:lang w:val="es-MX"/>
        </w:rPr>
        <w:t xml:space="preserve">Los países en los cuales se hicieron evaluaciones de impacto de la implementación de la FE son Argentina, Brasil, Ecuador, México y Uruguay. </w:t>
      </w:r>
    </w:p>
  </w:footnote>
  <w:footnote w:id="17">
    <w:p w14:paraId="58AC1ECC" w14:textId="77777777" w:rsidR="00947691" w:rsidRPr="00284503" w:rsidRDefault="00947691" w:rsidP="00872F9B">
      <w:pPr>
        <w:pStyle w:val="FootnoteText"/>
        <w:rPr>
          <w:lang w:val="en-US"/>
        </w:rPr>
      </w:pPr>
      <w:r>
        <w:rPr>
          <w:rStyle w:val="FootnoteReference"/>
        </w:rPr>
        <w:footnoteRef/>
      </w:r>
      <w:r w:rsidRPr="00284503">
        <w:rPr>
          <w:lang w:val="en-US"/>
        </w:rPr>
        <w:t xml:space="preserve"> Ver Diamond y Khemani (2005), </w:t>
      </w:r>
      <w:r w:rsidRPr="00284503">
        <w:rPr>
          <w:i/>
          <w:lang w:val="en-US"/>
        </w:rPr>
        <w:t>Introducing financial management information systems in developing countries</w:t>
      </w:r>
      <w:r w:rsidRPr="00284503">
        <w:rPr>
          <w:lang w:val="en-US"/>
        </w:rPr>
        <w:t xml:space="preserve">, IMF Working Paper 05/196, y Hashim y Allan (2008), </w:t>
      </w:r>
      <w:r w:rsidRPr="00284503">
        <w:rPr>
          <w:i/>
          <w:lang w:val="en-US"/>
        </w:rPr>
        <w:t>Information systems for government fiscal management</w:t>
      </w:r>
      <w:r w:rsidRPr="00284503">
        <w:rPr>
          <w:lang w:val="en-US"/>
        </w:rPr>
        <w:t xml:space="preserve">, WB Sector Studies Series #18669. </w:t>
      </w:r>
    </w:p>
  </w:footnote>
  <w:footnote w:id="18">
    <w:p w14:paraId="608CCEC0" w14:textId="602A4D16" w:rsidR="00947691" w:rsidRPr="00E429BC" w:rsidRDefault="00947691">
      <w:pPr>
        <w:pStyle w:val="FootnoteText"/>
        <w:rPr>
          <w:lang w:val="en-US"/>
        </w:rPr>
      </w:pPr>
      <w:r>
        <w:rPr>
          <w:rStyle w:val="FootnoteReference"/>
        </w:rPr>
        <w:footnoteRef/>
      </w:r>
      <w:r w:rsidRPr="00E429BC">
        <w:rPr>
          <w:lang w:val="en-US"/>
        </w:rPr>
        <w:t xml:space="preserve"> Chakraborty, S. and E. Dabla-Norris (2009), “The Quality of Public Investment,” International Monetary Fund (IMF) Working Paper 09/154 (Washington: IMF)</w:t>
      </w:r>
    </w:p>
  </w:footnote>
  <w:footnote w:id="19">
    <w:p w14:paraId="42332776" w14:textId="77777777" w:rsidR="00947691" w:rsidRPr="00284503" w:rsidRDefault="00947691" w:rsidP="00284503">
      <w:pPr>
        <w:pStyle w:val="FootnoteText"/>
        <w:rPr>
          <w:lang w:val="en-US"/>
        </w:rPr>
      </w:pPr>
      <w:r>
        <w:rPr>
          <w:rStyle w:val="FootnoteReference"/>
        </w:rPr>
        <w:footnoteRef/>
      </w:r>
      <w:r w:rsidRPr="00284503">
        <w:rPr>
          <w:lang w:val="en-US"/>
        </w:rPr>
        <w:t xml:space="preserve"> Ver Singer, Konstantinidis, Roubik y Beffermann (2009), </w:t>
      </w:r>
      <w:r w:rsidRPr="00284503">
        <w:rPr>
          <w:i/>
          <w:lang w:val="en-US"/>
        </w:rPr>
        <w:t>Does e-Procurement save the State money</w:t>
      </w:r>
      <w:r w:rsidRPr="00284503">
        <w:rPr>
          <w:i/>
          <w:lang w:val="en-US"/>
        </w:rPr>
        <w:softHyphen/>
        <w:t xml:space="preserve">? </w:t>
      </w:r>
      <w:r w:rsidRPr="00284503">
        <w:rPr>
          <w:lang w:val="en-US"/>
        </w:rPr>
        <w:t>Journal of Public Procurement, Volume 9, Issue 1, 58-78.</w:t>
      </w:r>
    </w:p>
  </w:footnote>
  <w:footnote w:id="20">
    <w:p w14:paraId="3F7DA0E6" w14:textId="77777777" w:rsidR="00947691" w:rsidRPr="00284503" w:rsidRDefault="00947691" w:rsidP="00284503">
      <w:pPr>
        <w:pStyle w:val="FootnoteText"/>
        <w:rPr>
          <w:lang w:val="en-US"/>
        </w:rPr>
      </w:pPr>
      <w:r>
        <w:rPr>
          <w:rStyle w:val="FootnoteReference"/>
        </w:rPr>
        <w:footnoteRef/>
      </w:r>
      <w:r w:rsidRPr="00284503">
        <w:rPr>
          <w:lang w:val="en-US"/>
        </w:rPr>
        <w:t xml:space="preserve"> Ver WB (2016), </w:t>
      </w:r>
      <w:r w:rsidRPr="00284503">
        <w:rPr>
          <w:i/>
          <w:lang w:val="en-US"/>
        </w:rPr>
        <w:t>Toward next-generation performance budgeting – Lessons from the experiences of seven reforming countries</w:t>
      </w:r>
      <w:r w:rsidRPr="00284503">
        <w:rPr>
          <w:lang w:val="en-US"/>
        </w:rPr>
        <w:t xml:space="preserve">. Daniel Moynihan e Ivor Beazley, Directions in development, Public Sector Governance. </w:t>
      </w:r>
    </w:p>
  </w:footnote>
  <w:footnote w:id="21">
    <w:p w14:paraId="519278E3" w14:textId="77777777" w:rsidR="00947691" w:rsidRPr="00284503" w:rsidRDefault="00947691" w:rsidP="00284503">
      <w:pPr>
        <w:pStyle w:val="FootnoteText"/>
        <w:rPr>
          <w:lang w:val="en-US"/>
        </w:rPr>
      </w:pPr>
      <w:r>
        <w:rPr>
          <w:rStyle w:val="FootnoteReference"/>
        </w:rPr>
        <w:footnoteRef/>
      </w:r>
      <w:r w:rsidRPr="00284503">
        <w:rPr>
          <w:lang w:val="en-US"/>
        </w:rPr>
        <w:t xml:space="preserve"> Ver IMF (2016), </w:t>
      </w:r>
      <w:r w:rsidRPr="00284503">
        <w:rPr>
          <w:i/>
          <w:lang w:val="en-US"/>
        </w:rPr>
        <w:t>Implementing accrual accounting in the public sector</w:t>
      </w:r>
      <w:r w:rsidRPr="00284503">
        <w:rPr>
          <w:lang w:val="en-US"/>
        </w:rPr>
        <w:t xml:space="preserve">. Joe Cavanagh, Suzanne Flynn y Delphine Moretti, Fiscal Affairs Department. </w:t>
      </w:r>
    </w:p>
  </w:footnote>
  <w:footnote w:id="22">
    <w:p w14:paraId="6A560301" w14:textId="77777777" w:rsidR="00947691" w:rsidRPr="00A947FB" w:rsidRDefault="00947691" w:rsidP="008A7F79">
      <w:pPr>
        <w:pStyle w:val="FootnoteText"/>
      </w:pPr>
      <w:r>
        <w:rPr>
          <w:rStyle w:val="FootnoteReference"/>
        </w:rPr>
        <w:footnoteRef/>
      </w:r>
      <w:r>
        <w:t xml:space="preserve"> BID Invest (2018) “Paraguay: rutas para el desarrollo” y datos de Penn World Tables.</w:t>
      </w:r>
    </w:p>
  </w:footnote>
  <w:footnote w:id="23">
    <w:p w14:paraId="00BE34F4" w14:textId="77777777" w:rsidR="00947691" w:rsidRPr="008F6451" w:rsidRDefault="00947691" w:rsidP="00AD53C6">
      <w:pPr>
        <w:pStyle w:val="FootnoteText"/>
        <w:rPr>
          <w:lang w:val="es-MX"/>
        </w:rPr>
      </w:pPr>
      <w:r>
        <w:rPr>
          <w:rStyle w:val="FootnoteReference"/>
        </w:rPr>
        <w:footnoteRef/>
      </w:r>
      <w:r>
        <w:t xml:space="preserve"> Portal del Ministerio de Hacienda, (s.f.), recuperado el 14 de febrero de 2018, de</w:t>
      </w:r>
      <w:r>
        <w:rPr>
          <w:lang w:val="es-MX"/>
        </w:rPr>
        <w:t xml:space="preserve"> </w:t>
      </w:r>
      <w:hyperlink r:id="rId8" w:history="1">
        <w:r w:rsidRPr="005119B4">
          <w:rPr>
            <w:rStyle w:val="Hyperlink"/>
            <w:lang w:val="es-MX"/>
          </w:rPr>
          <w:t>http://snip.hacienda.gov.py/normativas/ley_4394.pdf</w:t>
        </w:r>
      </w:hyperlink>
      <w:r>
        <w:rPr>
          <w:lang w:val="es-MX"/>
        </w:rPr>
        <w:t xml:space="preserve"> </w:t>
      </w:r>
    </w:p>
  </w:footnote>
  <w:footnote w:id="24">
    <w:p w14:paraId="1C022439" w14:textId="77777777" w:rsidR="00947691" w:rsidRPr="00AF7E2C" w:rsidRDefault="00947691" w:rsidP="00AD53C6">
      <w:pPr>
        <w:pStyle w:val="FootnoteText"/>
      </w:pPr>
      <w:r>
        <w:rPr>
          <w:rStyle w:val="FootnoteReference"/>
        </w:rPr>
        <w:footnoteRef/>
      </w:r>
      <w:r>
        <w:t xml:space="preserve"> Portal del Ministerio de Hacienda, (s.f.), recuperado el 14 de febrero de 2018, de </w:t>
      </w:r>
      <w:hyperlink r:id="rId9" w:history="1">
        <w:r w:rsidRPr="005119B4">
          <w:rPr>
            <w:rStyle w:val="Hyperlink"/>
          </w:rPr>
          <w:t>http://snip.hacienda.gov.py/normativas/guia_para_la_formulacion_de_proyectos_de_inversion_a_nivel_de_perfil.pdf</w:t>
        </w:r>
      </w:hyperlink>
      <w:r>
        <w:t xml:space="preserve"> </w:t>
      </w:r>
    </w:p>
  </w:footnote>
  <w:footnote w:id="25">
    <w:p w14:paraId="7BA010A6" w14:textId="77777777" w:rsidR="00947691" w:rsidRPr="00011B23" w:rsidRDefault="00947691" w:rsidP="00A8627D">
      <w:pPr>
        <w:pStyle w:val="FootnoteText"/>
      </w:pPr>
      <w:r>
        <w:rPr>
          <w:rStyle w:val="FootnoteReference"/>
        </w:rPr>
        <w:footnoteRef/>
      </w:r>
      <w:r>
        <w:t xml:space="preserve"> Portal del Ministerio de Hacienda, (s.f.), recuperado el 14 de febrero de 2018, de </w:t>
      </w:r>
      <w:hyperlink r:id="rId10" w:history="1">
        <w:r w:rsidRPr="005119B4">
          <w:rPr>
            <w:rStyle w:val="Hyperlink"/>
          </w:rPr>
          <w:t>http://snip.hacienda.gov.py/directivas/10_Directiva_10_Tasa_Social_de_Descuento.pdf</w:t>
        </w:r>
      </w:hyperlink>
      <w:r>
        <w:t xml:space="preserve"> </w:t>
      </w:r>
    </w:p>
  </w:footnote>
  <w:footnote w:id="26">
    <w:p w14:paraId="0938BB9F" w14:textId="77777777" w:rsidR="00947691" w:rsidRPr="00020EBD" w:rsidRDefault="00947691" w:rsidP="00450019">
      <w:pPr>
        <w:pStyle w:val="FootnoteText"/>
        <w:jc w:val="both"/>
        <w:rPr>
          <w:lang w:val="es-MX"/>
        </w:rPr>
      </w:pPr>
      <w:r>
        <w:rPr>
          <w:rStyle w:val="FootnoteReference"/>
        </w:rPr>
        <w:footnoteRef/>
      </w:r>
      <w:r>
        <w:t xml:space="preserve"> </w:t>
      </w:r>
      <w:r>
        <w:tab/>
      </w:r>
      <w:r w:rsidRPr="00020EBD">
        <w:t>Para el cálculo del V</w:t>
      </w:r>
      <w:r>
        <w:t>PN</w:t>
      </w:r>
      <w:r w:rsidRPr="00020EBD">
        <w:t xml:space="preserve"> </w:t>
      </w:r>
      <w:r>
        <w:t xml:space="preserve">se utilizará la tasa de 12% para exigir aún más al proyectos, ya que si se utilizará la tasa </w:t>
      </w:r>
      <w:r w:rsidRPr="00020EBD">
        <w:t xml:space="preserve">social de descuento </w:t>
      </w:r>
      <w:r>
        <w:t xml:space="preserve">de 9% de la </w:t>
      </w:r>
      <w:r w:rsidRPr="00020EBD">
        <w:t xml:space="preserve">norma </w:t>
      </w:r>
      <w:r>
        <w:t>Paraguaya el proyecto será aún más rentable.</w:t>
      </w:r>
    </w:p>
  </w:footnote>
  <w:footnote w:id="27">
    <w:p w14:paraId="608265CA" w14:textId="77777777" w:rsidR="00947691" w:rsidRPr="00E824F3" w:rsidRDefault="00947691" w:rsidP="00017D22">
      <w:pPr>
        <w:pStyle w:val="FootnoteText"/>
      </w:pPr>
      <w:r>
        <w:rPr>
          <w:rStyle w:val="FootnoteReference"/>
        </w:rPr>
        <w:footnoteRef/>
      </w:r>
      <w:r>
        <w:t xml:space="preserve"> Portal de la SET, (s.f.), recuperado el 25 de julio de 2018, de </w:t>
      </w:r>
      <w:r w:rsidRPr="00E824F3">
        <w:t>https://www.set.gov.py/portal/PARAGUAY-SET/detail?folder-id=repository:collaboration:/sites/PARAGUAY-SET/categories/SET/Estadistica/recaudaciones-tributarias&amp;content-id=/repository/collaboration/sites/PARAGUAY-SET/documents/estadistica/recaudaciones-tributarias/presion-tributaria-2010-2017.pdf</w:t>
      </w:r>
    </w:p>
  </w:footnote>
  <w:footnote w:id="28">
    <w:p w14:paraId="6082D39D" w14:textId="3B17D6A9" w:rsidR="00947691" w:rsidRPr="004352AA" w:rsidRDefault="00947691">
      <w:pPr>
        <w:pStyle w:val="FootnoteText"/>
      </w:pPr>
      <w:r>
        <w:rPr>
          <w:rStyle w:val="FootnoteReference"/>
        </w:rPr>
        <w:footnoteRef/>
      </w:r>
      <w:r>
        <w:t xml:space="preserve"> Portal del Ministerio de Hacienda, (s.f.), recuperado el 28 de julio de 2018, de </w:t>
      </w:r>
      <w:r w:rsidRPr="004352AA">
        <w:t>http://www.hacienda.gov.py/portalspir/ingresos-gastos.jsp#</w:t>
      </w:r>
    </w:p>
  </w:footnote>
  <w:footnote w:id="29">
    <w:p w14:paraId="48B1A0CE" w14:textId="77777777" w:rsidR="00947691" w:rsidRPr="00E824F3" w:rsidRDefault="00947691" w:rsidP="00017D22">
      <w:pPr>
        <w:pStyle w:val="FootnoteText"/>
        <w:rPr>
          <w:lang w:val="es-MX"/>
        </w:rPr>
      </w:pPr>
      <w:r>
        <w:rPr>
          <w:rStyle w:val="FootnoteReference"/>
        </w:rPr>
        <w:footnoteRef/>
      </w:r>
      <w:r w:rsidRPr="00E824F3">
        <w:rPr>
          <w:lang w:val="es-MX"/>
        </w:rPr>
        <w:t xml:space="preserve"> </w:t>
      </w:r>
      <w:r>
        <w:t xml:space="preserve">Portal del Ministerio de Hacienda, (s.f.), recuperado el 25 de julio de 2018, de </w:t>
      </w:r>
      <w:r w:rsidRPr="00E824F3">
        <w:rPr>
          <w:lang w:val="es-MX"/>
        </w:rPr>
        <w:t>http://snip.hacienda.gov.py/manuales/Tasa_Social_de_Descuento.pdf</w:t>
      </w:r>
    </w:p>
  </w:footnote>
  <w:footnote w:id="30">
    <w:p w14:paraId="6172DE38" w14:textId="77777777" w:rsidR="00947691" w:rsidRPr="0094488C" w:rsidRDefault="00947691" w:rsidP="00017D22">
      <w:pPr>
        <w:pStyle w:val="FootnoteText"/>
        <w:rPr>
          <w:lang w:val="es-MX"/>
        </w:rPr>
      </w:pPr>
      <w:r>
        <w:rPr>
          <w:rStyle w:val="FootnoteReference"/>
        </w:rPr>
        <w:footnoteRef/>
      </w:r>
      <w:r>
        <w:t xml:space="preserve"> Es importante tener en cuenta que la penetración de internet en Paraguay llega a 90%, sin embargo para esforzar aún más la evaluación del proyecto se está considerando que la factura electrónica no podrá ser utilizado por el 30% de las empresas.</w:t>
      </w:r>
    </w:p>
  </w:footnote>
  <w:footnote w:id="31">
    <w:p w14:paraId="76CB3C15" w14:textId="77777777" w:rsidR="00947691" w:rsidRPr="005D0C83" w:rsidRDefault="00947691" w:rsidP="008C213B">
      <w:pPr>
        <w:pStyle w:val="FootnoteText"/>
        <w:jc w:val="both"/>
        <w:rPr>
          <w:lang w:val="es-MX"/>
        </w:rPr>
      </w:pPr>
      <w:r>
        <w:rPr>
          <w:rStyle w:val="FootnoteReference"/>
        </w:rPr>
        <w:footnoteRef/>
      </w:r>
      <w:r w:rsidRPr="005D0C83">
        <w:rPr>
          <w:lang w:val="es-MX"/>
        </w:rPr>
        <w:t xml:space="preserve"> </w:t>
      </w:r>
      <w:r>
        <w:rPr>
          <w:lang w:val="es-MX"/>
        </w:rPr>
        <w:t>Por ejemplo l</w:t>
      </w:r>
      <w:r w:rsidRPr="005D0C83">
        <w:rPr>
          <w:lang w:val="es-MX"/>
        </w:rPr>
        <w:t xml:space="preserve">os proyectos de agua potable </w:t>
      </w:r>
      <w:r>
        <w:rPr>
          <w:lang w:val="es-MX"/>
        </w:rPr>
        <w:t xml:space="preserve">y alcantarillado generan beneficios sociales monetarios a la población por los conceptos siguientes: (i) disminución de enfermedades hídricas; (ii) disminución de costos de traslado; (iii) disminución de costos de traslados; (iv) disminución de malos olores; entre otros. Esto puede ser visto como ejemplo en </w:t>
      </w:r>
      <w:hyperlink r:id="rId11" w:history="1">
        <w:r w:rsidRPr="00130B16">
          <w:rPr>
            <w:rStyle w:val="Hyperlink"/>
            <w:lang w:val="es-MX"/>
          </w:rPr>
          <w:t>https://www.cepal.org/ilpes/noticias/paginas/1/52961/Doc-44.pdf</w:t>
        </w:r>
      </w:hyperlink>
      <w:r>
        <w:rPr>
          <w:lang w:val="es-MX"/>
        </w:rPr>
        <w:t xml:space="preserve"> y en la página 180 de </w:t>
      </w:r>
      <w:hyperlink r:id="rId12" w:history="1">
        <w:r w:rsidRPr="00130B16">
          <w:rPr>
            <w:rStyle w:val="Hyperlink"/>
            <w:lang w:val="es-MX"/>
          </w:rPr>
          <w:t>https://www.mef.gob.pe/contenidos/inv_publica/docs/instrumentos_metod/saneamiento/Guia-de-saneamiento-27-11.pdf</w:t>
        </w:r>
      </w:hyperlink>
      <w:r>
        <w:rPr>
          <w:lang w:val="es-MX"/>
        </w:rPr>
        <w:t>. Entonces el hecho que un proyecto de agua potable y alcantarillado se retrase en su ejecución va generar que los beneficios sociales se posterguen lo cual por el valor del dinero en el tiempo va generar que los beneficios sociales sean menores.</w:t>
      </w:r>
    </w:p>
  </w:footnote>
  <w:footnote w:id="32">
    <w:p w14:paraId="6E0EC00A" w14:textId="697A1EEC" w:rsidR="00947691" w:rsidRPr="005E5359" w:rsidRDefault="00947691">
      <w:pPr>
        <w:pStyle w:val="FootnoteText"/>
        <w:rPr>
          <w:lang w:val="es-MX"/>
        </w:rPr>
      </w:pPr>
      <w:r>
        <w:rPr>
          <w:rStyle w:val="FootnoteReference"/>
        </w:rPr>
        <w:footnoteRef/>
      </w:r>
      <w:r>
        <w:t xml:space="preserve"> </w:t>
      </w:r>
      <w:r>
        <w:rPr>
          <w:rFonts w:ascii="Times New Roman" w:hAnsi="Times New Roman" w:cs="Times New Roman"/>
          <w:sz w:val="24"/>
          <w:szCs w:val="24"/>
          <w:lang w:val="es-ES"/>
        </w:rPr>
        <w:t xml:space="preserve">,Quedará un 20% de proveedores que no utilizarán estos mecanismos por la no penetración de internet en Paraguay que es del 10% y el resto por aspectos culturales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8188736"/>
      <w:docPartObj>
        <w:docPartGallery w:val="Page Numbers (Margins)"/>
        <w:docPartUnique/>
      </w:docPartObj>
    </w:sdtPr>
    <w:sdtEndPr/>
    <w:sdtContent>
      <w:p w14:paraId="6163F2B4" w14:textId="77777777" w:rsidR="00947691" w:rsidRDefault="00947691">
        <w:pPr>
          <w:pStyle w:val="Header"/>
        </w:pPr>
        <w:r>
          <w:rPr>
            <w:noProof/>
            <w:lang w:val="es-MX" w:eastAsia="es-MX"/>
          </w:rPr>
          <mc:AlternateContent>
            <mc:Choice Requires="wps">
              <w:drawing>
                <wp:anchor distT="0" distB="0" distL="114300" distR="114300" simplePos="0" relativeHeight="251659264" behindDoc="0" locked="0" layoutInCell="0" allowOverlap="1" wp14:anchorId="50390ACA" wp14:editId="375FD84D">
                  <wp:simplePos x="0" y="0"/>
                  <wp:positionH relativeFrom="rightMargin">
                    <wp:align>right</wp:align>
                  </wp:positionH>
                  <wp:positionV relativeFrom="margin">
                    <wp:align>center</wp:align>
                  </wp:positionV>
                  <wp:extent cx="712470" cy="329565"/>
                  <wp:effectExtent l="3175" t="0" r="4445" b="381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58CDFC" w14:textId="77777777" w:rsidR="00947691" w:rsidRDefault="00947691">
                              <w:pPr>
                                <w:pBdr>
                                  <w:bottom w:val="single" w:sz="4" w:space="1" w:color="auto"/>
                                </w:pBdr>
                                <w:rPr>
                                  <w:lang w:val="es-ES"/>
                                </w:rPr>
                              </w:pPr>
                              <w:r>
                                <w:rPr>
                                  <w:lang w:val="es-ES"/>
                                </w:rPr>
                                <w:fldChar w:fldCharType="begin"/>
                              </w:r>
                              <w:r>
                                <w:rPr>
                                  <w:lang w:val="es-ES"/>
                                </w:rPr>
                                <w:instrText xml:space="preserve"> PAGE   \* MERGEFORMAT </w:instrText>
                              </w:r>
                              <w:r>
                                <w:rPr>
                                  <w:lang w:val="es-ES"/>
                                </w:rPr>
                                <w:fldChar w:fldCharType="separate"/>
                              </w:r>
                              <w:r w:rsidR="007B2284" w:rsidRPr="007B2284">
                                <w:rPr>
                                  <w:noProof/>
                                </w:rPr>
                                <w:t>21</w:t>
                              </w:r>
                              <w:r>
                                <w:rPr>
                                  <w:lang w:val="es-ES"/>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50390ACA" id="Rectangle 4" o:spid="_x0000_s1026" style="position:absolute;margin-left:4.9pt;margin-top:0;width:56.1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" o:allowincell="f" stroked="f">
                  <v:textbox>
                    <w:txbxContent>
                      <w:p w14:paraId="1D58CDFC" w14:textId="77777777" w:rsidR="00947691" w:rsidRDefault="00947691">
                        <w:pPr>
                          <w:pBdr>
                            <w:bottom w:val="single" w:sz="4" w:space="1" w:color="auto"/>
                          </w:pBdr>
                          <w:rPr>
                            <w:lang w:val="es-ES"/>
                          </w:rPr>
                        </w:pPr>
                        <w:r>
                          <w:rPr>
                            <w:lang w:val="es-ES"/>
                          </w:rPr>
                          <w:fldChar w:fldCharType="begin"/>
                        </w:r>
                        <w:r>
                          <w:rPr>
                            <w:lang w:val="es-ES"/>
                          </w:rPr>
                          <w:instrText xml:space="preserve"> PAGE   \* MERGEFORMAT </w:instrText>
                        </w:r>
                        <w:r>
                          <w:rPr>
                            <w:lang w:val="es-ES"/>
                          </w:rPr>
                          <w:fldChar w:fldCharType="separate"/>
                        </w:r>
                        <w:r w:rsidR="007B2284" w:rsidRPr="007B2284">
                          <w:rPr>
                            <w:noProof/>
                          </w:rPr>
                          <w:t>21</w:t>
                        </w:r>
                        <w:r>
                          <w:rPr>
                            <w:lang w:val="es-ES"/>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11EC9"/>
    <w:multiLevelType w:val="multilevel"/>
    <w:tmpl w:val="BD306FE4"/>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b w:val="0"/>
        <w:color w:val="auto"/>
      </w:rPr>
    </w:lvl>
    <w:lvl w:ilvl="2">
      <w:start w:val="1"/>
      <w:numFmt w:val="lowerLetter"/>
      <w:pStyle w:val="subpar"/>
      <w:lvlText w:val="%3."/>
      <w:lvlJc w:val="left"/>
      <w:pPr>
        <w:tabs>
          <w:tab w:val="num" w:pos="2304"/>
        </w:tabs>
        <w:ind w:left="2304" w:hanging="432"/>
      </w:pPr>
      <w:rPr>
        <w:rFonts w:cs="Times New Roman"/>
        <w:b w:val="0"/>
      </w:rPr>
    </w:lvl>
    <w:lvl w:ilvl="3">
      <w:start w:val="1"/>
      <w:numFmt w:val="lowerRoman"/>
      <w:pStyle w:val="SubSubPar"/>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 w15:restartNumberingAfterBreak="0">
    <w:nsid w:val="05606A9A"/>
    <w:multiLevelType w:val="hybridMultilevel"/>
    <w:tmpl w:val="66625E78"/>
    <w:lvl w:ilvl="0" w:tplc="99CE1728">
      <w:start w:val="1"/>
      <w:numFmt w:val="bullet"/>
      <w:lvlText w:val=""/>
      <w:lvlJc w:val="left"/>
      <w:pPr>
        <w:ind w:left="1080" w:hanging="360"/>
      </w:pPr>
      <w:rPr>
        <w:rFonts w:ascii="Symbol" w:hAnsi="Symbol" w:hint="default"/>
        <w:lang w:val="es-PE"/>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ED93DD7"/>
    <w:multiLevelType w:val="hybridMultilevel"/>
    <w:tmpl w:val="4FF87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D22775"/>
    <w:multiLevelType w:val="hybridMultilevel"/>
    <w:tmpl w:val="B2E0E146"/>
    <w:lvl w:ilvl="0" w:tplc="E02C831E">
      <w:start w:val="1"/>
      <w:numFmt w:val="lowerLetter"/>
      <w:lvlText w:val="(%1)"/>
      <w:lvlJc w:val="left"/>
      <w:pPr>
        <w:ind w:left="720" w:hanging="360"/>
      </w:pPr>
      <w:rPr>
        <w:rFonts w:hint="default"/>
        <w:lang w:val="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1253AE"/>
    <w:multiLevelType w:val="hybridMultilevel"/>
    <w:tmpl w:val="3FBEEDA6"/>
    <w:lvl w:ilvl="0" w:tplc="F34EA026">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3692180"/>
    <w:multiLevelType w:val="hybridMultilevel"/>
    <w:tmpl w:val="B2E0E146"/>
    <w:lvl w:ilvl="0" w:tplc="E02C831E">
      <w:start w:val="1"/>
      <w:numFmt w:val="lowerLetter"/>
      <w:lvlText w:val="(%1)"/>
      <w:lvlJc w:val="left"/>
      <w:pPr>
        <w:ind w:left="720" w:hanging="360"/>
      </w:pPr>
      <w:rPr>
        <w:rFonts w:hint="default"/>
        <w:lang w:val="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3F1A0C"/>
    <w:multiLevelType w:val="hybridMultilevel"/>
    <w:tmpl w:val="B45A6020"/>
    <w:lvl w:ilvl="0" w:tplc="0BF0663E">
      <w:start w:val="1"/>
      <w:numFmt w:val="lowerLetter"/>
      <w:lvlText w:val="(%1)"/>
      <w:lvlJc w:val="left"/>
      <w:pPr>
        <w:ind w:left="4320" w:hanging="360"/>
      </w:pPr>
      <w:rPr>
        <w:rFonts w:hint="default"/>
      </w:rPr>
    </w:lvl>
    <w:lvl w:ilvl="1" w:tplc="080A0019" w:tentative="1">
      <w:start w:val="1"/>
      <w:numFmt w:val="lowerLetter"/>
      <w:lvlText w:val="%2."/>
      <w:lvlJc w:val="left"/>
      <w:pPr>
        <w:ind w:left="5040" w:hanging="360"/>
      </w:pPr>
    </w:lvl>
    <w:lvl w:ilvl="2" w:tplc="080A001B" w:tentative="1">
      <w:start w:val="1"/>
      <w:numFmt w:val="lowerRoman"/>
      <w:lvlText w:val="%3."/>
      <w:lvlJc w:val="right"/>
      <w:pPr>
        <w:ind w:left="5760" w:hanging="180"/>
      </w:pPr>
    </w:lvl>
    <w:lvl w:ilvl="3" w:tplc="080A000F" w:tentative="1">
      <w:start w:val="1"/>
      <w:numFmt w:val="decimal"/>
      <w:lvlText w:val="%4."/>
      <w:lvlJc w:val="left"/>
      <w:pPr>
        <w:ind w:left="6480" w:hanging="360"/>
      </w:pPr>
    </w:lvl>
    <w:lvl w:ilvl="4" w:tplc="080A0019" w:tentative="1">
      <w:start w:val="1"/>
      <w:numFmt w:val="lowerLetter"/>
      <w:lvlText w:val="%5."/>
      <w:lvlJc w:val="left"/>
      <w:pPr>
        <w:ind w:left="7200" w:hanging="360"/>
      </w:pPr>
    </w:lvl>
    <w:lvl w:ilvl="5" w:tplc="080A001B" w:tentative="1">
      <w:start w:val="1"/>
      <w:numFmt w:val="lowerRoman"/>
      <w:lvlText w:val="%6."/>
      <w:lvlJc w:val="right"/>
      <w:pPr>
        <w:ind w:left="7920" w:hanging="180"/>
      </w:pPr>
    </w:lvl>
    <w:lvl w:ilvl="6" w:tplc="080A000F" w:tentative="1">
      <w:start w:val="1"/>
      <w:numFmt w:val="decimal"/>
      <w:lvlText w:val="%7."/>
      <w:lvlJc w:val="left"/>
      <w:pPr>
        <w:ind w:left="8640" w:hanging="360"/>
      </w:pPr>
    </w:lvl>
    <w:lvl w:ilvl="7" w:tplc="080A0019" w:tentative="1">
      <w:start w:val="1"/>
      <w:numFmt w:val="lowerLetter"/>
      <w:lvlText w:val="%8."/>
      <w:lvlJc w:val="left"/>
      <w:pPr>
        <w:ind w:left="9360" w:hanging="360"/>
      </w:pPr>
    </w:lvl>
    <w:lvl w:ilvl="8" w:tplc="080A001B" w:tentative="1">
      <w:start w:val="1"/>
      <w:numFmt w:val="lowerRoman"/>
      <w:lvlText w:val="%9."/>
      <w:lvlJc w:val="right"/>
      <w:pPr>
        <w:ind w:left="10080" w:hanging="180"/>
      </w:pPr>
    </w:lvl>
  </w:abstractNum>
  <w:abstractNum w:abstractNumId="7" w15:restartNumberingAfterBreak="0">
    <w:nsid w:val="264A261A"/>
    <w:multiLevelType w:val="hybridMultilevel"/>
    <w:tmpl w:val="2BFCEAC4"/>
    <w:lvl w:ilvl="0" w:tplc="224AD07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16370BB"/>
    <w:multiLevelType w:val="multilevel"/>
    <w:tmpl w:val="3D7C345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val="0"/>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15:restartNumberingAfterBreak="0">
    <w:nsid w:val="33755137"/>
    <w:multiLevelType w:val="hybridMultilevel"/>
    <w:tmpl w:val="FB64E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70580A"/>
    <w:multiLevelType w:val="hybridMultilevel"/>
    <w:tmpl w:val="FDDC717C"/>
    <w:lvl w:ilvl="0" w:tplc="CF84A9C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359B4991"/>
    <w:multiLevelType w:val="multilevel"/>
    <w:tmpl w:val="BEBE165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rFonts w:ascii="Times New Roman" w:hAnsi="Times New Roman" w:cs="Arial" w:hint="default"/>
        <w:b w:val="0"/>
        <w:color w:val="auto"/>
        <w:sz w:val="22"/>
        <w:szCs w:val="22"/>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ACA2304"/>
    <w:multiLevelType w:val="hybridMultilevel"/>
    <w:tmpl w:val="FCE8FDC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15:restartNumberingAfterBreak="0">
    <w:nsid w:val="3D2D2659"/>
    <w:multiLevelType w:val="multilevel"/>
    <w:tmpl w:val="C8EEECB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lang w:val="es-ES"/>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4" w15:restartNumberingAfterBreak="0">
    <w:nsid w:val="47C62F59"/>
    <w:multiLevelType w:val="hybridMultilevel"/>
    <w:tmpl w:val="A0FED138"/>
    <w:lvl w:ilvl="0" w:tplc="D2F6AA3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EC918FD"/>
    <w:multiLevelType w:val="hybridMultilevel"/>
    <w:tmpl w:val="A0FED138"/>
    <w:lvl w:ilvl="0" w:tplc="D2F6AA3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ECA3404"/>
    <w:multiLevelType w:val="multilevel"/>
    <w:tmpl w:val="9B0EE6EE"/>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rPr>
        <w:b w:val="0"/>
        <w:i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7" w15:restartNumberingAfterBreak="0">
    <w:nsid w:val="650007E0"/>
    <w:multiLevelType w:val="hybridMultilevel"/>
    <w:tmpl w:val="95E01F5A"/>
    <w:lvl w:ilvl="0" w:tplc="080A0019">
      <w:start w:val="1"/>
      <w:numFmt w:val="lowerLetter"/>
      <w:lvlText w:val="%1."/>
      <w:lvlJc w:val="left"/>
      <w:pPr>
        <w:ind w:left="2484" w:hanging="360"/>
      </w:pPr>
      <w:rPr>
        <w:rFonts w:hint="default"/>
      </w:r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18" w15:restartNumberingAfterBreak="0">
    <w:nsid w:val="67520D49"/>
    <w:multiLevelType w:val="hybridMultilevel"/>
    <w:tmpl w:val="A3A8CC2C"/>
    <w:lvl w:ilvl="0" w:tplc="2D98A0AA">
      <w:start w:val="14"/>
      <w:numFmt w:val="bullet"/>
      <w:lvlText w:val="-"/>
      <w:lvlJc w:val="left"/>
      <w:pPr>
        <w:ind w:left="360" w:hanging="360"/>
      </w:pPr>
      <w:rPr>
        <w:rFonts w:ascii="Times New Roman" w:eastAsia="Times New Roman" w:hAnsi="Times New Roman" w:cs="Times New Roman" w:hint="default"/>
        <w:lang w:val="es-ES"/>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 w15:restartNumberingAfterBreak="0">
    <w:nsid w:val="75F2265A"/>
    <w:multiLevelType w:val="hybridMultilevel"/>
    <w:tmpl w:val="B60EC456"/>
    <w:lvl w:ilvl="0" w:tplc="280A0001">
      <w:start w:val="1"/>
      <w:numFmt w:val="bullet"/>
      <w:lvlText w:val=""/>
      <w:lvlJc w:val="left"/>
      <w:pPr>
        <w:ind w:left="7200" w:hanging="360"/>
      </w:pPr>
      <w:rPr>
        <w:rFonts w:ascii="Symbol" w:hAnsi="Symbol" w:hint="default"/>
      </w:rPr>
    </w:lvl>
    <w:lvl w:ilvl="1" w:tplc="AA1447D6">
      <w:numFmt w:val="bullet"/>
      <w:lvlText w:val="•"/>
      <w:lvlJc w:val="left"/>
      <w:pPr>
        <w:ind w:left="8280" w:hanging="720"/>
      </w:pPr>
      <w:rPr>
        <w:rFonts w:ascii="Garamond" w:eastAsia="Times New Roman" w:hAnsi="Garamond" w:cs="Garamond" w:hint="default"/>
      </w:rPr>
    </w:lvl>
    <w:lvl w:ilvl="2" w:tplc="280A0005">
      <w:start w:val="1"/>
      <w:numFmt w:val="bullet"/>
      <w:lvlText w:val=""/>
      <w:lvlJc w:val="left"/>
      <w:pPr>
        <w:ind w:left="8640" w:hanging="360"/>
      </w:pPr>
      <w:rPr>
        <w:rFonts w:ascii="Wingdings" w:hAnsi="Wingdings" w:hint="default"/>
      </w:rPr>
    </w:lvl>
    <w:lvl w:ilvl="3" w:tplc="280A0001" w:tentative="1">
      <w:start w:val="1"/>
      <w:numFmt w:val="bullet"/>
      <w:lvlText w:val=""/>
      <w:lvlJc w:val="left"/>
      <w:pPr>
        <w:ind w:left="9360" w:hanging="360"/>
      </w:pPr>
      <w:rPr>
        <w:rFonts w:ascii="Symbol" w:hAnsi="Symbol" w:hint="default"/>
      </w:rPr>
    </w:lvl>
    <w:lvl w:ilvl="4" w:tplc="280A0003" w:tentative="1">
      <w:start w:val="1"/>
      <w:numFmt w:val="bullet"/>
      <w:lvlText w:val="o"/>
      <w:lvlJc w:val="left"/>
      <w:pPr>
        <w:ind w:left="10080" w:hanging="360"/>
      </w:pPr>
      <w:rPr>
        <w:rFonts w:ascii="Courier New" w:hAnsi="Courier New" w:cs="Courier New" w:hint="default"/>
      </w:rPr>
    </w:lvl>
    <w:lvl w:ilvl="5" w:tplc="280A0005" w:tentative="1">
      <w:start w:val="1"/>
      <w:numFmt w:val="bullet"/>
      <w:lvlText w:val=""/>
      <w:lvlJc w:val="left"/>
      <w:pPr>
        <w:ind w:left="10800" w:hanging="360"/>
      </w:pPr>
      <w:rPr>
        <w:rFonts w:ascii="Wingdings" w:hAnsi="Wingdings" w:hint="default"/>
      </w:rPr>
    </w:lvl>
    <w:lvl w:ilvl="6" w:tplc="280A0001" w:tentative="1">
      <w:start w:val="1"/>
      <w:numFmt w:val="bullet"/>
      <w:lvlText w:val=""/>
      <w:lvlJc w:val="left"/>
      <w:pPr>
        <w:ind w:left="11520" w:hanging="360"/>
      </w:pPr>
      <w:rPr>
        <w:rFonts w:ascii="Symbol" w:hAnsi="Symbol" w:hint="default"/>
      </w:rPr>
    </w:lvl>
    <w:lvl w:ilvl="7" w:tplc="280A0003" w:tentative="1">
      <w:start w:val="1"/>
      <w:numFmt w:val="bullet"/>
      <w:lvlText w:val="o"/>
      <w:lvlJc w:val="left"/>
      <w:pPr>
        <w:ind w:left="12240" w:hanging="360"/>
      </w:pPr>
      <w:rPr>
        <w:rFonts w:ascii="Courier New" w:hAnsi="Courier New" w:cs="Courier New" w:hint="default"/>
      </w:rPr>
    </w:lvl>
    <w:lvl w:ilvl="8" w:tplc="280A0005" w:tentative="1">
      <w:start w:val="1"/>
      <w:numFmt w:val="bullet"/>
      <w:lvlText w:val=""/>
      <w:lvlJc w:val="left"/>
      <w:pPr>
        <w:ind w:left="12960" w:hanging="360"/>
      </w:pPr>
      <w:rPr>
        <w:rFonts w:ascii="Wingdings" w:hAnsi="Wingdings" w:hint="default"/>
      </w:rPr>
    </w:lvl>
  </w:abstractNum>
  <w:abstractNum w:abstractNumId="20" w15:restartNumberingAfterBreak="0">
    <w:nsid w:val="760D30EA"/>
    <w:multiLevelType w:val="hybridMultilevel"/>
    <w:tmpl w:val="D3B0A734"/>
    <w:lvl w:ilvl="0" w:tplc="D16E04E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A0E3ABC"/>
    <w:multiLevelType w:val="multilevel"/>
    <w:tmpl w:val="8FE4A658"/>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lang w:val="es-E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1"/>
  </w:num>
  <w:num w:numId="2">
    <w:abstractNumId w:val="19"/>
  </w:num>
  <w:num w:numId="3">
    <w:abstractNumId w:val="1"/>
  </w:num>
  <w:num w:numId="4">
    <w:abstractNumId w:val="0"/>
  </w:num>
  <w:num w:numId="5">
    <w:abstractNumId w:val="18"/>
  </w:num>
  <w:num w:numId="6">
    <w:abstractNumId w:val="9"/>
  </w:num>
  <w:num w:numId="7">
    <w:abstractNumId w:val="12"/>
  </w:num>
  <w:num w:numId="8">
    <w:abstractNumId w:val="8"/>
  </w:num>
  <w:num w:numId="9">
    <w:abstractNumId w:val="20"/>
  </w:num>
  <w:num w:numId="10">
    <w:abstractNumId w:val="7"/>
  </w:num>
  <w:num w:numId="11">
    <w:abstractNumId w:val="4"/>
  </w:num>
  <w:num w:numId="12">
    <w:abstractNumId w:val="5"/>
  </w:num>
  <w:num w:numId="13">
    <w:abstractNumId w:val="3"/>
  </w:num>
  <w:num w:numId="14">
    <w:abstractNumId w:val="15"/>
  </w:num>
  <w:num w:numId="15">
    <w:abstractNumId w:val="14"/>
  </w:num>
  <w:num w:numId="16">
    <w:abstractNumId w:val="17"/>
  </w:num>
  <w:num w:numId="17">
    <w:abstractNumId w:val="16"/>
  </w:num>
  <w:num w:numId="18">
    <w:abstractNumId w:val="11"/>
  </w:num>
  <w:num w:numId="19">
    <w:abstractNumId w:val="10"/>
  </w:num>
  <w:num w:numId="20">
    <w:abstractNumId w:val="6"/>
  </w:num>
  <w:num w:numId="21">
    <w:abstractNumId w:val="2"/>
  </w:num>
  <w:num w:numId="22">
    <w:abstractNumId w:val="13"/>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E"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PE" w:vendorID="64" w:dllVersion="0" w:nlCheck="1" w:checkStyle="0"/>
  <w:activeWritingStyle w:appName="MSWord" w:lang="es-ES" w:vendorID="64" w:dllVersion="0" w:nlCheck="1" w:checkStyle="0"/>
  <w:activeWritingStyle w:appName="MSWord" w:lang="pt-BR"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n-US" w:vendorID="64" w:dllVersion="0"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C4A"/>
    <w:rsid w:val="00003652"/>
    <w:rsid w:val="00003FF2"/>
    <w:rsid w:val="0000484E"/>
    <w:rsid w:val="00005E39"/>
    <w:rsid w:val="0000657C"/>
    <w:rsid w:val="00007B27"/>
    <w:rsid w:val="00010D6A"/>
    <w:rsid w:val="00013628"/>
    <w:rsid w:val="00015EA9"/>
    <w:rsid w:val="00017279"/>
    <w:rsid w:val="00017D22"/>
    <w:rsid w:val="000205B4"/>
    <w:rsid w:val="00020EBD"/>
    <w:rsid w:val="00022508"/>
    <w:rsid w:val="00023196"/>
    <w:rsid w:val="00024187"/>
    <w:rsid w:val="00024773"/>
    <w:rsid w:val="0002608F"/>
    <w:rsid w:val="0003416C"/>
    <w:rsid w:val="00036168"/>
    <w:rsid w:val="000428E9"/>
    <w:rsid w:val="000440FC"/>
    <w:rsid w:val="00047448"/>
    <w:rsid w:val="000500E6"/>
    <w:rsid w:val="00050269"/>
    <w:rsid w:val="000519CE"/>
    <w:rsid w:val="00053E4E"/>
    <w:rsid w:val="0005551D"/>
    <w:rsid w:val="00056066"/>
    <w:rsid w:val="0006347C"/>
    <w:rsid w:val="000639AC"/>
    <w:rsid w:val="00063CDC"/>
    <w:rsid w:val="000647B0"/>
    <w:rsid w:val="00065835"/>
    <w:rsid w:val="00071AD7"/>
    <w:rsid w:val="000763AF"/>
    <w:rsid w:val="00076E7C"/>
    <w:rsid w:val="0008083C"/>
    <w:rsid w:val="00084FFF"/>
    <w:rsid w:val="00086DEB"/>
    <w:rsid w:val="00090DBC"/>
    <w:rsid w:val="000913DB"/>
    <w:rsid w:val="000927C7"/>
    <w:rsid w:val="000941FE"/>
    <w:rsid w:val="000B0226"/>
    <w:rsid w:val="000C0F6C"/>
    <w:rsid w:val="000C19EC"/>
    <w:rsid w:val="000C3CBF"/>
    <w:rsid w:val="000C4B41"/>
    <w:rsid w:val="000C4D62"/>
    <w:rsid w:val="000C6DB0"/>
    <w:rsid w:val="000D4613"/>
    <w:rsid w:val="000D46C3"/>
    <w:rsid w:val="000D4C4F"/>
    <w:rsid w:val="000D4E5E"/>
    <w:rsid w:val="000D54B4"/>
    <w:rsid w:val="000E0113"/>
    <w:rsid w:val="000E02E0"/>
    <w:rsid w:val="000E0428"/>
    <w:rsid w:val="000E0C87"/>
    <w:rsid w:val="000E35F1"/>
    <w:rsid w:val="000E3C60"/>
    <w:rsid w:val="000E554D"/>
    <w:rsid w:val="000E60E3"/>
    <w:rsid w:val="000E638A"/>
    <w:rsid w:val="000F4170"/>
    <w:rsid w:val="000F4DEF"/>
    <w:rsid w:val="000F6140"/>
    <w:rsid w:val="000F71F2"/>
    <w:rsid w:val="001063A6"/>
    <w:rsid w:val="001073DB"/>
    <w:rsid w:val="00113D40"/>
    <w:rsid w:val="0011461A"/>
    <w:rsid w:val="00117312"/>
    <w:rsid w:val="001179C6"/>
    <w:rsid w:val="00122A47"/>
    <w:rsid w:val="00122ABD"/>
    <w:rsid w:val="0012761C"/>
    <w:rsid w:val="001303E9"/>
    <w:rsid w:val="0013297B"/>
    <w:rsid w:val="00133603"/>
    <w:rsid w:val="001346BC"/>
    <w:rsid w:val="00134915"/>
    <w:rsid w:val="00134E14"/>
    <w:rsid w:val="00135CA6"/>
    <w:rsid w:val="001372AA"/>
    <w:rsid w:val="00137DE8"/>
    <w:rsid w:val="00141461"/>
    <w:rsid w:val="00141759"/>
    <w:rsid w:val="00141D7E"/>
    <w:rsid w:val="00142065"/>
    <w:rsid w:val="001437F8"/>
    <w:rsid w:val="00147414"/>
    <w:rsid w:val="00147492"/>
    <w:rsid w:val="00150EF2"/>
    <w:rsid w:val="0015107B"/>
    <w:rsid w:val="00151266"/>
    <w:rsid w:val="001535F8"/>
    <w:rsid w:val="00153D71"/>
    <w:rsid w:val="00155FA8"/>
    <w:rsid w:val="00156022"/>
    <w:rsid w:val="00157DC3"/>
    <w:rsid w:val="001603A7"/>
    <w:rsid w:val="0016162B"/>
    <w:rsid w:val="001632D8"/>
    <w:rsid w:val="0016391A"/>
    <w:rsid w:val="00164BB0"/>
    <w:rsid w:val="0016587A"/>
    <w:rsid w:val="00167510"/>
    <w:rsid w:val="001709D7"/>
    <w:rsid w:val="00174F4A"/>
    <w:rsid w:val="00176235"/>
    <w:rsid w:val="00176405"/>
    <w:rsid w:val="00176E9B"/>
    <w:rsid w:val="0018265E"/>
    <w:rsid w:val="00182FDB"/>
    <w:rsid w:val="00183959"/>
    <w:rsid w:val="00184A09"/>
    <w:rsid w:val="00186F9F"/>
    <w:rsid w:val="001931FE"/>
    <w:rsid w:val="001A0162"/>
    <w:rsid w:val="001A01D7"/>
    <w:rsid w:val="001A1A07"/>
    <w:rsid w:val="001A1F6E"/>
    <w:rsid w:val="001A1FC8"/>
    <w:rsid w:val="001A223C"/>
    <w:rsid w:val="001A3203"/>
    <w:rsid w:val="001A6B34"/>
    <w:rsid w:val="001B1118"/>
    <w:rsid w:val="001B34EF"/>
    <w:rsid w:val="001B5911"/>
    <w:rsid w:val="001C1C7C"/>
    <w:rsid w:val="001C1F0B"/>
    <w:rsid w:val="001C3B76"/>
    <w:rsid w:val="001D0BA9"/>
    <w:rsid w:val="001D21C5"/>
    <w:rsid w:val="001D3A97"/>
    <w:rsid w:val="001D400C"/>
    <w:rsid w:val="001E18FD"/>
    <w:rsid w:val="001E4F53"/>
    <w:rsid w:val="001F0C78"/>
    <w:rsid w:val="001F2751"/>
    <w:rsid w:val="001F77BA"/>
    <w:rsid w:val="00204911"/>
    <w:rsid w:val="00205902"/>
    <w:rsid w:val="00210D53"/>
    <w:rsid w:val="00213E54"/>
    <w:rsid w:val="0021768A"/>
    <w:rsid w:val="002211C0"/>
    <w:rsid w:val="00221617"/>
    <w:rsid w:val="00224036"/>
    <w:rsid w:val="00226358"/>
    <w:rsid w:val="00227419"/>
    <w:rsid w:val="00231A15"/>
    <w:rsid w:val="00233000"/>
    <w:rsid w:val="002333B5"/>
    <w:rsid w:val="00234396"/>
    <w:rsid w:val="002369DC"/>
    <w:rsid w:val="00236E22"/>
    <w:rsid w:val="002424C4"/>
    <w:rsid w:val="00244116"/>
    <w:rsid w:val="002441F8"/>
    <w:rsid w:val="00247676"/>
    <w:rsid w:val="00250899"/>
    <w:rsid w:val="002557F7"/>
    <w:rsid w:val="0026059A"/>
    <w:rsid w:val="002612E1"/>
    <w:rsid w:val="0026692B"/>
    <w:rsid w:val="002715A2"/>
    <w:rsid w:val="002721DD"/>
    <w:rsid w:val="00272605"/>
    <w:rsid w:val="00272C47"/>
    <w:rsid w:val="002742CF"/>
    <w:rsid w:val="00275B2B"/>
    <w:rsid w:val="00277C37"/>
    <w:rsid w:val="00277D6F"/>
    <w:rsid w:val="00280F96"/>
    <w:rsid w:val="00281650"/>
    <w:rsid w:val="00282055"/>
    <w:rsid w:val="00284503"/>
    <w:rsid w:val="00284E07"/>
    <w:rsid w:val="00291A1D"/>
    <w:rsid w:val="00291B3A"/>
    <w:rsid w:val="00292BC0"/>
    <w:rsid w:val="00294C7F"/>
    <w:rsid w:val="002A0A6F"/>
    <w:rsid w:val="002A1D36"/>
    <w:rsid w:val="002A4FE6"/>
    <w:rsid w:val="002A6465"/>
    <w:rsid w:val="002B3A59"/>
    <w:rsid w:val="002C1F0A"/>
    <w:rsid w:val="002C2498"/>
    <w:rsid w:val="002C33E0"/>
    <w:rsid w:val="002C3580"/>
    <w:rsid w:val="002C62A9"/>
    <w:rsid w:val="002D310A"/>
    <w:rsid w:val="002D3759"/>
    <w:rsid w:val="002D56BE"/>
    <w:rsid w:val="002D7A17"/>
    <w:rsid w:val="002E1AE2"/>
    <w:rsid w:val="002E282D"/>
    <w:rsid w:val="002E468D"/>
    <w:rsid w:val="002F1093"/>
    <w:rsid w:val="002F55C6"/>
    <w:rsid w:val="002F59EC"/>
    <w:rsid w:val="002F7C86"/>
    <w:rsid w:val="0030332A"/>
    <w:rsid w:val="00306D22"/>
    <w:rsid w:val="0030718C"/>
    <w:rsid w:val="00307CBB"/>
    <w:rsid w:val="0031017E"/>
    <w:rsid w:val="003106EE"/>
    <w:rsid w:val="00314C04"/>
    <w:rsid w:val="00321368"/>
    <w:rsid w:val="00327D67"/>
    <w:rsid w:val="00327FAA"/>
    <w:rsid w:val="00330E3C"/>
    <w:rsid w:val="00330ED2"/>
    <w:rsid w:val="00332033"/>
    <w:rsid w:val="0033344D"/>
    <w:rsid w:val="0033361E"/>
    <w:rsid w:val="00333A73"/>
    <w:rsid w:val="00334C2F"/>
    <w:rsid w:val="003410A7"/>
    <w:rsid w:val="003448EB"/>
    <w:rsid w:val="00344E15"/>
    <w:rsid w:val="00345845"/>
    <w:rsid w:val="00351A0D"/>
    <w:rsid w:val="003556A5"/>
    <w:rsid w:val="003556F0"/>
    <w:rsid w:val="0036070F"/>
    <w:rsid w:val="00366DD6"/>
    <w:rsid w:val="003718FB"/>
    <w:rsid w:val="003722DA"/>
    <w:rsid w:val="0037406F"/>
    <w:rsid w:val="00374829"/>
    <w:rsid w:val="00375B0F"/>
    <w:rsid w:val="00377209"/>
    <w:rsid w:val="00381A39"/>
    <w:rsid w:val="003820DB"/>
    <w:rsid w:val="0038362C"/>
    <w:rsid w:val="003922BC"/>
    <w:rsid w:val="00394B9B"/>
    <w:rsid w:val="003973C8"/>
    <w:rsid w:val="003A0C84"/>
    <w:rsid w:val="003A15F5"/>
    <w:rsid w:val="003A5E97"/>
    <w:rsid w:val="003B2DB3"/>
    <w:rsid w:val="003B4540"/>
    <w:rsid w:val="003B59F8"/>
    <w:rsid w:val="003C0EEB"/>
    <w:rsid w:val="003C2603"/>
    <w:rsid w:val="003C2F4A"/>
    <w:rsid w:val="003C3F37"/>
    <w:rsid w:val="003C5952"/>
    <w:rsid w:val="003C751A"/>
    <w:rsid w:val="003D01BE"/>
    <w:rsid w:val="003D4BBC"/>
    <w:rsid w:val="003D5FB8"/>
    <w:rsid w:val="003D765B"/>
    <w:rsid w:val="003E0DD0"/>
    <w:rsid w:val="003E1654"/>
    <w:rsid w:val="003E3851"/>
    <w:rsid w:val="003E41B3"/>
    <w:rsid w:val="003E5A86"/>
    <w:rsid w:val="003E5FFE"/>
    <w:rsid w:val="003E779D"/>
    <w:rsid w:val="003E78B5"/>
    <w:rsid w:val="003E7910"/>
    <w:rsid w:val="003F125A"/>
    <w:rsid w:val="003F1386"/>
    <w:rsid w:val="003F1B54"/>
    <w:rsid w:val="003F6A2E"/>
    <w:rsid w:val="003F75A1"/>
    <w:rsid w:val="00400B2A"/>
    <w:rsid w:val="00401A5E"/>
    <w:rsid w:val="0040344C"/>
    <w:rsid w:val="00407AB4"/>
    <w:rsid w:val="004111D0"/>
    <w:rsid w:val="00412B96"/>
    <w:rsid w:val="00415293"/>
    <w:rsid w:val="00417ABB"/>
    <w:rsid w:val="004204E2"/>
    <w:rsid w:val="004205E2"/>
    <w:rsid w:val="0042600D"/>
    <w:rsid w:val="004325DE"/>
    <w:rsid w:val="00433483"/>
    <w:rsid w:val="0043454A"/>
    <w:rsid w:val="00434C4A"/>
    <w:rsid w:val="004352AA"/>
    <w:rsid w:val="00441338"/>
    <w:rsid w:val="00441446"/>
    <w:rsid w:val="00446C50"/>
    <w:rsid w:val="00450019"/>
    <w:rsid w:val="00454837"/>
    <w:rsid w:val="004552B0"/>
    <w:rsid w:val="00455B40"/>
    <w:rsid w:val="004607B7"/>
    <w:rsid w:val="00462A19"/>
    <w:rsid w:val="00470677"/>
    <w:rsid w:val="00477E06"/>
    <w:rsid w:val="004836A0"/>
    <w:rsid w:val="004901EA"/>
    <w:rsid w:val="00496F9C"/>
    <w:rsid w:val="004A0E0C"/>
    <w:rsid w:val="004A168B"/>
    <w:rsid w:val="004A190E"/>
    <w:rsid w:val="004A1BA5"/>
    <w:rsid w:val="004A5086"/>
    <w:rsid w:val="004B0036"/>
    <w:rsid w:val="004B0C12"/>
    <w:rsid w:val="004B25C3"/>
    <w:rsid w:val="004B3564"/>
    <w:rsid w:val="004B4B76"/>
    <w:rsid w:val="004B5C93"/>
    <w:rsid w:val="004B670D"/>
    <w:rsid w:val="004B674F"/>
    <w:rsid w:val="004C1075"/>
    <w:rsid w:val="004C13EF"/>
    <w:rsid w:val="004C1CCB"/>
    <w:rsid w:val="004C221F"/>
    <w:rsid w:val="004C62FB"/>
    <w:rsid w:val="004C6EAF"/>
    <w:rsid w:val="004C745A"/>
    <w:rsid w:val="004D1731"/>
    <w:rsid w:val="004D296A"/>
    <w:rsid w:val="004D516A"/>
    <w:rsid w:val="004D7ECD"/>
    <w:rsid w:val="004E1CCA"/>
    <w:rsid w:val="004E6762"/>
    <w:rsid w:val="004E7BB8"/>
    <w:rsid w:val="004E7EEE"/>
    <w:rsid w:val="004F01E2"/>
    <w:rsid w:val="004F35B1"/>
    <w:rsid w:val="004F5412"/>
    <w:rsid w:val="004F67E5"/>
    <w:rsid w:val="004F7683"/>
    <w:rsid w:val="00502051"/>
    <w:rsid w:val="005029C3"/>
    <w:rsid w:val="00504A66"/>
    <w:rsid w:val="00505E20"/>
    <w:rsid w:val="00510D84"/>
    <w:rsid w:val="00511791"/>
    <w:rsid w:val="0051223E"/>
    <w:rsid w:val="00514758"/>
    <w:rsid w:val="00522C68"/>
    <w:rsid w:val="00523667"/>
    <w:rsid w:val="0052517B"/>
    <w:rsid w:val="0052594C"/>
    <w:rsid w:val="005262A6"/>
    <w:rsid w:val="00536738"/>
    <w:rsid w:val="005400C5"/>
    <w:rsid w:val="005433A5"/>
    <w:rsid w:val="005442AE"/>
    <w:rsid w:val="005451A5"/>
    <w:rsid w:val="00546F6E"/>
    <w:rsid w:val="005473E9"/>
    <w:rsid w:val="005523A3"/>
    <w:rsid w:val="00553C90"/>
    <w:rsid w:val="005547D7"/>
    <w:rsid w:val="00555AD3"/>
    <w:rsid w:val="005629BA"/>
    <w:rsid w:val="00564A98"/>
    <w:rsid w:val="00564C9C"/>
    <w:rsid w:val="00566299"/>
    <w:rsid w:val="00570ACA"/>
    <w:rsid w:val="0058160F"/>
    <w:rsid w:val="0059113E"/>
    <w:rsid w:val="005973B7"/>
    <w:rsid w:val="00597B2E"/>
    <w:rsid w:val="005A1C78"/>
    <w:rsid w:val="005A294B"/>
    <w:rsid w:val="005A2BC7"/>
    <w:rsid w:val="005A6457"/>
    <w:rsid w:val="005A64B0"/>
    <w:rsid w:val="005B0662"/>
    <w:rsid w:val="005B2E60"/>
    <w:rsid w:val="005B39A1"/>
    <w:rsid w:val="005B43E5"/>
    <w:rsid w:val="005B5EDA"/>
    <w:rsid w:val="005C2321"/>
    <w:rsid w:val="005C30C8"/>
    <w:rsid w:val="005C5D6D"/>
    <w:rsid w:val="005C6B0B"/>
    <w:rsid w:val="005D0037"/>
    <w:rsid w:val="005D0C83"/>
    <w:rsid w:val="005D159F"/>
    <w:rsid w:val="005D5D44"/>
    <w:rsid w:val="005D6A4D"/>
    <w:rsid w:val="005E5359"/>
    <w:rsid w:val="005F11E9"/>
    <w:rsid w:val="005F1944"/>
    <w:rsid w:val="005F491C"/>
    <w:rsid w:val="005F4D6A"/>
    <w:rsid w:val="005F4E0C"/>
    <w:rsid w:val="005F56E6"/>
    <w:rsid w:val="005F6F5F"/>
    <w:rsid w:val="005F763B"/>
    <w:rsid w:val="00601020"/>
    <w:rsid w:val="00601F44"/>
    <w:rsid w:val="00603D22"/>
    <w:rsid w:val="00605ECD"/>
    <w:rsid w:val="0060756D"/>
    <w:rsid w:val="00611B6F"/>
    <w:rsid w:val="00611C43"/>
    <w:rsid w:val="00615085"/>
    <w:rsid w:val="00617B9B"/>
    <w:rsid w:val="0062023B"/>
    <w:rsid w:val="00622334"/>
    <w:rsid w:val="00624479"/>
    <w:rsid w:val="0062592C"/>
    <w:rsid w:val="006308FF"/>
    <w:rsid w:val="00630E76"/>
    <w:rsid w:val="00631901"/>
    <w:rsid w:val="00632DF8"/>
    <w:rsid w:val="006331A6"/>
    <w:rsid w:val="00635B1A"/>
    <w:rsid w:val="00636926"/>
    <w:rsid w:val="00637082"/>
    <w:rsid w:val="00637FE9"/>
    <w:rsid w:val="006405CC"/>
    <w:rsid w:val="00643559"/>
    <w:rsid w:val="006466FD"/>
    <w:rsid w:val="0065066F"/>
    <w:rsid w:val="00650879"/>
    <w:rsid w:val="0065176C"/>
    <w:rsid w:val="00652740"/>
    <w:rsid w:val="00653E57"/>
    <w:rsid w:val="00656298"/>
    <w:rsid w:val="00667633"/>
    <w:rsid w:val="0066774E"/>
    <w:rsid w:val="00673165"/>
    <w:rsid w:val="006756F5"/>
    <w:rsid w:val="00681046"/>
    <w:rsid w:val="00681B96"/>
    <w:rsid w:val="006909C0"/>
    <w:rsid w:val="00691999"/>
    <w:rsid w:val="00695244"/>
    <w:rsid w:val="0069687A"/>
    <w:rsid w:val="006A17DD"/>
    <w:rsid w:val="006A561E"/>
    <w:rsid w:val="006A56A1"/>
    <w:rsid w:val="006A6C79"/>
    <w:rsid w:val="006A748A"/>
    <w:rsid w:val="006A784E"/>
    <w:rsid w:val="006B15BA"/>
    <w:rsid w:val="006B4398"/>
    <w:rsid w:val="006B5709"/>
    <w:rsid w:val="006B6006"/>
    <w:rsid w:val="006C081C"/>
    <w:rsid w:val="006C1BD3"/>
    <w:rsid w:val="006C2B5D"/>
    <w:rsid w:val="006C3A22"/>
    <w:rsid w:val="006C5D5F"/>
    <w:rsid w:val="006C7752"/>
    <w:rsid w:val="006D01BD"/>
    <w:rsid w:val="006D3752"/>
    <w:rsid w:val="006D3E84"/>
    <w:rsid w:val="006D49E4"/>
    <w:rsid w:val="006D4EBB"/>
    <w:rsid w:val="006D671A"/>
    <w:rsid w:val="006E29F6"/>
    <w:rsid w:val="006E5779"/>
    <w:rsid w:val="006E684E"/>
    <w:rsid w:val="006F1935"/>
    <w:rsid w:val="006F1A26"/>
    <w:rsid w:val="006F1FEA"/>
    <w:rsid w:val="006F2F7A"/>
    <w:rsid w:val="006F432F"/>
    <w:rsid w:val="00700DAA"/>
    <w:rsid w:val="00705320"/>
    <w:rsid w:val="00705A8F"/>
    <w:rsid w:val="00706A32"/>
    <w:rsid w:val="00706B80"/>
    <w:rsid w:val="0071095D"/>
    <w:rsid w:val="007119EF"/>
    <w:rsid w:val="007134C0"/>
    <w:rsid w:val="00715570"/>
    <w:rsid w:val="00723A18"/>
    <w:rsid w:val="007242BC"/>
    <w:rsid w:val="00733D30"/>
    <w:rsid w:val="007347B0"/>
    <w:rsid w:val="00737921"/>
    <w:rsid w:val="00743DCC"/>
    <w:rsid w:val="00745BAE"/>
    <w:rsid w:val="00746FA5"/>
    <w:rsid w:val="00747CE5"/>
    <w:rsid w:val="00747D2C"/>
    <w:rsid w:val="007508D0"/>
    <w:rsid w:val="00751592"/>
    <w:rsid w:val="007526CE"/>
    <w:rsid w:val="007526EB"/>
    <w:rsid w:val="00752979"/>
    <w:rsid w:val="00753B78"/>
    <w:rsid w:val="00753F3D"/>
    <w:rsid w:val="007540D2"/>
    <w:rsid w:val="00754278"/>
    <w:rsid w:val="0075486C"/>
    <w:rsid w:val="00756878"/>
    <w:rsid w:val="007570CB"/>
    <w:rsid w:val="00760589"/>
    <w:rsid w:val="00760C48"/>
    <w:rsid w:val="007632FC"/>
    <w:rsid w:val="00764352"/>
    <w:rsid w:val="00766818"/>
    <w:rsid w:val="00766B44"/>
    <w:rsid w:val="00767848"/>
    <w:rsid w:val="00771707"/>
    <w:rsid w:val="0078055C"/>
    <w:rsid w:val="0078327F"/>
    <w:rsid w:val="00784207"/>
    <w:rsid w:val="00784E5E"/>
    <w:rsid w:val="00790B23"/>
    <w:rsid w:val="00791CD8"/>
    <w:rsid w:val="00791EAB"/>
    <w:rsid w:val="007A17C5"/>
    <w:rsid w:val="007A4F66"/>
    <w:rsid w:val="007A7DA4"/>
    <w:rsid w:val="007B0569"/>
    <w:rsid w:val="007B0CDB"/>
    <w:rsid w:val="007B170B"/>
    <w:rsid w:val="007B1854"/>
    <w:rsid w:val="007B2284"/>
    <w:rsid w:val="007B3AFD"/>
    <w:rsid w:val="007C1FD8"/>
    <w:rsid w:val="007C4DA6"/>
    <w:rsid w:val="007C5B30"/>
    <w:rsid w:val="007C7E2B"/>
    <w:rsid w:val="007D1868"/>
    <w:rsid w:val="007D3C89"/>
    <w:rsid w:val="007D4D04"/>
    <w:rsid w:val="007D4DB3"/>
    <w:rsid w:val="007D5D23"/>
    <w:rsid w:val="007D6CA9"/>
    <w:rsid w:val="007E0220"/>
    <w:rsid w:val="007E1B62"/>
    <w:rsid w:val="007E2E2B"/>
    <w:rsid w:val="007E2FA7"/>
    <w:rsid w:val="007E475A"/>
    <w:rsid w:val="007E69C0"/>
    <w:rsid w:val="007F0A5D"/>
    <w:rsid w:val="007F6415"/>
    <w:rsid w:val="007F6E69"/>
    <w:rsid w:val="007F7260"/>
    <w:rsid w:val="00801AB7"/>
    <w:rsid w:val="00803157"/>
    <w:rsid w:val="00806B96"/>
    <w:rsid w:val="00807004"/>
    <w:rsid w:val="008140FC"/>
    <w:rsid w:val="00814D04"/>
    <w:rsid w:val="00814F7F"/>
    <w:rsid w:val="00815E93"/>
    <w:rsid w:val="008165FF"/>
    <w:rsid w:val="00822ECF"/>
    <w:rsid w:val="00825E47"/>
    <w:rsid w:val="0082739F"/>
    <w:rsid w:val="00827F13"/>
    <w:rsid w:val="008301CB"/>
    <w:rsid w:val="00832BAB"/>
    <w:rsid w:val="00834EE6"/>
    <w:rsid w:val="00835637"/>
    <w:rsid w:val="008412A6"/>
    <w:rsid w:val="008414E4"/>
    <w:rsid w:val="00841DFC"/>
    <w:rsid w:val="00841F8F"/>
    <w:rsid w:val="0084305D"/>
    <w:rsid w:val="00844252"/>
    <w:rsid w:val="00845392"/>
    <w:rsid w:val="00846A12"/>
    <w:rsid w:val="008474D4"/>
    <w:rsid w:val="0085058B"/>
    <w:rsid w:val="008537BC"/>
    <w:rsid w:val="0085612C"/>
    <w:rsid w:val="0085782E"/>
    <w:rsid w:val="00857CF3"/>
    <w:rsid w:val="00861984"/>
    <w:rsid w:val="00861D2F"/>
    <w:rsid w:val="00863C3B"/>
    <w:rsid w:val="00872F9B"/>
    <w:rsid w:val="00890BD1"/>
    <w:rsid w:val="00891419"/>
    <w:rsid w:val="008943EF"/>
    <w:rsid w:val="008A1450"/>
    <w:rsid w:val="008A4E40"/>
    <w:rsid w:val="008A7BDF"/>
    <w:rsid w:val="008A7F79"/>
    <w:rsid w:val="008B022E"/>
    <w:rsid w:val="008B185B"/>
    <w:rsid w:val="008B30CA"/>
    <w:rsid w:val="008B3169"/>
    <w:rsid w:val="008B35A8"/>
    <w:rsid w:val="008B3814"/>
    <w:rsid w:val="008C12BA"/>
    <w:rsid w:val="008C213B"/>
    <w:rsid w:val="008C2958"/>
    <w:rsid w:val="008C5239"/>
    <w:rsid w:val="008C5EE3"/>
    <w:rsid w:val="008C6272"/>
    <w:rsid w:val="008C66C7"/>
    <w:rsid w:val="008C712C"/>
    <w:rsid w:val="008D0661"/>
    <w:rsid w:val="008D0FC2"/>
    <w:rsid w:val="008D4442"/>
    <w:rsid w:val="008D5AE2"/>
    <w:rsid w:val="008D5AFA"/>
    <w:rsid w:val="008E0721"/>
    <w:rsid w:val="008E1163"/>
    <w:rsid w:val="008E3FEF"/>
    <w:rsid w:val="008E7298"/>
    <w:rsid w:val="008F097C"/>
    <w:rsid w:val="008F4087"/>
    <w:rsid w:val="008F46AE"/>
    <w:rsid w:val="008F481F"/>
    <w:rsid w:val="008F6451"/>
    <w:rsid w:val="008F7F47"/>
    <w:rsid w:val="00901A51"/>
    <w:rsid w:val="009024B7"/>
    <w:rsid w:val="009055A2"/>
    <w:rsid w:val="00914207"/>
    <w:rsid w:val="00925817"/>
    <w:rsid w:val="00925D50"/>
    <w:rsid w:val="00926C3C"/>
    <w:rsid w:val="00930409"/>
    <w:rsid w:val="009306B2"/>
    <w:rsid w:val="009309FD"/>
    <w:rsid w:val="0093216D"/>
    <w:rsid w:val="00934172"/>
    <w:rsid w:val="00935DF5"/>
    <w:rsid w:val="00936546"/>
    <w:rsid w:val="0094488C"/>
    <w:rsid w:val="009459DB"/>
    <w:rsid w:val="00947109"/>
    <w:rsid w:val="0094711A"/>
    <w:rsid w:val="00947691"/>
    <w:rsid w:val="00954BE3"/>
    <w:rsid w:val="0095750B"/>
    <w:rsid w:val="00957F3F"/>
    <w:rsid w:val="009614EA"/>
    <w:rsid w:val="009638B7"/>
    <w:rsid w:val="009666CC"/>
    <w:rsid w:val="00967BC0"/>
    <w:rsid w:val="00970802"/>
    <w:rsid w:val="00971330"/>
    <w:rsid w:val="009754A7"/>
    <w:rsid w:val="009760CE"/>
    <w:rsid w:val="009806B3"/>
    <w:rsid w:val="0098141D"/>
    <w:rsid w:val="0098233F"/>
    <w:rsid w:val="00984595"/>
    <w:rsid w:val="00984C83"/>
    <w:rsid w:val="00986E16"/>
    <w:rsid w:val="009878ED"/>
    <w:rsid w:val="009908FB"/>
    <w:rsid w:val="009937EF"/>
    <w:rsid w:val="00996DF1"/>
    <w:rsid w:val="009A4285"/>
    <w:rsid w:val="009B232B"/>
    <w:rsid w:val="009B23D4"/>
    <w:rsid w:val="009B33ED"/>
    <w:rsid w:val="009B6D03"/>
    <w:rsid w:val="009B7C3D"/>
    <w:rsid w:val="009C0129"/>
    <w:rsid w:val="009C26E8"/>
    <w:rsid w:val="009C4055"/>
    <w:rsid w:val="009C6B0C"/>
    <w:rsid w:val="009E04CA"/>
    <w:rsid w:val="009E1E40"/>
    <w:rsid w:val="009E2D20"/>
    <w:rsid w:val="009E401E"/>
    <w:rsid w:val="009E68CC"/>
    <w:rsid w:val="009F040C"/>
    <w:rsid w:val="009F0695"/>
    <w:rsid w:val="009F1F31"/>
    <w:rsid w:val="00A01400"/>
    <w:rsid w:val="00A039C9"/>
    <w:rsid w:val="00A0420B"/>
    <w:rsid w:val="00A057DF"/>
    <w:rsid w:val="00A06587"/>
    <w:rsid w:val="00A07648"/>
    <w:rsid w:val="00A0776A"/>
    <w:rsid w:val="00A111BB"/>
    <w:rsid w:val="00A12E44"/>
    <w:rsid w:val="00A1594D"/>
    <w:rsid w:val="00A23168"/>
    <w:rsid w:val="00A3039E"/>
    <w:rsid w:val="00A32198"/>
    <w:rsid w:val="00A3448B"/>
    <w:rsid w:val="00A34A2E"/>
    <w:rsid w:val="00A34D01"/>
    <w:rsid w:val="00A35743"/>
    <w:rsid w:val="00A360EB"/>
    <w:rsid w:val="00A37273"/>
    <w:rsid w:val="00A40F28"/>
    <w:rsid w:val="00A43BE8"/>
    <w:rsid w:val="00A44A4D"/>
    <w:rsid w:val="00A44FDD"/>
    <w:rsid w:val="00A45379"/>
    <w:rsid w:val="00A454F6"/>
    <w:rsid w:val="00A543D7"/>
    <w:rsid w:val="00A566ED"/>
    <w:rsid w:val="00A57513"/>
    <w:rsid w:val="00A57A9B"/>
    <w:rsid w:val="00A608A7"/>
    <w:rsid w:val="00A625A3"/>
    <w:rsid w:val="00A62B1E"/>
    <w:rsid w:val="00A63526"/>
    <w:rsid w:val="00A64660"/>
    <w:rsid w:val="00A64917"/>
    <w:rsid w:val="00A6605C"/>
    <w:rsid w:val="00A662B3"/>
    <w:rsid w:val="00A67B95"/>
    <w:rsid w:val="00A67EF7"/>
    <w:rsid w:val="00A71329"/>
    <w:rsid w:val="00A721D4"/>
    <w:rsid w:val="00A72344"/>
    <w:rsid w:val="00A730C4"/>
    <w:rsid w:val="00A7388D"/>
    <w:rsid w:val="00A74E01"/>
    <w:rsid w:val="00A8627D"/>
    <w:rsid w:val="00A904D1"/>
    <w:rsid w:val="00A91931"/>
    <w:rsid w:val="00A92A66"/>
    <w:rsid w:val="00A9357D"/>
    <w:rsid w:val="00A93685"/>
    <w:rsid w:val="00A93EB7"/>
    <w:rsid w:val="00A94CE8"/>
    <w:rsid w:val="00AA06EC"/>
    <w:rsid w:val="00AA3F9B"/>
    <w:rsid w:val="00AB1A26"/>
    <w:rsid w:val="00AB1F99"/>
    <w:rsid w:val="00AB3BC5"/>
    <w:rsid w:val="00AB54FB"/>
    <w:rsid w:val="00AB7628"/>
    <w:rsid w:val="00AC12F7"/>
    <w:rsid w:val="00AC3CD9"/>
    <w:rsid w:val="00AC6F81"/>
    <w:rsid w:val="00AD2F00"/>
    <w:rsid w:val="00AD48D4"/>
    <w:rsid w:val="00AD53C6"/>
    <w:rsid w:val="00AD682C"/>
    <w:rsid w:val="00AE211F"/>
    <w:rsid w:val="00AE4050"/>
    <w:rsid w:val="00AE5DB5"/>
    <w:rsid w:val="00AE687D"/>
    <w:rsid w:val="00AE792B"/>
    <w:rsid w:val="00AF046B"/>
    <w:rsid w:val="00AF04FD"/>
    <w:rsid w:val="00AF49B9"/>
    <w:rsid w:val="00AF7809"/>
    <w:rsid w:val="00AF7C06"/>
    <w:rsid w:val="00B00BED"/>
    <w:rsid w:val="00B036DE"/>
    <w:rsid w:val="00B0440B"/>
    <w:rsid w:val="00B059DE"/>
    <w:rsid w:val="00B05C29"/>
    <w:rsid w:val="00B0627B"/>
    <w:rsid w:val="00B07F2E"/>
    <w:rsid w:val="00B10E98"/>
    <w:rsid w:val="00B12C51"/>
    <w:rsid w:val="00B12F82"/>
    <w:rsid w:val="00B13319"/>
    <w:rsid w:val="00B138E4"/>
    <w:rsid w:val="00B17739"/>
    <w:rsid w:val="00B20B0A"/>
    <w:rsid w:val="00B21AC7"/>
    <w:rsid w:val="00B22F66"/>
    <w:rsid w:val="00B23C7C"/>
    <w:rsid w:val="00B2451B"/>
    <w:rsid w:val="00B250BA"/>
    <w:rsid w:val="00B26FF5"/>
    <w:rsid w:val="00B3117A"/>
    <w:rsid w:val="00B32721"/>
    <w:rsid w:val="00B3723A"/>
    <w:rsid w:val="00B37ABB"/>
    <w:rsid w:val="00B40D7C"/>
    <w:rsid w:val="00B4283B"/>
    <w:rsid w:val="00B42D0C"/>
    <w:rsid w:val="00B43E6D"/>
    <w:rsid w:val="00B50AED"/>
    <w:rsid w:val="00B56049"/>
    <w:rsid w:val="00B570D1"/>
    <w:rsid w:val="00B6221C"/>
    <w:rsid w:val="00B62D8E"/>
    <w:rsid w:val="00B6452B"/>
    <w:rsid w:val="00B64B82"/>
    <w:rsid w:val="00B650D5"/>
    <w:rsid w:val="00B66FBD"/>
    <w:rsid w:val="00B742E0"/>
    <w:rsid w:val="00B76D6A"/>
    <w:rsid w:val="00B772C7"/>
    <w:rsid w:val="00B80E2F"/>
    <w:rsid w:val="00B81DE8"/>
    <w:rsid w:val="00B821F3"/>
    <w:rsid w:val="00B82369"/>
    <w:rsid w:val="00B8292B"/>
    <w:rsid w:val="00B84209"/>
    <w:rsid w:val="00B91919"/>
    <w:rsid w:val="00B936E0"/>
    <w:rsid w:val="00BA0504"/>
    <w:rsid w:val="00BA0FEF"/>
    <w:rsid w:val="00BA3BCD"/>
    <w:rsid w:val="00BA6354"/>
    <w:rsid w:val="00BA7F72"/>
    <w:rsid w:val="00BB1B93"/>
    <w:rsid w:val="00BB2BFD"/>
    <w:rsid w:val="00BB46DC"/>
    <w:rsid w:val="00BC2860"/>
    <w:rsid w:val="00BC3C25"/>
    <w:rsid w:val="00BC628C"/>
    <w:rsid w:val="00BC7D50"/>
    <w:rsid w:val="00BD206F"/>
    <w:rsid w:val="00BD2A76"/>
    <w:rsid w:val="00BD31EF"/>
    <w:rsid w:val="00BD4290"/>
    <w:rsid w:val="00BD5472"/>
    <w:rsid w:val="00BD76AE"/>
    <w:rsid w:val="00BE00BE"/>
    <w:rsid w:val="00BF17A5"/>
    <w:rsid w:val="00BF19CE"/>
    <w:rsid w:val="00BF37FE"/>
    <w:rsid w:val="00BF5D39"/>
    <w:rsid w:val="00BF791B"/>
    <w:rsid w:val="00C012FF"/>
    <w:rsid w:val="00C01CB9"/>
    <w:rsid w:val="00C04D4A"/>
    <w:rsid w:val="00C053CA"/>
    <w:rsid w:val="00C06E66"/>
    <w:rsid w:val="00C10582"/>
    <w:rsid w:val="00C12730"/>
    <w:rsid w:val="00C13467"/>
    <w:rsid w:val="00C14697"/>
    <w:rsid w:val="00C14CE2"/>
    <w:rsid w:val="00C208A3"/>
    <w:rsid w:val="00C25B5C"/>
    <w:rsid w:val="00C26FB8"/>
    <w:rsid w:val="00C32F47"/>
    <w:rsid w:val="00C355BD"/>
    <w:rsid w:val="00C37262"/>
    <w:rsid w:val="00C378E9"/>
    <w:rsid w:val="00C44567"/>
    <w:rsid w:val="00C46509"/>
    <w:rsid w:val="00C478C7"/>
    <w:rsid w:val="00C52EDB"/>
    <w:rsid w:val="00C541CC"/>
    <w:rsid w:val="00C62247"/>
    <w:rsid w:val="00C6385A"/>
    <w:rsid w:val="00C639BA"/>
    <w:rsid w:val="00C646BD"/>
    <w:rsid w:val="00C64BB4"/>
    <w:rsid w:val="00C70CDC"/>
    <w:rsid w:val="00C74ADB"/>
    <w:rsid w:val="00C752AE"/>
    <w:rsid w:val="00C81B76"/>
    <w:rsid w:val="00C81E19"/>
    <w:rsid w:val="00C839A1"/>
    <w:rsid w:val="00C83F42"/>
    <w:rsid w:val="00C84D84"/>
    <w:rsid w:val="00C874B7"/>
    <w:rsid w:val="00C9281F"/>
    <w:rsid w:val="00C93549"/>
    <w:rsid w:val="00C9510C"/>
    <w:rsid w:val="00C96CA8"/>
    <w:rsid w:val="00C96D62"/>
    <w:rsid w:val="00CA25FF"/>
    <w:rsid w:val="00CA3278"/>
    <w:rsid w:val="00CA60CF"/>
    <w:rsid w:val="00CB1681"/>
    <w:rsid w:val="00CB1DCE"/>
    <w:rsid w:val="00CB22FE"/>
    <w:rsid w:val="00CB4D46"/>
    <w:rsid w:val="00CB579C"/>
    <w:rsid w:val="00CB5E0F"/>
    <w:rsid w:val="00CB741D"/>
    <w:rsid w:val="00CC30E2"/>
    <w:rsid w:val="00CC49AC"/>
    <w:rsid w:val="00CC4C68"/>
    <w:rsid w:val="00CC5F3E"/>
    <w:rsid w:val="00CD4D98"/>
    <w:rsid w:val="00CD7CCB"/>
    <w:rsid w:val="00CE12C1"/>
    <w:rsid w:val="00CE30A0"/>
    <w:rsid w:val="00CE463B"/>
    <w:rsid w:val="00CE6590"/>
    <w:rsid w:val="00CE6837"/>
    <w:rsid w:val="00CE7D90"/>
    <w:rsid w:val="00CF43F8"/>
    <w:rsid w:val="00D00E6B"/>
    <w:rsid w:val="00D011E1"/>
    <w:rsid w:val="00D02BAF"/>
    <w:rsid w:val="00D0751D"/>
    <w:rsid w:val="00D112BC"/>
    <w:rsid w:val="00D2559A"/>
    <w:rsid w:val="00D258D1"/>
    <w:rsid w:val="00D25FDC"/>
    <w:rsid w:val="00D26BA7"/>
    <w:rsid w:val="00D33D68"/>
    <w:rsid w:val="00D3468F"/>
    <w:rsid w:val="00D42197"/>
    <w:rsid w:val="00D43698"/>
    <w:rsid w:val="00D449E9"/>
    <w:rsid w:val="00D45F4E"/>
    <w:rsid w:val="00D46BCF"/>
    <w:rsid w:val="00D5100D"/>
    <w:rsid w:val="00D520DD"/>
    <w:rsid w:val="00D54F29"/>
    <w:rsid w:val="00D57134"/>
    <w:rsid w:val="00D61254"/>
    <w:rsid w:val="00D72A70"/>
    <w:rsid w:val="00D73DEC"/>
    <w:rsid w:val="00D745CD"/>
    <w:rsid w:val="00D77AC8"/>
    <w:rsid w:val="00D816A3"/>
    <w:rsid w:val="00D8251C"/>
    <w:rsid w:val="00D84222"/>
    <w:rsid w:val="00D87F09"/>
    <w:rsid w:val="00D90B95"/>
    <w:rsid w:val="00D92A85"/>
    <w:rsid w:val="00D92ACA"/>
    <w:rsid w:val="00D950F1"/>
    <w:rsid w:val="00DA4508"/>
    <w:rsid w:val="00DB0E7E"/>
    <w:rsid w:val="00DB10F0"/>
    <w:rsid w:val="00DB48EF"/>
    <w:rsid w:val="00DB7810"/>
    <w:rsid w:val="00DC2C4C"/>
    <w:rsid w:val="00DC4E31"/>
    <w:rsid w:val="00DC6599"/>
    <w:rsid w:val="00DC7F25"/>
    <w:rsid w:val="00DD0C13"/>
    <w:rsid w:val="00DD37F5"/>
    <w:rsid w:val="00DD7037"/>
    <w:rsid w:val="00DE1137"/>
    <w:rsid w:val="00DE2601"/>
    <w:rsid w:val="00DE36CC"/>
    <w:rsid w:val="00DE5F04"/>
    <w:rsid w:val="00DF0DF3"/>
    <w:rsid w:val="00DF27E2"/>
    <w:rsid w:val="00DF29A4"/>
    <w:rsid w:val="00DF41C9"/>
    <w:rsid w:val="00DF5800"/>
    <w:rsid w:val="00DF5EBE"/>
    <w:rsid w:val="00DF67A8"/>
    <w:rsid w:val="00DF6B28"/>
    <w:rsid w:val="00E02541"/>
    <w:rsid w:val="00E02C2C"/>
    <w:rsid w:val="00E02C92"/>
    <w:rsid w:val="00E04562"/>
    <w:rsid w:val="00E05262"/>
    <w:rsid w:val="00E05E93"/>
    <w:rsid w:val="00E105D5"/>
    <w:rsid w:val="00E11A8C"/>
    <w:rsid w:val="00E124A6"/>
    <w:rsid w:val="00E12602"/>
    <w:rsid w:val="00E15726"/>
    <w:rsid w:val="00E1584E"/>
    <w:rsid w:val="00E15C07"/>
    <w:rsid w:val="00E16D92"/>
    <w:rsid w:val="00E215E8"/>
    <w:rsid w:val="00E23DEB"/>
    <w:rsid w:val="00E24F8A"/>
    <w:rsid w:val="00E26533"/>
    <w:rsid w:val="00E27042"/>
    <w:rsid w:val="00E276FB"/>
    <w:rsid w:val="00E27701"/>
    <w:rsid w:val="00E30CBC"/>
    <w:rsid w:val="00E31EE0"/>
    <w:rsid w:val="00E33AEC"/>
    <w:rsid w:val="00E34168"/>
    <w:rsid w:val="00E352F1"/>
    <w:rsid w:val="00E378A7"/>
    <w:rsid w:val="00E429BC"/>
    <w:rsid w:val="00E4537B"/>
    <w:rsid w:val="00E45467"/>
    <w:rsid w:val="00E53AF9"/>
    <w:rsid w:val="00E607FB"/>
    <w:rsid w:val="00E60BBC"/>
    <w:rsid w:val="00E62570"/>
    <w:rsid w:val="00E62E05"/>
    <w:rsid w:val="00E63971"/>
    <w:rsid w:val="00E64070"/>
    <w:rsid w:val="00E6536D"/>
    <w:rsid w:val="00E67CEE"/>
    <w:rsid w:val="00E67E6B"/>
    <w:rsid w:val="00E714DB"/>
    <w:rsid w:val="00E7174C"/>
    <w:rsid w:val="00E71A98"/>
    <w:rsid w:val="00E8155B"/>
    <w:rsid w:val="00E824F3"/>
    <w:rsid w:val="00E830C8"/>
    <w:rsid w:val="00E87D9D"/>
    <w:rsid w:val="00E94563"/>
    <w:rsid w:val="00E9491F"/>
    <w:rsid w:val="00E9661B"/>
    <w:rsid w:val="00E96CD9"/>
    <w:rsid w:val="00EA0A5E"/>
    <w:rsid w:val="00EA0F95"/>
    <w:rsid w:val="00EA33E1"/>
    <w:rsid w:val="00EB1B38"/>
    <w:rsid w:val="00EB4062"/>
    <w:rsid w:val="00EB4EBA"/>
    <w:rsid w:val="00EB63CC"/>
    <w:rsid w:val="00EB6B69"/>
    <w:rsid w:val="00EB70A8"/>
    <w:rsid w:val="00EC3FC3"/>
    <w:rsid w:val="00EC6137"/>
    <w:rsid w:val="00EC6302"/>
    <w:rsid w:val="00EC789D"/>
    <w:rsid w:val="00ED00BC"/>
    <w:rsid w:val="00ED069F"/>
    <w:rsid w:val="00ED1A47"/>
    <w:rsid w:val="00ED4FD8"/>
    <w:rsid w:val="00ED51D1"/>
    <w:rsid w:val="00ED5DE6"/>
    <w:rsid w:val="00ED6238"/>
    <w:rsid w:val="00ED63CB"/>
    <w:rsid w:val="00ED7656"/>
    <w:rsid w:val="00ED7DE4"/>
    <w:rsid w:val="00EE082A"/>
    <w:rsid w:val="00EE0CF7"/>
    <w:rsid w:val="00EE36B2"/>
    <w:rsid w:val="00EE72FE"/>
    <w:rsid w:val="00EF3127"/>
    <w:rsid w:val="00EF4ADF"/>
    <w:rsid w:val="00EF5267"/>
    <w:rsid w:val="00EF5602"/>
    <w:rsid w:val="00F01245"/>
    <w:rsid w:val="00F02DDC"/>
    <w:rsid w:val="00F03180"/>
    <w:rsid w:val="00F03744"/>
    <w:rsid w:val="00F03EF7"/>
    <w:rsid w:val="00F10473"/>
    <w:rsid w:val="00F10895"/>
    <w:rsid w:val="00F135D7"/>
    <w:rsid w:val="00F17908"/>
    <w:rsid w:val="00F17BA3"/>
    <w:rsid w:val="00F24BD7"/>
    <w:rsid w:val="00F26429"/>
    <w:rsid w:val="00F31D83"/>
    <w:rsid w:val="00F326B0"/>
    <w:rsid w:val="00F32E8F"/>
    <w:rsid w:val="00F34A17"/>
    <w:rsid w:val="00F352C9"/>
    <w:rsid w:val="00F42E78"/>
    <w:rsid w:val="00F43393"/>
    <w:rsid w:val="00F472BF"/>
    <w:rsid w:val="00F478D6"/>
    <w:rsid w:val="00F5345C"/>
    <w:rsid w:val="00F56E16"/>
    <w:rsid w:val="00F57609"/>
    <w:rsid w:val="00F57AAC"/>
    <w:rsid w:val="00F6127F"/>
    <w:rsid w:val="00F61A88"/>
    <w:rsid w:val="00F64188"/>
    <w:rsid w:val="00F656CD"/>
    <w:rsid w:val="00F7293F"/>
    <w:rsid w:val="00F747C7"/>
    <w:rsid w:val="00F74D0E"/>
    <w:rsid w:val="00F75DFC"/>
    <w:rsid w:val="00F76CD0"/>
    <w:rsid w:val="00F776F1"/>
    <w:rsid w:val="00F83133"/>
    <w:rsid w:val="00F84DD9"/>
    <w:rsid w:val="00F87301"/>
    <w:rsid w:val="00F938E1"/>
    <w:rsid w:val="00F95F16"/>
    <w:rsid w:val="00F9639C"/>
    <w:rsid w:val="00F97237"/>
    <w:rsid w:val="00F9771B"/>
    <w:rsid w:val="00FA16E0"/>
    <w:rsid w:val="00FA2DE5"/>
    <w:rsid w:val="00FA330F"/>
    <w:rsid w:val="00FA3C6D"/>
    <w:rsid w:val="00FA7131"/>
    <w:rsid w:val="00FA73B2"/>
    <w:rsid w:val="00FB0289"/>
    <w:rsid w:val="00FB3133"/>
    <w:rsid w:val="00FB6C02"/>
    <w:rsid w:val="00FC1CAB"/>
    <w:rsid w:val="00FC2E9A"/>
    <w:rsid w:val="00FC33E0"/>
    <w:rsid w:val="00FC3994"/>
    <w:rsid w:val="00FC49D4"/>
    <w:rsid w:val="00FC6969"/>
    <w:rsid w:val="00FD053E"/>
    <w:rsid w:val="00FD43AC"/>
    <w:rsid w:val="00FD737F"/>
    <w:rsid w:val="00FE1989"/>
    <w:rsid w:val="00FE2A1B"/>
    <w:rsid w:val="00FF1599"/>
    <w:rsid w:val="00FF43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302412"/>
  <w15:docId w15:val="{B9C6035B-806A-433C-A174-6137C111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4C4A"/>
    <w:rPr>
      <w:lang w:val="es-PE"/>
    </w:rPr>
  </w:style>
  <w:style w:type="paragraph" w:styleId="Heading1">
    <w:name w:val="heading 1"/>
    <w:basedOn w:val="Normal"/>
    <w:next w:val="BodyText"/>
    <w:link w:val="Heading1Char"/>
    <w:qFormat/>
    <w:rsid w:val="00164BB0"/>
    <w:pPr>
      <w:keepNext/>
      <w:keepLines/>
      <w:pBdr>
        <w:top w:val="single" w:sz="6" w:space="6" w:color="808080"/>
        <w:bottom w:val="single" w:sz="6" w:space="6" w:color="808080"/>
      </w:pBdr>
      <w:spacing w:after="240" w:line="240" w:lineRule="atLeast"/>
      <w:jc w:val="center"/>
      <w:outlineLvl w:val="0"/>
    </w:pPr>
    <w:rPr>
      <w:rFonts w:ascii="Garamond" w:eastAsia="Times New Roman" w:hAnsi="Garamond" w:cs="Times New Roman"/>
      <w:b/>
      <w:caps/>
      <w:spacing w:val="20"/>
      <w:kern w:val="16"/>
      <w:sz w:val="18"/>
      <w:szCs w:val="18"/>
      <w:lang w:val="en-US" w:eastAsia="es-ES" w:bidi="hi-IN"/>
    </w:rPr>
  </w:style>
  <w:style w:type="paragraph" w:styleId="Heading2">
    <w:name w:val="heading 2"/>
    <w:basedOn w:val="Normal"/>
    <w:next w:val="Normal"/>
    <w:link w:val="Heading2Char"/>
    <w:uiPriority w:val="9"/>
    <w:semiHidden/>
    <w:unhideWhenUsed/>
    <w:qFormat/>
    <w:rsid w:val="002742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B036D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024187"/>
    <w:pPr>
      <w:keepNext/>
      <w:keepLines/>
      <w:numPr>
        <w:ilvl w:val="4"/>
        <w:numId w:val="8"/>
      </w:numPr>
      <w:spacing w:before="200" w:after="0" w:line="240" w:lineRule="auto"/>
      <w:outlineLvl w:val="4"/>
    </w:pPr>
    <w:rPr>
      <w:rFonts w:asciiTheme="majorHAnsi" w:eastAsiaTheme="majorEastAsia" w:hAnsiTheme="majorHAnsi" w:cstheme="majorBidi"/>
      <w:color w:val="243F60" w:themeColor="accent1" w:themeShade="7F"/>
      <w:sz w:val="24"/>
      <w:szCs w:val="20"/>
      <w:lang w:val="es-ES_tradnl"/>
    </w:rPr>
  </w:style>
  <w:style w:type="paragraph" w:styleId="Heading6">
    <w:name w:val="heading 6"/>
    <w:basedOn w:val="Normal"/>
    <w:next w:val="Normal"/>
    <w:link w:val="Heading6Char"/>
    <w:unhideWhenUsed/>
    <w:qFormat/>
    <w:rsid w:val="00024187"/>
    <w:pPr>
      <w:keepNext/>
      <w:keepLines/>
      <w:numPr>
        <w:ilvl w:val="5"/>
        <w:numId w:val="8"/>
      </w:numPr>
      <w:spacing w:before="200" w:after="0" w:line="240" w:lineRule="auto"/>
      <w:outlineLvl w:val="5"/>
    </w:pPr>
    <w:rPr>
      <w:rFonts w:asciiTheme="majorHAnsi" w:eastAsiaTheme="majorEastAsia" w:hAnsiTheme="majorHAnsi" w:cstheme="majorBidi"/>
      <w:i/>
      <w:iCs/>
      <w:color w:val="243F60" w:themeColor="accent1" w:themeShade="7F"/>
      <w:sz w:val="24"/>
      <w:szCs w:val="20"/>
      <w:lang w:val="es-ES_tradnl"/>
    </w:rPr>
  </w:style>
  <w:style w:type="paragraph" w:styleId="Heading7">
    <w:name w:val="heading 7"/>
    <w:basedOn w:val="Normal"/>
    <w:next w:val="Normal"/>
    <w:link w:val="Heading7Char"/>
    <w:unhideWhenUsed/>
    <w:qFormat/>
    <w:rsid w:val="00024187"/>
    <w:pPr>
      <w:keepNext/>
      <w:keepLines/>
      <w:numPr>
        <w:ilvl w:val="6"/>
        <w:numId w:val="8"/>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nhideWhenUsed/>
    <w:qFormat/>
    <w:rsid w:val="00024187"/>
    <w:pPr>
      <w:keepNext/>
      <w:keepLines/>
      <w:numPr>
        <w:ilvl w:val="7"/>
        <w:numId w:val="8"/>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nhideWhenUsed/>
    <w:qFormat/>
    <w:rsid w:val="00024187"/>
    <w:pPr>
      <w:keepNext/>
      <w:keepLines/>
      <w:numPr>
        <w:ilvl w:val="8"/>
        <w:numId w:val="8"/>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4C4A"/>
    <w:pPr>
      <w:tabs>
        <w:tab w:val="center" w:pos="4419"/>
        <w:tab w:val="right" w:pos="8838"/>
      </w:tabs>
      <w:spacing w:after="0" w:line="240" w:lineRule="auto"/>
    </w:pPr>
  </w:style>
  <w:style w:type="character" w:customStyle="1" w:styleId="HeaderChar">
    <w:name w:val="Header Char"/>
    <w:basedOn w:val="DefaultParagraphFont"/>
    <w:link w:val="Header"/>
    <w:uiPriority w:val="99"/>
    <w:rsid w:val="00434C4A"/>
    <w:rPr>
      <w:lang w:val="es-PE"/>
    </w:rPr>
  </w:style>
  <w:style w:type="paragraph" w:styleId="Footer">
    <w:name w:val="footer"/>
    <w:basedOn w:val="Normal"/>
    <w:link w:val="FooterChar"/>
    <w:uiPriority w:val="99"/>
    <w:unhideWhenUsed/>
    <w:rsid w:val="00434C4A"/>
    <w:pPr>
      <w:tabs>
        <w:tab w:val="center" w:pos="4419"/>
        <w:tab w:val="right" w:pos="8838"/>
      </w:tabs>
      <w:spacing w:after="0" w:line="240" w:lineRule="auto"/>
    </w:pPr>
  </w:style>
  <w:style w:type="character" w:customStyle="1" w:styleId="FooterChar">
    <w:name w:val="Footer Char"/>
    <w:basedOn w:val="DefaultParagraphFont"/>
    <w:link w:val="Footer"/>
    <w:uiPriority w:val="99"/>
    <w:rsid w:val="00434C4A"/>
    <w:rPr>
      <w:lang w:val="es-PE"/>
    </w:rPr>
  </w:style>
  <w:style w:type="paragraph" w:styleId="BalloonText">
    <w:name w:val="Balloon Text"/>
    <w:basedOn w:val="Normal"/>
    <w:link w:val="BalloonTextChar"/>
    <w:uiPriority w:val="99"/>
    <w:semiHidden/>
    <w:unhideWhenUsed/>
    <w:rsid w:val="00434C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C4A"/>
    <w:rPr>
      <w:rFonts w:ascii="Tahoma" w:hAnsi="Tahoma" w:cs="Tahoma"/>
      <w:sz w:val="16"/>
      <w:szCs w:val="16"/>
      <w:lang w:val="es-PE"/>
    </w:rPr>
  </w:style>
  <w:style w:type="character" w:styleId="PageNumber">
    <w:name w:val="page number"/>
    <w:basedOn w:val="DefaultParagraphFont"/>
    <w:uiPriority w:val="99"/>
    <w:unhideWhenUsed/>
    <w:rsid w:val="00434C4A"/>
    <w:rPr>
      <w:rFonts w:eastAsiaTheme="minorEastAsia" w:cstheme="minorBidi"/>
      <w:bCs w:val="0"/>
      <w:iCs w:val="0"/>
      <w:szCs w:val="22"/>
      <w:lang w:val="es-ES"/>
    </w:rPr>
  </w:style>
  <w:style w:type="paragraph" w:styleId="ListParagraph">
    <w:name w:val="List Paragraph"/>
    <w:basedOn w:val="Normal"/>
    <w:uiPriority w:val="34"/>
    <w:qFormat/>
    <w:rsid w:val="00164BB0"/>
    <w:pPr>
      <w:ind w:left="720"/>
      <w:contextualSpacing/>
    </w:pPr>
  </w:style>
  <w:style w:type="character" w:customStyle="1" w:styleId="Heading1Char">
    <w:name w:val="Heading 1 Char"/>
    <w:basedOn w:val="DefaultParagraphFont"/>
    <w:link w:val="Heading1"/>
    <w:rsid w:val="00164BB0"/>
    <w:rPr>
      <w:rFonts w:ascii="Garamond" w:eastAsia="Times New Roman" w:hAnsi="Garamond" w:cs="Times New Roman"/>
      <w:b/>
      <w:caps/>
      <w:spacing w:val="20"/>
      <w:kern w:val="16"/>
      <w:sz w:val="18"/>
      <w:szCs w:val="18"/>
      <w:lang w:val="en-US" w:eastAsia="es-ES" w:bidi="hi-IN"/>
    </w:rPr>
  </w:style>
  <w:style w:type="paragraph" w:styleId="BodyText">
    <w:name w:val="Body Text"/>
    <w:basedOn w:val="Normal"/>
    <w:link w:val="BodyTextChar"/>
    <w:rsid w:val="00164BB0"/>
    <w:pPr>
      <w:spacing w:after="240" w:line="240" w:lineRule="atLeast"/>
      <w:ind w:firstLine="360"/>
      <w:jc w:val="both"/>
    </w:pPr>
    <w:rPr>
      <w:rFonts w:ascii="Garamond" w:eastAsia="Times New Roman" w:hAnsi="Garamond" w:cs="Garamond"/>
      <w:lang w:val="en-US" w:eastAsia="es-ES" w:bidi="hi-IN"/>
    </w:rPr>
  </w:style>
  <w:style w:type="character" w:customStyle="1" w:styleId="BodyTextChar">
    <w:name w:val="Body Text Char"/>
    <w:basedOn w:val="DefaultParagraphFont"/>
    <w:link w:val="BodyText"/>
    <w:rsid w:val="00164BB0"/>
    <w:rPr>
      <w:rFonts w:ascii="Garamond" w:eastAsia="Times New Roman" w:hAnsi="Garamond" w:cs="Garamond"/>
      <w:lang w:val="en-US" w:eastAsia="es-ES" w:bidi="hi-IN"/>
    </w:rPr>
  </w:style>
  <w:style w:type="paragraph" w:styleId="TOC1">
    <w:name w:val="toc 1"/>
    <w:basedOn w:val="Normal"/>
    <w:uiPriority w:val="39"/>
    <w:rsid w:val="00164BB0"/>
    <w:pPr>
      <w:tabs>
        <w:tab w:val="right" w:leader="dot" w:pos="5040"/>
      </w:tabs>
      <w:spacing w:after="0" w:line="240" w:lineRule="auto"/>
    </w:pPr>
    <w:rPr>
      <w:rFonts w:ascii="Garamond" w:eastAsia="Times New Roman" w:hAnsi="Garamond" w:cs="Garamond"/>
      <w:lang w:val="en-US" w:eastAsia="es-ES" w:bidi="hi-IN"/>
    </w:rPr>
  </w:style>
  <w:style w:type="character" w:styleId="Hyperlink">
    <w:name w:val="Hyperlink"/>
    <w:basedOn w:val="DefaultParagraphFont"/>
    <w:uiPriority w:val="99"/>
    <w:rsid w:val="00164BB0"/>
    <w:rPr>
      <w:color w:val="0000FF"/>
      <w:u w:val="single"/>
    </w:rPr>
  </w:style>
  <w:style w:type="paragraph" w:customStyle="1" w:styleId="Centrado">
    <w:name w:val="Centrado"/>
    <w:basedOn w:val="Normal"/>
    <w:rsid w:val="00164BB0"/>
    <w:pPr>
      <w:spacing w:after="0" w:line="360" w:lineRule="auto"/>
      <w:jc w:val="center"/>
    </w:pPr>
    <w:rPr>
      <w:rFonts w:ascii="Arial" w:eastAsia="Times New Roman" w:hAnsi="Arial" w:cs="Times New Roman"/>
      <w:szCs w:val="24"/>
      <w:lang w:val="es-ES" w:eastAsia="es-ES"/>
    </w:rPr>
  </w:style>
  <w:style w:type="paragraph" w:styleId="Caption">
    <w:name w:val="caption"/>
    <w:aliases w:val="Epígrafe Car Car Car Car Car,Epígrafe Car Car Car Car Car Car Car Car,Epígrafe Car Car Car Car Car Car Car Car Car Car Car,Epígrafe Car Car Car Car Car Car Car Car Car Car Car Car Car Car Car C"/>
    <w:basedOn w:val="Normal"/>
    <w:next w:val="BodyText"/>
    <w:qFormat/>
    <w:rsid w:val="00B37ABB"/>
    <w:pPr>
      <w:spacing w:after="240" w:line="240" w:lineRule="auto"/>
      <w:contextualSpacing/>
      <w:jc w:val="center"/>
    </w:pPr>
    <w:rPr>
      <w:rFonts w:ascii="Garamond" w:eastAsia="Times New Roman" w:hAnsi="Garamond" w:cs="Garamond"/>
      <w:i/>
      <w:lang w:val="en-US" w:eastAsia="es-ES" w:bidi="hi-IN"/>
    </w:rPr>
  </w:style>
  <w:style w:type="paragraph" w:styleId="EndnoteText">
    <w:name w:val="endnote text"/>
    <w:basedOn w:val="Normal"/>
    <w:link w:val="EndnoteTextChar"/>
    <w:uiPriority w:val="99"/>
    <w:semiHidden/>
    <w:unhideWhenUsed/>
    <w:rsid w:val="002F7C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7C86"/>
    <w:rPr>
      <w:sz w:val="20"/>
      <w:szCs w:val="20"/>
      <w:lang w:val="es-PE"/>
    </w:rPr>
  </w:style>
  <w:style w:type="character" w:styleId="EndnoteReference">
    <w:name w:val="endnote reference"/>
    <w:basedOn w:val="DefaultParagraphFont"/>
    <w:uiPriority w:val="99"/>
    <w:semiHidden/>
    <w:unhideWhenUsed/>
    <w:rsid w:val="002F7C86"/>
    <w:rPr>
      <w:vertAlign w:val="superscript"/>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f"/>
    <w:basedOn w:val="Normal"/>
    <w:link w:val="FootnoteTextChar"/>
    <w:uiPriority w:val="99"/>
    <w:unhideWhenUsed/>
    <w:qFormat/>
    <w:rsid w:val="002F7C86"/>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2F7C86"/>
    <w:rPr>
      <w:sz w:val="20"/>
      <w:szCs w:val="20"/>
      <w:lang w:val="es-PE"/>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basedOn w:val="DefaultParagraphFont"/>
    <w:link w:val="Char2"/>
    <w:uiPriority w:val="99"/>
    <w:unhideWhenUsed/>
    <w:qFormat/>
    <w:rsid w:val="002F7C86"/>
    <w:rPr>
      <w:vertAlign w:val="superscript"/>
    </w:rPr>
  </w:style>
  <w:style w:type="character" w:styleId="CommentReference">
    <w:name w:val="annotation reference"/>
    <w:basedOn w:val="DefaultParagraphFont"/>
    <w:uiPriority w:val="99"/>
    <w:unhideWhenUsed/>
    <w:rsid w:val="00071AD7"/>
    <w:rPr>
      <w:sz w:val="16"/>
      <w:szCs w:val="16"/>
    </w:rPr>
  </w:style>
  <w:style w:type="paragraph" w:styleId="CommentText">
    <w:name w:val="annotation text"/>
    <w:basedOn w:val="Normal"/>
    <w:link w:val="CommentTextChar"/>
    <w:unhideWhenUsed/>
    <w:rsid w:val="00071AD7"/>
    <w:pPr>
      <w:spacing w:line="240" w:lineRule="auto"/>
    </w:pPr>
    <w:rPr>
      <w:sz w:val="20"/>
      <w:szCs w:val="20"/>
    </w:rPr>
  </w:style>
  <w:style w:type="character" w:customStyle="1" w:styleId="CommentTextChar">
    <w:name w:val="Comment Text Char"/>
    <w:basedOn w:val="DefaultParagraphFont"/>
    <w:link w:val="CommentText"/>
    <w:rsid w:val="00071AD7"/>
    <w:rPr>
      <w:sz w:val="20"/>
      <w:szCs w:val="20"/>
      <w:lang w:val="es-PE"/>
    </w:rPr>
  </w:style>
  <w:style w:type="paragraph" w:styleId="CommentSubject">
    <w:name w:val="annotation subject"/>
    <w:basedOn w:val="CommentText"/>
    <w:next w:val="CommentText"/>
    <w:link w:val="CommentSubjectChar"/>
    <w:uiPriority w:val="99"/>
    <w:semiHidden/>
    <w:unhideWhenUsed/>
    <w:rsid w:val="00071AD7"/>
    <w:rPr>
      <w:b/>
      <w:bCs/>
    </w:rPr>
  </w:style>
  <w:style w:type="character" w:customStyle="1" w:styleId="CommentSubjectChar">
    <w:name w:val="Comment Subject Char"/>
    <w:basedOn w:val="CommentTextChar"/>
    <w:link w:val="CommentSubject"/>
    <w:uiPriority w:val="99"/>
    <w:semiHidden/>
    <w:rsid w:val="00071AD7"/>
    <w:rPr>
      <w:b/>
      <w:bCs/>
      <w:sz w:val="20"/>
      <w:szCs w:val="20"/>
      <w:lang w:val="es-PE"/>
    </w:rPr>
  </w:style>
  <w:style w:type="character" w:customStyle="1" w:styleId="ft">
    <w:name w:val="ft"/>
    <w:basedOn w:val="DefaultParagraphFont"/>
    <w:rsid w:val="000F4DEF"/>
  </w:style>
  <w:style w:type="paragraph" w:customStyle="1" w:styleId="Chapter">
    <w:name w:val="Chapter"/>
    <w:basedOn w:val="Normal"/>
    <w:next w:val="Normal"/>
    <w:rsid w:val="001C1F0B"/>
    <w:pPr>
      <w:keepNext/>
      <w:numPr>
        <w:numId w:val="4"/>
      </w:numPr>
      <w:tabs>
        <w:tab w:val="left" w:pos="1440"/>
      </w:tabs>
      <w:spacing w:before="240"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1C1F0B"/>
    <w:pPr>
      <w:numPr>
        <w:ilvl w:val="1"/>
        <w:numId w:val="4"/>
      </w:numPr>
      <w:spacing w:before="120" w:line="240" w:lineRule="auto"/>
      <w:jc w:val="both"/>
      <w:outlineLvl w:val="1"/>
    </w:pPr>
    <w:rPr>
      <w:rFonts w:ascii="Times New Roman" w:eastAsia="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locked/>
    <w:rsid w:val="001C1F0B"/>
    <w:rPr>
      <w:rFonts w:ascii="Times New Roman" w:eastAsia="Times New Roman" w:hAnsi="Times New Roman" w:cs="Times New Roman"/>
      <w:sz w:val="24"/>
      <w:szCs w:val="24"/>
      <w:lang w:val="es-ES"/>
    </w:rPr>
  </w:style>
  <w:style w:type="paragraph" w:customStyle="1" w:styleId="subpar">
    <w:name w:val="subpar"/>
    <w:basedOn w:val="BodyTextIndent3"/>
    <w:link w:val="subparChar"/>
    <w:rsid w:val="001C1F0B"/>
    <w:pPr>
      <w:numPr>
        <w:ilvl w:val="2"/>
        <w:numId w:val="4"/>
      </w:numPr>
      <w:spacing w:before="120" w:line="240" w:lineRule="auto"/>
      <w:jc w:val="both"/>
      <w:outlineLvl w:val="2"/>
    </w:pPr>
    <w:rPr>
      <w:rFonts w:ascii="Times New Roman" w:eastAsia="Times New Roman" w:hAnsi="Times New Roman" w:cs="Times New Roman"/>
      <w:sz w:val="24"/>
      <w:szCs w:val="24"/>
      <w:lang w:val="es-ES"/>
    </w:rPr>
  </w:style>
  <w:style w:type="character" w:customStyle="1" w:styleId="subparChar">
    <w:name w:val="subpar Char"/>
    <w:basedOn w:val="DefaultParagraphFont"/>
    <w:link w:val="subpar"/>
    <w:locked/>
    <w:rsid w:val="001C1F0B"/>
    <w:rPr>
      <w:rFonts w:ascii="Times New Roman" w:eastAsia="Times New Roman" w:hAnsi="Times New Roman" w:cs="Times New Roman"/>
      <w:sz w:val="24"/>
      <w:szCs w:val="24"/>
      <w:lang w:val="es-ES"/>
    </w:rPr>
  </w:style>
  <w:style w:type="paragraph" w:customStyle="1" w:styleId="SubSubPar">
    <w:name w:val="SubSubPar"/>
    <w:basedOn w:val="subpar"/>
    <w:rsid w:val="001C1F0B"/>
    <w:pPr>
      <w:numPr>
        <w:ilvl w:val="3"/>
      </w:numPr>
      <w:tabs>
        <w:tab w:val="clear" w:pos="2736"/>
        <w:tab w:val="left" w:pos="0"/>
        <w:tab w:val="num" w:pos="1296"/>
        <w:tab w:val="num" w:pos="2304"/>
      </w:tabs>
      <w:ind w:left="1296" w:hanging="720"/>
    </w:pPr>
  </w:style>
  <w:style w:type="paragraph" w:styleId="BodyTextIndent">
    <w:name w:val="Body Text Indent"/>
    <w:basedOn w:val="Normal"/>
    <w:link w:val="BodyTextIndentChar"/>
    <w:uiPriority w:val="99"/>
    <w:semiHidden/>
    <w:unhideWhenUsed/>
    <w:rsid w:val="001C1F0B"/>
    <w:pPr>
      <w:spacing w:after="120"/>
      <w:ind w:left="283"/>
    </w:pPr>
  </w:style>
  <w:style w:type="character" w:customStyle="1" w:styleId="BodyTextIndentChar">
    <w:name w:val="Body Text Indent Char"/>
    <w:basedOn w:val="DefaultParagraphFont"/>
    <w:link w:val="BodyTextIndent"/>
    <w:uiPriority w:val="99"/>
    <w:semiHidden/>
    <w:rsid w:val="001C1F0B"/>
    <w:rPr>
      <w:lang w:val="es-PE"/>
    </w:rPr>
  </w:style>
  <w:style w:type="paragraph" w:styleId="BodyTextIndent3">
    <w:name w:val="Body Text Indent 3"/>
    <w:basedOn w:val="Normal"/>
    <w:link w:val="BodyTextIndent3Char"/>
    <w:uiPriority w:val="99"/>
    <w:semiHidden/>
    <w:unhideWhenUsed/>
    <w:rsid w:val="001C1F0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C1F0B"/>
    <w:rPr>
      <w:sz w:val="16"/>
      <w:szCs w:val="16"/>
      <w:lang w:val="es-PE"/>
    </w:rPr>
  </w:style>
  <w:style w:type="character" w:styleId="FollowedHyperlink">
    <w:name w:val="FollowedHyperlink"/>
    <w:basedOn w:val="DefaultParagraphFont"/>
    <w:uiPriority w:val="99"/>
    <w:semiHidden/>
    <w:unhideWhenUsed/>
    <w:rsid w:val="008B3814"/>
    <w:rPr>
      <w:color w:val="800080" w:themeColor="followedHyperlink"/>
      <w:u w:val="single"/>
    </w:rPr>
  </w:style>
  <w:style w:type="table" w:styleId="TableGrid">
    <w:name w:val="Table Grid"/>
    <w:basedOn w:val="TableNormal"/>
    <w:uiPriority w:val="59"/>
    <w:rsid w:val="003B4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2742CF"/>
    <w:rPr>
      <w:rFonts w:asciiTheme="majorHAnsi" w:eastAsiaTheme="majorEastAsia" w:hAnsiTheme="majorHAnsi" w:cstheme="majorBidi"/>
      <w:color w:val="365F91" w:themeColor="accent1" w:themeShade="BF"/>
      <w:sz w:val="26"/>
      <w:szCs w:val="26"/>
      <w:lang w:val="es-PE"/>
    </w:rPr>
  </w:style>
  <w:style w:type="character" w:customStyle="1" w:styleId="Heading4Char">
    <w:name w:val="Heading 4 Char"/>
    <w:basedOn w:val="DefaultParagraphFont"/>
    <w:link w:val="Heading4"/>
    <w:uiPriority w:val="9"/>
    <w:semiHidden/>
    <w:rsid w:val="00B036DE"/>
    <w:rPr>
      <w:rFonts w:asciiTheme="majorHAnsi" w:eastAsiaTheme="majorEastAsia" w:hAnsiTheme="majorHAnsi" w:cstheme="majorBidi"/>
      <w:i/>
      <w:iCs/>
      <w:color w:val="365F91" w:themeColor="accent1" w:themeShade="BF"/>
      <w:lang w:val="es-PE"/>
    </w:rPr>
  </w:style>
  <w:style w:type="paragraph" w:styleId="TOC2">
    <w:name w:val="toc 2"/>
    <w:basedOn w:val="Normal"/>
    <w:next w:val="Normal"/>
    <w:autoRedefine/>
    <w:uiPriority w:val="39"/>
    <w:unhideWhenUsed/>
    <w:rsid w:val="00277C37"/>
    <w:pPr>
      <w:spacing w:after="100"/>
      <w:ind w:left="220"/>
    </w:pPr>
  </w:style>
  <w:style w:type="character" w:customStyle="1" w:styleId="Heading5Char">
    <w:name w:val="Heading 5 Char"/>
    <w:basedOn w:val="DefaultParagraphFont"/>
    <w:link w:val="Heading5"/>
    <w:rsid w:val="00024187"/>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024187"/>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024187"/>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024187"/>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024187"/>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rsid w:val="00024187"/>
    <w:pPr>
      <w:keepNext/>
      <w:numPr>
        <w:numId w:val="8"/>
      </w:numPr>
      <w:tabs>
        <w:tab w:val="left" w:pos="0"/>
        <w:tab w:val="left" w:pos="86"/>
      </w:tabs>
      <w:spacing w:before="120" w:after="120" w:line="240" w:lineRule="auto"/>
      <w:ind w:left="720"/>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024187"/>
    <w:pPr>
      <w:keepNext/>
      <w:numPr>
        <w:ilvl w:val="1"/>
        <w:numId w:val="8"/>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024187"/>
    <w:pPr>
      <w:numPr>
        <w:ilvl w:val="2"/>
      </w:numPr>
      <w:tabs>
        <w:tab w:val="clear" w:pos="5976"/>
        <w:tab w:val="num" w:pos="1872"/>
      </w:tabs>
      <w:ind w:left="1872"/>
    </w:pPr>
  </w:style>
  <w:style w:type="paragraph" w:customStyle="1" w:styleId="Subheading2">
    <w:name w:val="Subheading2"/>
    <w:basedOn w:val="SecHeading"/>
    <w:rsid w:val="00024187"/>
    <w:pPr>
      <w:numPr>
        <w:ilvl w:val="3"/>
      </w:numPr>
    </w:pPr>
  </w:style>
  <w:style w:type="table" w:styleId="PlainTable3">
    <w:name w:val="Plain Table 3"/>
    <w:basedOn w:val="TableNormal"/>
    <w:uiPriority w:val="43"/>
    <w:rsid w:val="00F4339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5">
    <w:name w:val="Grid Table 2 Accent 5"/>
    <w:basedOn w:val="TableNormal"/>
    <w:uiPriority w:val="47"/>
    <w:rsid w:val="009306B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Char2">
    <w:name w:val="Char2"/>
    <w:basedOn w:val="Normal"/>
    <w:link w:val="FootnoteReference"/>
    <w:uiPriority w:val="99"/>
    <w:rsid w:val="008A7F79"/>
    <w:pPr>
      <w:spacing w:after="160" w:line="240" w:lineRule="exact"/>
    </w:pPr>
    <w:rPr>
      <w:vertAlign w:val="superscript"/>
      <w:lang w:val="es-MX"/>
    </w:rPr>
  </w:style>
  <w:style w:type="table" w:styleId="GridTable1Light-Accent5">
    <w:name w:val="Grid Table 1 Light Accent 5"/>
    <w:basedOn w:val="TableNormal"/>
    <w:uiPriority w:val="46"/>
    <w:rsid w:val="007E2E2B"/>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31898">
      <w:bodyDiv w:val="1"/>
      <w:marLeft w:val="0"/>
      <w:marRight w:val="0"/>
      <w:marTop w:val="0"/>
      <w:marBottom w:val="0"/>
      <w:divBdr>
        <w:top w:val="none" w:sz="0" w:space="0" w:color="auto"/>
        <w:left w:val="none" w:sz="0" w:space="0" w:color="auto"/>
        <w:bottom w:val="none" w:sz="0" w:space="0" w:color="auto"/>
        <w:right w:val="none" w:sz="0" w:space="0" w:color="auto"/>
      </w:divBdr>
    </w:div>
    <w:div w:id="108747313">
      <w:bodyDiv w:val="1"/>
      <w:marLeft w:val="0"/>
      <w:marRight w:val="0"/>
      <w:marTop w:val="0"/>
      <w:marBottom w:val="0"/>
      <w:divBdr>
        <w:top w:val="none" w:sz="0" w:space="0" w:color="auto"/>
        <w:left w:val="none" w:sz="0" w:space="0" w:color="auto"/>
        <w:bottom w:val="none" w:sz="0" w:space="0" w:color="auto"/>
        <w:right w:val="none" w:sz="0" w:space="0" w:color="auto"/>
      </w:divBdr>
    </w:div>
    <w:div w:id="510723478">
      <w:bodyDiv w:val="1"/>
      <w:marLeft w:val="0"/>
      <w:marRight w:val="0"/>
      <w:marTop w:val="0"/>
      <w:marBottom w:val="0"/>
      <w:divBdr>
        <w:top w:val="none" w:sz="0" w:space="0" w:color="auto"/>
        <w:left w:val="none" w:sz="0" w:space="0" w:color="auto"/>
        <w:bottom w:val="none" w:sz="0" w:space="0" w:color="auto"/>
        <w:right w:val="none" w:sz="0" w:space="0" w:color="auto"/>
      </w:divBdr>
    </w:div>
    <w:div w:id="558252494">
      <w:bodyDiv w:val="1"/>
      <w:marLeft w:val="0"/>
      <w:marRight w:val="0"/>
      <w:marTop w:val="0"/>
      <w:marBottom w:val="0"/>
      <w:divBdr>
        <w:top w:val="none" w:sz="0" w:space="0" w:color="auto"/>
        <w:left w:val="none" w:sz="0" w:space="0" w:color="auto"/>
        <w:bottom w:val="none" w:sz="0" w:space="0" w:color="auto"/>
        <w:right w:val="none" w:sz="0" w:space="0" w:color="auto"/>
      </w:divBdr>
    </w:div>
    <w:div w:id="597639847">
      <w:bodyDiv w:val="1"/>
      <w:marLeft w:val="0"/>
      <w:marRight w:val="0"/>
      <w:marTop w:val="0"/>
      <w:marBottom w:val="0"/>
      <w:divBdr>
        <w:top w:val="none" w:sz="0" w:space="0" w:color="auto"/>
        <w:left w:val="none" w:sz="0" w:space="0" w:color="auto"/>
        <w:bottom w:val="none" w:sz="0" w:space="0" w:color="auto"/>
        <w:right w:val="none" w:sz="0" w:space="0" w:color="auto"/>
      </w:divBdr>
      <w:divsChild>
        <w:div w:id="15735927">
          <w:marLeft w:val="0"/>
          <w:marRight w:val="0"/>
          <w:marTop w:val="0"/>
          <w:marBottom w:val="0"/>
          <w:divBdr>
            <w:top w:val="none" w:sz="0" w:space="0" w:color="auto"/>
            <w:left w:val="none" w:sz="0" w:space="0" w:color="auto"/>
            <w:bottom w:val="none" w:sz="0" w:space="0" w:color="auto"/>
            <w:right w:val="none" w:sz="0" w:space="0" w:color="auto"/>
          </w:divBdr>
          <w:divsChild>
            <w:div w:id="385955507">
              <w:marLeft w:val="60"/>
              <w:marRight w:val="0"/>
              <w:marTop w:val="0"/>
              <w:marBottom w:val="0"/>
              <w:divBdr>
                <w:top w:val="none" w:sz="0" w:space="0" w:color="auto"/>
                <w:left w:val="none" w:sz="0" w:space="0" w:color="auto"/>
                <w:bottom w:val="none" w:sz="0" w:space="0" w:color="auto"/>
                <w:right w:val="none" w:sz="0" w:space="0" w:color="auto"/>
              </w:divBdr>
              <w:divsChild>
                <w:div w:id="283122874">
                  <w:marLeft w:val="0"/>
                  <w:marRight w:val="0"/>
                  <w:marTop w:val="0"/>
                  <w:marBottom w:val="0"/>
                  <w:divBdr>
                    <w:top w:val="none" w:sz="0" w:space="0" w:color="auto"/>
                    <w:left w:val="none" w:sz="0" w:space="0" w:color="auto"/>
                    <w:bottom w:val="none" w:sz="0" w:space="0" w:color="auto"/>
                    <w:right w:val="none" w:sz="0" w:space="0" w:color="auto"/>
                  </w:divBdr>
                  <w:divsChild>
                    <w:div w:id="188566187">
                      <w:marLeft w:val="0"/>
                      <w:marRight w:val="0"/>
                      <w:marTop w:val="0"/>
                      <w:marBottom w:val="120"/>
                      <w:divBdr>
                        <w:top w:val="single" w:sz="6" w:space="0" w:color="F5F5F5"/>
                        <w:left w:val="single" w:sz="6" w:space="0" w:color="F5F5F5"/>
                        <w:bottom w:val="single" w:sz="6" w:space="0" w:color="F5F5F5"/>
                        <w:right w:val="single" w:sz="6" w:space="0" w:color="F5F5F5"/>
                      </w:divBdr>
                      <w:divsChild>
                        <w:div w:id="902368367">
                          <w:marLeft w:val="0"/>
                          <w:marRight w:val="0"/>
                          <w:marTop w:val="0"/>
                          <w:marBottom w:val="0"/>
                          <w:divBdr>
                            <w:top w:val="none" w:sz="0" w:space="0" w:color="auto"/>
                            <w:left w:val="none" w:sz="0" w:space="0" w:color="auto"/>
                            <w:bottom w:val="none" w:sz="0" w:space="0" w:color="auto"/>
                            <w:right w:val="none" w:sz="0" w:space="0" w:color="auto"/>
                          </w:divBdr>
                          <w:divsChild>
                            <w:div w:id="33280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0877055">
          <w:marLeft w:val="0"/>
          <w:marRight w:val="0"/>
          <w:marTop w:val="0"/>
          <w:marBottom w:val="0"/>
          <w:divBdr>
            <w:top w:val="none" w:sz="0" w:space="0" w:color="auto"/>
            <w:left w:val="none" w:sz="0" w:space="0" w:color="auto"/>
            <w:bottom w:val="none" w:sz="0" w:space="0" w:color="auto"/>
            <w:right w:val="none" w:sz="0" w:space="0" w:color="auto"/>
          </w:divBdr>
          <w:divsChild>
            <w:div w:id="2005547560">
              <w:marLeft w:val="0"/>
              <w:marRight w:val="60"/>
              <w:marTop w:val="0"/>
              <w:marBottom w:val="0"/>
              <w:divBdr>
                <w:top w:val="none" w:sz="0" w:space="0" w:color="auto"/>
                <w:left w:val="none" w:sz="0" w:space="0" w:color="auto"/>
                <w:bottom w:val="none" w:sz="0" w:space="0" w:color="auto"/>
                <w:right w:val="none" w:sz="0" w:space="0" w:color="auto"/>
              </w:divBdr>
              <w:divsChild>
                <w:div w:id="2019768881">
                  <w:marLeft w:val="0"/>
                  <w:marRight w:val="0"/>
                  <w:marTop w:val="0"/>
                  <w:marBottom w:val="120"/>
                  <w:divBdr>
                    <w:top w:val="single" w:sz="6" w:space="0" w:color="C0C0C0"/>
                    <w:left w:val="single" w:sz="6" w:space="0" w:color="D9D9D9"/>
                    <w:bottom w:val="single" w:sz="6" w:space="0" w:color="D9D9D9"/>
                    <w:right w:val="single" w:sz="6" w:space="0" w:color="D9D9D9"/>
                  </w:divBdr>
                  <w:divsChild>
                    <w:div w:id="963119872">
                      <w:marLeft w:val="0"/>
                      <w:marRight w:val="0"/>
                      <w:marTop w:val="0"/>
                      <w:marBottom w:val="0"/>
                      <w:divBdr>
                        <w:top w:val="none" w:sz="0" w:space="0" w:color="auto"/>
                        <w:left w:val="none" w:sz="0" w:space="0" w:color="auto"/>
                        <w:bottom w:val="none" w:sz="0" w:space="0" w:color="auto"/>
                        <w:right w:val="none" w:sz="0" w:space="0" w:color="auto"/>
                      </w:divBdr>
                    </w:div>
                    <w:div w:id="144063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522316">
      <w:bodyDiv w:val="1"/>
      <w:marLeft w:val="0"/>
      <w:marRight w:val="0"/>
      <w:marTop w:val="0"/>
      <w:marBottom w:val="0"/>
      <w:divBdr>
        <w:top w:val="none" w:sz="0" w:space="0" w:color="auto"/>
        <w:left w:val="none" w:sz="0" w:space="0" w:color="auto"/>
        <w:bottom w:val="none" w:sz="0" w:space="0" w:color="auto"/>
        <w:right w:val="none" w:sz="0" w:space="0" w:color="auto"/>
      </w:divBdr>
    </w:div>
    <w:div w:id="837817471">
      <w:bodyDiv w:val="1"/>
      <w:marLeft w:val="0"/>
      <w:marRight w:val="0"/>
      <w:marTop w:val="0"/>
      <w:marBottom w:val="0"/>
      <w:divBdr>
        <w:top w:val="none" w:sz="0" w:space="0" w:color="auto"/>
        <w:left w:val="none" w:sz="0" w:space="0" w:color="auto"/>
        <w:bottom w:val="none" w:sz="0" w:space="0" w:color="auto"/>
        <w:right w:val="none" w:sz="0" w:space="0" w:color="auto"/>
      </w:divBdr>
    </w:div>
    <w:div w:id="910575427">
      <w:bodyDiv w:val="1"/>
      <w:marLeft w:val="0"/>
      <w:marRight w:val="0"/>
      <w:marTop w:val="0"/>
      <w:marBottom w:val="0"/>
      <w:divBdr>
        <w:top w:val="none" w:sz="0" w:space="0" w:color="auto"/>
        <w:left w:val="none" w:sz="0" w:space="0" w:color="auto"/>
        <w:bottom w:val="none" w:sz="0" w:space="0" w:color="auto"/>
        <w:right w:val="none" w:sz="0" w:space="0" w:color="auto"/>
      </w:divBdr>
    </w:div>
    <w:div w:id="930510527">
      <w:bodyDiv w:val="1"/>
      <w:marLeft w:val="0"/>
      <w:marRight w:val="0"/>
      <w:marTop w:val="0"/>
      <w:marBottom w:val="0"/>
      <w:divBdr>
        <w:top w:val="none" w:sz="0" w:space="0" w:color="auto"/>
        <w:left w:val="none" w:sz="0" w:space="0" w:color="auto"/>
        <w:bottom w:val="none" w:sz="0" w:space="0" w:color="auto"/>
        <w:right w:val="none" w:sz="0" w:space="0" w:color="auto"/>
      </w:divBdr>
    </w:div>
    <w:div w:id="1083793742">
      <w:bodyDiv w:val="1"/>
      <w:marLeft w:val="0"/>
      <w:marRight w:val="0"/>
      <w:marTop w:val="0"/>
      <w:marBottom w:val="0"/>
      <w:divBdr>
        <w:top w:val="none" w:sz="0" w:space="0" w:color="auto"/>
        <w:left w:val="none" w:sz="0" w:space="0" w:color="auto"/>
        <w:bottom w:val="none" w:sz="0" w:space="0" w:color="auto"/>
        <w:right w:val="none" w:sz="0" w:space="0" w:color="auto"/>
      </w:divBdr>
    </w:div>
    <w:div w:id="1126895414">
      <w:bodyDiv w:val="1"/>
      <w:marLeft w:val="0"/>
      <w:marRight w:val="0"/>
      <w:marTop w:val="0"/>
      <w:marBottom w:val="0"/>
      <w:divBdr>
        <w:top w:val="none" w:sz="0" w:space="0" w:color="auto"/>
        <w:left w:val="none" w:sz="0" w:space="0" w:color="auto"/>
        <w:bottom w:val="none" w:sz="0" w:space="0" w:color="auto"/>
        <w:right w:val="none" w:sz="0" w:space="0" w:color="auto"/>
      </w:divBdr>
    </w:div>
    <w:div w:id="1127700185">
      <w:bodyDiv w:val="1"/>
      <w:marLeft w:val="0"/>
      <w:marRight w:val="0"/>
      <w:marTop w:val="0"/>
      <w:marBottom w:val="0"/>
      <w:divBdr>
        <w:top w:val="none" w:sz="0" w:space="0" w:color="auto"/>
        <w:left w:val="none" w:sz="0" w:space="0" w:color="auto"/>
        <w:bottom w:val="none" w:sz="0" w:space="0" w:color="auto"/>
        <w:right w:val="none" w:sz="0" w:space="0" w:color="auto"/>
      </w:divBdr>
    </w:div>
    <w:div w:id="1171332172">
      <w:bodyDiv w:val="1"/>
      <w:marLeft w:val="0"/>
      <w:marRight w:val="0"/>
      <w:marTop w:val="0"/>
      <w:marBottom w:val="0"/>
      <w:divBdr>
        <w:top w:val="none" w:sz="0" w:space="0" w:color="auto"/>
        <w:left w:val="none" w:sz="0" w:space="0" w:color="auto"/>
        <w:bottom w:val="none" w:sz="0" w:space="0" w:color="auto"/>
        <w:right w:val="none" w:sz="0" w:space="0" w:color="auto"/>
      </w:divBdr>
    </w:div>
    <w:div w:id="1190876546">
      <w:bodyDiv w:val="1"/>
      <w:marLeft w:val="0"/>
      <w:marRight w:val="0"/>
      <w:marTop w:val="0"/>
      <w:marBottom w:val="0"/>
      <w:divBdr>
        <w:top w:val="none" w:sz="0" w:space="0" w:color="auto"/>
        <w:left w:val="none" w:sz="0" w:space="0" w:color="auto"/>
        <w:bottom w:val="none" w:sz="0" w:space="0" w:color="auto"/>
        <w:right w:val="none" w:sz="0" w:space="0" w:color="auto"/>
      </w:divBdr>
    </w:div>
    <w:div w:id="1255742771">
      <w:bodyDiv w:val="1"/>
      <w:marLeft w:val="0"/>
      <w:marRight w:val="0"/>
      <w:marTop w:val="0"/>
      <w:marBottom w:val="0"/>
      <w:divBdr>
        <w:top w:val="none" w:sz="0" w:space="0" w:color="auto"/>
        <w:left w:val="none" w:sz="0" w:space="0" w:color="auto"/>
        <w:bottom w:val="none" w:sz="0" w:space="0" w:color="auto"/>
        <w:right w:val="none" w:sz="0" w:space="0" w:color="auto"/>
      </w:divBdr>
    </w:div>
    <w:div w:id="1388724135">
      <w:bodyDiv w:val="1"/>
      <w:marLeft w:val="0"/>
      <w:marRight w:val="0"/>
      <w:marTop w:val="0"/>
      <w:marBottom w:val="0"/>
      <w:divBdr>
        <w:top w:val="none" w:sz="0" w:space="0" w:color="auto"/>
        <w:left w:val="none" w:sz="0" w:space="0" w:color="auto"/>
        <w:bottom w:val="none" w:sz="0" w:space="0" w:color="auto"/>
        <w:right w:val="none" w:sz="0" w:space="0" w:color="auto"/>
      </w:divBdr>
    </w:div>
    <w:div w:id="1622300349">
      <w:bodyDiv w:val="1"/>
      <w:marLeft w:val="0"/>
      <w:marRight w:val="0"/>
      <w:marTop w:val="0"/>
      <w:marBottom w:val="0"/>
      <w:divBdr>
        <w:top w:val="none" w:sz="0" w:space="0" w:color="auto"/>
        <w:left w:val="none" w:sz="0" w:space="0" w:color="auto"/>
        <w:bottom w:val="none" w:sz="0" w:space="0" w:color="auto"/>
        <w:right w:val="none" w:sz="0" w:space="0" w:color="auto"/>
      </w:divBdr>
    </w:div>
    <w:div w:id="1646547551">
      <w:bodyDiv w:val="1"/>
      <w:marLeft w:val="0"/>
      <w:marRight w:val="0"/>
      <w:marTop w:val="0"/>
      <w:marBottom w:val="0"/>
      <w:divBdr>
        <w:top w:val="none" w:sz="0" w:space="0" w:color="auto"/>
        <w:left w:val="none" w:sz="0" w:space="0" w:color="auto"/>
        <w:bottom w:val="none" w:sz="0" w:space="0" w:color="auto"/>
        <w:right w:val="none" w:sz="0" w:space="0" w:color="auto"/>
      </w:divBdr>
    </w:div>
    <w:div w:id="1682582264">
      <w:bodyDiv w:val="1"/>
      <w:marLeft w:val="0"/>
      <w:marRight w:val="0"/>
      <w:marTop w:val="0"/>
      <w:marBottom w:val="0"/>
      <w:divBdr>
        <w:top w:val="none" w:sz="0" w:space="0" w:color="auto"/>
        <w:left w:val="none" w:sz="0" w:space="0" w:color="auto"/>
        <w:bottom w:val="none" w:sz="0" w:space="0" w:color="auto"/>
        <w:right w:val="none" w:sz="0" w:space="0" w:color="auto"/>
      </w:divBdr>
    </w:div>
    <w:div w:id="1784887513">
      <w:bodyDiv w:val="1"/>
      <w:marLeft w:val="0"/>
      <w:marRight w:val="0"/>
      <w:marTop w:val="0"/>
      <w:marBottom w:val="0"/>
      <w:divBdr>
        <w:top w:val="none" w:sz="0" w:space="0" w:color="auto"/>
        <w:left w:val="none" w:sz="0" w:space="0" w:color="auto"/>
        <w:bottom w:val="none" w:sz="0" w:space="0" w:color="auto"/>
        <w:right w:val="none" w:sz="0" w:space="0" w:color="auto"/>
      </w:divBdr>
    </w:div>
    <w:div w:id="1802653679">
      <w:bodyDiv w:val="1"/>
      <w:marLeft w:val="0"/>
      <w:marRight w:val="0"/>
      <w:marTop w:val="0"/>
      <w:marBottom w:val="0"/>
      <w:divBdr>
        <w:top w:val="none" w:sz="0" w:space="0" w:color="auto"/>
        <w:left w:val="none" w:sz="0" w:space="0" w:color="auto"/>
        <w:bottom w:val="none" w:sz="0" w:space="0" w:color="auto"/>
        <w:right w:val="none" w:sz="0" w:space="0" w:color="auto"/>
      </w:divBdr>
    </w:div>
    <w:div w:id="1812595391">
      <w:bodyDiv w:val="1"/>
      <w:marLeft w:val="0"/>
      <w:marRight w:val="0"/>
      <w:marTop w:val="0"/>
      <w:marBottom w:val="0"/>
      <w:divBdr>
        <w:top w:val="none" w:sz="0" w:space="0" w:color="auto"/>
        <w:left w:val="none" w:sz="0" w:space="0" w:color="auto"/>
        <w:bottom w:val="none" w:sz="0" w:space="0" w:color="auto"/>
        <w:right w:val="none" w:sz="0" w:space="0" w:color="auto"/>
      </w:divBdr>
    </w:div>
    <w:div w:id="1822306432">
      <w:bodyDiv w:val="1"/>
      <w:marLeft w:val="0"/>
      <w:marRight w:val="0"/>
      <w:marTop w:val="0"/>
      <w:marBottom w:val="0"/>
      <w:divBdr>
        <w:top w:val="none" w:sz="0" w:space="0" w:color="auto"/>
        <w:left w:val="none" w:sz="0" w:space="0" w:color="auto"/>
        <w:bottom w:val="none" w:sz="0" w:space="0" w:color="auto"/>
        <w:right w:val="none" w:sz="0" w:space="0" w:color="auto"/>
      </w:divBdr>
    </w:div>
    <w:div w:id="1904094531">
      <w:bodyDiv w:val="1"/>
      <w:marLeft w:val="0"/>
      <w:marRight w:val="0"/>
      <w:marTop w:val="0"/>
      <w:marBottom w:val="0"/>
      <w:divBdr>
        <w:top w:val="none" w:sz="0" w:space="0" w:color="auto"/>
        <w:left w:val="none" w:sz="0" w:space="0" w:color="auto"/>
        <w:bottom w:val="none" w:sz="0" w:space="0" w:color="auto"/>
        <w:right w:val="none" w:sz="0" w:space="0" w:color="auto"/>
      </w:divBdr>
    </w:div>
    <w:div w:id="1933003172">
      <w:bodyDiv w:val="1"/>
      <w:marLeft w:val="0"/>
      <w:marRight w:val="0"/>
      <w:marTop w:val="0"/>
      <w:marBottom w:val="0"/>
      <w:divBdr>
        <w:top w:val="none" w:sz="0" w:space="0" w:color="auto"/>
        <w:left w:val="none" w:sz="0" w:space="0" w:color="auto"/>
        <w:bottom w:val="none" w:sz="0" w:space="0" w:color="auto"/>
        <w:right w:val="none" w:sz="0" w:space="0" w:color="auto"/>
      </w:divBdr>
    </w:div>
    <w:div w:id="1999263528">
      <w:bodyDiv w:val="1"/>
      <w:marLeft w:val="0"/>
      <w:marRight w:val="0"/>
      <w:marTop w:val="0"/>
      <w:marBottom w:val="0"/>
      <w:divBdr>
        <w:top w:val="none" w:sz="0" w:space="0" w:color="auto"/>
        <w:left w:val="none" w:sz="0" w:space="0" w:color="auto"/>
        <w:bottom w:val="none" w:sz="0" w:space="0" w:color="auto"/>
        <w:right w:val="none" w:sz="0" w:space="0" w:color="auto"/>
      </w:divBdr>
    </w:div>
    <w:div w:id="2037651936">
      <w:bodyDiv w:val="1"/>
      <w:marLeft w:val="0"/>
      <w:marRight w:val="0"/>
      <w:marTop w:val="0"/>
      <w:marBottom w:val="0"/>
      <w:divBdr>
        <w:top w:val="none" w:sz="0" w:space="0" w:color="auto"/>
        <w:left w:val="none" w:sz="0" w:space="0" w:color="auto"/>
        <w:bottom w:val="none" w:sz="0" w:space="0" w:color="auto"/>
        <w:right w:val="none" w:sz="0" w:space="0" w:color="auto"/>
      </w:divBdr>
    </w:div>
    <w:div w:id="2044357122">
      <w:bodyDiv w:val="1"/>
      <w:marLeft w:val="0"/>
      <w:marRight w:val="0"/>
      <w:marTop w:val="0"/>
      <w:marBottom w:val="0"/>
      <w:divBdr>
        <w:top w:val="none" w:sz="0" w:space="0" w:color="auto"/>
        <w:left w:val="none" w:sz="0" w:space="0" w:color="auto"/>
        <w:bottom w:val="none" w:sz="0" w:space="0" w:color="auto"/>
        <w:right w:val="none" w:sz="0" w:space="0" w:color="auto"/>
      </w:divBdr>
    </w:div>
    <w:div w:id="205376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4.png"/><Relationship Id="rId26" Type="http://schemas.openxmlformats.org/officeDocument/2006/relationships/image" Target="media/image10.emf"/><Relationship Id="rId8"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customXml" Target="../customXml/item8.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emf"/><Relationship Id="rId25" Type="http://schemas.openxmlformats.org/officeDocument/2006/relationships/image" Target="media/image9.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vertivco.com/globalassets/documents/reports/2016-cost-of-data-center-outages-11-11_51190_1.pdf" TargetMode="External"/><Relationship Id="rId20" Type="http://schemas.openxmlformats.org/officeDocument/2006/relationships/image" Target="media/image6.png"/><Relationship Id="rId29" Type="http://schemas.openxmlformats.org/officeDocument/2006/relationships/image" Target="media/image13.emf"/><Relationship Id="rId24" Type="http://schemas.openxmlformats.org/officeDocument/2006/relationships/footer" Target="footer1.xml"/><Relationship Id="rId32" Type="http://schemas.openxmlformats.org/officeDocument/2006/relationships/fontTable" Target="fontTable.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header" Target="header1.xml"/><Relationship Id="rId28" Type="http://schemas.openxmlformats.org/officeDocument/2006/relationships/image" Target="media/image12.emf"/><Relationship Id="rId10" Type="http://schemas.openxmlformats.org/officeDocument/2006/relationships/settings" Target="settings.xml"/><Relationship Id="rId19" Type="http://schemas.openxmlformats.org/officeDocument/2006/relationships/image" Target="media/image5.emf"/><Relationship Id="rId31" Type="http://schemas.openxmlformats.org/officeDocument/2006/relationships/image" Target="media/image15.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image" Target="media/image8.png"/><Relationship Id="rId27" Type="http://schemas.openxmlformats.org/officeDocument/2006/relationships/image" Target="media/image11.emf"/><Relationship Id="rId30" Type="http://schemas.openxmlformats.org/officeDocument/2006/relationships/image" Target="media/image14.emf"/></Relationships>
</file>

<file path=word/_rels/footnotes.xml.rels><?xml version="1.0" encoding="UTF-8" standalone="yes"?>
<Relationships xmlns="http://schemas.openxmlformats.org/package/2006/relationships"><Relationship Id="rId8" Type="http://schemas.openxmlformats.org/officeDocument/2006/relationships/hyperlink" Target="http://snip.hacienda.gov.py/normativas/ley_4394.pdf" TargetMode="External"/><Relationship Id="rId3" Type="http://schemas.openxmlformats.org/officeDocument/2006/relationships/hyperlink" Target="https://datos.bancomundial.org/indicador/SI.POV.NAHC?end=2016&amp;locations=PY&amp;start=2002&amp;view=chart" TargetMode="External"/><Relationship Id="rId7" Type="http://schemas.openxmlformats.org/officeDocument/2006/relationships/hyperlink" Target="https://www.ultimahora.com/marito-propone-un-plan-estrategico-desarrollo-nacional-12-puntos-n1140913.html" TargetMode="External"/><Relationship Id="rId12" Type="http://schemas.openxmlformats.org/officeDocument/2006/relationships/hyperlink" Target="https://www.mef.gob.pe/contenidos/inv_publica/docs/instrumentos_metod/saneamiento/Guia-de-saneamiento-27-11.pdf" TargetMode="External"/><Relationship Id="rId2" Type="http://schemas.openxmlformats.org/officeDocument/2006/relationships/hyperlink" Target="https://datos.bancomundial.org/indicador/FP.CPI.TOTL.ZG?locations=PY" TargetMode="External"/><Relationship Id="rId1" Type="http://schemas.openxmlformats.org/officeDocument/2006/relationships/hyperlink" Target="https://datos.bancomundial.org/indicador/NY.GDP.MKTP.KD.ZG?locations=PY" TargetMode="External"/><Relationship Id="rId6" Type="http://schemas.openxmlformats.org/officeDocument/2006/relationships/hyperlink" Target="https://www.iadb.org/es/project/PR-L1027" TargetMode="External"/><Relationship Id="rId11" Type="http://schemas.openxmlformats.org/officeDocument/2006/relationships/hyperlink" Target="https://www.cepal.org/ilpes/noticias/paginas/1/52961/Doc-44.pdf" TargetMode="External"/><Relationship Id="rId5" Type="http://schemas.openxmlformats.org/officeDocument/2006/relationships/hyperlink" Target="https://datos.bancomundial.org/indicador/SP.POP.TOTL?locations=PY" TargetMode="External"/><Relationship Id="rId10" Type="http://schemas.openxmlformats.org/officeDocument/2006/relationships/hyperlink" Target="http://snip.hacienda.gov.py/directivas/10_Directiva_10_Tasa_Social_de_Descuento.pdf" TargetMode="External"/><Relationship Id="rId4" Type="http://schemas.openxmlformats.org/officeDocument/2006/relationships/hyperlink" Target="https://datos.bancomundial.org/indicador/SP.DYN.LE00.IN?locations=PY" TargetMode="External"/><Relationship Id="rId9" Type="http://schemas.openxmlformats.org/officeDocument/2006/relationships/hyperlink" Target="http://snip.hacienda.gov.py/normativas/guia_para_la_formulacion_de_proyectos_de_inversion_a_nivel_de_perfil.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24664BDD83443142ADC7ED21FA04F613" ma:contentTypeVersion="199" ma:contentTypeDescription="The base project type from which other project content types inherit their information." ma:contentTypeScope="" ma:versionID="69c62e6e7ea11e521b7cfe9c7535901e">
  <xsd:schema xmlns:xsd="http://www.w3.org/2001/XMLSchema" xmlns:xs="http://www.w3.org/2001/XMLSchema" xmlns:p="http://schemas.microsoft.com/office/2006/metadata/properties" xmlns:ns2="cdc7663a-08f0-4737-9e8c-148ce897a09c" targetNamespace="http://schemas.microsoft.com/office/2006/metadata/properties" ma:root="true" ma:fieldsID="4deb33ac507adffce74127005fc3ade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5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Susana Roman</Other_x0020_Author>
    <Migration_x0020_Info xmlns="cdc7663a-08f0-4737-9e8c-148ce897a09c" xsi:nil="true"/>
    <Approval_x0020_Number xmlns="cdc7663a-08f0-4737-9e8c-148ce897a09c" xsi:nil="true"/>
    <Phase xmlns="cdc7663a-08f0-4737-9e8c-148ce897a09c" xsi:nil="true"/>
    <Document_x0020_Author xmlns="cdc7663a-08f0-4737-9e8c-148ce897a09c">Radics, Gustavo Axel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37</Value>
      <Value>36</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PR-L1150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R0002809291</Record_x0020_Number>
    <_dlc_DocId xmlns="cdc7663a-08f0-4737-9e8c-148ce897a09c">EZSHARE-2079681596-11</_dlc_DocId>
    <_dlc_DocIdUrl xmlns="cdc7663a-08f0-4737-9e8c-148ce897a09c">
      <Url>https://idbg.sharepoint.com/teams/EZ-PR-LON/PR-L1150/_layouts/15/DocIdRedir.aspx?ID=EZSHARE-2079681596-11</Url>
      <Description>EZSHARE-2079681596-11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24664BDD83443142ADC7ED21FA04F613" ma:contentTypeVersion="194" ma:contentTypeDescription="The base project type from which other project content types inherit their information." ma:contentTypeScope="" ma:versionID="376264ce219310a937749ca6a4db9601">
  <xsd:schema xmlns:xsd="http://www.w3.org/2001/XMLSchema" xmlns:xs="http://www.w3.org/2001/XMLSchema" xmlns:p="http://schemas.microsoft.com/office/2006/metadata/properties" xmlns:ns2="cdc7663a-08f0-4737-9e8c-148ce897a09c" targetNamespace="http://schemas.microsoft.com/office/2006/metadata/properties" ma:root="true" ma:fieldsID="d3a9c3b162bd32760cc754fbe9da76b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5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D54C0A08ADA449B25B40F608E97349" ma:contentTypeVersion="199" ma:contentTypeDescription="A content type to manage public (operations) IDB documents" ma:contentTypeScope="" ma:versionID="90dbc5d6e441390546a3a2e0b6abc02f">
  <xsd:schema xmlns:xsd="http://www.w3.org/2001/XMLSchema" xmlns:xs="http://www.w3.org/2001/XMLSchema" xmlns:p="http://schemas.microsoft.com/office/2006/metadata/properties" xmlns:ns2="cdc7663a-08f0-4737-9e8c-148ce897a09c" targetNamespace="http://schemas.microsoft.com/office/2006/metadata/properties" ma:root="true" ma:fieldsID="611c274921d4794796ba42126419f6a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7CE767-54AF-453B-BAF8-4BDF14ECE1AF}"/>
</file>

<file path=customXml/itemProps2.xml><?xml version="1.0" encoding="utf-8"?>
<ds:datastoreItem xmlns:ds="http://schemas.openxmlformats.org/officeDocument/2006/customXml" ds:itemID="{5FF71338-FE21-433D-87A2-63C49CF75DEB}"/>
</file>

<file path=customXml/itemProps3.xml><?xml version="1.0" encoding="utf-8"?>
<ds:datastoreItem xmlns:ds="http://schemas.openxmlformats.org/officeDocument/2006/customXml" ds:itemID="{9026D16D-B691-4456-834F-25412AB6800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01B17698-084A-403E-8CFD-2D52EEFCB266}">
  <ds:schemaRefs>
    <ds:schemaRef ds:uri="http://schemas.microsoft.com/sharepoint/events"/>
  </ds:schemaRefs>
</ds:datastoreItem>
</file>

<file path=customXml/itemProps5.xml><?xml version="1.0" encoding="utf-8"?>
<ds:datastoreItem xmlns:ds="http://schemas.openxmlformats.org/officeDocument/2006/customXml" ds:itemID="{CF4AE671-6886-4A31-A8DB-136D27767568}">
  <ds:schemaRefs>
    <ds:schemaRef ds:uri="http://schemas.microsoft.com/sharepoint/v3/contenttype/forms"/>
  </ds:schemaRefs>
</ds:datastoreItem>
</file>

<file path=customXml/itemProps6.xml><?xml version="1.0" encoding="utf-8"?>
<ds:datastoreItem xmlns:ds="http://schemas.openxmlformats.org/officeDocument/2006/customXml" ds:itemID="{A226AD83-809F-4DA7-98B6-81E73BB43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893CA4B-FE19-4523-8F36-622A01DE7E45}">
  <ds:schemaRefs>
    <ds:schemaRef ds:uri="http://schemas.openxmlformats.org/officeDocument/2006/bibliography"/>
  </ds:schemaRefs>
</ds:datastoreItem>
</file>

<file path=customXml/itemProps8.xml><?xml version="1.0" encoding="utf-8"?>
<ds:datastoreItem xmlns:ds="http://schemas.openxmlformats.org/officeDocument/2006/customXml" ds:itemID="{F92ED85E-8D9D-43F4-821B-9B2221CD9BF4}"/>
</file>

<file path=docProps/app.xml><?xml version="1.0" encoding="utf-8"?>
<Properties xmlns="http://schemas.openxmlformats.org/officeDocument/2006/extended-properties" xmlns:vt="http://schemas.openxmlformats.org/officeDocument/2006/docPropsVTypes">
  <Template>Normal.dotm</Template>
  <TotalTime>21</TotalTime>
  <Pages>38</Pages>
  <Words>7193</Words>
  <Characters>41006</Characters>
  <Application>Microsoft Office Word</Application>
  <DocSecurity>0</DocSecurity>
  <Lines>341</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48103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Darwin</dc:creator>
  <cp:keywords/>
  <dc:description/>
  <cp:lastModifiedBy>Canillas Gomez, Mariana Belen</cp:lastModifiedBy>
  <cp:revision>9</cp:revision>
  <cp:lastPrinted>2017-04-03T17:21:00Z</cp:lastPrinted>
  <dcterms:created xsi:type="dcterms:W3CDTF">2018-08-27T16:41:00Z</dcterms:created>
  <dcterms:modified xsi:type="dcterms:W3CDTF">2018-08-30T20:54:00Z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37;#FISCAL POLICY FOR SUSTAINABILITY AND GROWTH|6e15b5e0-ae82-4b06-920a-eef6dd27cc8b</vt:lpwstr>
  </property>
  <property fmtid="{D5CDD505-2E9C-101B-9397-08002B2CF9AE}" pid="7" name="Fund IDB">
    <vt:lpwstr/>
  </property>
  <property fmtid="{D5CDD505-2E9C-101B-9397-08002B2CF9AE}" pid="8" name="Country">
    <vt:lpwstr>24;#Paraguay|50282442-27e7-4526-9d04-55bf5da33a10</vt:lpwstr>
  </property>
  <property fmtid="{D5CDD505-2E9C-101B-9397-08002B2CF9AE}" pid="9" name="Sector IDB">
    <vt:lpwstr>36;#REFORM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bbabe35c-f769-4e50-a768-c485d7069b1a</vt:lpwstr>
  </property>
  <property fmtid="{D5CDD505-2E9C-101B-9397-08002B2CF9AE}" pid="12" name="ContentTypeId">
    <vt:lpwstr>0x0101001A458A224826124E8B45B1D613300CFC003AD54C0A08ADA449B25B40F608E97349</vt:lpwstr>
  </property>
</Properties>
</file>