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00A8" w:rsidRPr="00EA1328" w:rsidRDefault="000C00A8" w:rsidP="000C00A8">
      <w:pPr>
        <w:pStyle w:val="Heading1a"/>
        <w:keepNext w:val="0"/>
        <w:keepLines w:val="0"/>
        <w:tabs>
          <w:tab w:val="clear" w:pos="-720"/>
        </w:tabs>
        <w:suppressAutoHyphens w:val="0"/>
        <w:jc w:val="left"/>
        <w:rPr>
          <w:rFonts w:ascii="Arial" w:hAnsi="Arial" w:cs="Arial"/>
          <w:bCs/>
          <w:smallCaps w:val="0"/>
          <w:sz w:val="22"/>
          <w:szCs w:val="22"/>
          <w:u w:val="single"/>
        </w:rPr>
      </w:pPr>
      <w:r w:rsidRPr="00EA1328">
        <w:rPr>
          <w:rFonts w:ascii="Arial" w:hAnsi="Arial" w:cs="Arial"/>
          <w:noProof/>
          <w:sz w:val="22"/>
          <w:szCs w:val="22"/>
        </w:rPr>
        <w:drawing>
          <wp:inline distT="0" distB="0" distL="0" distR="0" wp14:anchorId="5E49A989" wp14:editId="4AF9DFDC">
            <wp:extent cx="1952625" cy="495300"/>
            <wp:effectExtent l="0" t="0" r="9525" b="0"/>
            <wp:docPr id="162468437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4">
                      <a:extLst>
                        <a:ext uri="{28A0092B-C50C-407E-A947-70E740481C1C}">
                          <a14:useLocalDpi xmlns:a14="http://schemas.microsoft.com/office/drawing/2010/main" val="0"/>
                        </a:ext>
                      </a:extLst>
                    </a:blip>
                    <a:stretch>
                      <a:fillRect/>
                    </a:stretch>
                  </pic:blipFill>
                  <pic:spPr>
                    <a:xfrm>
                      <a:off x="0" y="0"/>
                      <a:ext cx="1952625" cy="495300"/>
                    </a:xfrm>
                    <a:prstGeom prst="rect">
                      <a:avLst/>
                    </a:prstGeom>
                  </pic:spPr>
                </pic:pic>
              </a:graphicData>
            </a:graphic>
          </wp:inline>
        </w:drawing>
      </w:r>
      <w:r w:rsidRPr="00EA1328">
        <w:rPr>
          <w:rFonts w:ascii="Arial" w:eastAsiaTheme="minorEastAsia" w:hAnsi="Arial" w:cs="Arial"/>
          <w:noProof/>
          <w:sz w:val="22"/>
          <w:szCs w:val="22"/>
        </w:rPr>
        <w:t xml:space="preserve">                </w:t>
      </w:r>
    </w:p>
    <w:p w:rsidR="000C00A8" w:rsidRPr="00EA1328" w:rsidRDefault="000C00A8" w:rsidP="000C00A8">
      <w:pPr>
        <w:pStyle w:val="Heading1a"/>
        <w:keepNext w:val="0"/>
        <w:keepLines w:val="0"/>
        <w:tabs>
          <w:tab w:val="clear" w:pos="-720"/>
        </w:tabs>
        <w:suppressAutoHyphens w:val="0"/>
        <w:rPr>
          <w:rFonts w:ascii="Arial" w:eastAsiaTheme="minorEastAsia" w:hAnsi="Arial" w:cs="Arial"/>
          <w:sz w:val="22"/>
          <w:szCs w:val="22"/>
          <w:u w:val="single"/>
        </w:rPr>
      </w:pPr>
      <w:r w:rsidRPr="00EA1328">
        <w:rPr>
          <w:rFonts w:ascii="Arial" w:eastAsiaTheme="minorEastAsia" w:hAnsi="Arial" w:cs="Arial"/>
          <w:smallCaps w:val="0"/>
          <w:sz w:val="22"/>
          <w:szCs w:val="22"/>
          <w:u w:val="single"/>
        </w:rPr>
        <w:t>REQUEST FOR EXPRESSIONS OF INTEREST</w:t>
      </w:r>
    </w:p>
    <w:p w:rsidR="000C00A8" w:rsidRPr="00EA1328" w:rsidRDefault="000C00A8" w:rsidP="000C00A8">
      <w:pPr>
        <w:pStyle w:val="Heading1a"/>
        <w:keepNext w:val="0"/>
        <w:keepLines w:val="0"/>
        <w:tabs>
          <w:tab w:val="clear" w:pos="-720"/>
        </w:tabs>
        <w:suppressAutoHyphens w:val="0"/>
        <w:rPr>
          <w:rFonts w:ascii="Arial" w:eastAsiaTheme="minorEastAsia" w:hAnsi="Arial" w:cs="Arial"/>
          <w:color w:val="FF0000"/>
          <w:sz w:val="22"/>
          <w:szCs w:val="22"/>
          <w:u w:val="single"/>
        </w:rPr>
      </w:pPr>
      <w:r w:rsidRPr="00EA1328">
        <w:rPr>
          <w:rFonts w:ascii="Arial" w:eastAsiaTheme="minorEastAsia" w:hAnsi="Arial" w:cs="Arial"/>
          <w:smallCaps w:val="0"/>
          <w:sz w:val="22"/>
          <w:szCs w:val="22"/>
          <w:u w:val="single"/>
        </w:rPr>
        <w:t xml:space="preserve">CONSULTING SERVICES </w:t>
      </w:r>
    </w:p>
    <w:p w:rsidR="000C00A8" w:rsidRPr="00EA1328" w:rsidRDefault="000C00A8" w:rsidP="000C00A8">
      <w:pPr>
        <w:jc w:val="both"/>
        <w:rPr>
          <w:color w:val="auto"/>
          <w:sz w:val="22"/>
          <w:szCs w:val="22"/>
        </w:rPr>
      </w:pPr>
      <w:bookmarkStart w:id="0" w:name="_GoBack"/>
      <w:bookmarkEnd w:id="0"/>
    </w:p>
    <w:p w:rsidR="000C00A8" w:rsidRPr="00EA1328" w:rsidRDefault="000C00A8" w:rsidP="000C00A8">
      <w:pPr>
        <w:suppressAutoHyphens/>
        <w:rPr>
          <w:color w:val="auto"/>
          <w:sz w:val="22"/>
          <w:szCs w:val="22"/>
        </w:rPr>
      </w:pPr>
      <w:r w:rsidRPr="00EA1328">
        <w:rPr>
          <w:b/>
          <w:color w:val="auto"/>
          <w:spacing w:val="-2"/>
          <w:sz w:val="22"/>
          <w:szCs w:val="22"/>
        </w:rPr>
        <w:t>Selection # as assigned by e-Tool</w:t>
      </w:r>
      <w:r w:rsidRPr="00EA1328">
        <w:rPr>
          <w:color w:val="auto"/>
          <w:spacing w:val="-2"/>
          <w:sz w:val="22"/>
          <w:szCs w:val="22"/>
        </w:rPr>
        <w:t>:</w:t>
      </w:r>
      <w:r>
        <w:rPr>
          <w:color w:val="auto"/>
          <w:spacing w:val="-2"/>
          <w:sz w:val="22"/>
          <w:szCs w:val="22"/>
        </w:rPr>
        <w:t xml:space="preserve"> </w:t>
      </w:r>
      <w:bookmarkStart w:id="1" w:name="_Hlk482877425"/>
      <w:r>
        <w:rPr>
          <w:color w:val="auto"/>
          <w:spacing w:val="-2"/>
          <w:sz w:val="22"/>
          <w:szCs w:val="22"/>
        </w:rPr>
        <w:t>GY-T1140</w:t>
      </w:r>
      <w:r w:rsidRPr="00EA1328">
        <w:rPr>
          <w:color w:val="auto"/>
          <w:spacing w:val="-2"/>
          <w:sz w:val="22"/>
          <w:szCs w:val="22"/>
        </w:rPr>
        <w:t>-P001</w:t>
      </w:r>
      <w:bookmarkEnd w:id="1"/>
    </w:p>
    <w:p w:rsidR="000C00A8" w:rsidRPr="00EA1328" w:rsidRDefault="000C00A8" w:rsidP="000C00A8">
      <w:pPr>
        <w:rPr>
          <w:color w:val="auto"/>
          <w:sz w:val="22"/>
          <w:szCs w:val="22"/>
        </w:rPr>
      </w:pPr>
      <w:r w:rsidRPr="00EA1328">
        <w:rPr>
          <w:b/>
          <w:color w:val="auto"/>
          <w:sz w:val="22"/>
          <w:szCs w:val="22"/>
        </w:rPr>
        <w:t>Selection Method:</w:t>
      </w:r>
      <w:r w:rsidRPr="00EA1328">
        <w:rPr>
          <w:color w:val="auto"/>
          <w:sz w:val="22"/>
          <w:szCs w:val="22"/>
        </w:rPr>
        <w:t xml:space="preserve"> </w:t>
      </w:r>
      <w:r w:rsidRPr="000C00A8">
        <w:rPr>
          <w:color w:val="auto"/>
          <w:sz w:val="22"/>
          <w:szCs w:val="22"/>
        </w:rPr>
        <w:t xml:space="preserve">Simplified </w:t>
      </w:r>
      <w:r w:rsidR="00E67123" w:rsidRPr="000C00A8">
        <w:rPr>
          <w:color w:val="auto"/>
          <w:sz w:val="22"/>
          <w:szCs w:val="22"/>
        </w:rPr>
        <w:t>Competitive</w:t>
      </w:r>
      <w:r w:rsidRPr="000C00A8">
        <w:rPr>
          <w:color w:val="auto"/>
          <w:sz w:val="22"/>
          <w:szCs w:val="22"/>
        </w:rPr>
        <w:t xml:space="preserve"> Selection</w:t>
      </w:r>
    </w:p>
    <w:p w:rsidR="000C00A8" w:rsidRPr="00EA1328" w:rsidRDefault="000C00A8" w:rsidP="000C00A8">
      <w:pPr>
        <w:suppressAutoHyphens/>
        <w:rPr>
          <w:i/>
          <w:iCs/>
          <w:color w:val="auto"/>
          <w:sz w:val="22"/>
          <w:szCs w:val="22"/>
        </w:rPr>
      </w:pPr>
      <w:r w:rsidRPr="00EA1328">
        <w:rPr>
          <w:b/>
          <w:color w:val="auto"/>
          <w:spacing w:val="-2"/>
          <w:sz w:val="22"/>
          <w:szCs w:val="22"/>
        </w:rPr>
        <w:t>Country:</w:t>
      </w:r>
      <w:r w:rsidRPr="00EA1328">
        <w:rPr>
          <w:color w:val="auto"/>
          <w:spacing w:val="-2"/>
          <w:sz w:val="22"/>
          <w:szCs w:val="22"/>
        </w:rPr>
        <w:t xml:space="preserve"> Guyana</w:t>
      </w:r>
      <w:r w:rsidRPr="00EA1328">
        <w:rPr>
          <w:i/>
          <w:iCs/>
          <w:color w:val="auto"/>
          <w:sz w:val="22"/>
          <w:szCs w:val="22"/>
        </w:rPr>
        <w:t xml:space="preserve"> </w:t>
      </w:r>
    </w:p>
    <w:p w:rsidR="000C00A8" w:rsidRPr="00EA1328" w:rsidRDefault="000C00A8" w:rsidP="000C00A8">
      <w:pPr>
        <w:suppressAutoHyphens/>
        <w:rPr>
          <w:i/>
          <w:iCs/>
          <w:color w:val="auto"/>
          <w:sz w:val="22"/>
          <w:szCs w:val="22"/>
        </w:rPr>
      </w:pPr>
      <w:r w:rsidRPr="00EA1328">
        <w:rPr>
          <w:b/>
          <w:iCs/>
          <w:color w:val="auto"/>
          <w:sz w:val="22"/>
          <w:szCs w:val="22"/>
        </w:rPr>
        <w:t>Sector:</w:t>
      </w:r>
      <w:r w:rsidRPr="00EA1328">
        <w:rPr>
          <w:i/>
          <w:iCs/>
          <w:color w:val="auto"/>
          <w:sz w:val="22"/>
          <w:szCs w:val="22"/>
        </w:rPr>
        <w:t xml:space="preserve"> </w:t>
      </w:r>
      <w:r w:rsidRPr="00EA1328">
        <w:rPr>
          <w:iCs/>
          <w:color w:val="auto"/>
          <w:sz w:val="22"/>
          <w:szCs w:val="22"/>
        </w:rPr>
        <w:t xml:space="preserve">Public </w:t>
      </w:r>
      <w:r>
        <w:rPr>
          <w:iCs/>
          <w:color w:val="auto"/>
          <w:sz w:val="22"/>
          <w:szCs w:val="22"/>
        </w:rPr>
        <w:t xml:space="preserve">Sector </w:t>
      </w:r>
      <w:r w:rsidRPr="00EA1328">
        <w:rPr>
          <w:iCs/>
          <w:color w:val="auto"/>
          <w:sz w:val="22"/>
          <w:szCs w:val="22"/>
        </w:rPr>
        <w:t>Management</w:t>
      </w:r>
    </w:p>
    <w:p w:rsidR="000C00A8" w:rsidRPr="00EA1328" w:rsidRDefault="000C00A8" w:rsidP="000C00A8">
      <w:pPr>
        <w:suppressAutoHyphens/>
        <w:rPr>
          <w:i/>
          <w:iCs/>
          <w:color w:val="auto"/>
          <w:sz w:val="22"/>
          <w:szCs w:val="22"/>
        </w:rPr>
      </w:pPr>
      <w:r w:rsidRPr="00EA1328">
        <w:rPr>
          <w:b/>
          <w:iCs/>
          <w:color w:val="auto"/>
          <w:sz w:val="22"/>
          <w:szCs w:val="22"/>
        </w:rPr>
        <w:t>Funding – TC #:</w:t>
      </w:r>
      <w:r w:rsidRPr="00EA1328">
        <w:rPr>
          <w:i/>
          <w:iCs/>
          <w:color w:val="auto"/>
          <w:sz w:val="22"/>
          <w:szCs w:val="22"/>
        </w:rPr>
        <w:t xml:space="preserve"> </w:t>
      </w:r>
      <w:bookmarkStart w:id="2" w:name="_Hlk482877366"/>
      <w:r w:rsidRPr="002647E1">
        <w:rPr>
          <w:iCs/>
          <w:color w:val="auto"/>
          <w:sz w:val="22"/>
          <w:szCs w:val="22"/>
        </w:rPr>
        <w:t>ATN/OC-16142-GY</w:t>
      </w:r>
      <w:bookmarkEnd w:id="2"/>
    </w:p>
    <w:p w:rsidR="000C00A8" w:rsidRPr="00EA1328" w:rsidRDefault="000C00A8" w:rsidP="000C00A8">
      <w:pPr>
        <w:pStyle w:val="BodyText"/>
        <w:rPr>
          <w:rFonts w:ascii="Arial" w:hAnsi="Arial" w:cs="Arial"/>
          <w:sz w:val="22"/>
          <w:szCs w:val="22"/>
        </w:rPr>
      </w:pPr>
      <w:r w:rsidRPr="00EA1328">
        <w:rPr>
          <w:rFonts w:ascii="Arial" w:eastAsiaTheme="minorEastAsia" w:hAnsi="Arial" w:cs="Arial"/>
          <w:b/>
          <w:iCs/>
          <w:sz w:val="22"/>
          <w:szCs w:val="22"/>
        </w:rPr>
        <w:t>Project #:</w:t>
      </w:r>
      <w:r w:rsidRPr="00EA1328">
        <w:rPr>
          <w:rFonts w:ascii="Arial" w:eastAsiaTheme="minorEastAsia" w:hAnsi="Arial" w:cs="Arial"/>
          <w:i/>
          <w:iCs/>
          <w:sz w:val="22"/>
          <w:szCs w:val="22"/>
        </w:rPr>
        <w:t xml:space="preserve"> </w:t>
      </w:r>
      <w:r w:rsidRPr="00EA1328">
        <w:rPr>
          <w:rFonts w:ascii="Arial" w:eastAsiaTheme="minorEastAsia" w:hAnsi="Arial" w:cs="Arial"/>
          <w:iCs/>
          <w:sz w:val="22"/>
          <w:szCs w:val="22"/>
        </w:rPr>
        <w:t>GY-T1140</w:t>
      </w:r>
    </w:p>
    <w:p w:rsidR="000C00A8" w:rsidRPr="00EA1328" w:rsidRDefault="000C00A8" w:rsidP="000C00A8">
      <w:pPr>
        <w:pStyle w:val="BodyText"/>
        <w:tabs>
          <w:tab w:val="left" w:pos="6645"/>
          <w:tab w:val="left" w:pos="8340"/>
        </w:tabs>
        <w:rPr>
          <w:rFonts w:ascii="Arial" w:hAnsi="Arial" w:cs="Arial"/>
          <w:sz w:val="22"/>
          <w:szCs w:val="22"/>
        </w:rPr>
      </w:pPr>
      <w:r w:rsidRPr="00EA1328">
        <w:rPr>
          <w:rFonts w:ascii="Arial" w:eastAsiaTheme="minorEastAsia" w:hAnsi="Arial" w:cs="Arial"/>
          <w:b/>
          <w:iCs/>
          <w:sz w:val="22"/>
          <w:szCs w:val="22"/>
        </w:rPr>
        <w:t>TC name:</w:t>
      </w:r>
      <w:r w:rsidRPr="00EA1328">
        <w:rPr>
          <w:rFonts w:ascii="Arial" w:eastAsiaTheme="minorEastAsia" w:hAnsi="Arial" w:cs="Arial"/>
          <w:i/>
          <w:iCs/>
          <w:sz w:val="22"/>
          <w:szCs w:val="22"/>
        </w:rPr>
        <w:t xml:space="preserve"> </w:t>
      </w:r>
      <w:r w:rsidRPr="00EA1328">
        <w:rPr>
          <w:rFonts w:ascii="Arial" w:eastAsiaTheme="minorEastAsia" w:hAnsi="Arial" w:cs="Arial"/>
          <w:iCs/>
          <w:sz w:val="22"/>
          <w:szCs w:val="22"/>
        </w:rPr>
        <w:t>Policy and Project Implementation Support</w:t>
      </w:r>
      <w:r w:rsidRPr="00EA1328">
        <w:rPr>
          <w:rFonts w:ascii="Arial" w:eastAsiaTheme="minorEastAsia" w:hAnsi="Arial" w:cs="Arial"/>
          <w:i/>
          <w:iCs/>
          <w:sz w:val="22"/>
          <w:szCs w:val="22"/>
        </w:rPr>
        <w:t xml:space="preserve"> </w:t>
      </w:r>
      <w:r w:rsidRPr="00EA1328">
        <w:rPr>
          <w:rFonts w:ascii="Arial" w:eastAsiaTheme="minorEastAsia" w:hAnsi="Arial" w:cs="Arial"/>
          <w:i/>
          <w:iCs/>
          <w:sz w:val="22"/>
          <w:szCs w:val="22"/>
        </w:rPr>
        <w:tab/>
      </w:r>
      <w:r>
        <w:rPr>
          <w:rFonts w:ascii="Arial" w:eastAsiaTheme="minorEastAsia" w:hAnsi="Arial" w:cs="Arial"/>
          <w:i/>
          <w:iCs/>
          <w:sz w:val="22"/>
          <w:szCs w:val="22"/>
        </w:rPr>
        <w:tab/>
      </w:r>
    </w:p>
    <w:p w:rsidR="000C00A8" w:rsidRDefault="000C00A8" w:rsidP="000C00A8">
      <w:pPr>
        <w:pStyle w:val="BodyText"/>
        <w:tabs>
          <w:tab w:val="left" w:pos="7632"/>
        </w:tabs>
        <w:rPr>
          <w:rFonts w:ascii="Arial" w:eastAsiaTheme="minorEastAsia" w:hAnsi="Arial" w:cs="Arial"/>
          <w:b/>
          <w:iCs/>
          <w:sz w:val="22"/>
          <w:szCs w:val="22"/>
        </w:rPr>
      </w:pPr>
      <w:r>
        <w:rPr>
          <w:rFonts w:ascii="Arial" w:eastAsiaTheme="minorEastAsia" w:hAnsi="Arial" w:cs="Arial"/>
          <w:b/>
          <w:iCs/>
          <w:sz w:val="22"/>
          <w:szCs w:val="22"/>
        </w:rPr>
        <w:tab/>
      </w:r>
    </w:p>
    <w:p w:rsidR="000C00A8" w:rsidRPr="00EA1328" w:rsidRDefault="000C00A8" w:rsidP="000C00A8">
      <w:pPr>
        <w:pStyle w:val="BodyText"/>
        <w:rPr>
          <w:rFonts w:ascii="Arial" w:eastAsiaTheme="minorEastAsia" w:hAnsi="Arial" w:cs="Arial"/>
          <w:b/>
          <w:iCs/>
          <w:sz w:val="22"/>
          <w:szCs w:val="22"/>
        </w:rPr>
      </w:pPr>
      <w:r w:rsidRPr="00EA1328">
        <w:rPr>
          <w:rFonts w:ascii="Arial" w:eastAsiaTheme="minorEastAsia" w:hAnsi="Arial" w:cs="Arial"/>
          <w:b/>
          <w:iCs/>
          <w:sz w:val="22"/>
          <w:szCs w:val="22"/>
        </w:rPr>
        <w:t xml:space="preserve">Description of Services:  </w:t>
      </w:r>
    </w:p>
    <w:p w:rsidR="000C00A8" w:rsidRPr="00EA1328" w:rsidRDefault="000C00A8" w:rsidP="000C00A8">
      <w:pPr>
        <w:pStyle w:val="BodyText"/>
        <w:rPr>
          <w:rFonts w:ascii="Arial" w:eastAsiaTheme="minorEastAsia" w:hAnsi="Arial" w:cs="Arial"/>
          <w:i/>
          <w:iCs/>
          <w:sz w:val="22"/>
          <w:szCs w:val="22"/>
        </w:rPr>
      </w:pPr>
    </w:p>
    <w:p w:rsidR="000C00A8" w:rsidRPr="00EA1328" w:rsidRDefault="000C00A8" w:rsidP="000C00A8">
      <w:pPr>
        <w:pStyle w:val="BodyText"/>
        <w:jc w:val="both"/>
        <w:rPr>
          <w:rFonts w:ascii="Arial" w:eastAsiaTheme="minorEastAsia" w:hAnsi="Arial" w:cs="Arial"/>
          <w:i/>
          <w:iCs/>
          <w:sz w:val="22"/>
          <w:szCs w:val="22"/>
        </w:rPr>
      </w:pPr>
      <w:r w:rsidRPr="002647E1">
        <w:rPr>
          <w:rFonts w:ascii="Arial" w:eastAsiaTheme="minorEastAsia" w:hAnsi="Arial" w:cs="Arial"/>
          <w:b/>
          <w:iCs/>
          <w:sz w:val="22"/>
          <w:szCs w:val="22"/>
        </w:rPr>
        <w:t>Link to TC document:</w:t>
      </w:r>
      <w:r w:rsidRPr="002647E1">
        <w:rPr>
          <w:rFonts w:ascii="Arial" w:eastAsiaTheme="minorEastAsia" w:hAnsi="Arial" w:cs="Arial"/>
          <w:i/>
          <w:iCs/>
          <w:sz w:val="22"/>
          <w:szCs w:val="22"/>
        </w:rPr>
        <w:t xml:space="preserve"> </w:t>
      </w:r>
      <w:bookmarkStart w:id="3" w:name="_Hlk482877397"/>
      <w:r w:rsidR="004934C5">
        <w:fldChar w:fldCharType="begin"/>
      </w:r>
      <w:r w:rsidR="004934C5">
        <w:instrText xml:space="preserve"> HYPERLINK "http://www.iadb.org/en/projects/project-description-title,1303.html?id=GY-T1140" </w:instrText>
      </w:r>
      <w:r w:rsidR="004934C5">
        <w:fldChar w:fldCharType="separate"/>
      </w:r>
      <w:r w:rsidRPr="002647E1">
        <w:rPr>
          <w:rStyle w:val="Hyperlink"/>
          <w:rFonts w:ascii="Arial" w:eastAsiaTheme="minorEastAsia" w:hAnsi="Arial" w:cs="Arial"/>
          <w:sz w:val="22"/>
          <w:szCs w:val="22"/>
        </w:rPr>
        <w:t>http://www.iadb.org/en/projects/project-description-title,1303.html?id=GY-T1140</w:t>
      </w:r>
      <w:r w:rsidR="004934C5">
        <w:rPr>
          <w:rStyle w:val="Hyperlink"/>
          <w:rFonts w:ascii="Arial" w:eastAsiaTheme="minorEastAsia" w:hAnsi="Arial" w:cs="Arial"/>
          <w:sz w:val="22"/>
          <w:szCs w:val="22"/>
        </w:rPr>
        <w:fldChar w:fldCharType="end"/>
      </w:r>
      <w:r>
        <w:rPr>
          <w:rFonts w:ascii="Arial" w:eastAsiaTheme="minorEastAsia" w:hAnsi="Arial" w:cs="Arial"/>
          <w:i/>
          <w:iCs/>
          <w:sz w:val="22"/>
          <w:szCs w:val="22"/>
        </w:rPr>
        <w:t xml:space="preserve"> </w:t>
      </w:r>
    </w:p>
    <w:bookmarkEnd w:id="3"/>
    <w:p w:rsidR="000C00A8" w:rsidRPr="00EA1328" w:rsidRDefault="000C00A8" w:rsidP="000C00A8">
      <w:pPr>
        <w:pStyle w:val="BodyText"/>
        <w:rPr>
          <w:rFonts w:ascii="Arial" w:eastAsiaTheme="minorEastAsia" w:hAnsi="Arial" w:cs="Arial"/>
          <w:spacing w:val="0"/>
          <w:sz w:val="22"/>
          <w:szCs w:val="22"/>
          <w:lang w:eastAsia="es-AR"/>
        </w:rPr>
      </w:pPr>
    </w:p>
    <w:p w:rsidR="000C00A8" w:rsidRPr="00EA1328" w:rsidRDefault="000C00A8" w:rsidP="000C00A8">
      <w:pPr>
        <w:pStyle w:val="BodyText"/>
        <w:jc w:val="both"/>
        <w:rPr>
          <w:rFonts w:ascii="Arial" w:eastAsiaTheme="minorEastAsia" w:hAnsi="Arial" w:cs="Arial"/>
          <w:spacing w:val="0"/>
          <w:sz w:val="22"/>
          <w:szCs w:val="22"/>
          <w:lang w:eastAsia="es-AR"/>
        </w:rPr>
      </w:pPr>
      <w:r w:rsidRPr="00EA1328">
        <w:rPr>
          <w:rFonts w:ascii="Arial" w:eastAsiaTheme="minorEastAsia" w:hAnsi="Arial" w:cs="Arial"/>
          <w:spacing w:val="0"/>
          <w:sz w:val="22"/>
          <w:szCs w:val="22"/>
          <w:lang w:eastAsia="es-AR"/>
        </w:rPr>
        <w:t>The Inter-American Development Bank (IDB) is executing the above-mentioned operation.  For this operation, the IDB intends to contract consulting services described in this Request for Expressions of Interest.</w:t>
      </w:r>
    </w:p>
    <w:p w:rsidR="000C00A8" w:rsidRPr="00EA1328" w:rsidRDefault="000C00A8" w:rsidP="000C00A8">
      <w:pPr>
        <w:spacing w:line="320" w:lineRule="atLeast"/>
        <w:jc w:val="both"/>
        <w:rPr>
          <w:color w:val="auto"/>
          <w:sz w:val="22"/>
          <w:szCs w:val="22"/>
        </w:rPr>
      </w:pPr>
    </w:p>
    <w:p w:rsidR="000C00A8" w:rsidRPr="00EA1328" w:rsidRDefault="000C00A8" w:rsidP="000C00A8">
      <w:pPr>
        <w:suppressAutoHyphens/>
        <w:jc w:val="both"/>
        <w:rPr>
          <w:color w:val="auto"/>
          <w:sz w:val="22"/>
          <w:szCs w:val="22"/>
        </w:rPr>
      </w:pPr>
      <w:r w:rsidRPr="00EA1328">
        <w:rPr>
          <w:color w:val="auto"/>
          <w:sz w:val="22"/>
          <w:szCs w:val="22"/>
        </w:rPr>
        <w:t xml:space="preserve">The consulting services include: </w:t>
      </w:r>
      <w:r>
        <w:rPr>
          <w:color w:val="auto"/>
          <w:sz w:val="22"/>
          <w:szCs w:val="22"/>
        </w:rPr>
        <w:t>(i</w:t>
      </w:r>
      <w:r w:rsidRPr="00EA1328">
        <w:rPr>
          <w:color w:val="auto"/>
          <w:sz w:val="22"/>
          <w:szCs w:val="22"/>
        </w:rPr>
        <w:t>) </w:t>
      </w:r>
      <w:r>
        <w:rPr>
          <w:color w:val="auto"/>
          <w:sz w:val="22"/>
          <w:szCs w:val="22"/>
        </w:rPr>
        <w:t xml:space="preserve">the </w:t>
      </w:r>
      <w:r w:rsidRPr="00EA1328">
        <w:rPr>
          <w:color w:val="auto"/>
          <w:sz w:val="22"/>
          <w:szCs w:val="22"/>
        </w:rPr>
        <w:t xml:space="preserve">development of a work plan with a proposed methodology, detailed activities to be undertaken and a timeline to achieve each of them; (ii) </w:t>
      </w:r>
      <w:r w:rsidR="004934C5">
        <w:rPr>
          <w:color w:val="auto"/>
          <w:sz w:val="22"/>
          <w:szCs w:val="22"/>
        </w:rPr>
        <w:t>an initial diagnostic</w:t>
      </w:r>
      <w:r w:rsidRPr="00EA1328">
        <w:rPr>
          <w:color w:val="auto"/>
          <w:sz w:val="22"/>
          <w:szCs w:val="22"/>
        </w:rPr>
        <w:t xml:space="preserve"> of the existing institutional and legal framework as well as actual practices in Guyana for the planning and implementation of the Public Sector Investment Program </w:t>
      </w:r>
      <w:r>
        <w:rPr>
          <w:color w:val="auto"/>
          <w:sz w:val="22"/>
          <w:szCs w:val="22"/>
        </w:rPr>
        <w:t>(</w:t>
      </w:r>
      <w:r w:rsidRPr="00EA1328">
        <w:rPr>
          <w:color w:val="auto"/>
          <w:sz w:val="22"/>
          <w:szCs w:val="22"/>
        </w:rPr>
        <w:t>PSIP</w:t>
      </w:r>
      <w:r>
        <w:rPr>
          <w:color w:val="auto"/>
          <w:sz w:val="22"/>
          <w:szCs w:val="22"/>
        </w:rPr>
        <w:t>)</w:t>
      </w:r>
      <w:r w:rsidRPr="00EA1328">
        <w:rPr>
          <w:color w:val="auto"/>
          <w:sz w:val="22"/>
          <w:szCs w:val="22"/>
        </w:rPr>
        <w:t>, including budget, procurement, financial management and anti-corruption issues, that may prevent the government from having an efficient, effective and transparent execution of investment projects. The analysis should have a special focus on investment projects financed through intern</w:t>
      </w:r>
      <w:r>
        <w:rPr>
          <w:color w:val="auto"/>
          <w:sz w:val="22"/>
          <w:szCs w:val="22"/>
        </w:rPr>
        <w:t>ational organizations; (iii)</w:t>
      </w:r>
      <w:r w:rsidR="004934C5">
        <w:rPr>
          <w:color w:val="auto"/>
          <w:sz w:val="22"/>
          <w:szCs w:val="22"/>
        </w:rPr>
        <w:t xml:space="preserve"> a final diagnostic report based on feedback from IDB and other stakeholders; (iv)</w:t>
      </w:r>
      <w:r>
        <w:rPr>
          <w:color w:val="auto"/>
          <w:sz w:val="22"/>
          <w:szCs w:val="22"/>
        </w:rPr>
        <w:t> </w:t>
      </w:r>
      <w:r w:rsidRPr="00EA1328">
        <w:rPr>
          <w:color w:val="auto"/>
          <w:sz w:val="22"/>
          <w:szCs w:val="22"/>
        </w:rPr>
        <w:t>proposed recommendations to address these issues and enhance efficiency, effectiveness and transparency of the PSIP</w:t>
      </w:r>
      <w:r>
        <w:rPr>
          <w:color w:val="auto"/>
          <w:sz w:val="22"/>
          <w:szCs w:val="22"/>
        </w:rPr>
        <w:t>; and (v) a detailed action plan to implement the recommendations accepted by the Government of Guyana.</w:t>
      </w:r>
    </w:p>
    <w:p w:rsidR="000C00A8" w:rsidRPr="00EA1328" w:rsidRDefault="000C00A8" w:rsidP="000C00A8">
      <w:pPr>
        <w:suppressAutoHyphens/>
        <w:jc w:val="both"/>
        <w:rPr>
          <w:color w:val="auto"/>
          <w:sz w:val="22"/>
          <w:szCs w:val="22"/>
        </w:rPr>
      </w:pPr>
    </w:p>
    <w:p w:rsidR="000C00A8" w:rsidRDefault="000C00A8" w:rsidP="000C00A8">
      <w:pPr>
        <w:suppressAutoHyphens/>
        <w:jc w:val="both"/>
        <w:rPr>
          <w:color w:val="auto"/>
          <w:sz w:val="22"/>
          <w:szCs w:val="22"/>
        </w:rPr>
      </w:pPr>
      <w:r w:rsidRPr="00EA1328">
        <w:rPr>
          <w:color w:val="auto"/>
          <w:sz w:val="22"/>
          <w:szCs w:val="22"/>
        </w:rPr>
        <w:t>The consultancy is expected to take place over a 3-month period starting in June 2017, with the initial deliverable to be submitted 5 working days after signing the contract. Consultancy activities will be carried out in Guyana and the consultant’s home country.</w:t>
      </w:r>
    </w:p>
    <w:p w:rsidR="000C00A8" w:rsidRDefault="000C00A8" w:rsidP="000C00A8">
      <w:pPr>
        <w:suppressAutoHyphens/>
        <w:jc w:val="both"/>
        <w:rPr>
          <w:color w:val="auto"/>
          <w:sz w:val="22"/>
          <w:szCs w:val="22"/>
        </w:rPr>
      </w:pPr>
    </w:p>
    <w:p w:rsidR="000C00A8" w:rsidRPr="00EA1328" w:rsidRDefault="000C00A8" w:rsidP="000C00A8">
      <w:pPr>
        <w:suppressAutoHyphens/>
        <w:jc w:val="both"/>
        <w:rPr>
          <w:color w:val="auto"/>
          <w:sz w:val="22"/>
          <w:szCs w:val="22"/>
        </w:rPr>
      </w:pPr>
      <w:r>
        <w:rPr>
          <w:color w:val="auto"/>
          <w:sz w:val="22"/>
          <w:szCs w:val="22"/>
        </w:rPr>
        <w:t xml:space="preserve">The consulting firms must have a </w:t>
      </w:r>
      <w:r w:rsidRPr="00EA1328">
        <w:rPr>
          <w:color w:val="auto"/>
          <w:sz w:val="22"/>
          <w:szCs w:val="22"/>
        </w:rPr>
        <w:t xml:space="preserve">project team with in-depth, hands-on experience </w:t>
      </w:r>
      <w:r w:rsidR="004934C5">
        <w:rPr>
          <w:color w:val="auto"/>
          <w:sz w:val="22"/>
          <w:szCs w:val="22"/>
        </w:rPr>
        <w:t>in</w:t>
      </w:r>
      <w:r w:rsidRPr="00EA1328">
        <w:rPr>
          <w:color w:val="auto"/>
          <w:sz w:val="22"/>
          <w:szCs w:val="22"/>
        </w:rPr>
        <w:t xml:space="preserve"> the successful implementation of a delivery management model (Delivery Units or similar mechanisms) for the management of top government priorities in at least 3 other national governments in the world </w:t>
      </w:r>
      <w:bookmarkStart w:id="4" w:name="_Hlk482877596"/>
      <w:r w:rsidR="004934C5">
        <w:rPr>
          <w:color w:val="auto"/>
          <w:sz w:val="22"/>
          <w:szCs w:val="22"/>
        </w:rPr>
        <w:t>(experiences in Latin America and the Caribbean countries as well as Commonwealth countries across the world will be highly valued)</w:t>
      </w:r>
      <w:bookmarkEnd w:id="4"/>
      <w:r w:rsidR="004934C5">
        <w:rPr>
          <w:color w:val="auto"/>
          <w:sz w:val="22"/>
          <w:szCs w:val="22"/>
        </w:rPr>
        <w:t>.</w:t>
      </w:r>
    </w:p>
    <w:p w:rsidR="000C00A8" w:rsidRPr="00EA1328" w:rsidRDefault="000C00A8" w:rsidP="000C00A8">
      <w:pPr>
        <w:suppressAutoHyphens/>
        <w:jc w:val="both"/>
        <w:rPr>
          <w:i/>
          <w:iCs/>
          <w:color w:val="0070C0"/>
          <w:spacing w:val="-2"/>
          <w:sz w:val="22"/>
          <w:szCs w:val="22"/>
        </w:rPr>
      </w:pPr>
    </w:p>
    <w:p w:rsidR="000C00A8" w:rsidRPr="00EA1328" w:rsidRDefault="000C00A8" w:rsidP="000C00A8">
      <w:pPr>
        <w:jc w:val="both"/>
        <w:rPr>
          <w:color w:val="auto"/>
          <w:sz w:val="22"/>
          <w:szCs w:val="22"/>
        </w:rPr>
      </w:pPr>
      <w:r w:rsidRPr="00EA1328">
        <w:rPr>
          <w:color w:val="auto"/>
          <w:sz w:val="22"/>
          <w:szCs w:val="22"/>
        </w:rPr>
        <w:t>Eligible consulting firms will be selected in accordance with the procedures set out in the Inter</w:t>
      </w:r>
      <w:r>
        <w:rPr>
          <w:color w:val="auto"/>
          <w:sz w:val="22"/>
          <w:szCs w:val="22"/>
        </w:rPr>
        <w:noBreakHyphen/>
      </w:r>
      <w:r w:rsidRPr="00EA1328">
        <w:rPr>
          <w:color w:val="auto"/>
          <w:sz w:val="22"/>
          <w:szCs w:val="22"/>
        </w:rPr>
        <w:t xml:space="preserve">American Development Bank: </w:t>
      </w:r>
      <w:hyperlink r:id="rId5">
        <w:r w:rsidRPr="00EA1328">
          <w:rPr>
            <w:rStyle w:val="Hyperlink"/>
            <w:i/>
            <w:iCs/>
            <w:sz w:val="22"/>
            <w:szCs w:val="22"/>
          </w:rPr>
          <w:t>Policy for the Selection and Contracting of Consulting firms for Bank-executed Operational Work</w:t>
        </w:r>
      </w:hyperlink>
      <w:r w:rsidRPr="00EA1328">
        <w:rPr>
          <w:color w:val="auto"/>
          <w:sz w:val="22"/>
          <w:szCs w:val="22"/>
        </w:rPr>
        <w:t xml:space="preserve"> - GN-2765-1.  All eligible consulting firms, as defined in the Policy may express an interest. </w:t>
      </w:r>
    </w:p>
    <w:p w:rsidR="000C00A8" w:rsidRPr="00EA1328" w:rsidRDefault="000C00A8" w:rsidP="000C00A8">
      <w:pPr>
        <w:spacing w:line="320" w:lineRule="atLeast"/>
        <w:jc w:val="both"/>
        <w:rPr>
          <w:color w:val="auto"/>
          <w:sz w:val="22"/>
          <w:szCs w:val="22"/>
        </w:rPr>
      </w:pPr>
    </w:p>
    <w:p w:rsidR="000C00A8" w:rsidRPr="00EA1328" w:rsidRDefault="000C00A8" w:rsidP="000C00A8">
      <w:pPr>
        <w:jc w:val="both"/>
        <w:rPr>
          <w:color w:val="auto"/>
          <w:sz w:val="22"/>
          <w:szCs w:val="22"/>
        </w:rPr>
      </w:pPr>
      <w:r w:rsidRPr="00EA1328">
        <w:rPr>
          <w:color w:val="auto"/>
          <w:sz w:val="22"/>
          <w:szCs w:val="22"/>
        </w:rPr>
        <w:lastRenderedPageBreak/>
        <w:t>The IDB now invites eligible consulting firms to indicate their interest in providing the services. Interested consulting firms must provide information establishing that they are qualified to perform the Services (brochures, description of similar assignments, experience in similar conditions, availability of appropriate skills among staff, etc.). Eligible consulting firms may associate in a form of a Joint Venture or a sub-consultancy agreement to enhance their qualifications. Such association or Joint Venture shall appoint one of the firms as the representative.</w:t>
      </w:r>
    </w:p>
    <w:p w:rsidR="000C00A8" w:rsidRPr="00EA1328" w:rsidRDefault="000C00A8" w:rsidP="000C00A8">
      <w:pPr>
        <w:suppressAutoHyphens/>
        <w:jc w:val="both"/>
        <w:rPr>
          <w:i/>
          <w:iCs/>
          <w:color w:val="4472C4" w:themeColor="accent1"/>
          <w:spacing w:val="-2"/>
          <w:sz w:val="22"/>
          <w:szCs w:val="22"/>
        </w:rPr>
      </w:pPr>
    </w:p>
    <w:p w:rsidR="000C00A8" w:rsidRDefault="000C00A8" w:rsidP="000C00A8">
      <w:pPr>
        <w:jc w:val="both"/>
        <w:rPr>
          <w:iCs/>
          <w:color w:val="auto"/>
          <w:sz w:val="22"/>
          <w:szCs w:val="22"/>
        </w:rPr>
      </w:pPr>
      <w:r w:rsidRPr="00EA1328">
        <w:rPr>
          <w:color w:val="auto"/>
          <w:sz w:val="22"/>
          <w:szCs w:val="22"/>
        </w:rPr>
        <w:t xml:space="preserve">Interested eligible consulting firms may obtain further information during office hours, 09:00 AM to 05:00 PM, (Washington D.C. Time) by sending an email to: </w:t>
      </w:r>
      <w:r w:rsidRPr="00EA1328">
        <w:rPr>
          <w:iCs/>
          <w:color w:val="auto"/>
          <w:sz w:val="22"/>
          <w:szCs w:val="22"/>
        </w:rPr>
        <w:t>Mariano Lafuente (</w:t>
      </w:r>
      <w:hyperlink r:id="rId6" w:history="1">
        <w:r w:rsidRPr="00DA19AF">
          <w:rPr>
            <w:rStyle w:val="Hyperlink"/>
            <w:sz w:val="22"/>
            <w:szCs w:val="22"/>
          </w:rPr>
          <w:t>mlafuente@iadb.org</w:t>
        </w:r>
      </w:hyperlink>
      <w:r w:rsidRPr="00EA1328">
        <w:rPr>
          <w:iCs/>
          <w:color w:val="auto"/>
          <w:sz w:val="22"/>
          <w:szCs w:val="22"/>
        </w:rPr>
        <w:t>).</w:t>
      </w:r>
    </w:p>
    <w:p w:rsidR="000C00A8" w:rsidRPr="00EA1328" w:rsidRDefault="000C00A8" w:rsidP="000C00A8">
      <w:pPr>
        <w:jc w:val="both"/>
        <w:rPr>
          <w:color w:val="auto"/>
          <w:sz w:val="22"/>
          <w:szCs w:val="22"/>
        </w:rPr>
      </w:pPr>
    </w:p>
    <w:p w:rsidR="000C00A8" w:rsidRPr="00EA1328" w:rsidRDefault="000C00A8" w:rsidP="000C00A8">
      <w:pPr>
        <w:jc w:val="both"/>
        <w:rPr>
          <w:color w:val="auto"/>
          <w:sz w:val="22"/>
          <w:szCs w:val="22"/>
        </w:rPr>
      </w:pPr>
      <w:r w:rsidRPr="00EA1328">
        <w:rPr>
          <w:color w:val="auto"/>
          <w:sz w:val="22"/>
          <w:szCs w:val="22"/>
        </w:rPr>
        <w:t xml:space="preserve">Expressions of interest must be delivered by </w:t>
      </w:r>
      <w:r>
        <w:rPr>
          <w:color w:val="auto"/>
          <w:sz w:val="22"/>
          <w:szCs w:val="22"/>
        </w:rPr>
        <w:t>May 29th</w:t>
      </w:r>
      <w:r w:rsidRPr="00EA1328">
        <w:rPr>
          <w:color w:val="auto"/>
          <w:sz w:val="22"/>
          <w:szCs w:val="22"/>
        </w:rPr>
        <w:t xml:space="preserve"> 5pm (Washington D.C. Time) using the IDB Portal for Bank Executed Operations (</w:t>
      </w:r>
      <w:r w:rsidRPr="00EA1328">
        <w:rPr>
          <w:sz w:val="22"/>
          <w:szCs w:val="22"/>
        </w:rPr>
        <w:t xml:space="preserve"> </w:t>
      </w:r>
      <w:hyperlink r:id="rId7" w:history="1">
        <w:r w:rsidRPr="00EA1328">
          <w:rPr>
            <w:rStyle w:val="Hyperlink"/>
            <w:sz w:val="22"/>
            <w:szCs w:val="22"/>
          </w:rPr>
          <w:t>http://beo-procurement.iadb.org/home</w:t>
        </w:r>
      </w:hyperlink>
      <w:r w:rsidRPr="00EA1328">
        <w:rPr>
          <w:color w:val="auto"/>
          <w:sz w:val="22"/>
          <w:szCs w:val="22"/>
        </w:rPr>
        <w:t xml:space="preserve">) </w:t>
      </w:r>
    </w:p>
    <w:p w:rsidR="000C00A8" w:rsidRPr="00EA1328" w:rsidRDefault="000C00A8" w:rsidP="000C00A8">
      <w:pPr>
        <w:spacing w:line="320" w:lineRule="atLeast"/>
        <w:jc w:val="both"/>
        <w:rPr>
          <w:color w:val="auto"/>
          <w:sz w:val="22"/>
          <w:szCs w:val="22"/>
        </w:rPr>
      </w:pPr>
    </w:p>
    <w:p w:rsidR="000C00A8" w:rsidRPr="00EA1328" w:rsidRDefault="000C00A8" w:rsidP="000C00A8">
      <w:pPr>
        <w:jc w:val="both"/>
        <w:rPr>
          <w:color w:val="auto"/>
          <w:sz w:val="22"/>
          <w:szCs w:val="22"/>
        </w:rPr>
      </w:pPr>
      <w:r w:rsidRPr="00EA1328">
        <w:rPr>
          <w:color w:val="auto"/>
          <w:sz w:val="22"/>
          <w:szCs w:val="22"/>
        </w:rPr>
        <w:t>Inter-American Development Bank</w:t>
      </w:r>
    </w:p>
    <w:p w:rsidR="000C00A8" w:rsidRPr="00EA1328" w:rsidRDefault="000C00A8" w:rsidP="000C00A8">
      <w:pPr>
        <w:jc w:val="both"/>
        <w:rPr>
          <w:i/>
          <w:iCs/>
          <w:color w:val="0070C0"/>
          <w:sz w:val="22"/>
          <w:szCs w:val="22"/>
        </w:rPr>
      </w:pPr>
      <w:r w:rsidRPr="00EA1328">
        <w:rPr>
          <w:iCs/>
          <w:color w:val="auto"/>
          <w:spacing w:val="-2"/>
          <w:sz w:val="22"/>
          <w:szCs w:val="22"/>
        </w:rPr>
        <w:t>Innovation in Citizen Services Division</w:t>
      </w:r>
    </w:p>
    <w:p w:rsidR="000C00A8" w:rsidRPr="00A711F7" w:rsidRDefault="000C00A8" w:rsidP="000C00A8">
      <w:pPr>
        <w:jc w:val="both"/>
        <w:rPr>
          <w:color w:val="auto"/>
          <w:sz w:val="22"/>
          <w:szCs w:val="22"/>
          <w:lang w:val="pt-BR"/>
        </w:rPr>
      </w:pPr>
      <w:r w:rsidRPr="00A711F7">
        <w:rPr>
          <w:color w:val="auto"/>
          <w:sz w:val="22"/>
          <w:szCs w:val="22"/>
          <w:lang w:val="pt-BR"/>
        </w:rPr>
        <w:t>Attn:</w:t>
      </w:r>
      <w:r w:rsidRPr="00A711F7">
        <w:rPr>
          <w:i/>
          <w:iCs/>
          <w:color w:val="0070C0"/>
          <w:spacing w:val="-2"/>
          <w:sz w:val="22"/>
          <w:szCs w:val="22"/>
          <w:lang w:val="pt-BR"/>
        </w:rPr>
        <w:t xml:space="preserve"> </w:t>
      </w:r>
      <w:r w:rsidRPr="00A711F7">
        <w:rPr>
          <w:iCs/>
          <w:color w:val="auto"/>
          <w:spacing w:val="-2"/>
          <w:sz w:val="22"/>
          <w:szCs w:val="22"/>
          <w:lang w:val="pt-BR"/>
        </w:rPr>
        <w:t>Mariano Lafuente</w:t>
      </w:r>
    </w:p>
    <w:p w:rsidR="000C00A8" w:rsidRPr="00A711F7" w:rsidRDefault="000C00A8" w:rsidP="000C00A8">
      <w:pPr>
        <w:suppressAutoHyphens/>
        <w:rPr>
          <w:iCs/>
          <w:color w:val="auto"/>
          <w:sz w:val="22"/>
          <w:szCs w:val="22"/>
          <w:lang w:val="pt-BR"/>
        </w:rPr>
      </w:pPr>
      <w:r w:rsidRPr="00A711F7">
        <w:rPr>
          <w:spacing w:val="-2"/>
          <w:sz w:val="22"/>
          <w:szCs w:val="22"/>
          <w:lang w:val="pt-BR"/>
        </w:rPr>
        <w:t>Tel: +1-</w:t>
      </w:r>
      <w:r w:rsidRPr="00A711F7">
        <w:rPr>
          <w:iCs/>
          <w:color w:val="auto"/>
          <w:spacing w:val="-2"/>
          <w:sz w:val="22"/>
          <w:szCs w:val="22"/>
          <w:lang w:val="pt-BR"/>
        </w:rPr>
        <w:t>202-623-2270</w:t>
      </w:r>
    </w:p>
    <w:p w:rsidR="000C00A8" w:rsidRPr="00EA1328" w:rsidRDefault="000C00A8" w:rsidP="000C00A8">
      <w:pPr>
        <w:suppressAutoHyphens/>
        <w:jc w:val="both"/>
        <w:rPr>
          <w:color w:val="0070C0"/>
          <w:sz w:val="22"/>
          <w:szCs w:val="22"/>
          <w:lang w:val="pt-BR"/>
        </w:rPr>
      </w:pPr>
      <w:r w:rsidRPr="00EA1328">
        <w:rPr>
          <w:spacing w:val="-2"/>
          <w:sz w:val="22"/>
          <w:szCs w:val="22"/>
          <w:lang w:val="pt-BR"/>
        </w:rPr>
        <w:t xml:space="preserve">E-mail: </w:t>
      </w:r>
      <w:hyperlink r:id="rId8" w:history="1">
        <w:r w:rsidRPr="0052419C">
          <w:rPr>
            <w:rStyle w:val="Hyperlink"/>
            <w:sz w:val="22"/>
            <w:szCs w:val="22"/>
            <w:lang w:val="pt-BR"/>
          </w:rPr>
          <w:t>mlafuente@iadb.org</w:t>
        </w:r>
      </w:hyperlink>
      <w:r>
        <w:rPr>
          <w:iCs/>
          <w:color w:val="auto"/>
          <w:sz w:val="22"/>
          <w:szCs w:val="22"/>
          <w:lang w:val="pt-BR"/>
        </w:rPr>
        <w:t xml:space="preserve"> </w:t>
      </w:r>
    </w:p>
    <w:p w:rsidR="000C00A8" w:rsidRPr="00EA1328" w:rsidRDefault="000C00A8" w:rsidP="000C00A8">
      <w:pPr>
        <w:jc w:val="both"/>
        <w:rPr>
          <w:color w:val="auto"/>
          <w:sz w:val="22"/>
          <w:szCs w:val="22"/>
        </w:rPr>
      </w:pPr>
      <w:r w:rsidRPr="00EA1328">
        <w:rPr>
          <w:color w:val="auto"/>
          <w:sz w:val="22"/>
          <w:szCs w:val="22"/>
        </w:rPr>
        <w:t xml:space="preserve">Web site: </w:t>
      </w:r>
      <w:hyperlink r:id="rId9">
        <w:r w:rsidRPr="00EA1328">
          <w:rPr>
            <w:rStyle w:val="Hyperlink"/>
            <w:sz w:val="22"/>
            <w:szCs w:val="22"/>
          </w:rPr>
          <w:t>www.iadb.org</w:t>
        </w:r>
      </w:hyperlink>
      <w:r w:rsidRPr="00EA1328">
        <w:rPr>
          <w:color w:val="auto"/>
          <w:sz w:val="22"/>
          <w:szCs w:val="22"/>
        </w:rPr>
        <w:t xml:space="preserve"> </w:t>
      </w:r>
    </w:p>
    <w:p w:rsidR="000C00A8" w:rsidRPr="00EA1328" w:rsidRDefault="000C00A8" w:rsidP="000C00A8">
      <w:pPr>
        <w:rPr>
          <w:sz w:val="22"/>
          <w:szCs w:val="22"/>
        </w:rPr>
      </w:pPr>
    </w:p>
    <w:p w:rsidR="00001A2E" w:rsidRDefault="00001A2E"/>
    <w:sectPr w:rsidR="00001A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0A8"/>
    <w:rsid w:val="00001A2E"/>
    <w:rsid w:val="000C00A8"/>
    <w:rsid w:val="004934C5"/>
    <w:rsid w:val="006A17D8"/>
    <w:rsid w:val="00B63AB6"/>
    <w:rsid w:val="00E671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8C499F5-9C3E-44F3-93A9-6DF72ACB9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uiPriority w:val="99"/>
    <w:qFormat/>
    <w:rsid w:val="000C00A8"/>
    <w:pPr>
      <w:widowControl w:val="0"/>
      <w:autoSpaceDE w:val="0"/>
      <w:autoSpaceDN w:val="0"/>
      <w:adjustRightInd w:val="0"/>
      <w:spacing w:after="0" w:line="240" w:lineRule="auto"/>
    </w:pPr>
    <w:rPr>
      <w:rFonts w:ascii="Arial" w:eastAsiaTheme="minorEastAsia" w:hAnsi="Arial" w:cs="Arial"/>
      <w:color w:val="000000"/>
      <w:sz w:val="24"/>
      <w:szCs w:val="24"/>
      <w:lang w:eastAsia="es-A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C00A8"/>
    <w:rPr>
      <w:color w:val="0563C1" w:themeColor="hyperlink"/>
      <w:u w:val="single"/>
    </w:rPr>
  </w:style>
  <w:style w:type="paragraph" w:customStyle="1" w:styleId="Heading1a">
    <w:name w:val="Heading 1a"/>
    <w:rsid w:val="000C00A8"/>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rPr>
  </w:style>
  <w:style w:type="paragraph" w:styleId="BodyText">
    <w:name w:val="Body Text"/>
    <w:basedOn w:val="Normal"/>
    <w:link w:val="BodyTextChar"/>
    <w:semiHidden/>
    <w:rsid w:val="000C00A8"/>
    <w:pPr>
      <w:widowControl/>
      <w:suppressAutoHyphens/>
      <w:autoSpaceDE/>
      <w:autoSpaceDN/>
      <w:adjustRightInd/>
    </w:pPr>
    <w:rPr>
      <w:rFonts w:ascii="CG Times" w:eastAsia="Times New Roman" w:hAnsi="CG Times" w:cs="Times New Roman"/>
      <w:color w:val="auto"/>
      <w:spacing w:val="-2"/>
      <w:szCs w:val="20"/>
      <w:lang w:eastAsia="en-US"/>
    </w:rPr>
  </w:style>
  <w:style w:type="character" w:customStyle="1" w:styleId="BodyTextChar">
    <w:name w:val="Body Text Char"/>
    <w:basedOn w:val="DefaultParagraphFont"/>
    <w:link w:val="BodyText"/>
    <w:semiHidden/>
    <w:rsid w:val="000C00A8"/>
    <w:rPr>
      <w:rFonts w:ascii="CG Times" w:eastAsia="Times New Roman" w:hAnsi="CG Times" w:cs="Times New Roman"/>
      <w:spacing w:val="-2"/>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lafuente@iadb.org" TargetMode="External"/><Relationship Id="rId13"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hyperlink" Target="http://beo-procurement.iadb.org/home" TargetMode="External"/><Relationship Id="rId12" Type="http://schemas.openxmlformats.org/officeDocument/2006/relationships/customXml" Target="../customXml/item1.xml"/><Relationship Id="rId17" Type="http://schemas.openxmlformats.org/officeDocument/2006/relationships/customXml" Target="../customXml/item6.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lafuente@iadb.org" TargetMode="External"/><Relationship Id="rId11" Type="http://schemas.openxmlformats.org/officeDocument/2006/relationships/theme" Target="theme/theme1.xml"/><Relationship Id="rId5" Type="http://schemas.openxmlformats.org/officeDocument/2006/relationships/hyperlink" Target="http://idbdocs.iadb.org/wsdocs/getdocument.aspx?DOCNUM=38988574" TargetMode="External"/><Relationship Id="rId15" Type="http://schemas.openxmlformats.org/officeDocument/2006/relationships/customXml" Target="../customXml/item4.xml"/><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hyperlink" Target="http://www.iadb.org" TargetMode="Externa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9C92FC221675134488B5505D96BE0F14" ma:contentTypeVersion="20" ma:contentTypeDescription="A content type to manage public (operations) IDB documents" ma:contentTypeScope="" ma:versionID="5dbeca076f736a5e5c6801276043a431">
  <xsd:schema xmlns:xsd="http://www.w3.org/2001/XMLSchema" xmlns:xs="http://www.w3.org/2001/XMLSchema" xmlns:p="http://schemas.microsoft.com/office/2006/metadata/properties" xmlns:ns2="cdc7663a-08f0-4737-9e8c-148ce897a09c" targetNamespace="http://schemas.microsoft.com/office/2006/metadata/properties" ma:root="true" ma:fieldsID="5138dce3a17066eb1fafc60b97e2348e"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maxLength value="255"/>
        </xsd:restriction>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Guyana</TermName>
          <TermId xmlns="http://schemas.microsoft.com/office/infopath/2007/PartnerControls">56862354-b867-4ea1-80cf-2c12eebb71f3</TermId>
        </TermInfo>
      </Terms>
    </ic46d7e087fd4a108fb86518ca413cc6>
    <IDBDocs_x0020_Number xmlns="cdc7663a-08f0-4737-9e8c-148ce897a09c" xsi:nil="true"/>
    <Division_x0020_or_x0020_Unit xmlns="cdc7663a-08f0-4737-9e8c-148ce897a09c">IFD/ICS</Division_x0020_or_x0020_Unit>
    <Fiscal_x0020_Year_x0020_IDB xmlns="cdc7663a-08f0-4737-9e8c-148ce897a09c">2017</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Other_x0020_Author xmlns="cdc7663a-08f0-4737-9e8c-148ce897a09c" xsi:nil="true"/>
    <Migration_x0020_Info xmlns="cdc7663a-08f0-4737-9e8c-148ce897a09c" xsi:nil="true"/>
    <Approval_x0020_Number xmlns="cdc7663a-08f0-4737-9e8c-148ce897a09c">ATN/OC-16142-GY;</Approval_x0020_Number>
    <Phase xmlns="cdc7663a-08f0-4737-9e8c-148ce897a09c">ACTIVE</Phase>
    <Document_x0020_Author xmlns="cdc7663a-08f0-4737-9e8c-148ce897a09c">Rojas Gonzalez, Sonia Amalia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MANAGEMENT FOR DEVELOPMENT RESULTS</TermName>
          <TermId xmlns="http://schemas.microsoft.com/office/infopath/2007/PartnerControls">1d0013d3-9cc8-41d0-aaab-9bdee2ebedb4</TermId>
        </TermInfo>
      </Terms>
    </b2ec7cfb18674cb8803df6b262e8b107>
    <Business_x0020_Area xmlns="cdc7663a-08f0-4737-9e8c-148ce897a09c">ESG</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TaxCatchAll xmlns="cdc7663a-08f0-4737-9e8c-148ce897a09c">
      <Value>55</Value>
      <Value>54</Value>
      <Value>53</Value>
      <Value>10</Value>
      <Value>28</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GY-T1140</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R0000323944</Record_x0020_Number>
    <_dlc_DocId xmlns="cdc7663a-08f0-4737-9e8c-148ce897a09c">EZSHARE-2086242013-6</_dlc_DocId>
    <_dlc_DocIdUrl xmlns="cdc7663a-08f0-4737-9e8c-148ce897a09c">
      <Url>https://idbg.sharepoint.com/teams/EZ-GY-TCP/GY-T1140/_layouts/15/DocIdRedir.aspx?ID=EZSHARE-2086242013-6</Url>
      <Description>EZSHARE-2086242013-6</Description>
    </_dlc_DocIdUrl>
    <Disclosure_x0020_Activity xmlns="cdc7663a-08f0-4737-9e8c-148ce897a09c">BEO Procurement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E63626E1-271D-4F80-8716-C8F790A5E8D5}"/>
</file>

<file path=customXml/itemProps2.xml><?xml version="1.0" encoding="utf-8"?>
<ds:datastoreItem xmlns:ds="http://schemas.openxmlformats.org/officeDocument/2006/customXml" ds:itemID="{6DDAE661-46BC-40E6-A11B-47C2D5BF269D}"/>
</file>

<file path=customXml/itemProps3.xml><?xml version="1.0" encoding="utf-8"?>
<ds:datastoreItem xmlns:ds="http://schemas.openxmlformats.org/officeDocument/2006/customXml" ds:itemID="{644C46D6-13AF-4134-9B30-12B1E8E8F698}"/>
</file>

<file path=customXml/itemProps4.xml><?xml version="1.0" encoding="utf-8"?>
<ds:datastoreItem xmlns:ds="http://schemas.openxmlformats.org/officeDocument/2006/customXml" ds:itemID="{335D8127-1A86-405A-B068-52B39BDE6E70}"/>
</file>

<file path=customXml/itemProps5.xml><?xml version="1.0" encoding="utf-8"?>
<ds:datastoreItem xmlns:ds="http://schemas.openxmlformats.org/officeDocument/2006/customXml" ds:itemID="{0B1B3AD9-93DE-4E75-B2CA-E56D9FF14750}"/>
</file>

<file path=customXml/itemProps6.xml><?xml version="1.0" encoding="utf-8"?>
<ds:datastoreItem xmlns:ds="http://schemas.openxmlformats.org/officeDocument/2006/customXml" ds:itemID="{7596D423-4A63-4372-94C4-3FD22119BF49}"/>
</file>

<file path=docProps/app.xml><?xml version="1.0" encoding="utf-8"?>
<Properties xmlns="http://schemas.openxmlformats.org/officeDocument/2006/extended-properties" xmlns:vt="http://schemas.openxmlformats.org/officeDocument/2006/docPropsVTypes">
  <Template>Normal.dotm</Template>
  <TotalTime>0</TotalTime>
  <Pages>2</Pages>
  <Words>617</Words>
  <Characters>3519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Rojas Gonzalez, Sonia Amalia</dc:creator>
  <cp:keywords/>
  <dc:description/>
  <cp:lastModifiedBy>Rojas Gonzalez, Sonia Amalia</cp:lastModifiedBy>
  <cp:revision>2</cp:revision>
  <dcterms:created xsi:type="dcterms:W3CDTF">2017-05-18T17:54:00Z</dcterms:created>
  <dcterms:modified xsi:type="dcterms:W3CDTF">2017-05-18T17:54:00Z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Function Operations IDB">
    <vt:lpwstr>10;#Goods and Services|5bfebf1b-9f1f-4411-b1dd-4c19b807b799</vt:lpwstr>
  </property>
  <property fmtid="{D5CDD505-2E9C-101B-9397-08002B2CF9AE}" pid="4" name="TaxKeyword">
    <vt:lpwstr/>
  </property>
  <property fmtid="{D5CDD505-2E9C-101B-9397-08002B2CF9AE}" pid="5" name="TaxKeywordTaxHTField">
    <vt:lpwstr/>
  </property>
  <property fmtid="{D5CDD505-2E9C-101B-9397-08002B2CF9AE}" pid="6" name="Series Operations IDB">
    <vt:lpwstr/>
  </property>
  <property fmtid="{D5CDD505-2E9C-101B-9397-08002B2CF9AE}" pid="7" name="Sub-Sector">
    <vt:lpwstr>55;#MANAGEMENT FOR DEVELOPMENT RESULTS|1d0013d3-9cc8-41d0-aaab-9bdee2ebedb4</vt:lpwstr>
  </property>
  <property fmtid="{D5CDD505-2E9C-101B-9397-08002B2CF9AE}" pid="8" name="Fund IDB">
    <vt:lpwstr>54;#TBD|d62f6e05-3e80-4abd-9bb4-5f10b4906ff6</vt:lpwstr>
  </property>
  <property fmtid="{D5CDD505-2E9C-101B-9397-08002B2CF9AE}" pid="9" name="Country">
    <vt:lpwstr>28;#Guyana|56862354-b867-4ea1-80cf-2c12eebb71f3</vt:lpwstr>
  </property>
  <property fmtid="{D5CDD505-2E9C-101B-9397-08002B2CF9AE}" pid="10" name="Sector IDB">
    <vt:lpwstr>53;#REFORM / MODERNIZATION OF THE STATE|c8fda4a7-691a-4c65-b227-9825197b5cd2</vt:lpwstr>
  </property>
  <property fmtid="{D5CDD505-2E9C-101B-9397-08002B2CF9AE}" pid="11" name="_dlc_DocIdItemGuid">
    <vt:lpwstr>cfe2202a-28f0-4e6d-afdc-421cf87b62e8</vt:lpwstr>
  </property>
  <property fmtid="{D5CDD505-2E9C-101B-9397-08002B2CF9AE}" pid="12" name="Disclosure Activity">
    <vt:lpwstr>BEO Procurement</vt:lpwstr>
  </property>
  <property fmtid="{D5CDD505-2E9C-101B-9397-08002B2CF9AE}" pid="13" name="ContentTypeId">
    <vt:lpwstr>0x0101001A458A224826124E8B45B1D613300CFC009C92FC221675134488B5505D96BE0F14</vt:lpwstr>
  </property>
</Properties>
</file>