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61102B" w:rsidR="005D330B" w:rsidP="0061102B" w:rsidRDefault="00501B56" w14:paraId="3BBAB1BA" w14:textId="77AA2DCA">
      <w:pPr>
        <w:spacing w:before="120" w:after="120" w:line="240" w:lineRule="auto"/>
        <w:jc w:val="center"/>
        <w:rPr>
          <w:rFonts w:ascii="Arial" w:hAnsi="Arial" w:eastAsia="Arial" w:cs="Arial"/>
          <w:b/>
          <w:bCs/>
          <w:sz w:val="24"/>
          <w:szCs w:val="24"/>
          <w:lang w:val="fr-FR"/>
        </w:rPr>
      </w:pPr>
      <w:proofErr w:type="spellStart"/>
      <w:r>
        <w:rPr>
          <w:rFonts w:ascii="Arial" w:hAnsi="Arial" w:eastAsia="Arial" w:cs="Arial"/>
          <w:b/>
          <w:bCs/>
          <w:sz w:val="24"/>
          <w:szCs w:val="24"/>
          <w:lang w:val="fr-FR"/>
        </w:rPr>
        <w:t>Documento</w:t>
      </w:r>
      <w:proofErr w:type="spellEnd"/>
      <w:r>
        <w:rPr>
          <w:rFonts w:ascii="Arial" w:hAnsi="Arial" w:eastAsia="Arial" w:cs="Arial"/>
          <w:b/>
          <w:bCs/>
          <w:sz w:val="24"/>
          <w:szCs w:val="24"/>
          <w:lang w:val="fr-FR"/>
        </w:rPr>
        <w:t xml:space="preserve"> CT</w:t>
      </w:r>
    </w:p>
    <w:p w:rsidR="0095711B" w:rsidP="00501B56" w:rsidRDefault="00501B56" w14:paraId="3BBAB1BB" w14:textId="0BF1AF03">
      <w:pPr>
        <w:pStyle w:val="ListParagraph"/>
        <w:numPr>
          <w:ilvl w:val="0"/>
          <w:numId w:val="24"/>
        </w:numPr>
        <w:spacing w:before="120" w:after="120" w:line="240" w:lineRule="auto"/>
        <w:jc w:val="both"/>
        <w:rPr>
          <w:rFonts w:ascii="Arial" w:hAnsi="Arial" w:cs="Arial"/>
          <w:b/>
          <w:lang w:val="es-ES"/>
        </w:rPr>
      </w:pPr>
      <w:r>
        <w:rPr>
          <w:rFonts w:ascii="Arial" w:hAnsi="Arial" w:cs="Arial"/>
          <w:b/>
          <w:bCs/>
          <w:lang w:val="es-ES"/>
        </w:rPr>
        <w:t>Información Básica de la CT</w:t>
      </w:r>
    </w:p>
    <w:p w:rsidRPr="00501B56" w:rsidR="00501B56" w:rsidP="00501B56" w:rsidRDefault="00501B56" w14:paraId="33FCFFE4" w14:textId="77777777">
      <w:pPr>
        <w:pStyle w:val="ListParagraph"/>
        <w:spacing w:before="120" w:after="120" w:line="240" w:lineRule="auto"/>
        <w:ind w:left="360"/>
        <w:jc w:val="both"/>
        <w:rPr>
          <w:rFonts w:ascii="Arial" w:hAnsi="Arial" w:cs="Arial"/>
          <w:b/>
          <w:bCs/>
          <w:lang w:val="es-ES"/>
        </w:rPr>
      </w:pP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4505A3FF" w14:paraId="3BBAB1BE" w14:textId="77777777">
        <w:tc>
          <w:tcPr>
            <w:tcW w:w="3456" w:type="dxa"/>
          </w:tcPr>
          <w:p w:rsidRPr="000F744C" w:rsidR="009F33FF" w:rsidP="54260729" w:rsidRDefault="00501B56" w14:paraId="3BBAB1BC" w14:textId="65DE2C10">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País/Región:</w:t>
            </w:r>
          </w:p>
        </w:tc>
        <w:sdt>
          <w:sdtPr>
            <w:rPr>
              <w:rFonts w:ascii="Arial" w:hAnsi="Arial" w:cs="Arial"/>
              <w:sz w:val="18"/>
              <w:szCs w:val="18"/>
            </w:rPr>
            <w:alias w:val="COUNTRY"/>
            <w:tag w:val="COUNTRY"/>
            <w:id w:val="-33273071"/>
            <w:lock w:val="sdtContentLocked"/>
            <w:placeholder>
              <w:docPart w:val="518E55A9E5444A00A82312A1CF91D38C"/>
            </w:placeholder>
            <w:showingPlcHdr/>
          </w:sdtPr>
          <w:sdtEndPr/>
          <w:sdtContent>
            <w:tc>
              <w:tcPr>
                <w:tcW w:w="6084" w:type="dxa"/>
              </w:tcPr>
              <w:p w:rsidRPr="00B811D8" w:rsidR="009F33FF" w:rsidP="0028247E" w:rsidRDefault="00501B56" w14:paraId="3BBAB1BD" w14:textId="77867076">
                <w:pPr>
                  <w:spacing w:after="60"/>
                  <w:rPr>
                    <w:rFonts w:ascii="Arial" w:hAnsi="Arial" w:cs="Arial"/>
                    <w:sz w:val="18"/>
                    <w:szCs w:val="18"/>
                    <w:lang w:val="es-ES_tradnl"/>
                  </w:rPr>
                </w:pPr>
                <w:r>
                  <w:rPr>
                    <w:rFonts w:ascii="Arial" w:hAnsi="Arial" w:cs="Arial"/>
                    <w:sz w:val="18"/>
                    <w:szCs w:val="18"/>
                  </w:rPr>
                  <w:t>Perú</w:t>
                </w:r>
              </w:p>
            </w:tc>
          </w:sdtContent>
        </w:sdt>
      </w:tr>
      <w:tr w:rsidRPr="00421F9E" w:rsidR="009F33FF" w:rsidTr="4505A3FF" w14:paraId="3BBAB1C1" w14:textId="77777777">
        <w:tc>
          <w:tcPr>
            <w:tcW w:w="3456" w:type="dxa"/>
          </w:tcPr>
          <w:p w:rsidRPr="000F744C" w:rsidR="009F33FF" w:rsidP="54260729" w:rsidRDefault="00501B56" w14:paraId="3BBAB1BF" w14:textId="1292580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Nombre de la CT:</w:t>
            </w:r>
          </w:p>
        </w:tc>
        <w:sdt>
          <w:sdtPr>
            <w:rPr>
              <w:rFonts w:ascii="Arial" w:hAnsi="Arial" w:cs="Arial"/>
              <w:sz w:val="18"/>
              <w:szCs w:val="18"/>
            </w:rPr>
            <w:alias w:val="TC_NAME"/>
            <w:tag w:val="TC_NAME"/>
            <w:id w:val="-2134543230"/>
            <w:lock w:val="sdtContentLocked"/>
            <w:placeholder>
              <w:docPart w:val="468274084A1D44B6A3288FB87CB3A228"/>
            </w:placeholder>
            <w:showingPlcHdr/>
          </w:sdtPr>
          <w:sdtEndPr/>
          <w:sdtContent>
            <w:tc>
              <w:tcPr>
                <w:tcW w:w="6084" w:type="dxa"/>
              </w:tcPr>
              <w:p w:rsidRPr="00A31281" w:rsidR="009F33FF" w:rsidP="0028247E" w:rsidRDefault="00501B56" w14:paraId="3BBAB1C0" w14:textId="5C00E5F9">
                <w:pPr>
                  <w:spacing w:after="60"/>
                  <w:rPr>
                    <w:rFonts w:ascii="Arial" w:hAnsi="Arial" w:cs="Arial"/>
                    <w:sz w:val="18"/>
                    <w:szCs w:val="18"/>
                    <w:lang w:val="es-ES_tradnl"/>
                  </w:rPr>
                </w:pPr>
                <w:r w:rsidRPr="00501B56">
                  <w:rPr>
                    <w:rFonts w:ascii="Arial" w:hAnsi="Arial" w:cs="Arial"/>
                    <w:sz w:val="18"/>
                    <w:szCs w:val="18"/>
                  </w:rPr>
                  <w:t>Fortalecimiento de la Red Nacional de Alerta Temprana del Perú</w:t>
                </w:r>
              </w:p>
            </w:tc>
          </w:sdtContent>
        </w:sdt>
      </w:tr>
      <w:tr w:rsidRPr="00B811D8" w:rsidR="009F33FF" w:rsidTr="4505A3FF" w14:paraId="3BBAB1C4" w14:textId="77777777">
        <w:trPr>
          <w:trHeight w:val="263"/>
        </w:trPr>
        <w:tc>
          <w:tcPr>
            <w:tcW w:w="3456" w:type="dxa"/>
          </w:tcPr>
          <w:p w:rsidRPr="000F744C" w:rsidR="009F33FF" w:rsidP="54260729" w:rsidRDefault="00501B56" w14:paraId="3BBAB1C2" w14:textId="7925453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Número de CT:</w:t>
            </w:r>
          </w:p>
        </w:tc>
        <w:tc>
          <w:tcPr>
            <w:tcW w:w="6084" w:type="dxa"/>
          </w:tcPr>
          <w:p w:rsidRPr="00B811D8" w:rsidR="009F33FF" w:rsidP="00EC6CAF" w:rsidRDefault="00421F9E"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PE-T1453</w:t>
                </w:r>
              </w:sdtContent>
            </w:sdt>
            <w:r w:rsidR="00423F56">
              <w:rPr>
                <w:rFonts w:ascii="Arial" w:hAnsi="Arial" w:cs="Arial"/>
                <w:sz w:val="18"/>
                <w:szCs w:val="18"/>
              </w:rPr>
              <w:tab/>
            </w:r>
          </w:p>
        </w:tc>
      </w:tr>
      <w:tr w:rsidRPr="00B811D8" w:rsidR="009F33FF" w:rsidTr="4505A3FF" w14:paraId="3BBAB1C7" w14:textId="77777777">
        <w:trPr>
          <w:trHeight w:val="288"/>
        </w:trPr>
        <w:tc>
          <w:tcPr>
            <w:tcW w:w="3456" w:type="dxa"/>
          </w:tcPr>
          <w:p w:rsidRPr="000F744C" w:rsidR="009F33FF" w:rsidP="26B9D784" w:rsidRDefault="00501B56" w14:paraId="3BBAB1C5" w14:textId="32EA0312">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cs="Arial"/>
                <w:sz w:val="18"/>
                <w:szCs w:val="18"/>
                <w:lang w:val="es-ES"/>
              </w:rPr>
              <w:t>Jefe de Equipo/Miembros:</w:t>
            </w:r>
          </w:p>
        </w:tc>
        <w:tc>
          <w:tcPr>
            <w:tcW w:w="6084" w:type="dxa"/>
          </w:tcPr>
          <w:p w:rsidRPr="00402B78" w:rsidR="00B83CCE" w:rsidP="00DE5FFF" w:rsidRDefault="00421F9E" w14:paraId="3BBAB1C6" w14:textId="13FD77CA">
            <w:pPr>
              <w:spacing w:after="60"/>
              <w:jc w:val="both"/>
              <w:rPr>
                <w:rFonts w:ascii="Arial" w:hAnsi="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Pr="00DE5FFF" w:rsidR="00DE5FFF">
                  <w:rPr>
                    <w:rFonts w:ascii="Arial" w:hAnsi="Arial" w:cs="Arial"/>
                    <w:sz w:val="18"/>
                    <w:szCs w:val="18"/>
                  </w:rPr>
                  <w:t xml:space="preserve">Hori, Tsuneki (CSD/RND) </w:t>
                </w:r>
                <w:proofErr w:type="spellStart"/>
                <w:r w:rsidRPr="00501B56" w:rsidR="00501B56">
                  <w:rPr>
                    <w:rFonts w:ascii="Arial" w:hAnsi="Arial" w:cs="Arial"/>
                    <w:sz w:val="18"/>
                    <w:szCs w:val="18"/>
                  </w:rPr>
                  <w:t>Líder</w:t>
                </w:r>
                <w:proofErr w:type="spellEnd"/>
                <w:r w:rsidRPr="00501B56" w:rsidR="00501B56">
                  <w:rPr>
                    <w:rFonts w:ascii="Arial" w:hAnsi="Arial" w:cs="Arial"/>
                    <w:sz w:val="18"/>
                    <w:szCs w:val="18"/>
                  </w:rPr>
                  <w:t xml:space="preserve"> del </w:t>
                </w:r>
                <w:proofErr w:type="spellStart"/>
                <w:r w:rsidRPr="00501B56" w:rsidR="00501B56">
                  <w:rPr>
                    <w:rFonts w:ascii="Arial" w:hAnsi="Arial" w:cs="Arial"/>
                    <w:sz w:val="18"/>
                    <w:szCs w:val="18"/>
                  </w:rPr>
                  <w:t>Equipo</w:t>
                </w:r>
                <w:proofErr w:type="spellEnd"/>
                <w:r w:rsidRPr="00DE5FFF" w:rsidR="00DE5FFF">
                  <w:rPr>
                    <w:rFonts w:ascii="Arial" w:hAnsi="Arial" w:cs="Arial"/>
                    <w:sz w:val="18"/>
                    <w:szCs w:val="18"/>
                  </w:rPr>
                  <w:t xml:space="preserve">; Garcia Negro, Alvaro (CSD/RND) </w:t>
                </w:r>
                <w:r w:rsidRPr="00501B56" w:rsidR="00501B56">
                  <w:rPr>
                    <w:rFonts w:ascii="Arial" w:hAnsi="Arial" w:cs="Arial"/>
                    <w:sz w:val="18"/>
                    <w:szCs w:val="18"/>
                  </w:rPr>
                  <w:t xml:space="preserve">Jefe </w:t>
                </w:r>
                <w:proofErr w:type="spellStart"/>
                <w:r w:rsidRPr="00501B56" w:rsidR="00501B56">
                  <w:rPr>
                    <w:rFonts w:ascii="Arial" w:hAnsi="Arial" w:cs="Arial"/>
                    <w:sz w:val="18"/>
                    <w:szCs w:val="18"/>
                  </w:rPr>
                  <w:t>Alterno</w:t>
                </w:r>
                <w:proofErr w:type="spellEnd"/>
                <w:r w:rsidRPr="00501B56" w:rsidR="00501B56">
                  <w:rPr>
                    <w:rFonts w:ascii="Arial" w:hAnsi="Arial" w:cs="Arial"/>
                    <w:sz w:val="18"/>
                    <w:szCs w:val="18"/>
                  </w:rPr>
                  <w:t xml:space="preserve"> del </w:t>
                </w:r>
                <w:proofErr w:type="spellStart"/>
                <w:r w:rsidRPr="00501B56" w:rsidR="00501B56">
                  <w:rPr>
                    <w:rFonts w:ascii="Arial" w:hAnsi="Arial" w:cs="Arial"/>
                    <w:sz w:val="18"/>
                    <w:szCs w:val="18"/>
                  </w:rPr>
                  <w:t>Equipo</w:t>
                </w:r>
                <w:proofErr w:type="spellEnd"/>
                <w:r w:rsidRPr="00501B56" w:rsidR="00501B56">
                  <w:rPr>
                    <w:rFonts w:ascii="Arial" w:hAnsi="Arial" w:cs="Arial"/>
                    <w:sz w:val="18"/>
                    <w:szCs w:val="18"/>
                  </w:rPr>
                  <w:t xml:space="preserve"> de Proyecto</w:t>
                </w:r>
                <w:r w:rsidRPr="00DE5FFF" w:rsidR="00DE5FFF">
                  <w:rPr>
                    <w:rFonts w:ascii="Arial" w:hAnsi="Arial" w:cs="Arial"/>
                    <w:sz w:val="18"/>
                    <w:szCs w:val="18"/>
                  </w:rPr>
                  <w:t xml:space="preserve">; Chavez, Elizabeth (CSD/RND); Encarnacion </w:t>
                </w:r>
                <w:proofErr w:type="spellStart"/>
                <w:r w:rsidRPr="00DE5FFF" w:rsidR="00DE5FFF">
                  <w:rPr>
                    <w:rFonts w:ascii="Arial" w:hAnsi="Arial" w:cs="Arial"/>
                    <w:sz w:val="18"/>
                    <w:szCs w:val="18"/>
                  </w:rPr>
                  <w:t>Encarnacion</w:t>
                </w:r>
                <w:proofErr w:type="spellEnd"/>
                <w:r w:rsidRPr="00DE5FFF" w:rsidR="00DE5FFF">
                  <w:rPr>
                    <w:rFonts w:ascii="Arial" w:hAnsi="Arial" w:cs="Arial"/>
                    <w:sz w:val="18"/>
                    <w:szCs w:val="18"/>
                  </w:rPr>
                  <w:t xml:space="preserve">, Yonaida M. (CID/CDR); Fernandez-Baca, Jaime (CSD/CCS); Negret Garrido, Cesar Andres (LEG/SGO); </w:t>
                </w:r>
                <w:proofErr w:type="spellStart"/>
                <w:r w:rsidRPr="00DE5FFF" w:rsidR="00DE5FFF">
                  <w:rPr>
                    <w:rFonts w:ascii="Arial" w:hAnsi="Arial" w:cs="Arial"/>
                    <w:sz w:val="18"/>
                    <w:szCs w:val="18"/>
                  </w:rPr>
                  <w:t>Sorio</w:t>
                </w:r>
                <w:proofErr w:type="spellEnd"/>
                <w:r w:rsidRPr="00DE5FFF" w:rsidR="00DE5FFF">
                  <w:rPr>
                    <w:rFonts w:ascii="Arial" w:hAnsi="Arial" w:cs="Arial"/>
                    <w:sz w:val="18"/>
                    <w:szCs w:val="18"/>
                  </w:rPr>
                  <w:t>, Rita Elizabeth (SCL/SPH)</w:t>
                </w:r>
              </w:sdtContent>
            </w:sdt>
          </w:p>
        </w:tc>
      </w:tr>
      <w:tr w:rsidRPr="002D7FB5" w:rsidR="00E85797" w:rsidTr="4505A3FF" w14:paraId="3BBAB1CA" w14:textId="77777777">
        <w:tc>
          <w:tcPr>
            <w:tcW w:w="3456" w:type="dxa"/>
          </w:tcPr>
          <w:p w:rsidRPr="000F744C" w:rsidR="00E85797" w:rsidP="26B9D784" w:rsidRDefault="00501B56" w14:paraId="3BBAB1C8" w14:textId="0FCBB221">
            <w:pPr>
              <w:pStyle w:val="ListParagraph"/>
              <w:numPr>
                <w:ilvl w:val="0"/>
                <w:numId w:val="2"/>
              </w:numPr>
              <w:spacing w:after="60"/>
              <w:ind w:left="162" w:hanging="162"/>
              <w:jc w:val="both"/>
              <w:rPr>
                <w:rFonts w:ascii="Arial" w:hAnsi="Arial" w:eastAsia="Arial" w:cs="Arial"/>
                <w:sz w:val="18"/>
                <w:szCs w:val="18"/>
              </w:rPr>
            </w:pPr>
            <w:r>
              <w:rPr>
                <w:rFonts w:ascii="Arial" w:hAnsi="Arial" w:cs="Arial"/>
                <w:sz w:val="18"/>
                <w:szCs w:val="18"/>
                <w:lang w:val="es-ES"/>
              </w:rPr>
              <w:t xml:space="preserve">Taxonomía:  </w:t>
            </w:r>
          </w:p>
        </w:tc>
        <w:sdt>
          <w:sdtPr>
            <w:rPr>
              <w:rFonts w:ascii="Arial" w:hAnsi="Arial" w:cs="Arial"/>
              <w:sz w:val="18"/>
              <w:szCs w:val="18"/>
            </w:rPr>
            <w:alias w:val="OP_ATTRIBUTE"/>
            <w:tag w:val="OP_ATTRIBUTE"/>
            <w:id w:val="964085681"/>
            <w:lock w:val="sdtContentLocked"/>
            <w:placeholder>
              <w:docPart w:val="138B5B086CE346408C01662BD7745ED5"/>
            </w:placeholder>
            <w:showingPlcHdr/>
          </w:sdtPr>
          <w:sdtEndPr/>
          <w:sdtContent>
            <w:tc>
              <w:tcPr>
                <w:tcW w:w="6084" w:type="dxa"/>
              </w:tcPr>
              <w:p w:rsidRPr="00B811D8" w:rsidR="00E85797" w:rsidP="002D7FB5" w:rsidRDefault="00501B56" w14:paraId="3BBAB1C9" w14:textId="6A0FDC0F">
                <w:pPr>
                  <w:spacing w:after="60"/>
                  <w:rPr>
                    <w:rFonts w:ascii="Arial" w:hAnsi="Arial" w:cs="Arial"/>
                    <w:sz w:val="18"/>
                    <w:szCs w:val="18"/>
                    <w:lang w:val="es-ES_tradnl"/>
                  </w:rPr>
                </w:pPr>
                <w:r w:rsidRPr="00501B56">
                  <w:rPr>
                    <w:rFonts w:ascii="Arial" w:hAnsi="Arial" w:cs="Arial"/>
                    <w:sz w:val="18"/>
                    <w:szCs w:val="18"/>
                  </w:rPr>
                  <w:t>Apoyo al Cliente</w:t>
                </w:r>
              </w:p>
            </w:tc>
          </w:sdtContent>
        </w:sdt>
      </w:tr>
      <w:tr w:rsidRPr="00B811D8" w:rsidR="00E85797" w:rsidTr="4505A3FF" w14:paraId="3BBAB1CD" w14:textId="77777777">
        <w:tc>
          <w:tcPr>
            <w:tcW w:w="3456" w:type="dxa"/>
          </w:tcPr>
          <w:p w:rsidRPr="00A31281" w:rsidR="00E85797" w:rsidP="26B9D784" w:rsidRDefault="00501B56" w14:paraId="3BBAB1CB" w14:textId="1F6228B6">
            <w:pPr>
              <w:pStyle w:val="ListParagraph"/>
              <w:numPr>
                <w:ilvl w:val="0"/>
                <w:numId w:val="2"/>
              </w:numPr>
              <w:spacing w:after="60"/>
              <w:ind w:left="162" w:hanging="162"/>
              <w:jc w:val="both"/>
              <w:rPr>
                <w:rFonts w:ascii="Arial" w:hAnsi="Arial" w:eastAsia="Arial" w:cs="Arial"/>
                <w:sz w:val="18"/>
                <w:szCs w:val="18"/>
                <w:lang w:val="es-ES_tradnl"/>
              </w:rPr>
            </w:pPr>
            <w:r>
              <w:rPr>
                <w:rFonts w:ascii="Arial" w:hAnsi="Arial" w:eastAsia="Arial" w:cs="Arial"/>
                <w:sz w:val="18"/>
                <w:szCs w:val="18"/>
                <w:lang w:val="es-ES"/>
              </w:rPr>
              <w:t>Operación a la que la CT apoyará:</w:t>
            </w:r>
          </w:p>
        </w:tc>
        <w:tc>
          <w:tcPr>
            <w:tcW w:w="6084" w:type="dxa"/>
          </w:tcPr>
          <w:p w:rsidRPr="00B811D8" w:rsidR="00E85797" w:rsidP="00EC6CAF" w:rsidRDefault="00421F9E" w14:paraId="3BBAB1CC" w14:textId="29BADCC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Pr="00E40AE6" w:rsidR="002E65F5">
              <w:rPr>
                <w:rFonts w:ascii="Arial" w:hAnsi="Arial" w:cs="Arial"/>
                <w:color w:val="000000" w:themeColor="text1"/>
                <w:sz w:val="18"/>
                <w:szCs w:val="18"/>
              </w:rPr>
              <w:t>.</w:t>
            </w:r>
          </w:p>
        </w:tc>
      </w:tr>
      <w:tr w:rsidRPr="00B811D8" w:rsidR="009F33FF" w:rsidTr="4505A3FF" w14:paraId="3BBAB1D0" w14:textId="77777777">
        <w:tc>
          <w:tcPr>
            <w:tcW w:w="3456" w:type="dxa"/>
          </w:tcPr>
          <w:p w:rsidRPr="00A31281" w:rsidR="009F33FF" w:rsidP="26B9D784" w:rsidRDefault="00501B56" w14:paraId="3BBAB1CE" w14:textId="424BD69F">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Fecha de Autorización del Abstracto de CT:</w:t>
            </w:r>
          </w:p>
        </w:tc>
        <w:tc>
          <w:tcPr>
            <w:tcW w:w="6084" w:type="dxa"/>
          </w:tcPr>
          <w:p w:rsidRPr="00B811D8" w:rsidR="009F33FF" w:rsidP="00EC6CAF" w:rsidRDefault="00421F9E"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12 May 2020</w:t>
                </w:r>
              </w:sdtContent>
            </w:sdt>
            <w:r w:rsidRPr="00E40AE6" w:rsidR="002E65F5">
              <w:rPr>
                <w:rFonts w:ascii="Arial" w:hAnsi="Arial" w:cs="Arial"/>
                <w:color w:val="000000" w:themeColor="text1"/>
                <w:sz w:val="18"/>
                <w:szCs w:val="18"/>
                <w:lang w:val="es-ES_tradnl"/>
              </w:rPr>
              <w:t>.</w:t>
            </w:r>
          </w:p>
        </w:tc>
      </w:tr>
      <w:tr w:rsidRPr="00421F9E" w:rsidR="009F33FF" w:rsidTr="4505A3FF" w14:paraId="3BBAB1D3" w14:textId="77777777">
        <w:trPr>
          <w:trHeight w:val="288"/>
        </w:trPr>
        <w:tc>
          <w:tcPr>
            <w:tcW w:w="3456" w:type="dxa"/>
          </w:tcPr>
          <w:p w:rsidRPr="000F744C" w:rsidR="009F33FF" w:rsidP="26B9D784" w:rsidRDefault="00501B56" w14:paraId="3BBAB1D1" w14:textId="0F85993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Beneficiario:</w:t>
            </w:r>
          </w:p>
        </w:tc>
        <w:tc>
          <w:tcPr>
            <w:tcW w:w="6084" w:type="dxa"/>
          </w:tcPr>
          <w:p w:rsidRPr="00B811D8" w:rsidR="009F33FF" w:rsidP="00825F8B" w:rsidRDefault="00D32EE3" w14:paraId="3BBAB1D2" w14:textId="5C3EC4AA">
            <w:pPr>
              <w:tabs>
                <w:tab w:val="left" w:pos="3740"/>
                <w:tab w:val="left" w:pos="4256"/>
              </w:tabs>
              <w:spacing w:after="60"/>
              <w:rPr>
                <w:rFonts w:ascii="Arial" w:hAnsi="Arial" w:eastAsia="Arial" w:cs="Arial"/>
                <w:sz w:val="18"/>
                <w:szCs w:val="18"/>
                <w:lang w:val="es-ES"/>
              </w:rPr>
            </w:pPr>
            <w:r>
              <w:rPr>
                <w:rFonts w:ascii="Arial" w:hAnsi="Arial" w:eastAsia="Arial" w:cs="Arial"/>
                <w:sz w:val="18"/>
                <w:szCs w:val="18"/>
                <w:lang w:val="es-ES"/>
              </w:rPr>
              <w:t>Gobierno Nacional y Gobierno Regionales del Perú</w:t>
            </w:r>
          </w:p>
        </w:tc>
      </w:tr>
      <w:tr w:rsidRPr="00B811D8" w:rsidR="009F33FF" w:rsidTr="4505A3FF" w14:paraId="3BBAB1D6" w14:textId="77777777">
        <w:tc>
          <w:tcPr>
            <w:tcW w:w="3456" w:type="dxa"/>
          </w:tcPr>
          <w:p w:rsidRPr="00A31281" w:rsidR="009F33FF" w:rsidP="26B9D784" w:rsidRDefault="00501B56" w14:paraId="3BBAB1D4" w14:textId="340427F8">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Agencia Ejecutora y nombre de contacto:</w:t>
            </w:r>
          </w:p>
        </w:tc>
        <w:tc>
          <w:tcPr>
            <w:tcW w:w="6084" w:type="dxa"/>
          </w:tcPr>
          <w:p w:rsidRPr="00B811D8" w:rsidR="009F33FF" w:rsidP="000F6D52" w:rsidRDefault="00421F9E"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2A2C57" w:rsidR="00FA40C9" w:rsidTr="4505A3FF" w14:paraId="3BBAB1D9" w14:textId="77777777">
        <w:trPr>
          <w:trHeight w:val="288"/>
        </w:trPr>
        <w:tc>
          <w:tcPr>
            <w:tcW w:w="3456" w:type="dxa"/>
          </w:tcPr>
          <w:p w:rsidRPr="000F744C" w:rsidR="00FA40C9" w:rsidP="26B9D784" w:rsidRDefault="00501B56" w14:paraId="3BBAB1D7" w14:textId="08A85629">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Donantes que proveerán financiamiento:</w:t>
            </w:r>
          </w:p>
        </w:tc>
        <w:sdt>
          <w:sdtPr>
            <w:rPr>
              <w:rFonts w:ascii="Arial" w:hAnsi="Arial" w:cs="Arial"/>
              <w:sz w:val="18"/>
              <w:szCs w:val="18"/>
            </w:rPr>
            <w:alias w:val="DONOR"/>
            <w:tag w:val="DONOR"/>
            <w:id w:val="-188450512"/>
            <w:lock w:val="sdtContentLocked"/>
            <w:placeholder>
              <w:docPart w:val="236EBDDDAA4640A1B6831FEB347C7928"/>
            </w:placeholder>
            <w:showingPlcHdr/>
            <w:text w:multiLine="1"/>
          </w:sdtPr>
          <w:sdtEndPr/>
          <w:sdtContent>
            <w:tc>
              <w:tcPr>
                <w:tcW w:w="6084" w:type="dxa"/>
              </w:tcPr>
              <w:p w:rsidRPr="00A31281" w:rsidR="00084849" w:rsidP="00364A0B" w:rsidRDefault="0069155D" w14:paraId="3BBAB1D8" w14:textId="63D9915C">
                <w:pPr>
                  <w:spacing w:after="60"/>
                  <w:rPr>
                    <w:rFonts w:ascii="Arial" w:hAnsi="Arial" w:cs="Arial"/>
                    <w:sz w:val="18"/>
                    <w:szCs w:val="18"/>
                    <w:lang w:val="es-ES_tradnl"/>
                  </w:rPr>
                </w:pPr>
                <w:r>
                  <w:rPr>
                    <w:rFonts w:ascii="Arial" w:hAnsi="Arial" w:cs="Arial"/>
                    <w:sz w:val="18"/>
                    <w:szCs w:val="18"/>
                  </w:rPr>
                  <w:t> Fondo Especial de  Japon(JSF)</w:t>
                </w:r>
                <w:r w:rsidRPr="0069155D">
                  <w:rPr>
                    <w:rFonts w:ascii="Arial" w:hAnsi="Arial" w:cs="Arial"/>
                    <w:sz w:val="18"/>
                    <w:szCs w:val="18"/>
                  </w:rPr>
                  <w:t xml:space="preserve"> Japon(JSF)</w:t>
                </w:r>
              </w:p>
            </w:tc>
          </w:sdtContent>
        </w:sdt>
      </w:tr>
      <w:tr w:rsidRPr="00B811D8" w:rsidR="009F33FF" w:rsidTr="4505A3FF" w14:paraId="3BBAB1DC" w14:textId="77777777">
        <w:tc>
          <w:tcPr>
            <w:tcW w:w="3456" w:type="dxa"/>
          </w:tcPr>
          <w:p w:rsidRPr="000F744C" w:rsidR="009F33FF" w:rsidP="26B9D784" w:rsidRDefault="00501B56" w14:paraId="3BBAB1DA" w14:textId="7E1F215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Financiamiento solicitado del BID: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US$400,000.00</w:t>
                  <w:br/>
                  <w:t/>
                </w:r>
              </w:p>
            </w:tc>
          </w:sdtContent>
        </w:sdt>
      </w:tr>
      <w:tr w:rsidRPr="00B811D8" w:rsidR="009F33FF" w:rsidTr="4505A3FF" w14:paraId="3BBAB1DF" w14:textId="77777777">
        <w:tc>
          <w:tcPr>
            <w:tcW w:w="3456" w:type="dxa"/>
          </w:tcPr>
          <w:p w:rsidRPr="000F744C" w:rsidR="009F33FF" w:rsidP="26B9D784" w:rsidRDefault="00501B56" w14:paraId="3BBAB1DD" w14:textId="5D0115C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Contrapartida Local, si hay:</w:t>
            </w:r>
          </w:p>
        </w:tc>
        <w:sdt>
          <w:sdtPr>
            <w:rPr>
              <w:rFonts w:ascii="Arial" w:hAnsi="Arial" w:cs="Arial"/>
              <w:sz w:val="18"/>
              <w:szCs w:val="18"/>
            </w:rPr>
            <w:alias w:val="COUNTER_PART"/>
            <w:tag w:val="COUNTER_PART"/>
            <w:id w:val="-956483133"/>
            <w:lock w:val="sdtContentLocked"/>
            <w:placeholder>
              <w:docPart w:val="322208BAEEEC4A8E9AA51B0A003625D9"/>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US$44,000.00 (En-Especie)</w:t>
                </w:r>
              </w:p>
            </w:tc>
          </w:sdtContent>
        </w:sdt>
      </w:tr>
      <w:tr w:rsidRPr="00B811D8" w:rsidR="00825F8B" w:rsidTr="4505A3FF" w14:paraId="3BBAB1E2" w14:textId="77777777">
        <w:tc>
          <w:tcPr>
            <w:tcW w:w="3456" w:type="dxa"/>
          </w:tcPr>
          <w:p w:rsidRPr="00A31281" w:rsidR="00825F8B" w:rsidP="00825F8B" w:rsidRDefault="00501B56" w14:paraId="3BBAB1E0" w14:textId="4D69CA4C">
            <w:pPr>
              <w:pStyle w:val="ListParagraph"/>
              <w:numPr>
                <w:ilvl w:val="0"/>
                <w:numId w:val="2"/>
              </w:numPr>
              <w:spacing w:after="60"/>
              <w:ind w:left="180" w:hanging="180"/>
              <w:contextualSpacing w:val="0"/>
              <w:jc w:val="both"/>
              <w:rPr>
                <w:rFonts w:ascii="Arial" w:hAnsi="Arial" w:eastAsia="Arial" w:cs="Arial"/>
                <w:sz w:val="18"/>
                <w:szCs w:val="18"/>
                <w:lang w:val="es-ES_tradnl"/>
              </w:rPr>
            </w:pPr>
            <w:r>
              <w:rPr>
                <w:rFonts w:ascii="Arial" w:hAnsi="Arial" w:eastAsia="Arial" w:cs="Arial"/>
                <w:sz w:val="18"/>
                <w:szCs w:val="18"/>
                <w:lang w:val="es-ES"/>
              </w:rPr>
              <w:t>Periodo de Desembolso (incluye periodo de ejecución):</w:t>
            </w:r>
          </w:p>
        </w:tc>
        <w:tc>
          <w:tcPr>
            <w:tcW w:w="6084" w:type="dxa"/>
          </w:tcPr>
          <w:p w:rsidRPr="00F45E82" w:rsidR="00825F8B" w:rsidP="00825F8B" w:rsidRDefault="006E4FDA" w14:paraId="3BBAB1E1" w14:textId="1E16109B">
            <w:pPr>
              <w:tabs>
                <w:tab w:val="left" w:pos="3675"/>
              </w:tabs>
              <w:spacing w:after="60"/>
              <w:rPr>
                <w:rFonts w:ascii="Arial" w:hAnsi="Arial" w:eastAsia="Arial" w:cs="Arial"/>
                <w:sz w:val="18"/>
                <w:szCs w:val="18"/>
              </w:rPr>
            </w:pPr>
            <w:r>
              <w:rPr>
                <w:rFonts w:ascii="Arial" w:hAnsi="Arial" w:eastAsia="Arial" w:cs="Arial"/>
                <w:sz w:val="18"/>
                <w:szCs w:val="18"/>
              </w:rPr>
              <w:t xml:space="preserve">24 months </w:t>
            </w:r>
          </w:p>
        </w:tc>
      </w:tr>
      <w:tr w:rsidRPr="00B811D8" w:rsidR="00825F8B" w:rsidTr="4505A3FF" w14:paraId="3BBAB1E5" w14:textId="77777777">
        <w:tc>
          <w:tcPr>
            <w:tcW w:w="3456" w:type="dxa"/>
          </w:tcPr>
          <w:p w:rsidRPr="000F744C" w:rsidR="00825F8B" w:rsidP="00825F8B" w:rsidRDefault="00501B56" w14:paraId="3BBAB1E3" w14:textId="4E9A4011">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Fecha de inicio requerido:</w:t>
            </w:r>
          </w:p>
        </w:tc>
        <w:tc>
          <w:tcPr>
            <w:tcW w:w="6084" w:type="dxa"/>
          </w:tcPr>
          <w:p w:rsidRPr="00B811D8" w:rsidR="00825F8B" w:rsidP="00825F8B" w:rsidRDefault="004464F6" w14:paraId="3BBAB1E4" w14:textId="54B4E2EE">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Octubre</w:t>
            </w:r>
            <w:r w:rsidR="006E4FDA">
              <w:rPr>
                <w:rFonts w:ascii="Arial" w:hAnsi="Arial" w:eastAsia="Arial" w:cs="Arial"/>
                <w:sz w:val="18"/>
                <w:szCs w:val="18"/>
                <w:lang w:val="es-ES"/>
              </w:rPr>
              <w:t xml:space="preserve"> 2020</w:t>
            </w:r>
          </w:p>
        </w:tc>
      </w:tr>
      <w:tr w:rsidRPr="00B811D8" w:rsidR="00825F8B" w:rsidTr="4505A3FF" w14:paraId="3BBAB1E8" w14:textId="77777777">
        <w:tc>
          <w:tcPr>
            <w:tcW w:w="3456" w:type="dxa"/>
          </w:tcPr>
          <w:p w:rsidRPr="000F744C" w:rsidR="00825F8B" w:rsidP="00825F8B" w:rsidRDefault="00501B56" w14:paraId="3BBAB1E6" w14:textId="2619DCAA">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Tipos de consultores:</w:t>
            </w:r>
          </w:p>
        </w:tc>
        <w:tc>
          <w:tcPr>
            <w:tcW w:w="6084" w:type="dxa"/>
          </w:tcPr>
          <w:p w:rsidRPr="00B811D8" w:rsidR="00825F8B" w:rsidP="00825F8B" w:rsidRDefault="006E50E7" w14:paraId="3BBAB1E7" w14:textId="31D83BF4">
            <w:pPr>
              <w:tabs>
                <w:tab w:val="left" w:pos="3536"/>
                <w:tab w:val="left" w:pos="4900"/>
              </w:tabs>
              <w:spacing w:after="60"/>
              <w:rPr>
                <w:rFonts w:ascii="Arial" w:hAnsi="Arial" w:eastAsia="Arial" w:cs="Arial"/>
                <w:sz w:val="18"/>
                <w:szCs w:val="18"/>
                <w:lang w:val="es-ES"/>
              </w:rPr>
            </w:pPr>
            <w:r>
              <w:rPr>
                <w:rFonts w:ascii="Arial" w:hAnsi="Arial" w:eastAsia="Arial" w:cs="Arial"/>
                <w:sz w:val="18"/>
                <w:szCs w:val="18"/>
                <w:lang w:val="es-ES"/>
              </w:rPr>
              <w:t>Firm</w:t>
            </w:r>
            <w:r w:rsidR="004464F6">
              <w:rPr>
                <w:rFonts w:ascii="Arial" w:hAnsi="Arial" w:eastAsia="Arial" w:cs="Arial"/>
                <w:sz w:val="18"/>
                <w:szCs w:val="18"/>
                <w:lang w:val="es-ES"/>
              </w:rPr>
              <w:t>a</w:t>
            </w:r>
            <w:r>
              <w:rPr>
                <w:rFonts w:ascii="Arial" w:hAnsi="Arial" w:eastAsia="Arial" w:cs="Arial"/>
                <w:sz w:val="18"/>
                <w:szCs w:val="18"/>
                <w:lang w:val="es-ES"/>
              </w:rPr>
              <w:t xml:space="preserve">s </w:t>
            </w:r>
            <w:r w:rsidR="004464F6">
              <w:rPr>
                <w:rFonts w:ascii="Arial" w:hAnsi="Arial" w:eastAsia="Arial" w:cs="Arial"/>
                <w:sz w:val="18"/>
                <w:szCs w:val="18"/>
                <w:lang w:val="es-ES"/>
              </w:rPr>
              <w:t>e</w:t>
            </w:r>
            <w:r>
              <w:rPr>
                <w:rFonts w:ascii="Arial" w:hAnsi="Arial" w:eastAsia="Arial" w:cs="Arial"/>
                <w:sz w:val="18"/>
                <w:szCs w:val="18"/>
                <w:lang w:val="es-ES"/>
              </w:rPr>
              <w:t xml:space="preserve"> individual</w:t>
            </w:r>
            <w:r w:rsidR="004464F6">
              <w:rPr>
                <w:rFonts w:ascii="Arial" w:hAnsi="Arial" w:eastAsia="Arial" w:cs="Arial"/>
                <w:sz w:val="18"/>
                <w:szCs w:val="18"/>
                <w:lang w:val="es-ES"/>
              </w:rPr>
              <w:t>e</w:t>
            </w:r>
            <w:r>
              <w:rPr>
                <w:rFonts w:ascii="Arial" w:hAnsi="Arial" w:eastAsia="Arial" w:cs="Arial"/>
                <w:sz w:val="18"/>
                <w:szCs w:val="18"/>
                <w:lang w:val="es-ES"/>
              </w:rPr>
              <w:t xml:space="preserve">s </w:t>
            </w:r>
          </w:p>
        </w:tc>
      </w:tr>
      <w:tr w:rsidRPr="00B811D8" w:rsidR="009F33FF" w:rsidTr="4505A3FF" w14:paraId="3BBAB1EB" w14:textId="77777777">
        <w:tc>
          <w:tcPr>
            <w:tcW w:w="3456" w:type="dxa"/>
          </w:tcPr>
          <w:p w:rsidRPr="000F744C" w:rsidR="009F33FF" w:rsidP="26B9D784" w:rsidRDefault="00501B56" w14:paraId="3BBAB1E9" w14:textId="0AD0FFA5">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Unidad de Preparación:</w:t>
            </w:r>
          </w:p>
        </w:tc>
        <w:sdt>
          <w:sdtPr>
            <w:rPr>
              <w:rFonts w:ascii="Arial" w:hAnsi="Arial" w:cs="Arial"/>
              <w:sz w:val="18"/>
              <w:szCs w:val="18"/>
            </w:rPr>
            <w:alias w:val="UNIT"/>
            <w:tag w:val="UNIT"/>
            <w:id w:val="350455193"/>
            <w:lock w:val="sdtContentLocked"/>
            <w:placeholder>
              <w:docPart w:val="A3B40846004F403A8795C45DF2FEA6ED"/>
            </w:placeholder>
            <w:showingPlcHdr/>
            <w:text/>
          </w:sdtPr>
          <w:sdtEndPr/>
          <w:sdtContent>
            <w:tc>
              <w:tcPr>
                <w:tcW w:w="6084" w:type="dxa"/>
              </w:tcPr>
              <w:p w:rsidRPr="00402B78" w:rsidR="009F33FF" w:rsidP="00EC6CAF" w:rsidRDefault="00EC6CAF" w14:paraId="3BBAB1EA" w14:textId="76C265D0">
                <w:pPr>
                  <w:tabs>
                    <w:tab w:val="left" w:pos="3772"/>
                  </w:tabs>
                  <w:spacing w:after="60"/>
                  <w:rPr>
                    <w:rFonts w:ascii="Arial" w:hAnsi="Arial" w:cs="Arial"/>
                    <w:sz w:val="18"/>
                    <w:szCs w:val="18"/>
                  </w:rPr>
                </w:pPr>
                <w:r>
                  <w:rPr>
                    <w:rFonts w:ascii="Arial" w:hAnsi="Arial" w:cs="Arial"/>
                    <w:sz w:val="18"/>
                    <w:szCs w:val="18"/>
                  </w:rPr>
                  <w:t>CSD/RND-</w:t>
                </w:r>
              </w:p>
            </w:tc>
          </w:sdtContent>
        </w:sdt>
      </w:tr>
      <w:tr w:rsidRPr="00B811D8" w:rsidR="009F33FF" w:rsidTr="4505A3FF" w14:paraId="3BBAB1EE" w14:textId="77777777">
        <w:tc>
          <w:tcPr>
            <w:tcW w:w="3456" w:type="dxa"/>
          </w:tcPr>
          <w:p w:rsidRPr="000F744C" w:rsidR="009F33FF" w:rsidP="26B9D784" w:rsidRDefault="00501B56" w14:paraId="3BBAB1EC" w14:textId="3E954291">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Unidad Responsable de Desembolso:</w:t>
            </w:r>
          </w:p>
        </w:tc>
        <w:sdt>
          <w:sdtPr>
            <w:rPr>
              <w:rFonts w:ascii="Arial" w:hAnsi="Arial" w:cs="Arial"/>
              <w:sz w:val="18"/>
              <w:szCs w:val="18"/>
            </w:rPr>
            <w:alias w:val="UNIT_DISBUR"/>
            <w:tag w:val="UNIT_DISBUR"/>
            <w:id w:val="-1723972663"/>
            <w:lock w:val="sdtContentLocked"/>
            <w:placeholder>
              <w:docPart w:val="7CA573F7BB2F4FB592AF07CD931E924E"/>
            </w:placeholder>
            <w:showingPlcHdr/>
          </w:sdtPr>
          <w:sdtEndPr/>
          <w:sdtContent>
            <w:tc>
              <w:tcPr>
                <w:tcW w:w="6084" w:type="dxa"/>
              </w:tcPr>
              <w:p w:rsidRPr="00402B78" w:rsidR="009F33FF" w:rsidP="00EC6CAF" w:rsidRDefault="00501B56" w14:paraId="3BBAB1ED" w14:textId="5C2CF14B">
                <w:pPr>
                  <w:tabs>
                    <w:tab w:val="left" w:pos="3772"/>
                  </w:tabs>
                  <w:spacing w:after="60"/>
                  <w:rPr>
                    <w:rFonts w:ascii="Arial" w:hAnsi="Arial" w:cs="Arial"/>
                    <w:sz w:val="18"/>
                    <w:szCs w:val="18"/>
                  </w:rPr>
                </w:pPr>
                <w:r w:rsidRPr="00501B56">
                  <w:rPr>
                    <w:rFonts w:ascii="Arial" w:hAnsi="Arial" w:cs="Arial"/>
                    <w:sz w:val="18"/>
                    <w:szCs w:val="18"/>
                  </w:rPr>
                  <w:t>CAN/CPE-Representación Perú</w:t>
                </w:r>
              </w:p>
            </w:tc>
          </w:sdtContent>
        </w:sdt>
      </w:tr>
      <w:tr w:rsidRPr="00B811D8" w:rsidR="00825F8B" w:rsidTr="4505A3FF" w14:paraId="3BBAB1F1" w14:textId="77777777">
        <w:tc>
          <w:tcPr>
            <w:tcW w:w="3456" w:type="dxa"/>
          </w:tcPr>
          <w:p w:rsidRPr="000F744C" w:rsidR="00825F8B" w:rsidP="00825F8B" w:rsidRDefault="00501B56" w14:paraId="3BBAB1EF" w14:textId="355DB91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lang w:val="es-ES"/>
              </w:rPr>
              <w:t>CT incluida en la Estrategia de País (s/n):</w:t>
            </w:r>
          </w:p>
        </w:tc>
        <w:tc>
          <w:tcPr>
            <w:tcW w:w="6084" w:type="dxa"/>
          </w:tcPr>
          <w:p w:rsidRPr="00F45E82" w:rsidR="00825F8B" w:rsidP="00825F8B" w:rsidRDefault="006E50E7" w14:paraId="3BBAB1F0" w14:textId="45B69830">
            <w:pPr>
              <w:tabs>
                <w:tab w:val="left" w:pos="3976"/>
              </w:tabs>
              <w:spacing w:after="60"/>
              <w:rPr>
                <w:rFonts w:ascii="Arial" w:hAnsi="Arial" w:eastAsia="Arial" w:cs="Arial"/>
                <w:sz w:val="18"/>
                <w:szCs w:val="18"/>
              </w:rPr>
            </w:pPr>
            <w:r>
              <w:rPr>
                <w:rFonts w:ascii="Arial" w:hAnsi="Arial" w:eastAsia="Arial" w:cs="Arial"/>
                <w:sz w:val="18"/>
                <w:szCs w:val="18"/>
              </w:rPr>
              <w:t xml:space="preserve">Si </w:t>
            </w:r>
          </w:p>
        </w:tc>
      </w:tr>
      <w:tr w:rsidRPr="00B811D8" w:rsidR="00825F8B" w:rsidTr="4505A3FF" w14:paraId="3BBAB1F4" w14:textId="77777777">
        <w:tc>
          <w:tcPr>
            <w:tcW w:w="3456" w:type="dxa"/>
          </w:tcPr>
          <w:p w:rsidRPr="00A31281" w:rsidR="00825F8B" w:rsidP="00825F8B" w:rsidRDefault="00501B56" w14:paraId="3BBAB1F2" w14:textId="45EACC91">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incluída </w:t>
            </w:r>
            <w:proofErr w:type="spellStart"/>
            <w:r>
              <w:rPr>
                <w:rFonts w:ascii="Arial" w:hAnsi="Arial" w:eastAsia="Arial" w:cs="Arial"/>
                <w:sz w:val="18"/>
                <w:szCs w:val="18"/>
                <w:lang w:val="pt-BR"/>
              </w:rPr>
              <w:t>en</w:t>
            </w:r>
            <w:proofErr w:type="spellEnd"/>
            <w:r w:rsidR="00825F8B">
              <w:rPr>
                <w:rFonts w:ascii="Arial" w:hAnsi="Arial" w:eastAsia="Arial" w:cs="Arial"/>
                <w:sz w:val="18"/>
                <w:szCs w:val="18"/>
                <w:lang w:val="pt-BR"/>
              </w:rPr>
              <w:t xml:space="preserve"> CPD (</w:t>
            </w:r>
            <w:r>
              <w:rPr>
                <w:rFonts w:ascii="Arial" w:hAnsi="Arial" w:eastAsia="Arial" w:cs="Arial"/>
                <w:sz w:val="18"/>
                <w:szCs w:val="18"/>
                <w:lang w:val="pt-BR"/>
              </w:rPr>
              <w:t>s</w:t>
            </w:r>
            <w:r w:rsidR="00825F8B">
              <w:rPr>
                <w:rFonts w:ascii="Arial" w:hAnsi="Arial" w:eastAsia="Arial" w:cs="Arial"/>
                <w:sz w:val="18"/>
                <w:szCs w:val="18"/>
                <w:lang w:val="pt-BR"/>
              </w:rPr>
              <w:t>/n):</w:t>
            </w:r>
          </w:p>
        </w:tc>
        <w:tc>
          <w:tcPr>
            <w:tcW w:w="6084" w:type="dxa"/>
          </w:tcPr>
          <w:p w:rsidRPr="00F45E82" w:rsidR="00825F8B" w:rsidP="00825F8B" w:rsidRDefault="00945A38" w14:paraId="3BBAB1F3" w14:textId="1516750A">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4505A3FF" w14:paraId="3BBAB1F7" w14:textId="77777777">
        <w:tc>
          <w:tcPr>
            <w:tcW w:w="3456" w:type="dxa"/>
          </w:tcPr>
          <w:p w:rsidRPr="00A31281" w:rsidR="009F33FF" w:rsidP="26B9D784" w:rsidRDefault="00501B56" w14:paraId="3BBAB1F5" w14:textId="5116EA63">
            <w:pPr>
              <w:pStyle w:val="ListParagraph"/>
              <w:numPr>
                <w:ilvl w:val="0"/>
                <w:numId w:val="2"/>
              </w:numPr>
              <w:spacing w:after="60"/>
              <w:ind w:left="180" w:hanging="180"/>
              <w:contextualSpacing w:val="0"/>
              <w:jc w:val="both"/>
              <w:rPr>
                <w:rFonts w:ascii="Arial" w:hAnsi="Arial" w:eastAsia="Arial" w:cs="Arial"/>
                <w:sz w:val="18"/>
                <w:szCs w:val="18"/>
                <w:lang w:val="es-ES_tradnl"/>
              </w:rPr>
            </w:pPr>
            <w:proofErr w:type="spellStart"/>
            <w:r>
              <w:rPr>
                <w:rFonts w:ascii="Arial" w:hAnsi="Arial" w:eastAsia="Arial" w:cs="Arial"/>
                <w:sz w:val="18"/>
                <w:szCs w:val="18"/>
                <w:lang w:val="es-CL"/>
              </w:rPr>
              <w:t>Alineaci</w:t>
            </w:r>
            <w:r>
              <w:rPr>
                <w:rFonts w:ascii="Arial" w:hAnsi="Arial" w:eastAsia="Arial" w:cs="Arial"/>
                <w:sz w:val="18"/>
                <w:szCs w:val="18"/>
                <w:lang w:val="es-ES"/>
              </w:rPr>
              <w:t>ó</w:t>
            </w:r>
            <w:proofErr w:type="spellEnd"/>
            <w:r>
              <w:rPr>
                <w:rFonts w:ascii="Arial" w:hAnsi="Arial" w:eastAsia="Arial" w:cs="Arial"/>
                <w:sz w:val="18"/>
                <w:szCs w:val="18"/>
                <w:lang w:val="es-CL"/>
              </w:rPr>
              <w:t xml:space="preserve">n a la </w:t>
            </w:r>
            <w:proofErr w:type="spellStart"/>
            <w:r>
              <w:rPr>
                <w:rFonts w:ascii="Arial" w:hAnsi="Arial" w:eastAsia="Arial" w:cs="Arial"/>
                <w:sz w:val="18"/>
                <w:szCs w:val="18"/>
                <w:lang w:val="es-CL"/>
              </w:rPr>
              <w:t>Actualizaci</w:t>
            </w:r>
            <w:r>
              <w:rPr>
                <w:rFonts w:ascii="Arial" w:hAnsi="Arial" w:eastAsia="Arial" w:cs="Arial"/>
                <w:sz w:val="18"/>
                <w:szCs w:val="18"/>
                <w:lang w:val="es-ES"/>
              </w:rPr>
              <w:t>ó</w:t>
            </w:r>
            <w:proofErr w:type="spellEnd"/>
            <w:r>
              <w:rPr>
                <w:rFonts w:ascii="Arial" w:hAnsi="Arial" w:eastAsia="Arial" w:cs="Arial"/>
                <w:sz w:val="18"/>
                <w:szCs w:val="18"/>
                <w:lang w:val="es-CL"/>
              </w:rPr>
              <w:t>n de la Estrategia Institucional 2010-2020:</w:t>
            </w:r>
          </w:p>
        </w:tc>
        <w:sdt>
          <w:sdtPr>
            <w:rPr>
              <w:rFonts w:ascii="Arial" w:hAnsi="Arial" w:cs="Arial"/>
              <w:sz w:val="18"/>
              <w:szCs w:val="18"/>
            </w:rPr>
            <w:alias w:val="ALINGMENT"/>
            <w:tag w:val="ALINGMENT"/>
            <w:id w:val="-1710644844"/>
            <w:lock w:val="sdtContentLocked"/>
            <w:placeholder>
              <w:docPart w:val="D0C02570D64849D4B7AA500FE4FCEE95"/>
            </w:placeholder>
            <w:showingPlcHdr/>
            <w:text/>
          </w:sdtPr>
          <w:sdtEndPr/>
          <w:sdtContent>
            <w:tc>
              <w:tcPr>
                <w:tcW w:w="6084" w:type="dxa"/>
              </w:tcPr>
              <w:p w:rsidRPr="00402B78" w:rsidR="009F33FF" w:rsidP="00F45E82" w:rsidRDefault="00501B56" w14:paraId="3BBAB1F6" w14:textId="1F17DDAC">
                <w:pPr>
                  <w:tabs>
                    <w:tab w:val="left" w:pos="3772"/>
                  </w:tabs>
                  <w:spacing w:after="60"/>
                  <w:rPr>
                    <w:rFonts w:ascii="Arial" w:hAnsi="Arial" w:eastAsia="Arial" w:cs="Arial"/>
                    <w:sz w:val="18"/>
                    <w:szCs w:val="18"/>
                  </w:rPr>
                </w:pPr>
                <w:r w:rsidRPr="00501B56">
                  <w:rPr>
                    <w:rFonts w:ascii="Arial" w:hAnsi="Arial" w:cs="Arial"/>
                    <w:sz w:val="18"/>
                    <w:szCs w:val="18"/>
                  </w:rPr>
                  <w:t>Sostenibilidad ambiental</w:t>
                </w:r>
              </w:p>
            </w:tc>
          </w:sdtContent>
        </w:sdt>
      </w:tr>
    </w:tbl>
    <w:p w:rsidRPr="00501B56" w:rsidR="00065D4D" w:rsidP="00501B56" w:rsidRDefault="00501B56" w14:paraId="3BBAB1FA" w14:textId="3092CB89">
      <w:pPr>
        <w:pStyle w:val="ListParagraph"/>
        <w:numPr>
          <w:ilvl w:val="0"/>
          <w:numId w:val="24"/>
        </w:numPr>
        <w:spacing w:before="120" w:after="120" w:line="240" w:lineRule="auto"/>
        <w:rPr>
          <w:rFonts w:ascii="Arial" w:hAnsi="Arial" w:eastAsia="Arial" w:cs="Arial"/>
          <w:b/>
          <w:lang w:val="es-ES"/>
        </w:rPr>
      </w:pPr>
      <w:r>
        <w:rPr>
          <w:rFonts w:ascii="Arial" w:hAnsi="Arial" w:eastAsia="Arial" w:cs="Arial"/>
          <w:b/>
          <w:bCs/>
          <w:lang w:val="es-ES"/>
        </w:rPr>
        <w:t xml:space="preserve">Objetivos y Justificación de la CT </w:t>
      </w:r>
      <w:r>
        <w:rPr>
          <w:rFonts w:ascii="Arial" w:hAnsi="Arial" w:eastAsia="Arial" w:cs="Arial"/>
          <w:lang w:val="es-ES"/>
        </w:rPr>
        <w:t xml:space="preserve"> </w:t>
      </w:r>
    </w:p>
    <w:p w:rsidRPr="00501B56" w:rsidR="00501B56" w:rsidP="00501B56" w:rsidRDefault="00501B56" w14:paraId="38598C18" w14:textId="77777777">
      <w:pPr>
        <w:pStyle w:val="ListParagraph"/>
        <w:spacing w:before="120" w:after="120" w:line="240" w:lineRule="auto"/>
        <w:ind w:left="360"/>
        <w:rPr>
          <w:rFonts w:ascii="Arial" w:hAnsi="Arial" w:eastAsia="Arial" w:cs="Arial"/>
          <w:b/>
          <w:bCs/>
          <w:lang w:val="es-ES"/>
        </w:rPr>
      </w:pPr>
    </w:p>
    <w:p w:rsidRPr="000F7BCC" w:rsidR="000F7BCC" w:rsidP="000F7BCC" w:rsidRDefault="000F7BCC" w14:paraId="3E5525CC" w14:textId="56534FC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cs="Arial"/>
          <w:b/>
          <w:bCs/>
          <w:color w:val="000000" w:themeColor="text1"/>
          <w:lang w:val="es-DO"/>
        </w:rPr>
        <w:t xml:space="preserve">Objetivo. </w:t>
      </w:r>
      <w:r w:rsidRPr="008C7400" w:rsidR="002A2C57">
        <w:rPr>
          <w:rFonts w:ascii="Arial" w:hAnsi="Arial" w:cs="Arial"/>
          <w:color w:val="000000" w:themeColor="text1"/>
          <w:lang w:val="es-DO"/>
        </w:rPr>
        <w:t>El objetivo general de esta cooperación técnica (CT) es el de lograr una sociedad más resiliente y segura ante eventos de desastres de origen natural y de epidemias/pandemias. El objetivo específico es fortalecer el desempeño de la Red Nacional de Alerta Temprana (RNAT)</w:t>
      </w:r>
      <w:r w:rsidR="002A2C57">
        <w:rPr>
          <w:rStyle w:val="FootnoteReference"/>
          <w:rFonts w:ascii="Arial" w:hAnsi="Arial" w:cs="Arial"/>
          <w:color w:val="000000" w:themeColor="text1"/>
          <w:lang w:val="es-DO"/>
        </w:rPr>
        <w:footnoteReference w:id="2"/>
      </w:r>
      <w:r w:rsidRPr="008C7400" w:rsidR="002A2C57">
        <w:rPr>
          <w:rFonts w:ascii="Arial" w:hAnsi="Arial" w:cs="Arial"/>
          <w:color w:val="000000" w:themeColor="text1"/>
          <w:lang w:val="es-DO"/>
        </w:rPr>
        <w:t xml:space="preserve"> en el marco del Sistema Nacional de Gestión del Riesgo de Desastres (SINAGERD) y con un enfoque multi</w:t>
      </w:r>
      <w:r w:rsidR="002A2C57">
        <w:rPr>
          <w:rFonts w:ascii="Arial" w:hAnsi="Arial" w:cs="Arial"/>
          <w:color w:val="000000" w:themeColor="text1"/>
          <w:lang w:val="es-DO"/>
        </w:rPr>
        <w:t xml:space="preserve"> amenaza</w:t>
      </w:r>
      <w:r w:rsidRPr="008C7400" w:rsidR="002A2C57">
        <w:rPr>
          <w:rFonts w:ascii="Arial" w:hAnsi="Arial" w:cs="Arial"/>
          <w:color w:val="000000" w:themeColor="text1"/>
          <w:lang w:val="es-DO"/>
        </w:rPr>
        <w:t>, como un componente importante del SINAGERD</w:t>
      </w:r>
      <w:r w:rsidRPr="000F7BCC" w:rsidR="002A2C57">
        <w:rPr>
          <w:rFonts w:ascii="Arial" w:hAnsi="Arial" w:cs="Arial"/>
          <w:color w:val="000000" w:themeColor="text1"/>
          <w:lang w:val="es-DO"/>
        </w:rPr>
        <w:t>.</w:t>
      </w:r>
      <w:r w:rsidRPr="000F7BCC" w:rsidR="00405909">
        <w:rPr>
          <w:rFonts w:ascii="Arial" w:hAnsi="Arial" w:eastAsia="Arial" w:cs="Arial"/>
          <w:color w:val="000000"/>
          <w:lang w:val="es-DO"/>
        </w:rPr>
        <w:t xml:space="preserve"> </w:t>
      </w:r>
    </w:p>
    <w:p w:rsidRPr="000F7BCC" w:rsidR="000F7BCC" w:rsidP="000F7BCC" w:rsidRDefault="000F7BCC" w14:paraId="6397CF29" w14:textId="2B6EA8B6">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cs="Arial"/>
          <w:b/>
          <w:bCs/>
          <w:color w:val="000000" w:themeColor="text1"/>
          <w:lang w:val="es-DO"/>
        </w:rPr>
        <w:t xml:space="preserve">Antecedentes. </w:t>
      </w:r>
      <w:r w:rsidRPr="00ED581E" w:rsidR="00F42466">
        <w:rPr>
          <w:rFonts w:ascii="Arial" w:hAnsi="Arial" w:cs="Arial"/>
          <w:color w:val="000000" w:themeColor="text1"/>
          <w:lang w:val="es-ES" w:eastAsia="ja-JP"/>
        </w:rPr>
        <w:t xml:space="preserve">Históricamente, el Perú ha sido afectado frecuentemente por desastres que son el resultado de su alta exposición a múltiples fenómenos naturales </w:t>
      </w:r>
      <w:r w:rsidRPr="00ED581E" w:rsidR="00F42466">
        <w:rPr>
          <w:rFonts w:ascii="Arial" w:hAnsi="Arial" w:cs="Arial"/>
          <w:color w:val="000000" w:themeColor="text1"/>
          <w:lang w:val="es-ES" w:eastAsia="ja-JP"/>
        </w:rPr>
        <w:lastRenderedPageBreak/>
        <w:t>intensos en combinación con una vulnerabilidad socioeconómica. Desde 1980 hasta el 2019, por ejemplo, el país se vio afectado por 149 desastres de gran magnitud (EM</w:t>
      </w:r>
      <w:r w:rsidR="00F42466">
        <w:rPr>
          <w:rFonts w:ascii="Arial" w:hAnsi="Arial" w:cs="Arial"/>
          <w:color w:val="000000" w:themeColor="text1"/>
          <w:lang w:val="es-ES" w:eastAsia="ja-JP"/>
        </w:rPr>
        <w:noBreakHyphen/>
      </w:r>
      <w:r w:rsidRPr="00ED581E" w:rsidR="00F42466">
        <w:rPr>
          <w:rFonts w:ascii="Arial" w:hAnsi="Arial" w:cs="Arial"/>
          <w:color w:val="000000" w:themeColor="text1"/>
          <w:lang w:val="es-ES" w:eastAsia="ja-JP"/>
        </w:rPr>
        <w:t xml:space="preserve">DAT, 2020) de los cuales 35 (23%) fueron eventos geológicos entre terremotos y actividades volcánicas y </w:t>
      </w:r>
      <w:r w:rsidR="00F42466">
        <w:rPr>
          <w:rFonts w:ascii="Arial" w:hAnsi="Arial" w:cs="Arial"/>
          <w:color w:val="000000" w:themeColor="text1"/>
          <w:lang w:val="es-ES" w:eastAsia="ja-JP"/>
        </w:rPr>
        <w:t xml:space="preserve">los restantes </w:t>
      </w:r>
      <w:r w:rsidRPr="00ED581E" w:rsidR="00F42466">
        <w:rPr>
          <w:rFonts w:ascii="Arial" w:hAnsi="Arial" w:cs="Arial"/>
          <w:color w:val="000000" w:themeColor="text1"/>
          <w:lang w:val="es-ES" w:eastAsia="ja-JP"/>
        </w:rPr>
        <w:t xml:space="preserve">114 (77%) fueron eventos hidrometeorológicos, climáticos y biológicos (inundaciones, deslizamientos de tierra debido a lluvias intensas, olas de calor y enfermedades virales). Estos desastres </w:t>
      </w:r>
      <w:r w:rsidR="00F42466">
        <w:rPr>
          <w:rFonts w:ascii="Arial" w:hAnsi="Arial" w:cs="Arial"/>
          <w:color w:val="000000" w:themeColor="text1"/>
          <w:lang w:val="es-ES" w:eastAsia="ja-JP"/>
        </w:rPr>
        <w:t xml:space="preserve">afectaron </w:t>
      </w:r>
      <w:r w:rsidRPr="00ED581E" w:rsidR="00F42466">
        <w:rPr>
          <w:rFonts w:ascii="Arial" w:hAnsi="Arial" w:cs="Arial"/>
          <w:color w:val="000000" w:themeColor="text1"/>
          <w:lang w:val="es-ES" w:eastAsia="ja-JP"/>
        </w:rPr>
        <w:t xml:space="preserve">en total alrededor de 15 millones de personas, más de 18,000 muertes y US$5,500 millones de pérdidas directas incluyendo solamente el daño </w:t>
      </w:r>
      <w:r w:rsidR="00F42466">
        <w:rPr>
          <w:rFonts w:ascii="Arial" w:hAnsi="Arial" w:cs="Arial"/>
          <w:color w:val="000000" w:themeColor="text1"/>
          <w:lang w:val="es-ES" w:eastAsia="ja-JP"/>
        </w:rPr>
        <w:t>a</w:t>
      </w:r>
      <w:r w:rsidRPr="00ED581E" w:rsidR="00F42466">
        <w:rPr>
          <w:rFonts w:ascii="Arial" w:hAnsi="Arial" w:cs="Arial"/>
          <w:color w:val="000000" w:themeColor="text1"/>
          <w:lang w:val="es-ES" w:eastAsia="ja-JP"/>
        </w:rPr>
        <w:t xml:space="preserve"> infraestructuras públicas y viviendas (EM-DAT, 2020).</w:t>
      </w:r>
    </w:p>
    <w:p w:rsidRPr="006771C5" w:rsidR="005F5F78" w:rsidP="005F5F78" w:rsidRDefault="005F5F78" w14:paraId="2FB0DD1E"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ES_tradnl"/>
        </w:rPr>
      </w:pPr>
      <w:r w:rsidRPr="008C623C">
        <w:rPr>
          <w:rFonts w:ascii="Arial" w:hAnsi="Arial" w:cs="Arial"/>
          <w:color w:val="000000" w:themeColor="text1"/>
          <w:lang w:val="es-PY" w:eastAsia="ja-JP"/>
        </w:rPr>
        <w:t xml:space="preserve">El país además sufrió </w:t>
      </w:r>
      <w:r>
        <w:rPr>
          <w:rFonts w:ascii="Arial" w:hAnsi="Arial" w:cs="Arial"/>
          <w:color w:val="000000" w:themeColor="text1"/>
          <w:lang w:val="es-PY" w:eastAsia="ja-JP"/>
        </w:rPr>
        <w:t xml:space="preserve">diariamente eventos de </w:t>
      </w:r>
      <w:r w:rsidRPr="008C623C">
        <w:rPr>
          <w:rFonts w:ascii="Arial" w:hAnsi="Arial" w:cs="Arial"/>
          <w:color w:val="000000" w:themeColor="text1"/>
          <w:lang w:val="es-PY" w:eastAsia="ja-JP"/>
        </w:rPr>
        <w:t>desastres</w:t>
      </w:r>
      <w:r>
        <w:rPr>
          <w:rFonts w:ascii="Arial" w:hAnsi="Arial" w:cs="Arial"/>
          <w:color w:val="000000" w:themeColor="text1"/>
          <w:lang w:val="es-PY" w:eastAsia="ja-JP"/>
        </w:rPr>
        <w:t xml:space="preserve"> de menor magnitud que </w:t>
      </w:r>
      <w:r w:rsidRPr="008C623C">
        <w:rPr>
          <w:rFonts w:ascii="Arial" w:hAnsi="Arial" w:cs="Arial"/>
          <w:color w:val="000000" w:themeColor="text1"/>
          <w:lang w:val="es-PY" w:eastAsia="ja-JP"/>
        </w:rPr>
        <w:t>incluyen</w:t>
      </w:r>
      <w:r>
        <w:rPr>
          <w:rFonts w:ascii="Arial" w:hAnsi="Arial" w:cs="Arial"/>
          <w:color w:val="000000" w:themeColor="text1"/>
          <w:lang w:val="es-PY" w:eastAsia="ja-JP"/>
        </w:rPr>
        <w:t xml:space="preserve"> </w:t>
      </w:r>
      <w:r w:rsidRPr="008C623C">
        <w:rPr>
          <w:rFonts w:ascii="Arial" w:hAnsi="Arial" w:cs="Arial"/>
          <w:color w:val="000000" w:themeColor="text1"/>
          <w:lang w:val="es-PY" w:eastAsia="ja-JP"/>
        </w:rPr>
        <w:t xml:space="preserve">inundaciones, lluvias intensas, deslizamientos de tierra, terremotos y epidemias, entre otros. Entre 1980 y 2019 el país </w:t>
      </w:r>
      <w:r>
        <w:rPr>
          <w:rFonts w:ascii="Arial" w:hAnsi="Arial" w:cs="Arial"/>
          <w:color w:val="000000" w:themeColor="text1"/>
          <w:lang w:val="es-PY" w:eastAsia="ja-JP"/>
        </w:rPr>
        <w:t xml:space="preserve">sufrió </w:t>
      </w:r>
      <w:r w:rsidRPr="008C623C">
        <w:rPr>
          <w:rFonts w:ascii="Arial" w:hAnsi="Arial" w:cs="Arial"/>
          <w:color w:val="000000" w:themeColor="text1"/>
          <w:lang w:val="es-PY" w:eastAsia="ja-JP"/>
        </w:rPr>
        <w:t xml:space="preserve">más de 17,700 desastres </w:t>
      </w:r>
      <w:r>
        <w:rPr>
          <w:rFonts w:ascii="Arial" w:hAnsi="Arial" w:cs="Arial"/>
          <w:color w:val="000000" w:themeColor="text1"/>
          <w:lang w:val="es-PY" w:eastAsia="ja-JP"/>
        </w:rPr>
        <w:t xml:space="preserve">de baja magnitud </w:t>
      </w:r>
      <w:r w:rsidRPr="008C623C">
        <w:rPr>
          <w:rFonts w:ascii="Arial" w:hAnsi="Arial" w:cs="Arial"/>
          <w:color w:val="000000" w:themeColor="text1"/>
          <w:lang w:val="es-PY" w:eastAsia="ja-JP"/>
        </w:rPr>
        <w:t>(</w:t>
      </w:r>
      <w:r>
        <w:rPr>
          <w:rFonts w:ascii="Arial" w:hAnsi="Arial" w:cs="Arial"/>
          <w:color w:val="000000" w:themeColor="text1"/>
          <w:lang w:val="es-PY" w:eastAsia="ja-JP"/>
        </w:rPr>
        <w:t>un</w:t>
      </w:r>
      <w:r w:rsidRPr="008C623C">
        <w:rPr>
          <w:rFonts w:ascii="Arial" w:hAnsi="Arial" w:cs="Arial"/>
          <w:color w:val="000000" w:themeColor="text1"/>
          <w:lang w:val="es-PY" w:eastAsia="ja-JP"/>
        </w:rPr>
        <w:t xml:space="preserve"> promedio </w:t>
      </w:r>
      <w:r>
        <w:rPr>
          <w:rFonts w:ascii="Arial" w:hAnsi="Arial" w:cs="Arial"/>
          <w:color w:val="000000" w:themeColor="text1"/>
          <w:lang w:val="es-PY" w:eastAsia="ja-JP"/>
        </w:rPr>
        <w:t xml:space="preserve">de </w:t>
      </w:r>
      <w:r w:rsidRPr="008C623C">
        <w:rPr>
          <w:rFonts w:ascii="Arial" w:hAnsi="Arial" w:cs="Arial"/>
          <w:color w:val="000000" w:themeColor="text1"/>
          <w:lang w:val="es-PY" w:eastAsia="ja-JP"/>
        </w:rPr>
        <w:t>24 eventos por mes)</w:t>
      </w:r>
      <w:r>
        <w:rPr>
          <w:rFonts w:ascii="Arial" w:hAnsi="Arial" w:cs="Arial"/>
          <w:color w:val="000000" w:themeColor="text1"/>
          <w:lang w:val="es-PY" w:eastAsia="ja-JP"/>
        </w:rPr>
        <w:t>. Aunque cada uno de estos eventos son de menor impacto, de manera acumulada estos resultan en un impacto que no debe ser ignorado teniendo en cuenta que se vieron afectados un</w:t>
      </w:r>
      <w:r w:rsidRPr="008C623C">
        <w:rPr>
          <w:rFonts w:ascii="Arial" w:hAnsi="Arial" w:cs="Arial"/>
          <w:color w:val="000000" w:themeColor="text1"/>
          <w:lang w:val="es-PY" w:eastAsia="ja-JP"/>
        </w:rPr>
        <w:t xml:space="preserve"> total </w:t>
      </w:r>
      <w:r>
        <w:rPr>
          <w:rFonts w:ascii="Arial" w:hAnsi="Arial" w:cs="Arial"/>
          <w:color w:val="000000" w:themeColor="text1"/>
          <w:lang w:val="es-PY" w:eastAsia="ja-JP"/>
        </w:rPr>
        <w:t>de</w:t>
      </w:r>
      <w:r w:rsidRPr="008C623C">
        <w:rPr>
          <w:rFonts w:ascii="Arial" w:hAnsi="Arial" w:cs="Arial"/>
          <w:color w:val="000000" w:themeColor="text1"/>
          <w:lang w:val="es-PY" w:eastAsia="ja-JP"/>
        </w:rPr>
        <w:t xml:space="preserve"> 3.8</w:t>
      </w:r>
      <w:r>
        <w:rPr>
          <w:rFonts w:ascii="Arial" w:hAnsi="Arial" w:cs="Arial"/>
          <w:color w:val="000000" w:themeColor="text1"/>
          <w:lang w:val="es-PY" w:eastAsia="ja-JP"/>
        </w:rPr>
        <w:t> </w:t>
      </w:r>
      <w:r w:rsidRPr="008C623C">
        <w:rPr>
          <w:rFonts w:ascii="Arial" w:hAnsi="Arial" w:cs="Arial"/>
          <w:color w:val="000000" w:themeColor="text1"/>
          <w:lang w:val="es-PY" w:eastAsia="ja-JP"/>
        </w:rPr>
        <w:t xml:space="preserve">millones de </w:t>
      </w:r>
      <w:r>
        <w:rPr>
          <w:rFonts w:ascii="Arial" w:hAnsi="Arial" w:cs="Arial"/>
          <w:color w:val="000000" w:themeColor="text1"/>
          <w:lang w:val="es-PY" w:eastAsia="ja-JP"/>
        </w:rPr>
        <w:t xml:space="preserve">personas </w:t>
      </w:r>
      <w:r w:rsidRPr="008C623C">
        <w:rPr>
          <w:rFonts w:ascii="Arial" w:hAnsi="Arial" w:cs="Arial"/>
          <w:color w:val="000000" w:themeColor="text1"/>
          <w:lang w:val="es-PY" w:eastAsia="ja-JP"/>
        </w:rPr>
        <w:t xml:space="preserve">y 70,000 </w:t>
      </w:r>
      <w:r>
        <w:rPr>
          <w:rFonts w:ascii="Arial" w:hAnsi="Arial" w:cs="Arial"/>
          <w:color w:val="000000" w:themeColor="text1"/>
          <w:lang w:val="es-PY" w:eastAsia="ja-JP"/>
        </w:rPr>
        <w:t xml:space="preserve">viviendas fueron destruidas </w:t>
      </w:r>
      <w:r w:rsidRPr="008C623C">
        <w:rPr>
          <w:rFonts w:ascii="Arial" w:hAnsi="Arial" w:cs="Arial"/>
          <w:color w:val="000000" w:themeColor="text1"/>
          <w:lang w:val="es-PY" w:eastAsia="ja-JP"/>
        </w:rPr>
        <w:t>(</w:t>
      </w:r>
      <w:proofErr w:type="spellStart"/>
      <w:r w:rsidRPr="008C623C">
        <w:rPr>
          <w:rFonts w:ascii="Arial" w:hAnsi="Arial" w:cs="Arial"/>
          <w:color w:val="000000" w:themeColor="text1"/>
          <w:lang w:val="es-PY" w:eastAsia="ja-JP"/>
        </w:rPr>
        <w:t>DesInventar</w:t>
      </w:r>
      <w:proofErr w:type="spellEnd"/>
      <w:r w:rsidRPr="008C623C">
        <w:rPr>
          <w:rFonts w:ascii="Arial" w:hAnsi="Arial" w:cs="Arial"/>
          <w:color w:val="000000" w:themeColor="text1"/>
          <w:lang w:val="es-PY" w:eastAsia="ja-JP"/>
        </w:rPr>
        <w:t xml:space="preserve">, 2020). </w:t>
      </w:r>
    </w:p>
    <w:p w:rsidRPr="000F7BCC" w:rsidR="000F7BCC" w:rsidP="005F5F78" w:rsidRDefault="005F5F78" w14:paraId="7BE152C8" w14:textId="094D1E0F">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Pr>
          <w:rFonts w:ascii="Arial" w:hAnsi="Arial" w:cs="Arial"/>
          <w:color w:val="000000" w:themeColor="text1"/>
          <w:lang w:val="es-PY" w:eastAsia="ja-JP"/>
        </w:rPr>
        <w:t>Por otro lado, en el marco de l</w:t>
      </w:r>
      <w:r w:rsidRPr="00F02E0C">
        <w:rPr>
          <w:rFonts w:ascii="Arial" w:hAnsi="Arial" w:cs="Arial"/>
          <w:color w:val="000000" w:themeColor="text1"/>
          <w:lang w:val="es-PY" w:eastAsia="ja-JP"/>
        </w:rPr>
        <w:t xml:space="preserve">a pandemia </w:t>
      </w:r>
      <w:r>
        <w:rPr>
          <w:rFonts w:ascii="Arial" w:hAnsi="Arial" w:cs="Arial"/>
          <w:color w:val="000000" w:themeColor="text1"/>
          <w:lang w:val="es-PY" w:eastAsia="ja-JP"/>
        </w:rPr>
        <w:t xml:space="preserve">en curso del </w:t>
      </w:r>
      <w:r w:rsidRPr="00F02E0C">
        <w:rPr>
          <w:rFonts w:ascii="Arial" w:hAnsi="Arial" w:cs="Arial"/>
          <w:color w:val="000000" w:themeColor="text1"/>
          <w:lang w:val="es-PY" w:eastAsia="ja-JP"/>
        </w:rPr>
        <w:t xml:space="preserve">COVID-19 </w:t>
      </w:r>
      <w:r>
        <w:rPr>
          <w:rFonts w:ascii="Arial" w:hAnsi="Arial" w:cs="Arial"/>
          <w:color w:val="000000" w:themeColor="text1"/>
          <w:lang w:val="es-PY" w:eastAsia="ja-JP"/>
        </w:rPr>
        <w:t>la cual se está expandiendo en el</w:t>
      </w:r>
      <w:r w:rsidRPr="00F02E0C">
        <w:rPr>
          <w:rFonts w:ascii="Arial" w:hAnsi="Arial" w:cs="Arial"/>
          <w:color w:val="000000" w:themeColor="text1"/>
          <w:lang w:val="es-PY" w:eastAsia="ja-JP"/>
        </w:rPr>
        <w:t xml:space="preserve"> Perú</w:t>
      </w:r>
      <w:r>
        <w:rPr>
          <w:rFonts w:ascii="Arial" w:hAnsi="Arial" w:cs="Arial"/>
          <w:color w:val="000000" w:themeColor="text1"/>
          <w:lang w:val="es-PY" w:eastAsia="ja-JP"/>
        </w:rPr>
        <w:t>, h</w:t>
      </w:r>
      <w:r w:rsidRPr="00F02E0C">
        <w:rPr>
          <w:rFonts w:ascii="Arial" w:hAnsi="Arial" w:cs="Arial"/>
          <w:color w:val="000000" w:themeColor="text1"/>
          <w:lang w:val="es-PY" w:eastAsia="ja-JP"/>
        </w:rPr>
        <w:t xml:space="preserve">asta </w:t>
      </w:r>
      <w:r>
        <w:rPr>
          <w:rFonts w:ascii="Arial" w:hAnsi="Arial" w:cs="Arial"/>
          <w:color w:val="000000" w:themeColor="text1"/>
          <w:lang w:val="es-PY" w:eastAsia="ja-JP"/>
        </w:rPr>
        <w:t>el 19 de agosto de 2020</w:t>
      </w:r>
      <w:r w:rsidRPr="00F02E0C">
        <w:rPr>
          <w:rFonts w:ascii="Arial" w:hAnsi="Arial" w:cs="Arial"/>
          <w:color w:val="000000" w:themeColor="text1"/>
          <w:lang w:val="es-PY" w:eastAsia="ja-JP"/>
        </w:rPr>
        <w:t>, el país ocupa</w:t>
      </w:r>
      <w:r>
        <w:rPr>
          <w:rFonts w:ascii="Arial" w:hAnsi="Arial" w:cs="Arial"/>
          <w:color w:val="000000" w:themeColor="text1"/>
          <w:lang w:val="es-PY" w:eastAsia="ja-JP"/>
        </w:rPr>
        <w:t>ba</w:t>
      </w:r>
      <w:r w:rsidRPr="00F02E0C">
        <w:rPr>
          <w:rFonts w:ascii="Arial" w:hAnsi="Arial" w:cs="Arial"/>
          <w:color w:val="000000" w:themeColor="text1"/>
          <w:lang w:val="es-PY" w:eastAsia="ja-JP"/>
        </w:rPr>
        <w:t xml:space="preserve"> el </w:t>
      </w:r>
      <w:r>
        <w:rPr>
          <w:rFonts w:ascii="Arial" w:hAnsi="Arial" w:cs="Arial"/>
          <w:color w:val="000000" w:themeColor="text1"/>
          <w:lang w:val="es-PY" w:eastAsia="ja-JP"/>
        </w:rPr>
        <w:t xml:space="preserve">sexto </w:t>
      </w:r>
      <w:r w:rsidRPr="00F02E0C">
        <w:rPr>
          <w:rFonts w:ascii="Arial" w:hAnsi="Arial" w:cs="Arial"/>
          <w:color w:val="000000" w:themeColor="text1"/>
          <w:lang w:val="es-PY" w:eastAsia="ja-JP"/>
        </w:rPr>
        <w:t xml:space="preserve">lugar en el mundo (y el </w:t>
      </w:r>
      <w:r>
        <w:rPr>
          <w:rFonts w:ascii="Arial" w:hAnsi="Arial" w:cs="Arial"/>
          <w:color w:val="000000" w:themeColor="text1"/>
          <w:lang w:val="es-PY" w:eastAsia="ja-JP"/>
        </w:rPr>
        <w:t xml:space="preserve">segundo </w:t>
      </w:r>
      <w:r w:rsidRPr="00F02E0C">
        <w:rPr>
          <w:rFonts w:ascii="Arial" w:hAnsi="Arial" w:cs="Arial"/>
          <w:color w:val="000000" w:themeColor="text1"/>
          <w:lang w:val="es-PY" w:eastAsia="ja-JP"/>
        </w:rPr>
        <w:t xml:space="preserve">en la región de América Latina y el Caribe) en términos de número de personas infectadas debido al COVID-19; </w:t>
      </w:r>
      <w:r>
        <w:rPr>
          <w:rFonts w:ascii="Arial" w:hAnsi="Arial" w:cs="Arial"/>
          <w:color w:val="000000" w:themeColor="text1"/>
          <w:lang w:val="es-PY" w:eastAsia="ja-JP"/>
        </w:rPr>
        <w:t>m</w:t>
      </w:r>
      <w:r w:rsidRPr="00F02E0C">
        <w:rPr>
          <w:rFonts w:ascii="Arial" w:hAnsi="Arial" w:cs="Arial"/>
          <w:color w:val="000000" w:themeColor="text1"/>
          <w:lang w:val="es-PY" w:eastAsia="ja-JP"/>
        </w:rPr>
        <w:t xml:space="preserve">ás de </w:t>
      </w:r>
      <w:r>
        <w:rPr>
          <w:rFonts w:ascii="Arial" w:hAnsi="Arial" w:cs="Arial"/>
          <w:color w:val="000000" w:themeColor="text1"/>
          <w:lang w:val="es-PY" w:eastAsia="ja-JP"/>
        </w:rPr>
        <w:t>550</w:t>
      </w:r>
      <w:r w:rsidRPr="00F02E0C">
        <w:rPr>
          <w:rFonts w:ascii="Arial" w:hAnsi="Arial" w:cs="Arial"/>
          <w:color w:val="000000" w:themeColor="text1"/>
          <w:lang w:val="es-PY" w:eastAsia="ja-JP"/>
        </w:rPr>
        <w:t xml:space="preserve">,000 personas </w:t>
      </w:r>
      <w:r>
        <w:rPr>
          <w:rFonts w:ascii="Arial" w:hAnsi="Arial" w:cs="Arial"/>
          <w:color w:val="000000" w:themeColor="text1"/>
          <w:lang w:val="es-PY" w:eastAsia="ja-JP"/>
        </w:rPr>
        <w:t>detectadas con</w:t>
      </w:r>
      <w:r w:rsidRPr="00F02E0C">
        <w:rPr>
          <w:rFonts w:ascii="Arial" w:hAnsi="Arial" w:cs="Arial"/>
          <w:color w:val="000000" w:themeColor="text1"/>
          <w:lang w:val="es-PY" w:eastAsia="ja-JP"/>
        </w:rPr>
        <w:t xml:space="preserve"> casos </w:t>
      </w:r>
      <w:r>
        <w:rPr>
          <w:rFonts w:ascii="Arial" w:hAnsi="Arial" w:cs="Arial"/>
          <w:color w:val="000000" w:themeColor="text1"/>
          <w:lang w:val="es-PY" w:eastAsia="ja-JP"/>
        </w:rPr>
        <w:t xml:space="preserve">positivos </w:t>
      </w:r>
      <w:r w:rsidRPr="00F02E0C">
        <w:rPr>
          <w:rFonts w:ascii="Arial" w:hAnsi="Arial" w:cs="Arial"/>
          <w:color w:val="000000" w:themeColor="text1"/>
          <w:lang w:val="es-PY" w:eastAsia="ja-JP"/>
        </w:rPr>
        <w:t xml:space="preserve">en Perú y más de </w:t>
      </w:r>
      <w:r>
        <w:rPr>
          <w:rFonts w:ascii="Arial" w:hAnsi="Arial" w:cs="Arial"/>
          <w:color w:val="000000" w:themeColor="text1"/>
          <w:lang w:val="es-PY" w:eastAsia="ja-JP"/>
        </w:rPr>
        <w:t>21,000</w:t>
      </w:r>
      <w:r w:rsidRPr="00F02E0C">
        <w:rPr>
          <w:rFonts w:ascii="Arial" w:hAnsi="Arial" w:cs="Arial"/>
          <w:color w:val="000000" w:themeColor="text1"/>
          <w:lang w:val="es-PY" w:eastAsia="ja-JP"/>
        </w:rPr>
        <w:t xml:space="preserve"> personas murieron por esta pandemia (INDECI, 2020). </w:t>
      </w:r>
      <w:r>
        <w:rPr>
          <w:rFonts w:ascii="Arial" w:hAnsi="Arial" w:cs="Arial"/>
          <w:color w:val="000000" w:themeColor="text1"/>
          <w:lang w:val="es-PY" w:eastAsia="ja-JP"/>
        </w:rPr>
        <w:t>Las provincias</w:t>
      </w:r>
      <w:r w:rsidRPr="00F02E0C">
        <w:rPr>
          <w:rFonts w:ascii="Arial" w:hAnsi="Arial" w:cs="Arial"/>
          <w:color w:val="000000" w:themeColor="text1"/>
          <w:lang w:val="es-PY" w:eastAsia="ja-JP"/>
        </w:rPr>
        <w:t xml:space="preserve"> con el mayor número de casos de COVID</w:t>
      </w:r>
      <w:r>
        <w:rPr>
          <w:rFonts w:ascii="Arial" w:hAnsi="Arial" w:cs="Arial"/>
          <w:color w:val="000000" w:themeColor="text1"/>
          <w:lang w:val="es-PY" w:eastAsia="ja-JP"/>
        </w:rPr>
        <w:noBreakHyphen/>
      </w:r>
      <w:r w:rsidRPr="00F02E0C">
        <w:rPr>
          <w:rFonts w:ascii="Arial" w:hAnsi="Arial" w:cs="Arial"/>
          <w:color w:val="000000" w:themeColor="text1"/>
          <w:lang w:val="es-PY" w:eastAsia="ja-JP"/>
        </w:rPr>
        <w:t>19 son Lima</w:t>
      </w:r>
      <w:r>
        <w:rPr>
          <w:rFonts w:ascii="Arial" w:hAnsi="Arial" w:cs="Arial"/>
          <w:color w:val="000000" w:themeColor="text1"/>
          <w:lang w:val="es-PY" w:eastAsia="ja-JP"/>
        </w:rPr>
        <w:t>, Callao y Piura</w:t>
      </w:r>
      <w:r w:rsidRPr="00F02E0C">
        <w:rPr>
          <w:rFonts w:ascii="Arial" w:hAnsi="Arial" w:cs="Arial"/>
          <w:color w:val="000000" w:themeColor="text1"/>
          <w:lang w:val="es-PY" w:eastAsia="ja-JP"/>
        </w:rPr>
        <w:t>. Otra epidemia que afect</w:t>
      </w:r>
      <w:r>
        <w:rPr>
          <w:rFonts w:ascii="Arial" w:hAnsi="Arial" w:cs="Arial"/>
          <w:color w:val="000000" w:themeColor="text1"/>
          <w:lang w:val="es-PY" w:eastAsia="ja-JP"/>
        </w:rPr>
        <w:t>ó</w:t>
      </w:r>
      <w:r w:rsidRPr="00F02E0C">
        <w:rPr>
          <w:rFonts w:ascii="Arial" w:hAnsi="Arial" w:cs="Arial"/>
          <w:color w:val="000000" w:themeColor="text1"/>
          <w:lang w:val="es-PY" w:eastAsia="ja-JP"/>
        </w:rPr>
        <w:t xml:space="preserve"> al país </w:t>
      </w:r>
      <w:r>
        <w:rPr>
          <w:rFonts w:ascii="Arial" w:hAnsi="Arial" w:cs="Arial"/>
          <w:color w:val="000000" w:themeColor="text1"/>
          <w:lang w:val="es-PY" w:eastAsia="ja-JP"/>
        </w:rPr>
        <w:t>recientemente ha sido</w:t>
      </w:r>
      <w:r w:rsidRPr="00F02E0C">
        <w:rPr>
          <w:rFonts w:ascii="Arial" w:hAnsi="Arial" w:cs="Arial"/>
          <w:color w:val="000000" w:themeColor="text1"/>
          <w:lang w:val="es-PY" w:eastAsia="ja-JP"/>
        </w:rPr>
        <w:t xml:space="preserve"> el dengue</w:t>
      </w:r>
      <w:r>
        <w:rPr>
          <w:rFonts w:ascii="Arial" w:hAnsi="Arial" w:cs="Arial"/>
          <w:color w:val="000000" w:themeColor="text1"/>
          <w:lang w:val="es-PY" w:eastAsia="ja-JP"/>
        </w:rPr>
        <w:t xml:space="preserve">, que </w:t>
      </w:r>
      <w:r w:rsidRPr="00F02E0C">
        <w:rPr>
          <w:rFonts w:ascii="Arial" w:hAnsi="Arial" w:cs="Arial"/>
          <w:color w:val="000000" w:themeColor="text1"/>
          <w:lang w:val="es-PY" w:eastAsia="ja-JP"/>
        </w:rPr>
        <w:t xml:space="preserve">ha reportado más de 21,000 </w:t>
      </w:r>
      <w:r>
        <w:rPr>
          <w:rFonts w:ascii="Arial" w:hAnsi="Arial" w:cs="Arial"/>
          <w:color w:val="000000" w:themeColor="text1"/>
          <w:lang w:val="es-PY" w:eastAsia="ja-JP"/>
        </w:rPr>
        <w:t>personas positivas y</w:t>
      </w:r>
      <w:r w:rsidRPr="00F02E0C">
        <w:rPr>
          <w:rFonts w:ascii="Arial" w:hAnsi="Arial" w:cs="Arial"/>
          <w:color w:val="000000" w:themeColor="text1"/>
          <w:lang w:val="es-PY" w:eastAsia="ja-JP"/>
        </w:rPr>
        <w:t xml:space="preserve"> 33 muertes </w:t>
      </w:r>
      <w:r>
        <w:rPr>
          <w:rFonts w:ascii="Arial" w:hAnsi="Arial" w:cs="Arial"/>
          <w:color w:val="000000" w:themeColor="text1"/>
          <w:lang w:val="es-PY" w:eastAsia="ja-JP"/>
        </w:rPr>
        <w:t>durante el año</w:t>
      </w:r>
      <w:r w:rsidRPr="00F02E0C">
        <w:rPr>
          <w:rFonts w:ascii="Arial" w:hAnsi="Arial" w:cs="Arial"/>
          <w:color w:val="000000" w:themeColor="text1"/>
          <w:lang w:val="es-PY" w:eastAsia="ja-JP"/>
        </w:rPr>
        <w:t xml:space="preserve"> 2020.</w:t>
      </w:r>
    </w:p>
    <w:p w:rsidRPr="000F7BCC" w:rsidR="000F7BCC" w:rsidP="000F7BCC" w:rsidRDefault="00D42966" w14:paraId="0E31BF0A" w14:textId="145CEDCD">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D42966">
        <w:rPr>
          <w:rFonts w:ascii="Arial" w:hAnsi="Arial" w:eastAsia="MS Mincho" w:cs="Arial"/>
          <w:b/>
          <w:bCs/>
          <w:color w:val="000000"/>
          <w:lang w:val="es-ES_tradnl" w:eastAsia="es-SV"/>
        </w:rPr>
        <w:t>Avances de políticas nacionales y planificación hacia una reducción del riesgo de desastres.</w:t>
      </w:r>
      <w:r w:rsidRPr="00D42966">
        <w:rPr>
          <w:rFonts w:ascii="Arial" w:hAnsi="Arial" w:eastAsia="MS Mincho" w:cs="Arial"/>
          <w:color w:val="000000"/>
          <w:lang w:val="es-ES_tradnl" w:eastAsia="es-SV"/>
        </w:rPr>
        <w:t xml:space="preserve"> </w:t>
      </w:r>
      <w:r w:rsidRPr="00D42966" w:rsidR="0025609F">
        <w:rPr>
          <w:rFonts w:ascii="Arial" w:hAnsi="Arial" w:eastAsia="MS Mincho" w:cs="Arial"/>
          <w:color w:val="000000"/>
          <w:lang w:val="es-ES_tradnl" w:eastAsia="es-SV"/>
        </w:rPr>
        <w:t>En respuesta a dichas magnitudes y diversificaciones del riesgo por peligros múltiples, el país viene impulsando la adopción de políticas públicas en la temática de la Gestión del Riesgo de Desastres (GRD), consecuencia de la cual se aprobó la Ley 29664 (Ley de creación del Sistema Nacional de Gestión del Riesgo de Desastres – SINAGERD) del 2011 y la Política Nacional de Gestión del Riesgo de Desastres del 2012</w:t>
      </w:r>
      <w:r w:rsidR="000F7BCC">
        <w:rPr>
          <w:rStyle w:val="FootnoteReference"/>
          <w:rFonts w:ascii="Arial" w:hAnsi="Arial" w:cs="Arial"/>
          <w:color w:val="000000" w:themeColor="text1"/>
        </w:rPr>
        <w:footnoteReference w:id="3"/>
      </w:r>
      <w:r w:rsidRPr="000F7BCC" w:rsidR="000F7BCC">
        <w:rPr>
          <w:rFonts w:ascii="Arial" w:hAnsi="Arial" w:cs="Arial"/>
          <w:color w:val="000000" w:themeColor="text1"/>
          <w:lang w:val="es-DO"/>
        </w:rPr>
        <w:t xml:space="preserve">. </w:t>
      </w:r>
    </w:p>
    <w:p w:rsidRPr="000F7BCC" w:rsidR="00E52E9B" w:rsidP="00E52E9B" w:rsidRDefault="00E52E9B" w14:paraId="274A7430"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946B06">
        <w:rPr>
          <w:rFonts w:ascii="Arial" w:hAnsi="Arial" w:cs="Arial"/>
          <w:color w:val="000000" w:themeColor="text1"/>
          <w:lang w:val="es-DO"/>
        </w:rPr>
        <w:t>En el 2014 se aprobó el Plan Nacional de Gestión del Riesgo de Desastres (PLANAGERD) 2014 – 2021 para materializar dichos instrumentos políticos a nivel de actividades prácticas. Adicionalmente, se aprobó un programa presupuestario estratégico: Reducción de la vulnerabilidad y atención de emergencia por desastres (PP0068) – PREVAED</w:t>
      </w:r>
      <w:r>
        <w:rPr>
          <w:rStyle w:val="FootnoteReference"/>
          <w:rFonts w:ascii="Arial" w:hAnsi="Arial" w:eastAsia="Arial" w:cs="Arial"/>
          <w:color w:val="000000"/>
        </w:rPr>
        <w:footnoteReference w:id="4"/>
      </w:r>
      <w:r w:rsidRPr="000F7BCC">
        <w:rPr>
          <w:rFonts w:ascii="Arial" w:hAnsi="Arial" w:eastAsia="Arial" w:cs="Arial"/>
          <w:color w:val="000000"/>
          <w:lang w:val="es-DO"/>
        </w:rPr>
        <w:t xml:space="preserve">, </w:t>
      </w:r>
      <w:r w:rsidRPr="00114F86">
        <w:rPr>
          <w:rFonts w:ascii="Arial" w:hAnsi="Arial" w:eastAsia="Arial" w:cs="Arial"/>
          <w:color w:val="000000"/>
          <w:lang w:val="es-ES_tradnl" w:eastAsia="es-SV"/>
        </w:rPr>
        <w:t xml:space="preserve">con el fin de contribuir a la implementación las actividades necesarias bajo el marco de la Ley 29664, la Política y el </w:t>
      </w:r>
      <w:r w:rsidRPr="00114F86">
        <w:rPr>
          <w:rFonts w:ascii="Arial" w:hAnsi="Arial" w:eastAsia="MS Mincho" w:cs="Arial"/>
          <w:color w:val="000000"/>
          <w:lang w:val="es-ES_tradnl" w:eastAsia="es-SV"/>
        </w:rPr>
        <w:t>PLANAGERD 2014-2021</w:t>
      </w:r>
      <w:r>
        <w:rPr>
          <w:rFonts w:ascii="Arial" w:hAnsi="Arial" w:eastAsia="MS Mincho" w:cs="Arial"/>
          <w:color w:val="000000"/>
          <w:lang w:val="es-ES_tradnl" w:eastAsia="es-SV"/>
        </w:rPr>
        <w:t xml:space="preserve">. Este último, </w:t>
      </w:r>
      <w:r w:rsidRPr="00114F86">
        <w:rPr>
          <w:rFonts w:ascii="Arial" w:hAnsi="Arial" w:eastAsia="MS Mincho" w:cs="Arial"/>
          <w:color w:val="000000"/>
          <w:lang w:val="es-ES_tradnl" w:eastAsia="es-SV"/>
        </w:rPr>
        <w:t xml:space="preserve">tiene como </w:t>
      </w:r>
      <w:r w:rsidRPr="00114F86">
        <w:rPr>
          <w:rFonts w:ascii="Arial" w:hAnsi="Arial" w:eastAsia="Arial" w:cs="Arial"/>
          <w:color w:val="000000"/>
          <w:lang w:val="es-ES_tradnl" w:eastAsia="es-SV"/>
        </w:rPr>
        <w:t>objetivo principal de prevenir, reducir y controlar los factores de riesgo de desastres, preparándose para proporcionar una respuesta efectiva y una recuperación adecuada en situaciones de emergencia. El Plan consta de seis (6)</w:t>
      </w:r>
      <w:r>
        <w:rPr>
          <w:rFonts w:ascii="Arial" w:hAnsi="Arial" w:eastAsia="Arial" w:cs="Arial"/>
          <w:color w:val="000000"/>
          <w:lang w:val="es-ES_tradnl" w:eastAsia="es-SV"/>
        </w:rPr>
        <w:t> </w:t>
      </w:r>
      <w:r w:rsidRPr="00114F86">
        <w:rPr>
          <w:rFonts w:ascii="Arial" w:hAnsi="Arial" w:eastAsia="Arial" w:cs="Arial"/>
          <w:color w:val="000000"/>
          <w:lang w:val="es-ES_tradnl" w:eastAsia="es-SV"/>
        </w:rPr>
        <w:t>objetivos estratégicos, catorce (14) objetivos específicos y cuarenta y siete (47)</w:t>
      </w:r>
      <w:r>
        <w:rPr>
          <w:rFonts w:ascii="Arial" w:hAnsi="Arial" w:eastAsia="Arial" w:cs="Arial"/>
          <w:color w:val="000000"/>
          <w:lang w:val="es-ES_tradnl" w:eastAsia="es-SV"/>
        </w:rPr>
        <w:t> </w:t>
      </w:r>
      <w:r w:rsidRPr="00114F86">
        <w:rPr>
          <w:rFonts w:ascii="Arial" w:hAnsi="Arial" w:eastAsia="Arial" w:cs="Arial"/>
          <w:color w:val="000000"/>
          <w:lang w:val="es-ES_tradnl" w:eastAsia="es-SV"/>
        </w:rPr>
        <w:t xml:space="preserve">acciones estratégicas. Uno de los seis objetivos estratégicos es “mejorar la </w:t>
      </w:r>
      <w:r w:rsidRPr="00114F86">
        <w:rPr>
          <w:rFonts w:ascii="Arial" w:hAnsi="Arial" w:eastAsia="Arial" w:cs="Arial"/>
          <w:color w:val="000000"/>
          <w:lang w:val="es-ES_tradnl" w:eastAsia="es-SV"/>
        </w:rPr>
        <w:lastRenderedPageBreak/>
        <w:t>capacidad de respuesta ante emergencias y desastres a través del fortalecimiento y la implementación de sistemas de alerta temprana (SAT)</w:t>
      </w:r>
      <w:r w:rsidRPr="00114F86">
        <w:rPr>
          <w:rFonts w:ascii="Arial" w:hAnsi="Arial" w:eastAsia="Arial" w:cs="Arial"/>
          <w:color w:val="000000"/>
          <w:vertAlign w:val="superscript"/>
          <w:lang w:val="es-ES_tradnl" w:eastAsia="es-SV"/>
        </w:rPr>
        <w:footnoteReference w:id="5"/>
      </w:r>
      <w:r w:rsidRPr="00114F86">
        <w:rPr>
          <w:rFonts w:ascii="Arial" w:hAnsi="Arial" w:eastAsia="Arial" w:cs="Arial"/>
          <w:color w:val="000000"/>
          <w:lang w:val="es-ES_tradnl" w:eastAsia="es-SV"/>
        </w:rPr>
        <w:t xml:space="preserve">”, el cual es el </w:t>
      </w:r>
      <w:r>
        <w:rPr>
          <w:rFonts w:ascii="Arial" w:hAnsi="Arial" w:eastAsia="Arial" w:cs="Arial"/>
          <w:color w:val="000000"/>
          <w:lang w:val="es-ES_tradnl" w:eastAsia="es-SV"/>
        </w:rPr>
        <w:t>eje</w:t>
      </w:r>
      <w:r w:rsidRPr="00114F86">
        <w:rPr>
          <w:rFonts w:ascii="Arial" w:hAnsi="Arial" w:eastAsia="Arial" w:cs="Arial"/>
          <w:color w:val="000000"/>
          <w:lang w:val="es-ES_tradnl" w:eastAsia="es-SV"/>
        </w:rPr>
        <w:t xml:space="preserve"> principal de esta CT</w:t>
      </w:r>
      <w:r w:rsidRPr="000F7BCC">
        <w:rPr>
          <w:rFonts w:ascii="Arial" w:hAnsi="Arial" w:eastAsia="Arial" w:cs="Arial"/>
          <w:color w:val="000000"/>
          <w:lang w:val="es-DO"/>
        </w:rPr>
        <w:t xml:space="preserve">. </w:t>
      </w:r>
    </w:p>
    <w:p w:rsidRPr="000F7BCC" w:rsidR="000F7BCC" w:rsidP="00E52E9B" w:rsidRDefault="00E52E9B" w14:paraId="6DDFDF2F" w14:textId="6E580E28">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15794A">
        <w:rPr>
          <w:rFonts w:ascii="Arial" w:hAnsi="Arial" w:cs="Arial"/>
          <w:color w:val="000000" w:themeColor="text1"/>
          <w:lang w:val="es-DO"/>
        </w:rPr>
        <w:t xml:space="preserve">Posterior al PLANAGERD 2014 – 2021, se </w:t>
      </w:r>
      <w:r>
        <w:rPr>
          <w:rFonts w:ascii="Arial" w:hAnsi="Arial" w:cs="Arial"/>
          <w:color w:val="000000" w:themeColor="text1"/>
          <w:lang w:val="es-DO"/>
        </w:rPr>
        <w:t>aprobaron</w:t>
      </w:r>
      <w:r w:rsidRPr="0015794A">
        <w:rPr>
          <w:rFonts w:ascii="Arial" w:hAnsi="Arial" w:cs="Arial"/>
          <w:color w:val="000000" w:themeColor="text1"/>
          <w:lang w:val="es-DO"/>
        </w:rPr>
        <w:t xml:space="preserve"> los Lineamientos de la Red Nacional de Alerta Temprana (RNAT)</w:t>
      </w:r>
      <w:r>
        <w:rPr>
          <w:rStyle w:val="FootnoteReference"/>
          <w:rFonts w:ascii="Arial" w:hAnsi="Arial" w:cs="Arial"/>
          <w:color w:val="000000" w:themeColor="text1"/>
          <w:lang w:val="es-DO"/>
        </w:rPr>
        <w:footnoteReference w:id="6"/>
      </w:r>
      <w:r w:rsidRPr="0015794A">
        <w:rPr>
          <w:rFonts w:ascii="Arial" w:hAnsi="Arial" w:cs="Arial"/>
          <w:color w:val="000000" w:themeColor="text1"/>
          <w:lang w:val="es-DO"/>
        </w:rPr>
        <w:t xml:space="preserve"> a nivel nacional, con </w:t>
      </w:r>
      <w:r>
        <w:rPr>
          <w:rFonts w:ascii="Arial" w:hAnsi="Arial" w:cs="Arial"/>
          <w:color w:val="000000" w:themeColor="text1"/>
          <w:lang w:val="es-DO"/>
        </w:rPr>
        <w:t>los cuales</w:t>
      </w:r>
      <w:r w:rsidRPr="0015794A">
        <w:rPr>
          <w:rFonts w:ascii="Arial" w:hAnsi="Arial" w:cs="Arial"/>
          <w:color w:val="000000" w:themeColor="text1"/>
          <w:lang w:val="es-DO"/>
        </w:rPr>
        <w:t xml:space="preserve"> fue creada la misma Red, a fin de reglamentar la responsabilidad de cada institución a nivel operacional de los distintos </w:t>
      </w:r>
      <w:r>
        <w:rPr>
          <w:rFonts w:ascii="Arial" w:hAnsi="Arial" w:cs="Arial"/>
          <w:color w:val="000000" w:themeColor="text1"/>
          <w:lang w:val="es-DO"/>
        </w:rPr>
        <w:t>S</w:t>
      </w:r>
      <w:r w:rsidRPr="0015794A">
        <w:rPr>
          <w:rFonts w:ascii="Arial" w:hAnsi="Arial" w:cs="Arial"/>
          <w:color w:val="000000" w:themeColor="text1"/>
          <w:lang w:val="es-DO"/>
        </w:rPr>
        <w:t xml:space="preserve">istemas de </w:t>
      </w:r>
      <w:r>
        <w:rPr>
          <w:rFonts w:ascii="Arial" w:hAnsi="Arial" w:cs="Arial"/>
          <w:color w:val="000000" w:themeColor="text1"/>
          <w:lang w:val="es-DO"/>
        </w:rPr>
        <w:t>A</w:t>
      </w:r>
      <w:r w:rsidRPr="0015794A">
        <w:rPr>
          <w:rFonts w:ascii="Arial" w:hAnsi="Arial" w:cs="Arial"/>
          <w:color w:val="000000" w:themeColor="text1"/>
          <w:lang w:val="es-DO"/>
        </w:rPr>
        <w:t xml:space="preserve">lerta </w:t>
      </w:r>
      <w:r>
        <w:rPr>
          <w:rFonts w:ascii="Arial" w:hAnsi="Arial" w:cs="Arial"/>
          <w:color w:val="000000" w:themeColor="text1"/>
          <w:lang w:val="es-DO"/>
        </w:rPr>
        <w:t>T</w:t>
      </w:r>
      <w:r w:rsidRPr="0015794A">
        <w:rPr>
          <w:rFonts w:ascii="Arial" w:hAnsi="Arial" w:cs="Arial"/>
          <w:color w:val="000000" w:themeColor="text1"/>
          <w:lang w:val="es-DO"/>
        </w:rPr>
        <w:t>empranas (</w:t>
      </w:r>
      <w:proofErr w:type="spellStart"/>
      <w:r w:rsidRPr="0015794A">
        <w:rPr>
          <w:rFonts w:ascii="Arial" w:hAnsi="Arial" w:cs="Arial"/>
          <w:color w:val="000000" w:themeColor="text1"/>
          <w:lang w:val="es-DO"/>
        </w:rPr>
        <w:t>SATs</w:t>
      </w:r>
      <w:proofErr w:type="spellEnd"/>
      <w:r w:rsidRPr="0015794A">
        <w:rPr>
          <w:rFonts w:ascii="Arial" w:hAnsi="Arial" w:cs="Arial"/>
          <w:color w:val="000000" w:themeColor="text1"/>
          <w:lang w:val="es-DO"/>
        </w:rPr>
        <w:t>) a nivel nacional. Se creó también el Comité Técnico de Coordinación de la RNAT (CTC-RNAT) en el 2015, el cual inicialmente estuvo conformado por representantes de 15 instituciones nacionales</w:t>
      </w:r>
      <w:r>
        <w:rPr>
          <w:rStyle w:val="FootnoteReference"/>
          <w:rFonts w:ascii="Arial" w:hAnsi="Arial" w:cs="Arial"/>
          <w:color w:val="000000" w:themeColor="text1"/>
          <w:lang w:val="es-DO"/>
        </w:rPr>
        <w:footnoteReference w:id="7"/>
      </w:r>
      <w:r w:rsidRPr="0015794A">
        <w:rPr>
          <w:rFonts w:ascii="Arial" w:hAnsi="Arial" w:cs="Arial"/>
          <w:color w:val="000000" w:themeColor="text1"/>
          <w:lang w:val="es-DO"/>
        </w:rPr>
        <w:t>. El Instituto Nacional de Defensa Civil (INDECI) preside dicho Comité, así como de la Red Nacional de Alerta Temprana</w:t>
      </w:r>
      <w:r w:rsidRPr="000F7BCC" w:rsidR="000F7BCC">
        <w:rPr>
          <w:rFonts w:ascii="Arial" w:hAnsi="Arial" w:cs="Arial"/>
          <w:color w:val="000000" w:themeColor="text1"/>
          <w:lang w:val="es-DO"/>
        </w:rPr>
        <w:t xml:space="preserve">. </w:t>
      </w:r>
    </w:p>
    <w:p w:rsidRPr="000F7BCC" w:rsidR="000F7BCC" w:rsidP="000F7BCC" w:rsidRDefault="000F7BCC" w14:paraId="4081EF8E" w14:textId="761D34A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bookmarkStart w:name="_Ref51166566" w:id="0"/>
      <w:r w:rsidRPr="000F7BCC">
        <w:rPr>
          <w:rFonts w:ascii="Arial" w:hAnsi="Arial" w:eastAsia="Times New Roman" w:cs="Arial"/>
          <w:b/>
          <w:color w:val="000000" w:themeColor="text1"/>
          <w:lang w:val="es-DO"/>
        </w:rPr>
        <w:t xml:space="preserve">Avances sobre el desempeño </w:t>
      </w:r>
      <w:r w:rsidR="0015794A">
        <w:rPr>
          <w:rFonts w:ascii="Arial" w:hAnsi="Arial" w:eastAsia="Times New Roman" w:cs="Arial"/>
          <w:b/>
          <w:color w:val="000000" w:themeColor="text1"/>
          <w:lang w:val="es-DO"/>
        </w:rPr>
        <w:t>de la RNAT</w:t>
      </w:r>
      <w:r w:rsidRPr="000F7BCC">
        <w:rPr>
          <w:rFonts w:ascii="Arial" w:hAnsi="Arial" w:eastAsia="Times New Roman" w:cs="Arial"/>
          <w:b/>
          <w:color w:val="000000" w:themeColor="text1"/>
          <w:lang w:val="es-DO"/>
        </w:rPr>
        <w:t xml:space="preserve">. </w:t>
      </w:r>
      <w:r w:rsidRPr="002E6B4F" w:rsidR="00700FCD">
        <w:rPr>
          <w:rFonts w:ascii="Arial" w:hAnsi="Arial" w:eastAsia="Times New Roman" w:cs="Arial"/>
          <w:bCs/>
          <w:color w:val="000000" w:themeColor="text1"/>
          <w:lang w:val="es-DO"/>
        </w:rPr>
        <w:t xml:space="preserve">El Perú ha hecho avances importantes para mejorar el desempeño de la RNAT. </w:t>
      </w:r>
      <w:r w:rsidRPr="00123E7F" w:rsidR="00700FCD">
        <w:rPr>
          <w:rFonts w:ascii="Arial" w:hAnsi="Arial" w:eastAsia="Times New Roman" w:cs="Arial"/>
          <w:bCs/>
          <w:color w:val="000000" w:themeColor="text1"/>
          <w:lang w:val="es-DO"/>
        </w:rPr>
        <w:t>Por ejemplo, con los fondos del Programa Presupuesta</w:t>
      </w:r>
      <w:r w:rsidR="00700FCD">
        <w:rPr>
          <w:rFonts w:ascii="Arial" w:hAnsi="Arial" w:eastAsia="Times New Roman" w:cs="Arial"/>
          <w:bCs/>
          <w:color w:val="000000" w:themeColor="text1"/>
          <w:lang w:val="es-DO"/>
        </w:rPr>
        <w:t>l</w:t>
      </w:r>
      <w:r w:rsidRPr="00123E7F" w:rsidR="00700FCD">
        <w:rPr>
          <w:rFonts w:ascii="Arial" w:hAnsi="Arial" w:eastAsia="Times New Roman" w:cs="Arial"/>
          <w:bCs/>
          <w:color w:val="000000" w:themeColor="text1"/>
          <w:lang w:val="es-DO"/>
        </w:rPr>
        <w:t xml:space="preserve"> 0068, el Servicio Nacional de Meteorología e Hidrología del Perú (SENAMHI) monitorea los eventos climáticos/hidrometeorológicos actualmente con más de 800 estaciones meteorológicas, de las cuales 100 son estaciones automáticas modernas se instalaron recientemente a través de estos fondos. Asimismo, el Instituto Geofísico del Perú (IGP) gestiona el Sistema de Alerta de Erupciones Volcánicas con el monitoreo en tiempo real de 12 volcanes activos del sur del Perú mediante 44</w:t>
      </w:r>
      <w:r w:rsidR="00884320">
        <w:rPr>
          <w:rFonts w:ascii="Arial" w:hAnsi="Arial" w:eastAsia="Times New Roman" w:cs="Arial"/>
          <w:bCs/>
          <w:color w:val="000000" w:themeColor="text1"/>
          <w:lang w:val="es-DO"/>
        </w:rPr>
        <w:t> </w:t>
      </w:r>
      <w:r w:rsidRPr="00123E7F" w:rsidR="00700FCD">
        <w:rPr>
          <w:rFonts w:ascii="Arial" w:hAnsi="Arial" w:eastAsia="Times New Roman" w:cs="Arial"/>
          <w:bCs/>
          <w:color w:val="000000" w:themeColor="text1"/>
          <w:lang w:val="es-DO"/>
        </w:rPr>
        <w:t>estaciones sísmicas y cámaras de vigilancia distribuidas estratégicamente a su alrededor, así como 40 instrumentos geofísicos adicionales (GPS, inclinómetros, drones, imágenes satelitales, etc.)</w:t>
      </w:r>
      <w:r w:rsidR="00700FCD">
        <w:rPr>
          <w:rFonts w:ascii="Arial" w:hAnsi="Arial" w:eastAsia="Times New Roman" w:cs="Arial"/>
          <w:bCs/>
          <w:color w:val="000000" w:themeColor="text1"/>
          <w:lang w:val="es-DO"/>
        </w:rPr>
        <w:t>. El</w:t>
      </w:r>
      <w:r w:rsidRPr="00123E7F" w:rsidR="00700FCD">
        <w:rPr>
          <w:rFonts w:ascii="Arial" w:hAnsi="Arial" w:eastAsia="Times New Roman" w:cs="Arial"/>
          <w:bCs/>
          <w:color w:val="000000" w:themeColor="text1"/>
          <w:lang w:val="es-DO"/>
        </w:rPr>
        <w:t xml:space="preserve"> Instituto Geológico, Minero y Metalúrgico (INGEMMET) ha realizado significativos avances en el inventariado y cartografiado de peligros geológicos a nivel nacional, además del monitoreo de las actividades volcánicas con cámaras de vigilancia y otros equipos instalados, que se pueden visualizar a través de su plataforma web GEOCATMIN. El </w:t>
      </w:r>
      <w:r w:rsidR="00700FCD">
        <w:rPr>
          <w:rFonts w:ascii="Arial" w:hAnsi="Arial" w:eastAsia="Times New Roman" w:cs="Arial"/>
          <w:bCs/>
          <w:color w:val="000000" w:themeColor="text1"/>
          <w:lang w:val="es-DO"/>
        </w:rPr>
        <w:t>IGP</w:t>
      </w:r>
      <w:r w:rsidRPr="00123E7F" w:rsidR="00700FCD">
        <w:rPr>
          <w:rFonts w:ascii="Arial" w:hAnsi="Arial" w:eastAsia="Times New Roman" w:cs="Arial"/>
          <w:bCs/>
          <w:color w:val="000000" w:themeColor="text1"/>
          <w:lang w:val="es-DO"/>
        </w:rPr>
        <w:t xml:space="preserve"> e INDECI están ejecutando el Proyecto de Inversión N°2454990 “Creación del Servicio de Generación de Información, Monitoreo, Alerta, Difusión y Comunicación para el Sistema de Alerta Temprana Ante Sismos en los Departamentos de la Costa del Perú” que comenzará a operar a partir del 2021. Con este sistema, se podrá estimar la llegada de ondas sísmicas a la ciudad de Lima con 1-40 segundos de anticipación según su distancia a un epicentro en el océano Pacifico.</w:t>
      </w:r>
      <w:r w:rsidR="00700FCD">
        <w:rPr>
          <w:rFonts w:ascii="Arial" w:hAnsi="Arial" w:eastAsia="Times New Roman" w:cs="Arial"/>
          <w:bCs/>
          <w:color w:val="000000" w:themeColor="text1"/>
          <w:lang w:val="es-DO"/>
        </w:rPr>
        <w:t xml:space="preserve"> </w:t>
      </w:r>
      <w:r w:rsidRPr="002E6B4F" w:rsidR="00700FCD">
        <w:rPr>
          <w:rFonts w:ascii="Arial" w:hAnsi="Arial" w:eastAsia="Times New Roman" w:cs="Arial"/>
          <w:bCs/>
          <w:color w:val="000000" w:themeColor="text1"/>
          <w:lang w:val="es-DO"/>
        </w:rPr>
        <w:t>Otro avance es el acuerdo de alianza público-privada entre INDECI y los canales de televisión iniciado en el 2019 para la difusión de información de alerta temprana masiva, a través de la televisión abierta en tiempo real</w:t>
      </w:r>
      <w:r w:rsidR="00700FCD">
        <w:rPr>
          <w:rStyle w:val="FootnoteReference"/>
          <w:rFonts w:ascii="Arial" w:hAnsi="Arial" w:eastAsia="Times New Roman" w:cs="Arial"/>
          <w:bCs/>
          <w:color w:val="000000" w:themeColor="text1"/>
          <w:lang w:val="es-DO"/>
        </w:rPr>
        <w:footnoteReference w:id="8"/>
      </w:r>
      <w:r w:rsidRPr="002E6B4F" w:rsidR="00700FCD">
        <w:rPr>
          <w:rFonts w:ascii="Arial" w:hAnsi="Arial" w:eastAsia="Times New Roman" w:cs="Arial"/>
          <w:bCs/>
          <w:color w:val="000000" w:themeColor="text1"/>
          <w:lang w:val="es-DO"/>
        </w:rPr>
        <w:t>. Algunos SAT a nivel local también han venido desarrollándose, por ejemplo, el SAT local ante riesgo de deslizamientos en las quebradas del distrito San Juan de Lurigancho – Chosica en 2018 (el proyecto del INDECI-KOICA), así como el SAT comunitario desarrollado para inundaciones en Piura (el proyecto del INDECI) en el año 2017</w:t>
      </w:r>
      <w:r w:rsidRPr="000F7BCC" w:rsidR="00700FCD">
        <w:rPr>
          <w:rFonts w:ascii="Arial" w:hAnsi="Arial" w:cs="Arial"/>
          <w:color w:val="000000" w:themeColor="text1"/>
          <w:lang w:val="es-DO"/>
        </w:rPr>
        <w:t>.</w:t>
      </w:r>
      <w:bookmarkEnd w:id="0"/>
    </w:p>
    <w:p w:rsidRPr="000F7BCC" w:rsidR="000F7BCC" w:rsidP="000F7BCC" w:rsidRDefault="000F7BCC" w14:paraId="53D00090" w14:textId="0399669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bookmarkStart w:name="_Ref51167705" w:id="1"/>
      <w:r w:rsidRPr="000F7BCC">
        <w:rPr>
          <w:rFonts w:ascii="Arial" w:hAnsi="Arial" w:cs="Arial"/>
          <w:b/>
          <w:bCs/>
          <w:color w:val="000000" w:themeColor="text1"/>
          <w:lang w:val="es-DO"/>
        </w:rPr>
        <w:lastRenderedPageBreak/>
        <w:t>Desafíos y oportunidades para mejorar el desempeño del SAT Nacional.</w:t>
      </w:r>
      <w:r w:rsidRPr="000F7BCC">
        <w:rPr>
          <w:rFonts w:ascii="Arial" w:hAnsi="Arial" w:cs="Arial"/>
          <w:color w:val="000000" w:themeColor="text1"/>
          <w:lang w:val="es-DO"/>
        </w:rPr>
        <w:t xml:space="preserve"> </w:t>
      </w:r>
      <w:r w:rsidRPr="00AC4EA6" w:rsidR="00AC4EA6">
        <w:rPr>
          <w:rFonts w:ascii="Arial" w:hAnsi="Arial" w:cs="Arial"/>
          <w:color w:val="000000" w:themeColor="text1"/>
          <w:lang w:val="es-DO"/>
        </w:rPr>
        <w:t xml:space="preserve">Transcurridos los últimos años de la Ley 29664, la Política Nacional, el PLANAGERD 2014-2021, además de los avances importantes destacados anteriormente </w:t>
      </w:r>
      <w:r w:rsidR="0051320A">
        <w:rPr>
          <w:rFonts w:ascii="Arial" w:hAnsi="Arial" w:cs="Arial"/>
          <w:color w:val="000000" w:themeColor="text1"/>
          <w:lang w:val="es-DO"/>
        </w:rPr>
        <w:t>(</w:t>
      </w:r>
      <w:r w:rsidRPr="008B4B1A" w:rsidR="00343F81">
        <w:rPr>
          <w:rFonts w:ascii="Arial" w:hAnsi="Arial" w:cs="Arial"/>
          <w:color w:val="000000" w:themeColor="text1"/>
          <w:lang w:val="es-DO"/>
        </w:rPr>
        <w:t>¶</w:t>
      </w:r>
      <w:r w:rsidR="002F3008">
        <w:rPr>
          <w:rFonts w:ascii="Arial" w:hAnsi="Arial" w:cs="Arial"/>
          <w:color w:val="000000" w:themeColor="text1"/>
          <w:lang w:val="es-DO"/>
        </w:rPr>
        <w:fldChar w:fldCharType="begin"/>
      </w:r>
      <w:r w:rsidR="002F3008">
        <w:rPr>
          <w:rFonts w:ascii="Arial" w:hAnsi="Arial" w:cs="Arial"/>
          <w:color w:val="000000" w:themeColor="text1"/>
          <w:lang w:val="es-DO"/>
        </w:rPr>
        <w:instrText xml:space="preserve"> REF _Ref51166566 \r \h </w:instrText>
      </w:r>
      <w:r w:rsidR="002F3008">
        <w:rPr>
          <w:rFonts w:ascii="Arial" w:hAnsi="Arial" w:cs="Arial"/>
          <w:color w:val="000000" w:themeColor="text1"/>
          <w:lang w:val="es-DO"/>
        </w:rPr>
      </w:r>
      <w:r w:rsidR="002F3008">
        <w:rPr>
          <w:rFonts w:ascii="Arial" w:hAnsi="Arial" w:cs="Arial"/>
          <w:color w:val="000000" w:themeColor="text1"/>
          <w:lang w:val="es-DO"/>
        </w:rPr>
        <w:fldChar w:fldCharType="separate"/>
      </w:r>
      <w:r w:rsidR="002F3008">
        <w:rPr>
          <w:rFonts w:ascii="Arial" w:hAnsi="Arial" w:cs="Arial"/>
          <w:color w:val="000000" w:themeColor="text1"/>
          <w:lang w:val="es-DO"/>
        </w:rPr>
        <w:t>2.8</w:t>
      </w:r>
      <w:r w:rsidR="002F3008">
        <w:rPr>
          <w:rFonts w:ascii="Arial" w:hAnsi="Arial" w:cs="Arial"/>
          <w:color w:val="000000" w:themeColor="text1"/>
          <w:lang w:val="es-DO"/>
        </w:rPr>
        <w:fldChar w:fldCharType="end"/>
      </w:r>
      <w:r w:rsidRPr="00AC4EA6" w:rsidR="00AC4EA6">
        <w:rPr>
          <w:rFonts w:ascii="Arial" w:hAnsi="Arial" w:cs="Arial"/>
          <w:color w:val="000000" w:themeColor="text1"/>
          <w:lang w:val="es-DO"/>
        </w:rPr>
        <w:t>), se identifican dos desafíos principales para mejorar el desempeño de la RNAT</w:t>
      </w:r>
      <w:bookmarkEnd w:id="1"/>
      <w:r w:rsidRPr="000F7BCC">
        <w:rPr>
          <w:rFonts w:ascii="Arial" w:hAnsi="Arial" w:cs="Arial"/>
          <w:color w:val="000000" w:themeColor="text1"/>
          <w:lang w:val="es-DO"/>
        </w:rPr>
        <w:t>:</w:t>
      </w:r>
    </w:p>
    <w:p w:rsidRPr="000F7BCC" w:rsidR="000F7BCC" w:rsidP="00206AE7" w:rsidRDefault="008A7EB5" w14:paraId="6DB27651" w14:textId="7F896B00">
      <w:pPr>
        <w:pStyle w:val="ListParagraph"/>
        <w:numPr>
          <w:ilvl w:val="0"/>
          <w:numId w:val="21"/>
        </w:numPr>
        <w:pBdr>
          <w:top w:val="nil"/>
          <w:left w:val="nil"/>
          <w:bottom w:val="nil"/>
          <w:right w:val="nil"/>
          <w:between w:val="nil"/>
        </w:pBdr>
        <w:tabs>
          <w:tab w:val="left" w:pos="7200"/>
        </w:tabs>
        <w:spacing w:after="120" w:line="240" w:lineRule="auto"/>
        <w:ind w:left="630" w:hanging="270"/>
        <w:contextualSpacing w:val="0"/>
        <w:jc w:val="both"/>
        <w:rPr>
          <w:rFonts w:ascii="Arial" w:hAnsi="Arial" w:eastAsia="Arial" w:cs="Arial"/>
          <w:color w:val="000000"/>
          <w:lang w:val="es-DO"/>
        </w:rPr>
      </w:pPr>
      <w:r w:rsidRPr="008A7EB5">
        <w:rPr>
          <w:rFonts w:ascii="Arial" w:hAnsi="Arial" w:cs="Arial"/>
          <w:b/>
          <w:bCs/>
          <w:color w:val="000000" w:themeColor="text1"/>
          <w:lang w:val="es-DO"/>
        </w:rPr>
        <w:t>Necesidad de integrar dos diferentes tipos de eventos (desastres propiciados por peligros generados por fenómenos de origen natural y brotes de epidemias) como plataforma de política nacional</w:t>
      </w:r>
      <w:r w:rsidRPr="000F7BCC" w:rsidR="000F7BCC">
        <w:rPr>
          <w:rFonts w:ascii="Arial" w:hAnsi="Arial" w:cs="Arial"/>
          <w:b/>
          <w:bCs/>
          <w:color w:val="000000" w:themeColor="text1"/>
          <w:lang w:val="es-DO"/>
        </w:rPr>
        <w:t>.</w:t>
      </w:r>
      <w:r w:rsidRPr="000F7BCC" w:rsidR="000F7BCC">
        <w:rPr>
          <w:rFonts w:ascii="Arial" w:hAnsi="Arial" w:cs="Arial"/>
          <w:color w:val="000000" w:themeColor="text1"/>
          <w:lang w:val="es-DO"/>
        </w:rPr>
        <w:t xml:space="preserve"> </w:t>
      </w:r>
      <w:r w:rsidRPr="00A85528" w:rsidR="00672028">
        <w:rPr>
          <w:rFonts w:ascii="Arial" w:hAnsi="Arial" w:cs="Arial"/>
          <w:color w:val="000000" w:themeColor="text1"/>
          <w:lang w:val="es-DO"/>
        </w:rPr>
        <w:t>Por ejemplo, todos los instrumentos actuales de política en GRD (la Ley 29664, la Política Nacional, el PLANAGERD 2014-2021 y la RNAT) están diseñados principalmente a reducir el riesgo ante fenómenos naturales adversos y no explícitamente para las epidemias/pandemias. Por otro lado, la nueva iniciativa de la central única de emergencia 911 (“Perú 911”)</w:t>
      </w:r>
      <w:r w:rsidR="00672028">
        <w:rPr>
          <w:rStyle w:val="FootnoteReference"/>
          <w:rFonts w:ascii="Arial" w:hAnsi="Arial" w:cs="Arial"/>
          <w:color w:val="000000" w:themeColor="text1"/>
          <w:lang w:val="es-DO"/>
        </w:rPr>
        <w:footnoteReference w:id="9"/>
      </w:r>
      <w:r w:rsidRPr="00A85528" w:rsidR="00672028">
        <w:rPr>
          <w:rFonts w:ascii="Arial" w:hAnsi="Arial" w:cs="Arial"/>
          <w:color w:val="000000" w:themeColor="text1"/>
          <w:lang w:val="es-DO"/>
        </w:rPr>
        <w:t xml:space="preserve">, </w:t>
      </w:r>
      <w:r w:rsidR="00672028">
        <w:rPr>
          <w:rFonts w:ascii="Arial" w:hAnsi="Arial" w:cs="Arial"/>
          <w:color w:val="000000" w:themeColor="text1"/>
          <w:lang w:val="es-DO"/>
        </w:rPr>
        <w:t>la</w:t>
      </w:r>
      <w:r w:rsidRPr="00A85528" w:rsidR="00672028">
        <w:rPr>
          <w:rFonts w:ascii="Arial" w:hAnsi="Arial" w:cs="Arial"/>
          <w:color w:val="000000" w:themeColor="text1"/>
          <w:lang w:val="es-DO"/>
        </w:rPr>
        <w:t xml:space="preserve"> cual brindará un servicio integrado </w:t>
      </w:r>
      <w:r w:rsidR="00672028">
        <w:rPr>
          <w:rFonts w:ascii="Arial" w:hAnsi="Arial" w:cs="Arial"/>
          <w:color w:val="000000" w:themeColor="text1"/>
          <w:lang w:val="es-DO"/>
        </w:rPr>
        <w:t>para</w:t>
      </w:r>
      <w:r w:rsidRPr="00A85528" w:rsidR="00672028">
        <w:rPr>
          <w:rFonts w:ascii="Arial" w:hAnsi="Arial" w:cs="Arial"/>
          <w:color w:val="000000" w:themeColor="text1"/>
          <w:lang w:val="es-DO"/>
        </w:rPr>
        <w:t xml:space="preserve"> atender a primeros auxilios (por ejemplo, de enfermedades, accidentes tráficos e incendios) en el área de Lima Metropolitana y el Callao, aún requeriría de manera urgente incluir el aspecto de emergencia</w:t>
      </w:r>
      <w:r w:rsidR="00672028">
        <w:rPr>
          <w:rFonts w:ascii="Arial" w:hAnsi="Arial" w:cs="Arial"/>
          <w:color w:val="000000" w:themeColor="text1"/>
          <w:lang w:val="es-DO"/>
        </w:rPr>
        <w:t>s</w:t>
      </w:r>
      <w:r w:rsidRPr="00A85528" w:rsidR="00672028">
        <w:rPr>
          <w:rFonts w:ascii="Arial" w:hAnsi="Arial" w:cs="Arial"/>
          <w:color w:val="000000" w:themeColor="text1"/>
          <w:lang w:val="es-DO"/>
        </w:rPr>
        <w:t xml:space="preserve"> producto de desastres propiciados por peligros generados por fenómenos de origen natural y brotes de epidemias. En ese sentido y dada la coyuntura actual por la pandemia del COVID-19, será provechoso para el País a través de la RNAT contar con un instrumento técnico para la integración de dos aspectos de peligros generados por fenómenos de origen natural y brotes de epidemias</w:t>
      </w:r>
      <w:r w:rsidRPr="000F7BCC" w:rsidR="000F7BCC">
        <w:rPr>
          <w:rFonts w:ascii="Arial" w:hAnsi="Arial" w:cs="Arial"/>
          <w:color w:val="000000" w:themeColor="text1"/>
          <w:lang w:val="es-DO"/>
        </w:rPr>
        <w:t xml:space="preserve">. </w:t>
      </w:r>
    </w:p>
    <w:p w:rsidRPr="000F7BCC" w:rsidR="000F7BCC" w:rsidP="00206AE7" w:rsidRDefault="0028546C" w14:paraId="7271F1BE" w14:textId="7D5B7906">
      <w:pPr>
        <w:pStyle w:val="ListParagraph"/>
        <w:numPr>
          <w:ilvl w:val="0"/>
          <w:numId w:val="21"/>
        </w:numPr>
        <w:pBdr>
          <w:top w:val="nil"/>
          <w:left w:val="nil"/>
          <w:bottom w:val="nil"/>
          <w:right w:val="nil"/>
          <w:between w:val="nil"/>
        </w:pBdr>
        <w:tabs>
          <w:tab w:val="left" w:pos="7200"/>
        </w:tabs>
        <w:spacing w:after="120" w:line="240" w:lineRule="auto"/>
        <w:ind w:left="630" w:hanging="270"/>
        <w:contextualSpacing w:val="0"/>
        <w:jc w:val="both"/>
        <w:rPr>
          <w:rFonts w:ascii="Arial" w:hAnsi="Arial" w:eastAsia="Arial" w:cs="Arial"/>
          <w:color w:val="000000"/>
          <w:lang w:val="es-DO"/>
        </w:rPr>
      </w:pPr>
      <w:r w:rsidRPr="0028546C">
        <w:rPr>
          <w:rFonts w:ascii="Arial" w:hAnsi="Arial" w:cs="Arial"/>
          <w:b/>
          <w:bCs/>
          <w:color w:val="000000" w:themeColor="text1"/>
          <w:lang w:val="es-DO"/>
        </w:rPr>
        <w:t>Necesidad de difundir, comunicar y capacitar a las comunidades expuestas a varios peligros generados por fenómenos de origen natural</w:t>
      </w:r>
      <w:r w:rsidR="000A4F7C">
        <w:rPr>
          <w:rFonts w:ascii="Arial" w:hAnsi="Arial" w:cs="Arial"/>
          <w:b/>
          <w:bCs/>
          <w:color w:val="000000" w:themeColor="text1"/>
          <w:lang w:val="es-DO"/>
        </w:rPr>
        <w:t>.</w:t>
      </w:r>
      <w:r w:rsidRPr="000F7BCC" w:rsidR="000F7BCC">
        <w:rPr>
          <w:rFonts w:ascii="Arial" w:hAnsi="Arial" w:cs="Arial"/>
          <w:color w:val="000000" w:themeColor="text1"/>
          <w:lang w:val="es-DO"/>
        </w:rPr>
        <w:t xml:space="preserve"> </w:t>
      </w:r>
      <w:r w:rsidRPr="001F1D4C" w:rsidR="002870CF">
        <w:rPr>
          <w:rFonts w:ascii="Arial" w:hAnsi="Arial" w:cs="Arial"/>
          <w:color w:val="000000" w:themeColor="text1"/>
          <w:lang w:val="es-DO"/>
        </w:rPr>
        <w:t>Todos los peligros importantes (sismos, tsunamis, erupciones volcánicas, Fenómeno del Niño, sequias e incendios forestales) deberían ser cubiertos como parte del marco de abordaje de la RNAT para que, los beneficiarios finales sean todas las comunidades expuestas a estos peligros múltiples. Uno de los desafíos centrales en este sentido, es de cómo difundir y comunicar de manera oportuna para que las comunidades y familias tomen acciones apropiadas en caso de desastres (p. ej. evacuar al centro de albergue), además de hacer llegar la alerta directa a ciudadanos. Si bien los temas de monitoreo y pronóstico de eventos adversos presentan algunos avances significativos (2.8), en el Perú se ven avances incipientes en el tema de difusión y comunicación (p. ej. mediante las sirenas comunitarias que en otros países están en el proceso de instalación</w:t>
      </w:r>
      <w:r w:rsidR="002870CF">
        <w:rPr>
          <w:rStyle w:val="FootnoteReference"/>
          <w:rFonts w:ascii="Arial" w:hAnsi="Arial" w:cs="Arial"/>
          <w:color w:val="000000" w:themeColor="text1"/>
          <w:lang w:val="es-DO"/>
        </w:rPr>
        <w:footnoteReference w:id="10"/>
      </w:r>
      <w:r w:rsidRPr="001F1D4C" w:rsidR="002870CF">
        <w:rPr>
          <w:rFonts w:ascii="Arial" w:hAnsi="Arial" w:cs="Arial"/>
          <w:color w:val="000000" w:themeColor="text1"/>
          <w:lang w:val="es-DO"/>
        </w:rPr>
        <w:t>), así como con el tema de capacitación/sensibilización ante el riesgo de desastres</w:t>
      </w:r>
      <w:r w:rsidRPr="000F7BCC" w:rsidR="000F7BCC">
        <w:rPr>
          <w:rFonts w:ascii="Arial" w:hAnsi="Arial" w:eastAsia="Arial" w:cs="Arial"/>
          <w:color w:val="000000"/>
          <w:lang w:val="es-DO"/>
        </w:rPr>
        <w:t>.</w:t>
      </w:r>
    </w:p>
    <w:p w:rsidRPr="000F7BCC" w:rsidR="000F7BCC" w:rsidP="000F7BCC" w:rsidRDefault="00A112A8" w14:paraId="1853EAA8" w14:textId="3FA8C692">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626C51">
        <w:rPr>
          <w:rFonts w:ascii="Arial" w:hAnsi="Arial" w:eastAsia="Arial" w:cs="Arial"/>
          <w:color w:val="000000"/>
          <w:lang w:val="es-ES_tradnl"/>
        </w:rPr>
        <w:t>En este sentido, el Gobierno de Perú (</w:t>
      </w:r>
      <w:proofErr w:type="spellStart"/>
      <w:r w:rsidRPr="00626C51">
        <w:rPr>
          <w:rFonts w:ascii="Arial" w:hAnsi="Arial" w:eastAsia="Arial" w:cs="Arial"/>
          <w:color w:val="000000"/>
          <w:lang w:val="es-ES_tradnl"/>
        </w:rPr>
        <w:t>GoPE</w:t>
      </w:r>
      <w:proofErr w:type="spellEnd"/>
      <w:r w:rsidRPr="00626C51">
        <w:rPr>
          <w:rFonts w:ascii="Arial" w:hAnsi="Arial" w:eastAsia="Arial" w:cs="Arial"/>
          <w:color w:val="000000"/>
          <w:lang w:val="es-ES_tradnl"/>
        </w:rPr>
        <w:t>)</w:t>
      </w:r>
      <w:r>
        <w:rPr>
          <w:rFonts w:ascii="Arial" w:hAnsi="Arial" w:eastAsia="Arial" w:cs="Arial"/>
          <w:color w:val="000000"/>
          <w:lang w:val="es-ES_tradnl"/>
        </w:rPr>
        <w:t>, a través del INDECI,</w:t>
      </w:r>
      <w:r w:rsidRPr="00626C51">
        <w:rPr>
          <w:rFonts w:ascii="Arial" w:hAnsi="Arial" w:eastAsia="Arial" w:cs="Arial"/>
          <w:color w:val="000000"/>
          <w:lang w:val="es-ES_tradnl"/>
        </w:rPr>
        <w:t xml:space="preserve"> ha solicitado al Banco un proyecto de Cooperación Técnica (CT) con miras a fortalecer la resiliencia de las ciudades y las comunidades en el Perú, en los ámbitos de preparación ante peligros múltiples a nivel de apoyo comunitario</w:t>
      </w:r>
      <w:r w:rsidRPr="000F7BCC" w:rsidR="000F7BCC">
        <w:rPr>
          <w:rFonts w:ascii="Arial" w:hAnsi="Arial" w:eastAsia="Arial" w:cs="Arial"/>
          <w:color w:val="000000"/>
          <w:lang w:val="es-DO"/>
        </w:rPr>
        <w:t xml:space="preserve">. </w:t>
      </w:r>
    </w:p>
    <w:p w:rsidRPr="006C5F67" w:rsidR="00324F67" w:rsidP="00324F67" w:rsidRDefault="000F7BCC" w14:paraId="7DEAE34B" w14:textId="7777777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eastAsia="Arial" w:asciiTheme="minorBidi" w:hAnsiTheme="minorBidi"/>
          <w:color w:val="000000"/>
          <w:lang w:val="es-419"/>
        </w:rPr>
      </w:pPr>
      <w:r w:rsidRPr="000F7BCC">
        <w:rPr>
          <w:rFonts w:ascii="Arial" w:hAnsi="Arial" w:eastAsia="Times New Roman" w:cs="Arial"/>
          <w:b/>
          <w:color w:val="000000" w:themeColor="text1"/>
          <w:lang w:val="es-DO"/>
        </w:rPr>
        <w:t xml:space="preserve">Justificación. </w:t>
      </w:r>
      <w:r w:rsidRPr="000F7BCC" w:rsidR="00324F67">
        <w:rPr>
          <w:rFonts w:ascii="Arial" w:hAnsi="Arial" w:eastAsia="Times New Roman" w:cs="Arial"/>
          <w:bCs/>
          <w:color w:val="000000" w:themeColor="text1"/>
          <w:lang w:val="es-DO"/>
        </w:rPr>
        <w:t>El buen funcionamiento de un SAT tiene varios beneficios que incluyen (i) alta eficiencia para reducir el número de personas afectadas por desastres, agilizando el proceso de resiliencia (o de normalización de actividades socioeconómicas en el corto plazo (</w:t>
      </w:r>
      <w:proofErr w:type="spellStart"/>
      <w:r w:rsidRPr="000F7BCC" w:rsidR="00324F67">
        <w:rPr>
          <w:rFonts w:ascii="Arial" w:hAnsi="Arial" w:eastAsia="Times New Roman" w:cs="Arial"/>
          <w:bCs/>
          <w:color w:val="000000" w:themeColor="text1"/>
          <w:lang w:val="es-DO"/>
        </w:rPr>
        <w:t>Taubenbock</w:t>
      </w:r>
      <w:proofErr w:type="spellEnd"/>
      <w:r w:rsidRPr="000F7BCC" w:rsidR="00324F67">
        <w:rPr>
          <w:rFonts w:ascii="Arial" w:hAnsi="Arial" w:eastAsia="Times New Roman" w:cs="Arial"/>
          <w:bCs/>
          <w:color w:val="000000" w:themeColor="text1"/>
          <w:lang w:val="es-DO"/>
        </w:rPr>
        <w:t>, 2009))</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y (</w:t>
      </w:r>
      <w:proofErr w:type="spellStart"/>
      <w:r w:rsidRPr="000F7BCC" w:rsidR="00324F67">
        <w:rPr>
          <w:rFonts w:ascii="Arial" w:hAnsi="Arial" w:eastAsia="Times New Roman" w:cs="Arial"/>
          <w:bCs/>
          <w:color w:val="000000" w:themeColor="text1"/>
          <w:lang w:val="es-DO"/>
        </w:rPr>
        <w:t>ii</w:t>
      </w:r>
      <w:proofErr w:type="spellEnd"/>
      <w:r w:rsidRPr="000F7BCC" w:rsidR="00324F67">
        <w:rPr>
          <w:rFonts w:ascii="Arial" w:hAnsi="Arial" w:eastAsia="Times New Roman" w:cs="Arial"/>
          <w:bCs/>
          <w:color w:val="000000" w:themeColor="text1"/>
          <w:lang w:val="es-DO"/>
        </w:rPr>
        <w:t xml:space="preserve">) protección a los grupos </w:t>
      </w:r>
      <w:r w:rsidRPr="000F7BCC" w:rsidR="00324F67">
        <w:rPr>
          <w:rFonts w:ascii="Arial" w:hAnsi="Arial" w:eastAsia="Times New Roman" w:cs="Arial"/>
          <w:bCs/>
          <w:color w:val="000000" w:themeColor="text1"/>
          <w:lang w:val="es-DO"/>
        </w:rPr>
        <w:lastRenderedPageBreak/>
        <w:t>más vulnerables (mujeres, pueblos indígenas, personas con discapacidad, adultos mayores y niños) quienes en general tienen acceso limitado a la información en situaciones de emergencia, permitiéndoles una respuesta oportuna (UNISDR, 2006). En término</w:t>
      </w:r>
      <w:r w:rsidR="00324F67">
        <w:rPr>
          <w:rFonts w:ascii="Arial" w:hAnsi="Arial" w:eastAsia="Times New Roman" w:cs="Arial"/>
          <w:bCs/>
          <w:color w:val="000000" w:themeColor="text1"/>
          <w:lang w:val="es-DO"/>
        </w:rPr>
        <w:t>s</w:t>
      </w:r>
      <w:r w:rsidRPr="000F7BCC" w:rsidR="00324F67">
        <w:rPr>
          <w:rFonts w:ascii="Arial" w:hAnsi="Arial" w:eastAsia="Times New Roman" w:cs="Arial"/>
          <w:bCs/>
          <w:color w:val="000000" w:themeColor="text1"/>
          <w:lang w:val="es-DO"/>
        </w:rPr>
        <w:t xml:space="preserve"> de costo beneficio</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por ejemplo</w:t>
      </w:r>
      <w:r w:rsidR="00324F67">
        <w:rPr>
          <w:rFonts w:ascii="Arial" w:hAnsi="Arial" w:eastAsia="Times New Roman" w:cs="Arial"/>
          <w:bCs/>
          <w:color w:val="000000" w:themeColor="text1"/>
          <w:lang w:val="es-DO"/>
        </w:rPr>
        <w:t>,</w:t>
      </w:r>
      <w:r w:rsidRPr="000F7BCC" w:rsidR="00324F67">
        <w:rPr>
          <w:rFonts w:ascii="Arial" w:hAnsi="Arial" w:eastAsia="Times New Roman" w:cs="Arial"/>
          <w:bCs/>
          <w:color w:val="000000" w:themeColor="text1"/>
          <w:lang w:val="es-DO"/>
        </w:rPr>
        <w:t xml:space="preserve"> se estima que </w:t>
      </w:r>
      <w:r w:rsidR="00324F67">
        <w:rPr>
          <w:rFonts w:ascii="Arial" w:hAnsi="Arial" w:eastAsia="Times New Roman" w:cs="Arial"/>
          <w:bCs/>
          <w:color w:val="000000" w:themeColor="text1"/>
          <w:lang w:val="es-DO"/>
        </w:rPr>
        <w:t xml:space="preserve">en Europa </w:t>
      </w:r>
      <w:r w:rsidRPr="000F7BCC" w:rsidR="00324F67">
        <w:rPr>
          <w:rFonts w:ascii="Arial" w:hAnsi="Arial" w:eastAsia="Times New Roman" w:cs="Arial"/>
          <w:bCs/>
          <w:color w:val="000000" w:themeColor="text1"/>
          <w:lang w:val="es-DO"/>
        </w:rPr>
        <w:t xml:space="preserve">los </w:t>
      </w:r>
      <w:proofErr w:type="spellStart"/>
      <w:r w:rsidRPr="000F7BCC" w:rsidR="00324F67">
        <w:rPr>
          <w:rFonts w:ascii="Arial" w:hAnsi="Arial" w:eastAsia="Times New Roman" w:cs="Arial"/>
          <w:bCs/>
          <w:color w:val="000000" w:themeColor="text1"/>
          <w:lang w:val="es-DO"/>
        </w:rPr>
        <w:t>SATs</w:t>
      </w:r>
      <w:proofErr w:type="spellEnd"/>
      <w:r w:rsidRPr="000F7BCC" w:rsidR="00324F67">
        <w:rPr>
          <w:rFonts w:ascii="Arial" w:hAnsi="Arial" w:eastAsia="Times New Roman" w:cs="Arial"/>
          <w:bCs/>
          <w:color w:val="000000" w:themeColor="text1"/>
          <w:lang w:val="es-DO"/>
        </w:rPr>
        <w:t xml:space="preserve"> nacionales evitan anualmente cientos de muertes y hasta €460 millones en pérdidas por desastres, y producen hasta €34,000 millones de beneficios económicos adicionales por año a través de la optimización de la producción económica en sectores sensibles al clima (p. ej. agricultura y energía) (</w:t>
      </w:r>
      <w:proofErr w:type="spellStart"/>
      <w:r w:rsidRPr="000F7BCC" w:rsidR="00324F67">
        <w:rPr>
          <w:rFonts w:ascii="Arial" w:hAnsi="Arial" w:eastAsia="Times New Roman" w:cs="Arial"/>
          <w:bCs/>
          <w:color w:val="000000" w:themeColor="text1"/>
          <w:lang w:val="es-DO"/>
        </w:rPr>
        <w:t>Hallegatte</w:t>
      </w:r>
      <w:proofErr w:type="spellEnd"/>
      <w:r w:rsidRPr="000F7BCC" w:rsidR="00324F67">
        <w:rPr>
          <w:rFonts w:ascii="Arial" w:hAnsi="Arial" w:eastAsia="Times New Roman" w:cs="Arial"/>
          <w:bCs/>
          <w:color w:val="000000" w:themeColor="text1"/>
          <w:lang w:val="es-DO"/>
        </w:rPr>
        <w:t xml:space="preserve">, 2012). </w:t>
      </w:r>
      <w:r w:rsidRPr="007B21BE" w:rsidR="00324F67">
        <w:rPr>
          <w:rFonts w:eastAsia="Times New Roman" w:asciiTheme="minorBidi" w:hAnsiTheme="minorBidi"/>
          <w:bCs/>
          <w:color w:val="000000" w:themeColor="text1"/>
          <w:lang w:val="es-419"/>
        </w:rPr>
        <w:t>Esta CT contribuirá adicionalmente a reducir el riesgo por eventual</w:t>
      </w:r>
      <w:r w:rsidR="00324F67">
        <w:rPr>
          <w:rFonts w:eastAsia="Times New Roman" w:asciiTheme="minorBidi" w:hAnsiTheme="minorBidi"/>
          <w:bCs/>
          <w:color w:val="000000" w:themeColor="text1"/>
          <w:lang w:val="es-419"/>
        </w:rPr>
        <w:t>es</w:t>
      </w:r>
      <w:r w:rsidRPr="007B21BE" w:rsidR="00324F67">
        <w:rPr>
          <w:rFonts w:eastAsia="Times New Roman" w:asciiTheme="minorBidi" w:hAnsiTheme="minorBidi"/>
          <w:bCs/>
          <w:color w:val="000000" w:themeColor="text1"/>
          <w:lang w:val="es-419"/>
        </w:rPr>
        <w:t xml:space="preserve"> </w:t>
      </w:r>
      <w:r w:rsidRPr="007B21BE" w:rsidR="00324F67">
        <w:rPr>
          <w:rFonts w:asciiTheme="minorBidi" w:hAnsiTheme="minorBidi"/>
          <w:lang w:val="es-419"/>
        </w:rPr>
        <w:t xml:space="preserve">avalanchas y aluviones que </w:t>
      </w:r>
      <w:r w:rsidR="00324F67">
        <w:rPr>
          <w:rFonts w:asciiTheme="minorBidi" w:hAnsiTheme="minorBidi"/>
          <w:lang w:val="es-419"/>
        </w:rPr>
        <w:t xml:space="preserve">se </w:t>
      </w:r>
      <w:r w:rsidRPr="007B21BE" w:rsidR="00324F67">
        <w:rPr>
          <w:rFonts w:asciiTheme="minorBidi" w:hAnsiTheme="minorBidi"/>
          <w:lang w:val="es-419"/>
        </w:rPr>
        <w:t>gener</w:t>
      </w:r>
      <w:r w:rsidR="00324F67">
        <w:rPr>
          <w:rFonts w:asciiTheme="minorBidi" w:hAnsiTheme="minorBidi"/>
          <w:lang w:val="es-419"/>
        </w:rPr>
        <w:t>en</w:t>
      </w:r>
      <w:r w:rsidRPr="007B21BE" w:rsidR="00324F67">
        <w:rPr>
          <w:rFonts w:asciiTheme="minorBidi" w:hAnsiTheme="minorBidi"/>
          <w:lang w:val="es-419"/>
        </w:rPr>
        <w:t xml:space="preserve"> por el retroceso glaciar, nuevas lagunas y glaciares colgantes debido al cambio climático que produce cambios en la frecuencia, intensidad y/o duración de los eventos hidrometeorológicos y climáticos. </w:t>
      </w:r>
      <w:r w:rsidRPr="006C5F67" w:rsidR="00324F67">
        <w:rPr>
          <w:rFonts w:ascii="Arial" w:hAnsi="Arial" w:eastAsia="Times New Roman" w:cs="Arial"/>
          <w:bCs/>
          <w:color w:val="000000" w:themeColor="text1"/>
          <w:lang w:val="es-419"/>
        </w:rPr>
        <w:t>Adiciona</w:t>
      </w:r>
      <w:r w:rsidRPr="006C5F67" w:rsidR="00324F67">
        <w:rPr>
          <w:rFonts w:eastAsia="Times New Roman" w:asciiTheme="minorBidi" w:hAnsiTheme="minorBidi"/>
          <w:bCs/>
          <w:color w:val="000000" w:themeColor="text1"/>
          <w:lang w:val="es-419"/>
        </w:rPr>
        <w:t>lmente</w:t>
      </w:r>
      <w:r w:rsidR="00324F67">
        <w:rPr>
          <w:rFonts w:eastAsia="Times New Roman" w:asciiTheme="minorBidi" w:hAnsiTheme="minorBidi"/>
          <w:bCs/>
          <w:color w:val="000000" w:themeColor="text1"/>
          <w:lang w:val="es-419"/>
        </w:rPr>
        <w:t>,</w:t>
      </w:r>
      <w:r w:rsidRPr="006C5F67" w:rsidR="00324F67">
        <w:rPr>
          <w:rFonts w:eastAsia="Times New Roman" w:asciiTheme="minorBidi" w:hAnsiTheme="minorBidi"/>
          <w:bCs/>
          <w:color w:val="000000" w:themeColor="text1"/>
          <w:lang w:val="es-419"/>
        </w:rPr>
        <w:t xml:space="preserve"> esta CT complementará </w:t>
      </w:r>
      <w:r w:rsidRPr="006C5F67" w:rsidR="00324F67">
        <w:rPr>
          <w:rFonts w:asciiTheme="minorBidi" w:hAnsiTheme="minorBidi"/>
          <w:lang w:val="es-419"/>
        </w:rPr>
        <w:t>al Préstamo Contingente para Emergencias por Desastres Naturales que está vigente para el caso del Perú</w:t>
      </w:r>
      <w:r w:rsidR="00324F67">
        <w:rPr>
          <w:rFonts w:asciiTheme="minorBidi" w:hAnsiTheme="minorBidi"/>
          <w:lang w:val="es-419"/>
        </w:rPr>
        <w:t xml:space="preserve"> </w:t>
      </w:r>
      <w:r w:rsidRPr="006C5F67" w:rsidR="00324F67">
        <w:rPr>
          <w:rFonts w:asciiTheme="minorBidi" w:hAnsiTheme="minorBidi"/>
          <w:lang w:val="es-419"/>
        </w:rPr>
        <w:t>(PE-X1006)</w:t>
      </w:r>
      <w:r w:rsidR="00324F67">
        <w:rPr>
          <w:rFonts w:asciiTheme="minorBidi" w:hAnsiTheme="minorBidi"/>
          <w:lang w:val="es-419"/>
        </w:rPr>
        <w:t xml:space="preserve">, en términos de </w:t>
      </w:r>
      <w:r w:rsidRPr="006C5F67" w:rsidR="00324F67">
        <w:rPr>
          <w:rFonts w:asciiTheme="minorBidi" w:hAnsiTheme="minorBidi"/>
          <w:lang w:val="es-419"/>
        </w:rPr>
        <w:t>mejorar la eficiencia de la gestión de los riesgos de desastres</w:t>
      </w:r>
      <w:r w:rsidR="00324F67">
        <w:rPr>
          <w:rFonts w:asciiTheme="minorBidi" w:hAnsiTheme="minorBidi"/>
          <w:lang w:val="es-419"/>
        </w:rPr>
        <w:t>, así como</w:t>
      </w:r>
      <w:r w:rsidRPr="006C5F67" w:rsidR="00324F67">
        <w:rPr>
          <w:rFonts w:asciiTheme="minorBidi" w:hAnsiTheme="minorBidi"/>
          <w:lang w:val="es-419"/>
        </w:rPr>
        <w:t xml:space="preserve"> </w:t>
      </w:r>
      <w:r w:rsidR="00324F67">
        <w:rPr>
          <w:rFonts w:asciiTheme="minorBidi" w:hAnsiTheme="minorBidi"/>
          <w:lang w:val="es-419"/>
        </w:rPr>
        <w:t xml:space="preserve">disminuir </w:t>
      </w:r>
      <w:r w:rsidRPr="006C5F67" w:rsidR="00324F67">
        <w:rPr>
          <w:rFonts w:asciiTheme="minorBidi" w:hAnsiTheme="minorBidi"/>
          <w:lang w:val="es-419"/>
        </w:rPr>
        <w:t xml:space="preserve">los gastos de emergencia en casos de desastres </w:t>
      </w:r>
      <w:r w:rsidR="00324F67">
        <w:rPr>
          <w:rFonts w:asciiTheme="minorBidi" w:hAnsiTheme="minorBidi"/>
          <w:lang w:val="es-419"/>
        </w:rPr>
        <w:t xml:space="preserve">específicamente </w:t>
      </w:r>
      <w:r w:rsidRPr="006C5F67" w:rsidR="00324F67">
        <w:rPr>
          <w:rFonts w:asciiTheme="minorBidi" w:hAnsiTheme="minorBidi"/>
          <w:lang w:val="es-419"/>
        </w:rPr>
        <w:t xml:space="preserve">en las zonas de influencia de esta CT dentro del Componente 1. </w:t>
      </w:r>
    </w:p>
    <w:p w:rsidRPr="000F7BCC" w:rsidR="000F7BCC" w:rsidP="00324F67" w:rsidRDefault="00965361" w14:paraId="3A76EA85" w14:textId="35B90987">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D466CF">
        <w:rPr>
          <w:rFonts w:ascii="Arial" w:hAnsi="Arial" w:eastAsia="Times New Roman" w:cs="Arial"/>
          <w:bCs/>
          <w:color w:val="000000" w:themeColor="text1"/>
          <w:lang w:val="es-DO"/>
        </w:rPr>
        <w:t xml:space="preserve">Durante los últimos años el Banco ha venido apoyado el establecimiento y fortalecimiento de </w:t>
      </w:r>
      <w:proofErr w:type="spellStart"/>
      <w:r w:rsidRPr="00D466CF">
        <w:rPr>
          <w:rFonts w:ascii="Arial" w:hAnsi="Arial" w:eastAsia="Times New Roman" w:cs="Arial"/>
          <w:bCs/>
          <w:color w:val="000000" w:themeColor="text1"/>
          <w:lang w:val="es-DO"/>
        </w:rPr>
        <w:t>SATs</w:t>
      </w:r>
      <w:proofErr w:type="spellEnd"/>
      <w:r w:rsidRPr="00D466CF">
        <w:rPr>
          <w:rFonts w:ascii="Arial" w:hAnsi="Arial" w:eastAsia="Times New Roman" w:cs="Arial"/>
          <w:bCs/>
          <w:color w:val="000000" w:themeColor="text1"/>
          <w:lang w:val="es-DO"/>
        </w:rPr>
        <w:t xml:space="preserve"> Nacionales a través de los préstamos en Ecuador (EC</w:t>
      </w:r>
      <w:r w:rsidR="00884320">
        <w:rPr>
          <w:rFonts w:ascii="Arial" w:hAnsi="Arial" w:eastAsia="Times New Roman" w:cs="Arial"/>
          <w:bCs/>
          <w:color w:val="000000" w:themeColor="text1"/>
          <w:lang w:val="es-DO"/>
        </w:rPr>
        <w:noBreakHyphen/>
      </w:r>
      <w:r w:rsidRPr="00D466CF">
        <w:rPr>
          <w:rFonts w:ascii="Arial" w:hAnsi="Arial" w:eastAsia="Times New Roman" w:cs="Arial"/>
          <w:bCs/>
          <w:color w:val="000000" w:themeColor="text1"/>
          <w:lang w:val="es-DO"/>
        </w:rPr>
        <w:t>L1221), Paraguay (PR-L1155) y Haití (HA-L1041), entre otros. Estas experiencias han generado buenas prácticas y lecciones aprendidas que se podrán aprovechar para apoyar el fortalecimiento de la Red Nacional de Alerta Temprana (RNAT) del Perú, específicamente el tema común de la importancia de difusión, comunicación, capacitación, sensibilización o dar más apoyo a las comunidades más expuestas y vulnerables frente a múltiples peligros naturales</w:t>
      </w:r>
      <w:r w:rsidRPr="000F7BCC" w:rsidR="000F7BCC">
        <w:rPr>
          <w:rFonts w:ascii="Arial" w:hAnsi="Arial" w:cs="Arial"/>
          <w:color w:val="000000" w:themeColor="text1"/>
          <w:lang w:val="es-DO"/>
        </w:rPr>
        <w:t xml:space="preserve">. </w:t>
      </w:r>
    </w:p>
    <w:p w:rsidRPr="000F7BCC" w:rsidR="000F7BCC" w:rsidP="000F7BCC" w:rsidRDefault="000F7BCC" w14:paraId="7F0FCA01" w14:textId="5000717E">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las prioridades sectoriales del Banco</w:t>
      </w:r>
      <w:r w:rsidRPr="000F7BCC">
        <w:rPr>
          <w:rFonts w:ascii="Arial" w:hAnsi="Arial" w:eastAsia="Arial" w:cs="Arial"/>
          <w:color w:val="000000"/>
          <w:lang w:val="es-DO"/>
        </w:rPr>
        <w:t xml:space="preserve">. </w:t>
      </w:r>
      <w:r w:rsidRPr="002C586D" w:rsidR="00E91CB8">
        <w:rPr>
          <w:rFonts w:ascii="Arial" w:hAnsi="Arial" w:eastAsia="Arial" w:cs="Arial"/>
          <w:color w:val="000000"/>
          <w:lang w:val="es-DO"/>
        </w:rPr>
        <w:t>La CT está alineada con la Actualización de la Estrategia Institucional (UIS) 2010-2020 (AB-3008), en su desafío de desarrollo de capacidad institucional y estado de derecho, ya que contribuirá a mejorar el marco institucional de GRD del país para reducir el riesgo de desastres de ambos ámbitos de origen natural y sanitario (brotes/epidemia). Adicionalmente, esta CT es consistente con la Política de Gestión de Riesgo de Desastres del Banco (OP-704), al ayudar en el fortalecimiento institucional del Perú en la reducción de riesgos de desastres, a fin de favorecer el logro de sus objetivos de desarrollo económico y social. Finalmente, esta CT es consistente con la Actualización de la Estrategia Institucional (GN-2933-5) al alinearse con el tema transversal de Cambio Climático y Sostenibilidad Ambiental</w:t>
      </w:r>
      <w:r w:rsidRPr="00614738" w:rsidR="00E91CB8">
        <w:rPr>
          <w:rFonts w:eastAsia="MS Mincho" w:asciiTheme="minorBidi" w:hAnsiTheme="minorBidi"/>
          <w:bCs/>
          <w:color w:val="000000" w:themeColor="text1"/>
          <w:lang w:val="es-419" w:eastAsia="ja-JP"/>
        </w:rPr>
        <w:t xml:space="preserve">, así como </w:t>
      </w:r>
      <w:r w:rsidRPr="00614738" w:rsidR="00E91CB8">
        <w:rPr>
          <w:rFonts w:asciiTheme="minorBidi" w:hAnsiTheme="minorBidi"/>
          <w:lang w:val="es-419"/>
        </w:rPr>
        <w:t>contribuye a las metas corporativas de adicionalidad climática del Banco al apoyar a los países de la región</w:t>
      </w:r>
      <w:r w:rsidRPr="000F7BCC">
        <w:rPr>
          <w:rFonts w:ascii="Arial" w:hAnsi="Arial" w:eastAsia="Arial" w:cs="Arial"/>
          <w:color w:val="000000" w:themeColor="text1"/>
          <w:lang w:val="es-DO"/>
        </w:rPr>
        <w:t>.</w:t>
      </w:r>
    </w:p>
    <w:p w:rsidRPr="000F7BCC" w:rsidR="000F7BCC" w:rsidP="000F7BCC" w:rsidRDefault="000F7BCC" w14:paraId="1BC57277" w14:textId="2E0163AC">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la estrategia de país del Banco.</w:t>
      </w:r>
      <w:r w:rsidRPr="000F7BCC">
        <w:rPr>
          <w:rFonts w:ascii="Arial" w:hAnsi="Arial" w:eastAsia="Arial" w:cs="Arial"/>
          <w:color w:val="000000"/>
          <w:lang w:val="es-DO"/>
        </w:rPr>
        <w:t xml:space="preserve"> </w:t>
      </w:r>
      <w:r w:rsidRPr="00F20BFE" w:rsidR="00884298">
        <w:rPr>
          <w:rFonts w:ascii="Arial" w:hAnsi="Arial" w:eastAsia="Arial" w:cs="Arial"/>
          <w:color w:val="000000"/>
          <w:lang w:val="es-DO"/>
        </w:rPr>
        <w:t>Esta CT también es consistente con la estrategia de país del Banco en Perú 2017-2021 (GN-2889), ya que aborda la segunda área prioritaria: Fortalecimiento institucional y provisión de servicios básicos, con énfasis en gestión pública, salud y seguridad ciudadana; y la tercera: Sostenibilidad ambiental y cambio climático, con énfasis en recursos hídricos, gestión ambiental y agronegocios</w:t>
      </w:r>
      <w:r w:rsidRPr="00F20BFE" w:rsidR="00F20BFE">
        <w:rPr>
          <w:rFonts w:ascii="Arial" w:hAnsi="Arial" w:eastAsia="Arial" w:cs="Arial"/>
          <w:color w:val="000000"/>
          <w:lang w:val="es-DO"/>
        </w:rPr>
        <w:t>.</w:t>
      </w:r>
    </w:p>
    <w:p w:rsidRPr="000F7BCC" w:rsidR="000F7BCC" w:rsidP="000F7BCC" w:rsidRDefault="000F7BCC" w14:paraId="00C4FA81" w14:textId="12059996">
      <w:pPr>
        <w:pStyle w:val="ListParagraph"/>
        <w:numPr>
          <w:ilvl w:val="1"/>
          <w:numId w:val="19"/>
        </w:numPr>
        <w:pBdr>
          <w:top w:val="nil"/>
          <w:left w:val="nil"/>
          <w:bottom w:val="nil"/>
          <w:right w:val="nil"/>
          <w:between w:val="nil"/>
        </w:pBdr>
        <w:tabs>
          <w:tab w:val="left" w:pos="7200"/>
        </w:tabs>
        <w:spacing w:after="120" w:line="240" w:lineRule="auto"/>
        <w:ind w:left="360" w:hanging="547"/>
        <w:contextualSpacing w:val="0"/>
        <w:jc w:val="both"/>
        <w:rPr>
          <w:rFonts w:ascii="Arial" w:hAnsi="Arial" w:eastAsia="Arial" w:cs="Arial"/>
          <w:color w:val="000000"/>
          <w:lang w:val="es-DO"/>
        </w:rPr>
      </w:pPr>
      <w:r w:rsidRPr="000F7BCC">
        <w:rPr>
          <w:rFonts w:ascii="Arial" w:hAnsi="Arial" w:eastAsia="Arial" w:cs="Arial"/>
          <w:b/>
          <w:color w:val="000000"/>
          <w:lang w:val="es-DO"/>
        </w:rPr>
        <w:t>Alineación con el Fondo Especial de Japón</w:t>
      </w:r>
      <w:r w:rsidR="00DB1F3F">
        <w:rPr>
          <w:rFonts w:ascii="Arial" w:hAnsi="Arial" w:eastAsia="Arial" w:cs="Arial"/>
          <w:b/>
          <w:color w:val="000000"/>
          <w:lang w:val="es-DO"/>
        </w:rPr>
        <w:t>.</w:t>
      </w:r>
      <w:r w:rsidRPr="000F7BCC">
        <w:rPr>
          <w:rFonts w:ascii="Arial" w:hAnsi="Arial" w:eastAsia="Arial" w:cs="Arial"/>
          <w:color w:val="000000"/>
          <w:lang w:val="es-DO"/>
        </w:rPr>
        <w:t xml:space="preserve"> </w:t>
      </w:r>
      <w:r w:rsidRPr="00F20BFE" w:rsidR="00FB1CA2">
        <w:rPr>
          <w:rFonts w:ascii="Arial" w:hAnsi="Arial" w:eastAsia="Arial" w:cs="Arial"/>
          <w:color w:val="000000"/>
          <w:lang w:val="es-DO"/>
        </w:rPr>
        <w:t>Esta CT también es consistente con la estrategia de país del Banco en Perú 2017-2021 (GN-2889), ya que aborda la segunda área prioritaria: Fortalecimiento institucional y provisión de servicios básicos, con énfasis en gestión pública, salud y seguridad ciudadana; y la tercera: Sostenibilidad ambiental y cambio climático, con énfasis en recursos hídricos, gestión ambiental y agronegocios</w:t>
      </w:r>
      <w:r w:rsidRPr="000F7BCC">
        <w:rPr>
          <w:rFonts w:ascii="Arial" w:hAnsi="Arial" w:eastAsia="Arial" w:cs="Arial"/>
          <w:color w:val="000000"/>
          <w:lang w:val="es-DO"/>
        </w:rPr>
        <w:t xml:space="preserve">. </w:t>
      </w:r>
    </w:p>
    <w:p w:rsidRPr="00A31281" w:rsidR="0095711B" w:rsidP="00501B56" w:rsidRDefault="00501B56" w14:paraId="3BBAB1FF" w14:textId="78161478">
      <w:pPr>
        <w:pStyle w:val="ListParagraph"/>
        <w:numPr>
          <w:ilvl w:val="0"/>
          <w:numId w:val="5"/>
        </w:numPr>
        <w:rPr>
          <w:rFonts w:ascii="Arial" w:hAnsi="Arial" w:eastAsia="Arial" w:cs="Arial"/>
          <w:b/>
          <w:bCs/>
          <w:lang w:val="es-ES_tradnl"/>
        </w:rPr>
      </w:pPr>
      <w:r w:rsidRPr="00A31281">
        <w:rPr>
          <w:rFonts w:ascii="Arial" w:hAnsi="Arial" w:eastAsia="Arial" w:cs="Arial"/>
          <w:b/>
          <w:bCs/>
          <w:lang w:val="es-ES_tradnl"/>
        </w:rPr>
        <w:lastRenderedPageBreak/>
        <w:t xml:space="preserve">Descripción de las actividades/componentes y presupuesto </w:t>
      </w:r>
    </w:p>
    <w:p w:rsidRPr="0012587E" w:rsidR="00937BD4" w:rsidP="00A05DEF" w:rsidRDefault="0012587E" w14:paraId="2AA1F5BA" w14:textId="63B2FAFA">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Pr>
          <w:rFonts w:ascii="Arial" w:hAnsi="Arial" w:eastAsia="Arial" w:cs="Arial"/>
          <w:color w:val="000000" w:themeColor="text1"/>
          <w:lang w:val="es-DO"/>
        </w:rPr>
        <w:t>3.1</w:t>
      </w:r>
      <w:r>
        <w:rPr>
          <w:rFonts w:ascii="Arial" w:hAnsi="Arial" w:eastAsia="Arial" w:cs="Arial"/>
          <w:color w:val="000000" w:themeColor="text1"/>
          <w:lang w:val="es-DO"/>
        </w:rPr>
        <w:tab/>
      </w:r>
      <w:r w:rsidRPr="008B4B1A" w:rsidR="00937BD4">
        <w:rPr>
          <w:rFonts w:ascii="Arial" w:hAnsi="Arial" w:eastAsia="Arial" w:cs="Arial"/>
          <w:color w:val="000000" w:themeColor="text1"/>
          <w:lang w:val="es-DO"/>
        </w:rPr>
        <w:t>Esta CT tiene dos componentes, diseñados para abordar todos los desafíos y oportunidades identificados en el párrafo anterior (</w:t>
      </w:r>
      <w:r w:rsidRPr="008B4B1A" w:rsidR="00937BD4">
        <w:rPr>
          <w:rFonts w:ascii="Arial" w:hAnsi="Arial" w:cs="Arial"/>
          <w:color w:val="000000" w:themeColor="text1"/>
          <w:lang w:val="es-DO"/>
        </w:rPr>
        <w:t>¶</w:t>
      </w:r>
      <w:r w:rsidR="00106516">
        <w:rPr>
          <w:rFonts w:ascii="Arial" w:hAnsi="Arial" w:cs="Arial"/>
          <w:color w:val="000000" w:themeColor="text1"/>
          <w:lang w:val="es-DO"/>
        </w:rPr>
        <w:fldChar w:fldCharType="begin"/>
      </w:r>
      <w:r w:rsidR="00106516">
        <w:rPr>
          <w:rFonts w:ascii="Arial" w:hAnsi="Arial" w:cs="Arial"/>
          <w:color w:val="000000" w:themeColor="text1"/>
          <w:lang w:val="es-DO"/>
        </w:rPr>
        <w:instrText xml:space="preserve"> REF _Ref51167705 \r \h </w:instrText>
      </w:r>
      <w:r w:rsidR="00106516">
        <w:rPr>
          <w:rFonts w:ascii="Arial" w:hAnsi="Arial" w:cs="Arial"/>
          <w:color w:val="000000" w:themeColor="text1"/>
          <w:lang w:val="es-DO"/>
        </w:rPr>
      </w:r>
      <w:r w:rsidR="00106516">
        <w:rPr>
          <w:rFonts w:ascii="Arial" w:hAnsi="Arial" w:cs="Arial"/>
          <w:color w:val="000000" w:themeColor="text1"/>
          <w:lang w:val="es-DO"/>
        </w:rPr>
        <w:fldChar w:fldCharType="separate"/>
      </w:r>
      <w:r w:rsidR="00106516">
        <w:rPr>
          <w:rFonts w:ascii="Arial" w:hAnsi="Arial" w:cs="Arial"/>
          <w:color w:val="000000" w:themeColor="text1"/>
          <w:lang w:val="es-DO"/>
        </w:rPr>
        <w:t>2.9</w:t>
      </w:r>
      <w:r w:rsidR="00106516">
        <w:rPr>
          <w:rFonts w:ascii="Arial" w:hAnsi="Arial" w:cs="Arial"/>
          <w:color w:val="000000" w:themeColor="text1"/>
          <w:lang w:val="es-DO"/>
        </w:rPr>
        <w:fldChar w:fldCharType="end"/>
      </w:r>
      <w:r w:rsidRPr="008B4B1A" w:rsidR="00937BD4">
        <w:rPr>
          <w:rFonts w:ascii="Arial" w:hAnsi="Arial" w:eastAsia="Arial" w:cs="Arial"/>
          <w:color w:val="000000" w:themeColor="text1"/>
          <w:lang w:val="es-DO"/>
        </w:rPr>
        <w:t>).</w:t>
      </w:r>
      <w:r w:rsidRPr="008B4B1A" w:rsidR="00937BD4">
        <w:rPr>
          <w:rFonts w:ascii="Arial" w:hAnsi="Arial" w:eastAsia="Arial" w:cs="Arial"/>
          <w:color w:val="000000"/>
          <w:lang w:val="es-DO"/>
        </w:rPr>
        <w:t xml:space="preserve"> </w:t>
      </w:r>
    </w:p>
    <w:p w:rsidRPr="00CE7434" w:rsidR="00937BD4" w:rsidP="00A05DEF" w:rsidRDefault="00CE7434" w14:paraId="225CA6DB" w14:textId="7C063CCC">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sidRPr="0012587E">
        <w:rPr>
          <w:rFonts w:ascii="Arial" w:hAnsi="Arial" w:eastAsia="MS Mincho" w:cs="Arial"/>
          <w:bCs/>
          <w:color w:val="000000" w:themeColor="text1"/>
          <w:lang w:val="es-DO" w:eastAsia="ja-JP"/>
        </w:rPr>
        <w:t>3.2</w:t>
      </w:r>
      <w:r w:rsidRPr="00CE7434">
        <w:rPr>
          <w:rFonts w:ascii="Arial" w:hAnsi="Arial" w:eastAsia="MS Mincho" w:cs="Arial"/>
          <w:b/>
          <w:color w:val="000000" w:themeColor="text1"/>
          <w:lang w:val="es-DO" w:eastAsia="ja-JP"/>
        </w:rPr>
        <w:tab/>
        <w:t>Componente 1: Implementación piloto de actividades prioritarias a nivel comunitaria, como parte del fortalecimiento de la Red Nacional de Alerta Temprana</w:t>
      </w:r>
      <w:r w:rsidRPr="00CE7434" w:rsidR="00937BD4">
        <w:rPr>
          <w:rFonts w:ascii="Arial" w:hAnsi="Arial" w:eastAsia="MS Mincho" w:cs="Arial"/>
          <w:b/>
          <w:color w:val="000000" w:themeColor="text1"/>
          <w:lang w:val="es-DO" w:eastAsia="ja-JP"/>
        </w:rPr>
        <w:t xml:space="preserve">. </w:t>
      </w:r>
      <w:r w:rsidRPr="00474DFA" w:rsidR="00B82074">
        <w:rPr>
          <w:rFonts w:ascii="Arial" w:hAnsi="Arial" w:eastAsia="MS Mincho" w:cs="Arial"/>
          <w:bCs/>
          <w:color w:val="000000" w:themeColor="text1"/>
          <w:lang w:val="es-DO" w:eastAsia="ja-JP"/>
        </w:rPr>
        <w:t xml:space="preserve">De acuerdo con la prioridad del Gobierno Peruano, el enfoque de este componente como piloto será de erupciones volcánicas en el ámbito de influencia del Volcán Misti en la ciudad de Arequipa. Ya que existen estaciones de monitoreo de actividades volcánicas en tiempo real para el caso de este volcán (¶2.8), este componente excluirá dicho ámbito y </w:t>
      </w:r>
      <w:r w:rsidR="00B82074">
        <w:rPr>
          <w:rFonts w:ascii="Arial" w:hAnsi="Arial" w:eastAsia="MS Mincho" w:cs="Arial"/>
          <w:bCs/>
          <w:color w:val="000000" w:themeColor="text1"/>
          <w:lang w:val="es-DO" w:eastAsia="ja-JP"/>
        </w:rPr>
        <w:t xml:space="preserve">se </w:t>
      </w:r>
      <w:r w:rsidRPr="00474DFA" w:rsidR="00B82074">
        <w:rPr>
          <w:rFonts w:ascii="Arial" w:hAnsi="Arial" w:eastAsia="MS Mincho" w:cs="Arial"/>
          <w:bCs/>
          <w:color w:val="000000" w:themeColor="text1"/>
          <w:lang w:val="es-DO" w:eastAsia="ja-JP"/>
        </w:rPr>
        <w:t xml:space="preserve">concentrará </w:t>
      </w:r>
      <w:r w:rsidR="00B82074">
        <w:rPr>
          <w:rFonts w:ascii="Arial" w:hAnsi="Arial" w:eastAsia="MS Mincho" w:cs="Arial"/>
          <w:bCs/>
          <w:color w:val="000000" w:themeColor="text1"/>
          <w:lang w:val="es-DO" w:eastAsia="ja-JP"/>
        </w:rPr>
        <w:t xml:space="preserve">en </w:t>
      </w:r>
      <w:r w:rsidRPr="00474DFA" w:rsidR="00B82074">
        <w:rPr>
          <w:rFonts w:ascii="Arial" w:hAnsi="Arial" w:eastAsia="MS Mincho" w:cs="Arial"/>
          <w:bCs/>
          <w:color w:val="000000" w:themeColor="text1"/>
          <w:lang w:val="es-DO" w:eastAsia="ja-JP"/>
        </w:rPr>
        <w:t xml:space="preserve">(i) realizar una difusión y comunicación de alerta a las comunidades vulnerables expuestas a un nivel de riesgo alto por peligros de origen volcánico, y </w:t>
      </w:r>
      <w:r w:rsidR="00B82074">
        <w:rPr>
          <w:rFonts w:ascii="Arial" w:hAnsi="Arial" w:eastAsia="MS Mincho" w:cs="Arial"/>
          <w:bCs/>
          <w:color w:val="000000" w:themeColor="text1"/>
          <w:lang w:val="es-DO" w:eastAsia="ja-JP"/>
        </w:rPr>
        <w:t xml:space="preserve">en </w:t>
      </w:r>
      <w:r w:rsidRPr="00474DFA" w:rsidR="00B82074">
        <w:rPr>
          <w:rFonts w:ascii="Arial" w:hAnsi="Arial" w:eastAsia="MS Mincho" w:cs="Arial"/>
          <w:bCs/>
          <w:color w:val="000000" w:themeColor="text1"/>
          <w:lang w:val="es-DO" w:eastAsia="ja-JP"/>
        </w:rPr>
        <w:t>(</w:t>
      </w:r>
      <w:proofErr w:type="spellStart"/>
      <w:r w:rsidRPr="00474DFA" w:rsidR="00B82074">
        <w:rPr>
          <w:rFonts w:ascii="Arial" w:hAnsi="Arial" w:eastAsia="MS Mincho" w:cs="Arial"/>
          <w:bCs/>
          <w:color w:val="000000" w:themeColor="text1"/>
          <w:lang w:val="es-DO" w:eastAsia="ja-JP"/>
        </w:rPr>
        <w:t>ii</w:t>
      </w:r>
      <w:proofErr w:type="spellEnd"/>
      <w:r w:rsidRPr="00474DFA" w:rsidR="00B82074">
        <w:rPr>
          <w:rFonts w:ascii="Arial" w:hAnsi="Arial" w:eastAsia="MS Mincho" w:cs="Arial"/>
          <w:bCs/>
          <w:color w:val="000000" w:themeColor="text1"/>
          <w:lang w:val="es-DO" w:eastAsia="ja-JP"/>
        </w:rPr>
        <w:t xml:space="preserve">) desarrollar la capacidad de respuesta comunitaria para que evacuen a la zona segura asignada en caso de desastre. Las actividades de este componente incluyen la instalación </w:t>
      </w:r>
      <w:r w:rsidR="00B82074">
        <w:rPr>
          <w:rFonts w:ascii="Arial" w:hAnsi="Arial" w:eastAsia="MS Mincho" w:cs="Arial"/>
          <w:bCs/>
          <w:color w:val="000000" w:themeColor="text1"/>
          <w:lang w:val="es-DO" w:eastAsia="ja-JP"/>
        </w:rPr>
        <w:t xml:space="preserve">de materiales sencillos (por ejemplo, </w:t>
      </w:r>
      <w:r w:rsidRPr="00474DFA" w:rsidR="00B82074">
        <w:rPr>
          <w:rFonts w:ascii="Arial" w:hAnsi="Arial" w:eastAsia="MS Mincho" w:cs="Arial"/>
          <w:bCs/>
          <w:color w:val="000000" w:themeColor="text1"/>
          <w:lang w:val="es-DO" w:eastAsia="ja-JP"/>
        </w:rPr>
        <w:t>una sirena comunitaria con cámara de vigilancia y señaléticas para mostrar la ruta de evacuación</w:t>
      </w:r>
      <w:r w:rsidR="00B82074">
        <w:rPr>
          <w:rFonts w:ascii="Arial" w:hAnsi="Arial" w:eastAsia="MS Mincho" w:cs="Arial"/>
          <w:bCs/>
          <w:color w:val="000000" w:themeColor="text1"/>
          <w:lang w:val="es-DO" w:eastAsia="ja-JP"/>
        </w:rPr>
        <w:t>) para que todos los ciudadanos en las comunidades en piloto reciban la información de alerta de forma oportuna, correcta e igual.</w:t>
      </w:r>
      <w:r w:rsidRPr="00474DFA" w:rsidR="00B82074">
        <w:rPr>
          <w:rFonts w:ascii="Arial" w:hAnsi="Arial" w:eastAsia="MS Mincho" w:cs="Arial"/>
          <w:bCs/>
          <w:color w:val="000000" w:themeColor="text1"/>
          <w:lang w:val="es-DO" w:eastAsia="ja-JP"/>
        </w:rPr>
        <w:t xml:space="preserve"> Estos bienes serán mantenidos de forma sostenible bajo la responsabilidad de INDECI. Además del tema de la adquisición de dichos bienes, los consultores individuales desarrollarán, bajo la coordinación con INDECI y las autoridades locales, las actividades que incluyen: (a) el desarrollo de materiales necesarios para la capacitación comunitaria (ej. mapa de peligros a nivel comunitario, asignación de sitio seguro y desarrollo del plan de emergencias); y (b) realizar talleres de capacitación y simulacros comunitarios</w:t>
      </w:r>
      <w:r w:rsidRPr="00CE7434" w:rsidR="00B82074">
        <w:rPr>
          <w:rFonts w:ascii="Arial" w:hAnsi="Arial" w:cs="Arial"/>
          <w:color w:val="000000" w:themeColor="text1"/>
          <w:lang w:val="es-DO"/>
        </w:rPr>
        <w:t xml:space="preserve">. </w:t>
      </w:r>
      <w:r w:rsidR="00B82074">
        <w:rPr>
          <w:rFonts w:ascii="Arial" w:hAnsi="Arial" w:cs="Arial"/>
          <w:color w:val="000000" w:themeColor="text1"/>
          <w:lang w:val="es-DO"/>
        </w:rPr>
        <w:t>Los resultados esperados de este Componente son (i) p</w:t>
      </w:r>
      <w:r w:rsidRPr="0031484B" w:rsidR="00B82074">
        <w:rPr>
          <w:rFonts w:ascii="Arial" w:hAnsi="Arial" w:cs="Arial"/>
          <w:color w:val="000000" w:themeColor="text1"/>
          <w:lang w:val="es-DO"/>
        </w:rPr>
        <w:t xml:space="preserve">ersonas </w:t>
      </w:r>
      <w:r w:rsidR="00B82074">
        <w:rPr>
          <w:rFonts w:ascii="Arial" w:hAnsi="Arial" w:cs="Arial"/>
          <w:color w:val="000000" w:themeColor="text1"/>
          <w:lang w:val="es-DO"/>
        </w:rPr>
        <w:t xml:space="preserve">comunitarias en el área piloteo de la CT y </w:t>
      </w:r>
      <w:r w:rsidRPr="0031484B" w:rsidR="00B82074">
        <w:rPr>
          <w:rFonts w:ascii="Arial" w:hAnsi="Arial" w:cs="Arial"/>
          <w:color w:val="000000" w:themeColor="text1"/>
          <w:lang w:val="es-DO"/>
        </w:rPr>
        <w:t xml:space="preserve">expuestas a amenazas </w:t>
      </w:r>
      <w:r w:rsidR="00B82074">
        <w:rPr>
          <w:rFonts w:ascii="Arial" w:hAnsi="Arial" w:cs="Arial"/>
          <w:color w:val="000000" w:themeColor="text1"/>
          <w:lang w:val="es-DO"/>
        </w:rPr>
        <w:t xml:space="preserve">de erupciones volcánicas, </w:t>
      </w:r>
      <w:r w:rsidRPr="0031484B" w:rsidR="00B82074">
        <w:rPr>
          <w:rFonts w:ascii="Arial" w:hAnsi="Arial" w:cs="Arial"/>
          <w:color w:val="000000" w:themeColor="text1"/>
          <w:lang w:val="es-DO"/>
        </w:rPr>
        <w:t xml:space="preserve">con acceso a información </w:t>
      </w:r>
      <w:r w:rsidR="00B82074">
        <w:rPr>
          <w:rFonts w:ascii="Arial" w:hAnsi="Arial" w:cs="Arial"/>
          <w:color w:val="000000" w:themeColor="text1"/>
          <w:lang w:val="es-DO"/>
        </w:rPr>
        <w:t xml:space="preserve">de alerta </w:t>
      </w:r>
      <w:r w:rsidRPr="0031484B" w:rsidR="00B82074">
        <w:rPr>
          <w:rFonts w:ascii="Arial" w:hAnsi="Arial" w:cs="Arial"/>
          <w:color w:val="000000" w:themeColor="text1"/>
          <w:lang w:val="es-DO"/>
        </w:rPr>
        <w:t xml:space="preserve">mejorada </w:t>
      </w:r>
      <w:r w:rsidR="00B82074">
        <w:rPr>
          <w:rFonts w:ascii="Arial" w:hAnsi="Arial" w:cs="Arial"/>
          <w:color w:val="000000" w:themeColor="text1"/>
          <w:lang w:val="es-DO"/>
        </w:rPr>
        <w:t xml:space="preserve">y capacitadas en cómo </w:t>
      </w:r>
      <w:r w:rsidRPr="0031484B" w:rsidR="00B82074">
        <w:rPr>
          <w:rFonts w:ascii="Arial" w:hAnsi="Arial" w:cs="Arial"/>
          <w:color w:val="000000" w:themeColor="text1"/>
          <w:lang w:val="es-DO"/>
        </w:rPr>
        <w:t>toma</w:t>
      </w:r>
      <w:r w:rsidR="00B82074">
        <w:rPr>
          <w:rFonts w:ascii="Arial" w:hAnsi="Arial" w:cs="Arial"/>
          <w:color w:val="000000" w:themeColor="text1"/>
          <w:lang w:val="es-DO"/>
        </w:rPr>
        <w:t>r</w:t>
      </w:r>
      <w:r w:rsidRPr="0031484B" w:rsidR="00B82074">
        <w:rPr>
          <w:rFonts w:ascii="Arial" w:hAnsi="Arial" w:cs="Arial"/>
          <w:color w:val="000000" w:themeColor="text1"/>
          <w:lang w:val="es-DO"/>
        </w:rPr>
        <w:t xml:space="preserve"> decisiones preventivas</w:t>
      </w:r>
      <w:r w:rsidRPr="0031484B" w:rsidR="00B82074">
        <w:rPr>
          <w:rFonts w:ascii="Arial" w:hAnsi="Arial" w:cs="Arial"/>
          <w:color w:val="000000" w:themeColor="text1"/>
          <w:lang w:val="es-419"/>
        </w:rPr>
        <w:t xml:space="preserve"> y evacua</w:t>
      </w:r>
      <w:r w:rsidR="00B82074">
        <w:rPr>
          <w:rFonts w:ascii="Arial" w:hAnsi="Arial" w:cs="Arial"/>
          <w:color w:val="000000" w:themeColor="text1"/>
          <w:lang w:val="es-419"/>
        </w:rPr>
        <w:t>r</w:t>
      </w:r>
      <w:r w:rsidRPr="0031484B" w:rsidR="00B82074">
        <w:rPr>
          <w:rFonts w:ascii="Arial" w:hAnsi="Arial" w:cs="Arial"/>
          <w:color w:val="000000" w:themeColor="text1"/>
          <w:lang w:val="es-419"/>
        </w:rPr>
        <w:t xml:space="preserve"> en caso de emergencia; y (</w:t>
      </w:r>
      <w:proofErr w:type="spellStart"/>
      <w:r w:rsidRPr="0031484B" w:rsidR="00B82074">
        <w:rPr>
          <w:rFonts w:ascii="Arial" w:hAnsi="Arial" w:cs="Arial"/>
          <w:color w:val="000000" w:themeColor="text1"/>
          <w:lang w:val="es-419"/>
        </w:rPr>
        <w:t>ii</w:t>
      </w:r>
      <w:proofErr w:type="spellEnd"/>
      <w:r w:rsidRPr="0031484B" w:rsidR="00B82074">
        <w:rPr>
          <w:rFonts w:ascii="Arial" w:hAnsi="Arial" w:cs="Arial"/>
          <w:color w:val="000000" w:themeColor="text1"/>
          <w:lang w:val="es-419"/>
        </w:rPr>
        <w:t xml:space="preserve">) la autoridad nacional </w:t>
      </w:r>
      <w:r w:rsidRPr="0031484B" w:rsidR="00B82074">
        <w:rPr>
          <w:rFonts w:ascii="Arial" w:hAnsi="Arial" w:cs="Arial"/>
          <w:color w:val="222222"/>
          <w:lang w:val="es-419"/>
        </w:rPr>
        <w:t xml:space="preserve">beneficiada por la CT que fortalecen el conocimiento </w:t>
      </w:r>
      <w:r w:rsidR="00B82074">
        <w:rPr>
          <w:rFonts w:ascii="Arial" w:hAnsi="Arial" w:cs="Arial"/>
          <w:color w:val="222222"/>
          <w:lang w:val="es-419"/>
        </w:rPr>
        <w:t>para</w:t>
      </w:r>
      <w:r w:rsidRPr="0031484B" w:rsidR="00B82074">
        <w:rPr>
          <w:rFonts w:ascii="Arial" w:hAnsi="Arial" w:cs="Arial"/>
          <w:color w:val="222222"/>
          <w:lang w:val="es-419"/>
        </w:rPr>
        <w:t xml:space="preserve"> mejorar la provisión de servicios públicos y el desarrollo del SAT desde </w:t>
      </w:r>
      <w:r w:rsidR="00B82074">
        <w:rPr>
          <w:rFonts w:ascii="Arial" w:hAnsi="Arial" w:cs="Arial"/>
          <w:color w:val="222222"/>
          <w:lang w:val="es-419"/>
        </w:rPr>
        <w:t xml:space="preserve">un </w:t>
      </w:r>
      <w:r w:rsidRPr="0031484B" w:rsidR="00B82074">
        <w:rPr>
          <w:rFonts w:ascii="Arial" w:hAnsi="Arial" w:cs="Arial"/>
          <w:color w:val="222222"/>
          <w:lang w:val="es-419"/>
        </w:rPr>
        <w:t>enfoque comunitario</w:t>
      </w:r>
      <w:r w:rsidRPr="00CE7434" w:rsidR="00937BD4">
        <w:rPr>
          <w:rFonts w:ascii="Arial" w:hAnsi="Arial" w:cs="Arial"/>
          <w:color w:val="000000" w:themeColor="text1"/>
          <w:lang w:val="es-DO"/>
        </w:rPr>
        <w:t xml:space="preserve">. </w:t>
      </w:r>
    </w:p>
    <w:p w:rsidRPr="008B4B1A" w:rsidR="00937BD4" w:rsidP="00A05DEF" w:rsidRDefault="00A05DEF" w14:paraId="5779E192" w14:textId="753BC069">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bookmarkStart w:name="_Hlk33105463" w:id="2"/>
      <w:r w:rsidRPr="00A05DEF">
        <w:rPr>
          <w:rFonts w:ascii="Arial" w:hAnsi="Arial" w:cs="Arial"/>
          <w:bCs/>
          <w:color w:val="000000" w:themeColor="text1"/>
          <w:lang w:val="es-DO"/>
        </w:rPr>
        <w:t>3.3</w:t>
      </w:r>
      <w:r>
        <w:rPr>
          <w:rFonts w:ascii="Arial" w:hAnsi="Arial" w:cs="Arial"/>
          <w:b/>
          <w:color w:val="000000" w:themeColor="text1"/>
          <w:lang w:val="es-DO"/>
        </w:rPr>
        <w:tab/>
      </w:r>
      <w:r w:rsidRPr="008B4B1A" w:rsidR="00937BD4">
        <w:rPr>
          <w:rFonts w:ascii="Arial" w:hAnsi="Arial" w:cs="Arial"/>
          <w:b/>
          <w:color w:val="000000" w:themeColor="text1"/>
          <w:lang w:val="es-DO"/>
        </w:rPr>
        <w:t xml:space="preserve">Componente 2: </w:t>
      </w:r>
      <w:r w:rsidRPr="004E6F61" w:rsidR="004E6F61">
        <w:rPr>
          <w:rFonts w:ascii="Arial" w:hAnsi="Arial" w:cs="Arial"/>
          <w:b/>
          <w:bCs/>
          <w:color w:val="000000" w:themeColor="text1"/>
          <w:lang w:val="es-DO"/>
        </w:rPr>
        <w:t>Apoyar a desarrollar planes para fortalecer el desempeño de la Red Nacional de Alerta Temprana</w:t>
      </w:r>
      <w:r w:rsidRPr="008B4B1A" w:rsidR="00937BD4">
        <w:rPr>
          <w:rFonts w:ascii="Arial" w:hAnsi="Arial" w:cs="Arial"/>
          <w:b/>
          <w:bCs/>
          <w:color w:val="000000" w:themeColor="text1"/>
          <w:lang w:val="es-DO"/>
        </w:rPr>
        <w:t xml:space="preserve">. </w:t>
      </w:r>
      <w:bookmarkEnd w:id="2"/>
      <w:r w:rsidRPr="00EB7DB8" w:rsidR="00355FF9">
        <w:rPr>
          <w:rFonts w:ascii="Arial" w:hAnsi="Arial" w:eastAsia="Arial" w:cs="Arial"/>
          <w:color w:val="000000" w:themeColor="text1"/>
          <w:lang w:val="es-DO"/>
        </w:rPr>
        <w:t>A raíz de experiencias acumuladas del componente 1 de modo piloto, este componente desarrollará varios insumos e instrumentos de planificación para fortalecer y extender el desempeño de la Red Nacional de Alerta Temprana en Perú. Aunque el enfoque del Componente 1 es por peligro de origen volcánico, el ámbito de este componente es el desarrollo de un sistema de difusión y comunicación nacional ante múltiples peligros incluyendo dos aspectos: de orígenes naturales y sanitarios (brotes/epidemias/pandemias). Los beneficiarios directos de este componente serían INDECI, INGEMMET, IGP, SENAMHI, MINSA y otros miembros del CTC- RNAT. Los consultores individuales y firmas desarrollarán (i) el diagnóstico para fortalecer el desempeño de la Red Nacional de Alerta Temprana  que implica el monitoreo de peligros naturales y brotes/epidemias/pandemias; (</w:t>
      </w:r>
      <w:proofErr w:type="spellStart"/>
      <w:r w:rsidRPr="00EB7DB8" w:rsidR="00355FF9">
        <w:rPr>
          <w:rFonts w:ascii="Arial" w:hAnsi="Arial" w:eastAsia="Arial" w:cs="Arial"/>
          <w:color w:val="000000" w:themeColor="text1"/>
          <w:lang w:val="es-DO"/>
        </w:rPr>
        <w:t>ii</w:t>
      </w:r>
      <w:proofErr w:type="spellEnd"/>
      <w:r w:rsidRPr="00EB7DB8" w:rsidR="00355FF9">
        <w:rPr>
          <w:rFonts w:ascii="Arial" w:hAnsi="Arial" w:eastAsia="Arial" w:cs="Arial"/>
          <w:color w:val="000000" w:themeColor="text1"/>
          <w:lang w:val="es-DO"/>
        </w:rPr>
        <w:t>) el taller (de inicio) internacional del intercambio y transferencia de conocimiento entre Perú y otros países</w:t>
      </w:r>
      <w:r w:rsidR="00355FF9">
        <w:rPr>
          <w:rStyle w:val="FootnoteReference"/>
          <w:rFonts w:ascii="Arial" w:hAnsi="Arial" w:eastAsia="Arial" w:cs="Arial"/>
          <w:color w:val="000000" w:themeColor="text1"/>
          <w:lang w:val="es-DO"/>
        </w:rPr>
        <w:footnoteReference w:id="11"/>
      </w:r>
      <w:r w:rsidRPr="00EB7DB8" w:rsidR="00355FF9">
        <w:rPr>
          <w:rFonts w:ascii="Arial" w:hAnsi="Arial" w:eastAsia="Arial" w:cs="Arial"/>
          <w:color w:val="000000" w:themeColor="text1"/>
          <w:lang w:val="es-DO"/>
        </w:rPr>
        <w:t>; (</w:t>
      </w:r>
      <w:proofErr w:type="spellStart"/>
      <w:r w:rsidRPr="00EB7DB8" w:rsidR="00355FF9">
        <w:rPr>
          <w:rFonts w:ascii="Arial" w:hAnsi="Arial" w:eastAsia="Arial" w:cs="Arial"/>
          <w:color w:val="000000" w:themeColor="text1"/>
          <w:lang w:val="es-DO"/>
        </w:rPr>
        <w:t>iii</w:t>
      </w:r>
      <w:proofErr w:type="spellEnd"/>
      <w:r w:rsidRPr="00EB7DB8" w:rsidR="00355FF9">
        <w:rPr>
          <w:rFonts w:ascii="Arial" w:hAnsi="Arial" w:eastAsia="Arial" w:cs="Arial"/>
          <w:color w:val="000000" w:themeColor="text1"/>
          <w:lang w:val="es-DO"/>
        </w:rPr>
        <w:t xml:space="preserve">) un plan de </w:t>
      </w:r>
      <w:r w:rsidRPr="00EB7DB8" w:rsidR="00355FF9">
        <w:rPr>
          <w:rFonts w:ascii="Arial" w:hAnsi="Arial" w:eastAsia="Arial" w:cs="Arial"/>
          <w:color w:val="000000" w:themeColor="text1"/>
          <w:lang w:val="es-DO"/>
        </w:rPr>
        <w:lastRenderedPageBreak/>
        <w:t>mediano/largo plazo (de 2020 - 2030)</w:t>
      </w:r>
      <w:r w:rsidR="00355FF9">
        <w:rPr>
          <w:rStyle w:val="FootnoteReference"/>
          <w:rFonts w:ascii="Arial" w:hAnsi="Arial" w:eastAsia="Arial" w:cs="Arial"/>
          <w:color w:val="000000" w:themeColor="text1"/>
          <w:lang w:val="es-DO"/>
        </w:rPr>
        <w:footnoteReference w:id="12"/>
      </w:r>
      <w:r w:rsidRPr="00EB7DB8" w:rsidR="00355FF9">
        <w:rPr>
          <w:rFonts w:ascii="Arial" w:hAnsi="Arial" w:eastAsia="Arial" w:cs="Arial"/>
          <w:color w:val="000000" w:themeColor="text1"/>
          <w:lang w:val="es-DO"/>
        </w:rPr>
        <w:t xml:space="preserve">  para fortalecer la Red Nacional de Alerta Temprana ; y (</w:t>
      </w:r>
      <w:proofErr w:type="spellStart"/>
      <w:r w:rsidRPr="00EB7DB8" w:rsidR="00355FF9">
        <w:rPr>
          <w:rFonts w:ascii="Arial" w:hAnsi="Arial" w:eastAsia="Arial" w:cs="Arial"/>
          <w:color w:val="000000" w:themeColor="text1"/>
          <w:lang w:val="es-DO"/>
        </w:rPr>
        <w:t>iv</w:t>
      </w:r>
      <w:proofErr w:type="spellEnd"/>
      <w:r w:rsidRPr="00EB7DB8" w:rsidR="00355FF9">
        <w:rPr>
          <w:rFonts w:ascii="Arial" w:hAnsi="Arial" w:eastAsia="Arial" w:cs="Arial"/>
          <w:color w:val="000000" w:themeColor="text1"/>
          <w:lang w:val="es-DO"/>
        </w:rPr>
        <w:t>) una propuesta de proyecto de inversión pública prioritaria para fortalecer el desempeño de la Red Nacional de Alerta Temprana, que incluye un análisis económico ex ante; y (v) el taller regional de cierre para compartir todos conocimientos técnicos adquiridos de esta CT con los países vecinos</w:t>
      </w:r>
      <w:r w:rsidRPr="008B4B1A" w:rsidR="00355FF9">
        <w:rPr>
          <w:rFonts w:ascii="Arial" w:hAnsi="Arial" w:cs="Arial"/>
          <w:color w:val="000000" w:themeColor="text1"/>
          <w:lang w:val="es-DO"/>
        </w:rPr>
        <w:t xml:space="preserve">. </w:t>
      </w:r>
      <w:r w:rsidR="00355FF9">
        <w:rPr>
          <w:rFonts w:ascii="Arial" w:hAnsi="Arial" w:cs="Arial"/>
          <w:color w:val="000000" w:themeColor="text1"/>
          <w:lang w:val="es-DO"/>
        </w:rPr>
        <w:t>El resultado esperado de este Componente</w:t>
      </w:r>
      <w:r w:rsidRPr="0031484B" w:rsidR="00355FF9">
        <w:rPr>
          <w:rFonts w:ascii="Arial" w:hAnsi="Arial" w:cs="Arial"/>
          <w:color w:val="000000" w:themeColor="text1"/>
          <w:lang w:val="es-419"/>
        </w:rPr>
        <w:t xml:space="preserve"> (</w:t>
      </w:r>
      <w:proofErr w:type="spellStart"/>
      <w:r w:rsidRPr="0031484B" w:rsidR="00355FF9">
        <w:rPr>
          <w:rFonts w:ascii="Arial" w:hAnsi="Arial" w:cs="Arial"/>
          <w:color w:val="000000" w:themeColor="text1"/>
          <w:lang w:val="es-419"/>
        </w:rPr>
        <w:t>ii</w:t>
      </w:r>
      <w:proofErr w:type="spellEnd"/>
      <w:r w:rsidRPr="0031484B" w:rsidR="00355FF9">
        <w:rPr>
          <w:rFonts w:ascii="Arial" w:hAnsi="Arial" w:cs="Arial"/>
          <w:color w:val="000000" w:themeColor="text1"/>
          <w:lang w:val="es-419"/>
        </w:rPr>
        <w:t xml:space="preserve">) </w:t>
      </w:r>
      <w:r w:rsidR="00355FF9">
        <w:rPr>
          <w:rFonts w:ascii="Arial" w:hAnsi="Arial" w:cs="Arial"/>
          <w:color w:val="000000" w:themeColor="text1"/>
          <w:lang w:val="es-419"/>
        </w:rPr>
        <w:t xml:space="preserve">son </w:t>
      </w:r>
      <w:r w:rsidRPr="0031484B" w:rsidR="00355FF9">
        <w:rPr>
          <w:rFonts w:ascii="Arial" w:hAnsi="Arial" w:cs="Arial"/>
          <w:color w:val="000000" w:themeColor="text1"/>
          <w:lang w:val="es-419"/>
        </w:rPr>
        <w:t>la</w:t>
      </w:r>
      <w:r w:rsidR="00355FF9">
        <w:rPr>
          <w:rFonts w:ascii="Arial" w:hAnsi="Arial" w:cs="Arial"/>
          <w:color w:val="000000" w:themeColor="text1"/>
          <w:lang w:val="es-419"/>
        </w:rPr>
        <w:t>s</w:t>
      </w:r>
      <w:r w:rsidRPr="0031484B" w:rsidR="00355FF9">
        <w:rPr>
          <w:rFonts w:ascii="Arial" w:hAnsi="Arial" w:cs="Arial"/>
          <w:color w:val="000000" w:themeColor="text1"/>
          <w:lang w:val="es-419"/>
        </w:rPr>
        <w:t xml:space="preserve"> autoridad</w:t>
      </w:r>
      <w:r w:rsidR="00355FF9">
        <w:rPr>
          <w:rFonts w:ascii="Arial" w:hAnsi="Arial" w:cs="Arial"/>
          <w:color w:val="000000" w:themeColor="text1"/>
          <w:lang w:val="es-419"/>
        </w:rPr>
        <w:t>es</w:t>
      </w:r>
      <w:r w:rsidRPr="0031484B" w:rsidR="00355FF9">
        <w:rPr>
          <w:rFonts w:ascii="Arial" w:hAnsi="Arial" w:cs="Arial"/>
          <w:color w:val="000000" w:themeColor="text1"/>
          <w:lang w:val="es-419"/>
        </w:rPr>
        <w:t xml:space="preserve"> nacional</w:t>
      </w:r>
      <w:r w:rsidR="00355FF9">
        <w:rPr>
          <w:rFonts w:ascii="Arial" w:hAnsi="Arial" w:cs="Arial"/>
          <w:color w:val="000000" w:themeColor="text1"/>
          <w:lang w:val="es-419"/>
        </w:rPr>
        <w:t>es</w:t>
      </w:r>
      <w:r w:rsidRPr="0031484B" w:rsidR="00355FF9">
        <w:rPr>
          <w:rFonts w:ascii="Arial" w:hAnsi="Arial" w:cs="Arial"/>
          <w:color w:val="000000" w:themeColor="text1"/>
          <w:lang w:val="es-419"/>
        </w:rPr>
        <w:t xml:space="preserve"> </w:t>
      </w:r>
      <w:r w:rsidRPr="0031484B" w:rsidR="00355FF9">
        <w:rPr>
          <w:rFonts w:ascii="Arial" w:hAnsi="Arial" w:cs="Arial"/>
          <w:color w:val="222222"/>
          <w:lang w:val="es-419"/>
        </w:rPr>
        <w:t>beneficiadas por la CT que fortalecen el conocimiento de</w:t>
      </w:r>
      <w:r w:rsidR="00355FF9">
        <w:rPr>
          <w:rFonts w:ascii="Arial" w:hAnsi="Arial" w:cs="Arial"/>
          <w:color w:val="222222"/>
          <w:lang w:val="es-419"/>
        </w:rPr>
        <w:t xml:space="preserve">l desarrollo de la planificación a mediano plazo para </w:t>
      </w:r>
      <w:r w:rsidRPr="0031484B" w:rsidR="00355FF9">
        <w:rPr>
          <w:rFonts w:ascii="Arial" w:hAnsi="Arial" w:cs="Arial"/>
          <w:color w:val="222222"/>
          <w:lang w:val="es-419"/>
        </w:rPr>
        <w:t>mejorar la provisión de</w:t>
      </w:r>
      <w:r w:rsidR="00355FF9">
        <w:rPr>
          <w:rFonts w:ascii="Arial" w:hAnsi="Arial" w:cs="Arial"/>
          <w:color w:val="222222"/>
          <w:lang w:val="es-419"/>
        </w:rPr>
        <w:t xml:space="preserve">l SAT como uno de los </w:t>
      </w:r>
      <w:r w:rsidRPr="0031484B" w:rsidR="00355FF9">
        <w:rPr>
          <w:rFonts w:ascii="Arial" w:hAnsi="Arial" w:cs="Arial"/>
          <w:color w:val="222222"/>
          <w:lang w:val="es-419"/>
        </w:rPr>
        <w:t xml:space="preserve">servicios públicos </w:t>
      </w:r>
      <w:r w:rsidR="00355FF9">
        <w:rPr>
          <w:rFonts w:ascii="Arial" w:hAnsi="Arial" w:cs="Arial"/>
          <w:color w:val="222222"/>
          <w:lang w:val="es-419"/>
        </w:rPr>
        <w:t>importantes a todo el territorio nacional</w:t>
      </w:r>
      <w:r w:rsidRPr="008B4B1A" w:rsidR="00937BD4">
        <w:rPr>
          <w:rFonts w:ascii="Arial" w:hAnsi="Arial" w:cs="Arial"/>
          <w:color w:val="000000" w:themeColor="text1"/>
          <w:lang w:val="es-DO"/>
        </w:rPr>
        <w:t xml:space="preserve">. </w:t>
      </w:r>
    </w:p>
    <w:p w:rsidRPr="008B4B1A" w:rsidR="00937BD4" w:rsidP="005A279C" w:rsidRDefault="005A279C" w14:paraId="79CF78D9" w14:textId="355D6C2C">
      <w:pPr>
        <w:pBdr>
          <w:top w:val="nil"/>
          <w:left w:val="nil"/>
          <w:bottom w:val="nil"/>
          <w:right w:val="nil"/>
          <w:between w:val="nil"/>
        </w:pBdr>
        <w:tabs>
          <w:tab w:val="left" w:pos="450"/>
        </w:tabs>
        <w:spacing w:after="120" w:line="240" w:lineRule="auto"/>
        <w:ind w:left="450" w:hanging="450"/>
        <w:jc w:val="both"/>
        <w:rPr>
          <w:rFonts w:ascii="Arial" w:hAnsi="Arial" w:eastAsia="Arial" w:cs="Arial"/>
          <w:color w:val="000000"/>
          <w:lang w:val="es-DO"/>
        </w:rPr>
      </w:pPr>
      <w:r w:rsidRPr="005A279C">
        <w:rPr>
          <w:rFonts w:ascii="Arial" w:hAnsi="Arial" w:eastAsia="Arial" w:cs="Arial"/>
          <w:color w:val="000000"/>
          <w:lang w:val="es-DO"/>
        </w:rPr>
        <w:t>3.4</w:t>
      </w:r>
      <w:r w:rsidRPr="005A279C">
        <w:rPr>
          <w:rFonts w:ascii="Arial" w:hAnsi="Arial" w:eastAsia="Arial" w:cs="Arial"/>
          <w:color w:val="000000"/>
          <w:lang w:val="es-DO"/>
        </w:rPr>
        <w:tab/>
        <w:t>El total estimado de la CT es de US$444,0000, de los cuales US$400,000 serán financiados por el Banco (Fondo Especial de Japón), y US$44,000 serán de contrapartida local en especie</w:t>
      </w:r>
      <w:r w:rsidRPr="008B4B1A" w:rsidR="00937BD4">
        <w:rPr>
          <w:rFonts w:ascii="Arial" w:hAnsi="Arial" w:eastAsia="Arial" w:cs="Arial"/>
          <w:color w:val="000000"/>
          <w:lang w:val="es-DO"/>
        </w:rPr>
        <w:t>.</w:t>
      </w:r>
    </w:p>
    <w:p w:rsidRPr="00AF38DD" w:rsidR="00AF38DD" w:rsidP="00363B96" w:rsidRDefault="00AF38DD" w14:paraId="4A5CFBB9" w14:textId="347AFB8E">
      <w:pPr>
        <w:pStyle w:val="ListParagraph"/>
        <w:keepNext/>
        <w:keepLines/>
        <w:spacing w:after="0"/>
        <w:ind w:left="360"/>
        <w:jc w:val="center"/>
        <w:rPr>
          <w:rFonts w:ascii="Arial" w:hAnsi="Arial" w:eastAsia="Arial" w:cs="Arial"/>
          <w:b/>
          <w:bCs/>
          <w:lang w:val="es-ES"/>
        </w:rPr>
      </w:pPr>
      <w:r w:rsidRPr="00AF38DD">
        <w:rPr>
          <w:rFonts w:ascii="Arial" w:hAnsi="Arial" w:eastAsia="Arial" w:cs="Arial"/>
          <w:b/>
          <w:bCs/>
          <w:lang w:val="es-ES"/>
        </w:rPr>
        <w:t>Presupuesto Indicativo</w:t>
      </w:r>
    </w:p>
    <w:p w:rsidRPr="000F744C" w:rsidR="008B4B1A" w:rsidP="00363B96" w:rsidRDefault="008B4B1A" w14:paraId="2FCBA9E5" w14:textId="77777777">
      <w:pPr>
        <w:pStyle w:val="ListParagraph"/>
        <w:keepNext/>
        <w:keepLines/>
        <w:spacing w:before="60" w:after="0" w:line="240" w:lineRule="auto"/>
        <w:ind w:left="360"/>
        <w:contextualSpacing w:val="0"/>
        <w:jc w:val="center"/>
        <w:rPr>
          <w:rFonts w:ascii="Arial" w:hAnsi="Arial" w:eastAsia="Arial" w:cs="Arial"/>
          <w:b/>
          <w:bCs/>
        </w:rPr>
      </w:pPr>
    </w:p>
    <w:tbl>
      <w:tblPr>
        <w:tblStyle w:val="TableGrid"/>
        <w:tblW w:w="9090" w:type="dxa"/>
        <w:tblInd w:w="-185" w:type="dxa"/>
        <w:tblLayout w:type="fixed"/>
        <w:tblLook w:val="04A0" w:firstRow="1" w:lastRow="0" w:firstColumn="1" w:lastColumn="0" w:noHBand="0" w:noVBand="1"/>
      </w:tblPr>
      <w:tblGrid>
        <w:gridCol w:w="1620"/>
        <w:gridCol w:w="3240"/>
        <w:gridCol w:w="1440"/>
        <w:gridCol w:w="1440"/>
        <w:gridCol w:w="1350"/>
      </w:tblGrid>
      <w:tr w:rsidRPr="00F001D9" w:rsidR="008B4B1A" w:rsidTr="00A0394B" w14:paraId="3BCB59ED" w14:textId="77777777">
        <w:tc>
          <w:tcPr>
            <w:tcW w:w="1620" w:type="dxa"/>
            <w:vAlign w:val="center"/>
          </w:tcPr>
          <w:p w:rsidRPr="00F001D9" w:rsidR="008B4B1A" w:rsidP="00363B96" w:rsidRDefault="008B4B1A" w14:paraId="2D2E0793"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cs="Arial"/>
                <w:b/>
                <w:bCs/>
                <w:color w:val="000000" w:themeColor="text1"/>
                <w:sz w:val="18"/>
                <w:szCs w:val="18"/>
                <w:lang w:val="es-419"/>
              </w:rPr>
              <w:t>Componente</w:t>
            </w:r>
          </w:p>
        </w:tc>
        <w:tc>
          <w:tcPr>
            <w:tcW w:w="3240" w:type="dxa"/>
            <w:vAlign w:val="center"/>
          </w:tcPr>
          <w:p w:rsidRPr="00F001D9" w:rsidR="008B4B1A" w:rsidP="00363B96" w:rsidRDefault="008B4B1A" w14:paraId="59E56366"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cs="Arial"/>
                <w:b/>
                <w:bCs/>
                <w:color w:val="000000" w:themeColor="text1"/>
                <w:sz w:val="18"/>
                <w:szCs w:val="18"/>
                <w:lang w:val="es-419"/>
              </w:rPr>
              <w:t>Descripción</w:t>
            </w:r>
          </w:p>
        </w:tc>
        <w:tc>
          <w:tcPr>
            <w:tcW w:w="1440" w:type="dxa"/>
          </w:tcPr>
          <w:p w:rsidRPr="00F001D9" w:rsidR="008B4B1A" w:rsidP="00363B96" w:rsidRDefault="008B4B1A" w14:paraId="50232774"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BID (JSF)</w:t>
            </w:r>
          </w:p>
        </w:tc>
        <w:tc>
          <w:tcPr>
            <w:tcW w:w="1440" w:type="dxa"/>
          </w:tcPr>
          <w:p w:rsidRPr="00F001D9" w:rsidR="008B4B1A" w:rsidP="00363B96" w:rsidRDefault="008B4B1A" w14:paraId="6FAD8074"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Local (en especie)</w:t>
            </w:r>
          </w:p>
        </w:tc>
        <w:tc>
          <w:tcPr>
            <w:tcW w:w="1350" w:type="dxa"/>
          </w:tcPr>
          <w:p w:rsidRPr="00F001D9" w:rsidR="008B4B1A" w:rsidP="00363B96" w:rsidRDefault="008B4B1A" w14:paraId="6E25D0E2" w14:textId="77777777">
            <w:pPr>
              <w:pStyle w:val="ListParagraph"/>
              <w:keepNext/>
              <w:keepLines/>
              <w:ind w:left="0"/>
              <w:contextualSpacing w:val="0"/>
              <w:jc w:val="center"/>
              <w:rPr>
                <w:rFonts w:ascii="Arial" w:hAnsi="Arial" w:cs="Arial"/>
                <w:b/>
                <w:bCs/>
                <w:color w:val="000000" w:themeColor="text1"/>
                <w:sz w:val="18"/>
                <w:szCs w:val="18"/>
                <w:lang w:val="es-419"/>
              </w:rPr>
            </w:pPr>
            <w:r w:rsidRPr="00F001D9">
              <w:rPr>
                <w:rFonts w:ascii="Arial" w:hAnsi="Arial" w:eastAsia="Arial" w:cs="Arial"/>
                <w:b/>
                <w:color w:val="000000"/>
                <w:sz w:val="18"/>
                <w:szCs w:val="18"/>
                <w:lang w:val="es-419"/>
              </w:rPr>
              <w:t xml:space="preserve">Total </w:t>
            </w:r>
          </w:p>
        </w:tc>
      </w:tr>
      <w:tr w:rsidRPr="00EB7397" w:rsidR="008B4B1A" w:rsidTr="00A0394B" w14:paraId="5B54552E" w14:textId="77777777">
        <w:tc>
          <w:tcPr>
            <w:tcW w:w="1620" w:type="dxa"/>
          </w:tcPr>
          <w:p w:rsidRPr="00EB7397" w:rsidR="008B4B1A" w:rsidP="00363B96" w:rsidRDefault="008B4B1A" w14:paraId="03459B43" w14:textId="77777777">
            <w:pPr>
              <w:pStyle w:val="ListParagraph"/>
              <w:keepNext/>
              <w:keepLines/>
              <w:ind w:left="0"/>
              <w:contextualSpacing w:val="0"/>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 xml:space="preserve">Componente 1 </w:t>
            </w:r>
          </w:p>
          <w:p w:rsidRPr="00EB7397" w:rsidR="008B4B1A" w:rsidP="00363B96" w:rsidRDefault="008D573D" w14:paraId="20621BBB" w14:textId="08040A9B">
            <w:pPr>
              <w:pStyle w:val="ListParagraph"/>
              <w:keepNext/>
              <w:keepLines/>
              <w:ind w:left="0"/>
              <w:contextualSpacing w:val="0"/>
              <w:rPr>
                <w:rFonts w:ascii="Arial" w:hAnsi="Arial" w:cs="Arial"/>
                <w:color w:val="000000" w:themeColor="text1"/>
                <w:sz w:val="18"/>
                <w:szCs w:val="18"/>
                <w:lang w:val="es-ES"/>
              </w:rPr>
            </w:pPr>
            <w:r w:rsidRPr="000B000F">
              <w:rPr>
                <w:rFonts w:ascii="Arial" w:hAnsi="Arial" w:cs="Arial"/>
                <w:color w:val="000000" w:themeColor="text1"/>
                <w:sz w:val="18"/>
                <w:szCs w:val="18"/>
                <w:lang w:val="es-ES_tradnl"/>
              </w:rPr>
              <w:t xml:space="preserve">Implementación de modo piloto de actividades prioritarias como parte del </w:t>
            </w:r>
            <w:r>
              <w:rPr>
                <w:rFonts w:ascii="Arial" w:hAnsi="Arial" w:cs="Arial"/>
                <w:color w:val="000000" w:themeColor="text1"/>
                <w:sz w:val="18"/>
                <w:szCs w:val="18"/>
                <w:lang w:val="es-ES_tradnl"/>
              </w:rPr>
              <w:t xml:space="preserve">fortalecimiento </w:t>
            </w:r>
            <w:r w:rsidRPr="000B000F">
              <w:rPr>
                <w:rFonts w:ascii="Arial" w:hAnsi="Arial" w:cs="Arial"/>
                <w:color w:val="000000" w:themeColor="text1"/>
                <w:sz w:val="18"/>
                <w:szCs w:val="18"/>
                <w:lang w:val="es-ES_tradnl"/>
              </w:rPr>
              <w:t xml:space="preserve">de </w:t>
            </w:r>
            <w:r>
              <w:rPr>
                <w:rFonts w:ascii="Arial" w:hAnsi="Arial" w:cs="Arial"/>
                <w:color w:val="000000" w:themeColor="text1"/>
                <w:sz w:val="18"/>
                <w:szCs w:val="18"/>
                <w:lang w:val="es-ES_tradnl"/>
              </w:rPr>
              <w:t xml:space="preserve">la Red Nacional de Alerta Temprana </w:t>
            </w:r>
            <w:r w:rsidRPr="000B000F">
              <w:rPr>
                <w:rFonts w:ascii="Arial" w:hAnsi="Arial" w:cs="Arial"/>
                <w:color w:val="000000" w:themeColor="text1"/>
                <w:sz w:val="18"/>
                <w:szCs w:val="18"/>
                <w:lang w:val="es-ES_tradnl"/>
              </w:rPr>
              <w:t xml:space="preserve"> </w:t>
            </w:r>
          </w:p>
        </w:tc>
        <w:tc>
          <w:tcPr>
            <w:tcW w:w="3240" w:type="dxa"/>
          </w:tcPr>
          <w:p w:rsidRPr="001F6B4C" w:rsidR="008B4B1A" w:rsidP="00363B96" w:rsidRDefault="004D30C3" w14:paraId="02229469" w14:textId="2A01E909">
            <w:pPr>
              <w:pStyle w:val="NormalWeb"/>
              <w:keepNext/>
              <w:keepLines/>
              <w:numPr>
                <w:ilvl w:val="0"/>
                <w:numId w:val="23"/>
              </w:numPr>
              <w:snapToGrid w:val="0"/>
              <w:spacing w:before="0" w:beforeAutospacing="0" w:after="0" w:afterAutospacing="0"/>
              <w:ind w:left="252"/>
              <w:textAlignment w:val="baseline"/>
              <w:rPr>
                <w:rFonts w:ascii="Arial" w:hAnsi="Arial" w:cs="Arial"/>
                <w:color w:val="000000" w:themeColor="text1"/>
                <w:sz w:val="18"/>
                <w:szCs w:val="18"/>
                <w:lang w:val="es-ES_tradnl"/>
              </w:rPr>
            </w:pPr>
            <w:r w:rsidRPr="0086465C">
              <w:rPr>
                <w:rFonts w:ascii="Arial" w:hAnsi="Arial" w:cs="Arial"/>
                <w:color w:val="000000" w:themeColor="text1"/>
                <w:sz w:val="18"/>
                <w:szCs w:val="18"/>
                <w:lang w:val="es-ES_tradnl"/>
              </w:rPr>
              <w:t>Consultores para desarrollar actividades de capacitación comunitaria: US$1</w:t>
            </w:r>
            <w:r>
              <w:rPr>
                <w:rFonts w:ascii="Arial" w:hAnsi="Arial" w:cs="Arial"/>
                <w:color w:val="000000" w:themeColor="text1"/>
                <w:sz w:val="18"/>
                <w:szCs w:val="18"/>
                <w:lang w:val="es-ES_tradnl"/>
              </w:rPr>
              <w:t>5</w:t>
            </w:r>
            <w:r w:rsidRPr="0086465C">
              <w:rPr>
                <w:rFonts w:ascii="Arial" w:hAnsi="Arial" w:cs="Arial"/>
                <w:color w:val="000000" w:themeColor="text1"/>
                <w:sz w:val="18"/>
                <w:szCs w:val="18"/>
                <w:lang w:val="es-ES_tradnl"/>
              </w:rPr>
              <w:t>0,000</w:t>
            </w:r>
            <w:r>
              <w:rPr>
                <w:rFonts w:ascii="Arial" w:hAnsi="Arial" w:cs="Arial"/>
                <w:color w:val="000000" w:themeColor="text1"/>
                <w:sz w:val="18"/>
                <w:szCs w:val="18"/>
                <w:lang w:val="es-ES_tradnl"/>
              </w:rPr>
              <w:t xml:space="preserve"> (incluye instalación de materiales fundamentales para el piloto - </w:t>
            </w:r>
            <w:r w:rsidRPr="0086465C">
              <w:rPr>
                <w:rFonts w:ascii="Arial" w:hAnsi="Arial" w:cs="Arial"/>
                <w:color w:val="000000" w:themeColor="text1"/>
                <w:sz w:val="18"/>
                <w:szCs w:val="18"/>
                <w:lang w:val="es-ES_tradnl"/>
              </w:rPr>
              <w:t>una sirena comunitaria y señalética</w:t>
            </w:r>
            <w:r>
              <w:rPr>
                <w:rFonts w:ascii="Arial" w:hAnsi="Arial" w:cs="Arial"/>
                <w:color w:val="000000" w:themeColor="text1"/>
                <w:sz w:val="18"/>
                <w:szCs w:val="18"/>
                <w:lang w:val="es-ES_tradnl"/>
              </w:rPr>
              <w:t xml:space="preserve">s, su monto </w:t>
            </w:r>
            <w:r w:rsidR="008E6BF3">
              <w:rPr>
                <w:rFonts w:ascii="Arial" w:hAnsi="Arial" w:cs="Arial"/>
                <w:color w:val="000000" w:themeColor="text1"/>
                <w:sz w:val="18"/>
                <w:szCs w:val="18"/>
                <w:lang w:val="es-ES_tradnl"/>
              </w:rPr>
              <w:t>será</w:t>
            </w:r>
            <w:r>
              <w:rPr>
                <w:rFonts w:ascii="Arial" w:hAnsi="Arial" w:cs="Arial"/>
                <w:color w:val="000000" w:themeColor="text1"/>
                <w:sz w:val="18"/>
                <w:szCs w:val="18"/>
                <w:lang w:val="es-ES_tradnl"/>
              </w:rPr>
              <w:t xml:space="preserve"> menor </w:t>
            </w:r>
            <w:r w:rsidR="008E6BF3">
              <w:rPr>
                <w:rFonts w:ascii="Arial" w:hAnsi="Arial" w:cs="Arial"/>
                <w:color w:val="000000" w:themeColor="text1"/>
                <w:sz w:val="18"/>
                <w:szCs w:val="18"/>
                <w:lang w:val="es-ES_tradnl"/>
              </w:rPr>
              <w:t>a</w:t>
            </w:r>
            <w:r>
              <w:rPr>
                <w:rFonts w:ascii="Arial" w:hAnsi="Arial" w:cs="Arial"/>
                <w:color w:val="000000" w:themeColor="text1"/>
                <w:sz w:val="18"/>
                <w:szCs w:val="18"/>
                <w:lang w:val="es-ES_tradnl"/>
              </w:rPr>
              <w:t xml:space="preserve"> </w:t>
            </w:r>
            <w:r w:rsidRPr="0086465C">
              <w:rPr>
                <w:rFonts w:ascii="Arial" w:hAnsi="Arial" w:cs="Arial"/>
                <w:color w:val="000000" w:themeColor="text1"/>
                <w:sz w:val="18"/>
                <w:szCs w:val="18"/>
                <w:lang w:val="es-ES_tradnl"/>
              </w:rPr>
              <w:t>US$</w:t>
            </w:r>
            <w:r>
              <w:rPr>
                <w:rFonts w:ascii="Arial" w:hAnsi="Arial" w:cs="Arial"/>
                <w:color w:val="000000" w:themeColor="text1"/>
                <w:sz w:val="18"/>
                <w:szCs w:val="18"/>
                <w:lang w:val="es-ES_tradnl"/>
              </w:rPr>
              <w:t>15</w:t>
            </w:r>
            <w:r w:rsidRPr="0086465C">
              <w:rPr>
                <w:rFonts w:ascii="Arial" w:hAnsi="Arial" w:cs="Arial"/>
                <w:color w:val="000000" w:themeColor="text1"/>
                <w:sz w:val="18"/>
                <w:szCs w:val="18"/>
                <w:lang w:val="es-ES_tradnl"/>
              </w:rPr>
              <w:t>,000</w:t>
            </w:r>
            <w:r>
              <w:rPr>
                <w:rFonts w:ascii="Arial" w:hAnsi="Arial" w:cs="Arial"/>
                <w:color w:val="000000" w:themeColor="text1"/>
                <w:sz w:val="18"/>
                <w:szCs w:val="18"/>
                <w:lang w:val="es-ES_tradnl"/>
              </w:rPr>
              <w:t>)</w:t>
            </w:r>
          </w:p>
        </w:tc>
        <w:tc>
          <w:tcPr>
            <w:tcW w:w="1440" w:type="dxa"/>
            <w:vAlign w:val="center"/>
          </w:tcPr>
          <w:p w:rsidRPr="00EB7397" w:rsidR="008B4B1A" w:rsidP="00363B96" w:rsidRDefault="008B4B1A" w14:paraId="03A42311" w14:textId="59044252">
            <w:pPr>
              <w:pStyle w:val="ListParagraph"/>
              <w:keepNext/>
              <w:keepLines/>
              <w:ind w:left="0"/>
              <w:contextualSpacing w:val="0"/>
              <w:jc w:val="center"/>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US$</w:t>
            </w:r>
            <w:r>
              <w:rPr>
                <w:rFonts w:ascii="Arial" w:hAnsi="Arial" w:cs="Arial"/>
                <w:b/>
                <w:bCs/>
                <w:color w:val="000000" w:themeColor="text1"/>
                <w:sz w:val="18"/>
                <w:szCs w:val="18"/>
                <w:lang w:val="es-ES"/>
              </w:rPr>
              <w:t>1</w:t>
            </w:r>
            <w:r w:rsidR="0086465C">
              <w:rPr>
                <w:rFonts w:ascii="Arial" w:hAnsi="Arial" w:cs="Arial"/>
                <w:b/>
                <w:bCs/>
                <w:color w:val="000000" w:themeColor="text1"/>
                <w:sz w:val="18"/>
                <w:szCs w:val="18"/>
                <w:lang w:val="es-ES"/>
              </w:rPr>
              <w:t>5</w:t>
            </w:r>
            <w:r w:rsidRPr="00EB7397">
              <w:rPr>
                <w:rFonts w:ascii="Arial" w:hAnsi="Arial" w:cs="Arial"/>
                <w:b/>
                <w:bCs/>
                <w:color w:val="000000" w:themeColor="text1"/>
                <w:sz w:val="18"/>
                <w:szCs w:val="18"/>
                <w:lang w:val="es-ES"/>
              </w:rPr>
              <w:t>0,000</w:t>
            </w:r>
          </w:p>
        </w:tc>
        <w:tc>
          <w:tcPr>
            <w:tcW w:w="1440" w:type="dxa"/>
            <w:vAlign w:val="center"/>
          </w:tcPr>
          <w:p w:rsidRPr="00F001D9" w:rsidR="008B4B1A" w:rsidP="00363B96" w:rsidRDefault="008B4B1A" w14:paraId="4AE1E904" w14:textId="77777777">
            <w:pPr>
              <w:pStyle w:val="ListParagraph"/>
              <w:keepNext/>
              <w:keepLines/>
              <w:ind w:left="0"/>
              <w:contextualSpacing w:val="0"/>
              <w:jc w:val="center"/>
              <w:rPr>
                <w:rFonts w:ascii="Arial" w:hAnsi="Arial" w:cs="Arial"/>
                <w:b/>
                <w:bCs/>
                <w:color w:val="000000" w:themeColor="text1"/>
                <w:sz w:val="18"/>
                <w:szCs w:val="18"/>
                <w:lang w:val="es-ES"/>
              </w:rPr>
            </w:pPr>
            <w:r w:rsidRPr="00F001D9">
              <w:rPr>
                <w:rFonts w:ascii="Arial" w:hAnsi="Arial" w:cs="Arial"/>
                <w:b/>
                <w:bCs/>
                <w:sz w:val="18"/>
                <w:szCs w:val="18"/>
              </w:rPr>
              <w:t>US$20,000</w:t>
            </w:r>
          </w:p>
        </w:tc>
        <w:tc>
          <w:tcPr>
            <w:tcW w:w="1350" w:type="dxa"/>
            <w:vAlign w:val="center"/>
          </w:tcPr>
          <w:p w:rsidRPr="00F001D9" w:rsidR="008B4B1A" w:rsidP="00363B96" w:rsidRDefault="008B4B1A" w14:paraId="57B524DF" w14:textId="7975B97C">
            <w:pPr>
              <w:pStyle w:val="ListParagraph"/>
              <w:keepNext/>
              <w:keepLines/>
              <w:ind w:left="0"/>
              <w:contextualSpacing w:val="0"/>
              <w:jc w:val="center"/>
              <w:rPr>
                <w:rFonts w:ascii="Arial" w:hAnsi="Arial" w:cs="Arial"/>
                <w:b/>
                <w:bCs/>
                <w:color w:val="000000" w:themeColor="text1"/>
                <w:sz w:val="18"/>
                <w:szCs w:val="18"/>
                <w:lang w:val="es-ES"/>
              </w:rPr>
            </w:pPr>
            <w:r w:rsidRPr="00F001D9">
              <w:rPr>
                <w:rFonts w:ascii="Arial" w:hAnsi="Arial" w:cs="Arial"/>
                <w:b/>
                <w:bCs/>
                <w:sz w:val="18"/>
                <w:szCs w:val="18"/>
              </w:rPr>
              <w:t>US$1</w:t>
            </w:r>
            <w:r w:rsidR="0086465C">
              <w:rPr>
                <w:rFonts w:ascii="Arial" w:hAnsi="Arial" w:cs="Arial"/>
                <w:b/>
                <w:bCs/>
                <w:sz w:val="18"/>
                <w:szCs w:val="18"/>
              </w:rPr>
              <w:t>7</w:t>
            </w:r>
            <w:r w:rsidRPr="00F001D9">
              <w:rPr>
                <w:rFonts w:ascii="Arial" w:hAnsi="Arial" w:cs="Arial"/>
                <w:b/>
                <w:bCs/>
                <w:sz w:val="18"/>
                <w:szCs w:val="18"/>
              </w:rPr>
              <w:t>0,000</w:t>
            </w:r>
          </w:p>
        </w:tc>
      </w:tr>
      <w:tr w:rsidRPr="00EB7397" w:rsidR="008B4B1A" w:rsidTr="00A0394B" w14:paraId="29109982" w14:textId="77777777">
        <w:trPr>
          <w:trHeight w:val="467"/>
        </w:trPr>
        <w:tc>
          <w:tcPr>
            <w:tcW w:w="1620" w:type="dxa"/>
          </w:tcPr>
          <w:p w:rsidRPr="00EB7397" w:rsidR="008B4B1A" w:rsidP="00363B96" w:rsidRDefault="008B4B1A" w14:paraId="4D549B34" w14:textId="77777777">
            <w:pPr>
              <w:pStyle w:val="ListParagraph"/>
              <w:keepNext/>
              <w:keepLines/>
              <w:ind w:left="0"/>
              <w:contextualSpacing w:val="0"/>
              <w:rPr>
                <w:rFonts w:ascii="Arial" w:hAnsi="Arial" w:cs="Arial"/>
                <w:b/>
                <w:bCs/>
                <w:color w:val="000000" w:themeColor="text1"/>
                <w:sz w:val="18"/>
                <w:szCs w:val="18"/>
                <w:lang w:val="es-ES"/>
              </w:rPr>
            </w:pPr>
            <w:r w:rsidRPr="00EB7397">
              <w:rPr>
                <w:rFonts w:ascii="Arial" w:hAnsi="Arial" w:cs="Arial"/>
                <w:b/>
                <w:bCs/>
                <w:color w:val="000000" w:themeColor="text1"/>
                <w:sz w:val="18"/>
                <w:szCs w:val="18"/>
                <w:lang w:val="es-ES"/>
              </w:rPr>
              <w:t>Componente 2</w:t>
            </w:r>
          </w:p>
          <w:p w:rsidRPr="00EB7397" w:rsidR="008B4B1A" w:rsidP="00363B96" w:rsidRDefault="00F001D3" w14:paraId="41D2FD65" w14:textId="7617823B">
            <w:pPr>
              <w:pStyle w:val="ListParagraph"/>
              <w:keepNext/>
              <w:keepLines/>
              <w:ind w:left="0"/>
              <w:contextualSpacing w:val="0"/>
              <w:rPr>
                <w:rFonts w:ascii="Arial" w:hAnsi="Arial" w:cs="Arial"/>
                <w:color w:val="000000" w:themeColor="text1"/>
                <w:sz w:val="18"/>
                <w:szCs w:val="18"/>
                <w:lang w:val="es-ES"/>
              </w:rPr>
            </w:pPr>
            <w:r w:rsidRPr="002F15A3">
              <w:rPr>
                <w:rFonts w:ascii="Arial" w:hAnsi="Arial" w:cs="Arial"/>
                <w:color w:val="000000" w:themeColor="text1"/>
                <w:sz w:val="18"/>
                <w:szCs w:val="18"/>
                <w:lang w:val="es-ES_tradnl"/>
              </w:rPr>
              <w:t xml:space="preserve">Apoyar a desarrollar planes para fortalecer el desempeño </w:t>
            </w:r>
            <w:r>
              <w:rPr>
                <w:rFonts w:ascii="Arial" w:hAnsi="Arial" w:cs="Arial"/>
                <w:color w:val="000000" w:themeColor="text1"/>
                <w:sz w:val="18"/>
                <w:szCs w:val="18"/>
                <w:lang w:val="es-ES_tradnl"/>
              </w:rPr>
              <w:t>de la Red Nacional de Alerta Temprana</w:t>
            </w:r>
          </w:p>
        </w:tc>
        <w:tc>
          <w:tcPr>
            <w:tcW w:w="3240" w:type="dxa"/>
          </w:tcPr>
          <w:p w:rsidRPr="006E1959" w:rsidR="006E1959" w:rsidP="00363B96" w:rsidRDefault="006E1959" w14:paraId="435895C0"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Diagnóstico y recomendaciones para fortalecer el SAT Nacional: US$40,000</w:t>
            </w:r>
          </w:p>
          <w:p w:rsidRPr="006E1959" w:rsidR="006E1959" w:rsidP="00363B96" w:rsidRDefault="006E1959" w14:paraId="3875BFB1"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Dos talleres internacionales de intercambio, transferencia y difusión de conocimiento: US$60,000</w:t>
            </w:r>
          </w:p>
          <w:p w:rsidRPr="006E1959" w:rsidR="006E1959" w:rsidP="00363B96" w:rsidRDefault="006E1959" w14:paraId="1847B415" w14:textId="77777777">
            <w:pPr>
              <w:pStyle w:val="NormalWeb"/>
              <w:keepNext/>
              <w:keepLines/>
              <w:numPr>
                <w:ilvl w:val="0"/>
                <w:numId w:val="23"/>
              </w:numPr>
              <w:snapToGrid w:val="0"/>
              <w:spacing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Plan maestro a medio / largo plazo: US$50,000</w:t>
            </w:r>
          </w:p>
          <w:p w:rsidRPr="00F001D9" w:rsidR="008B4B1A" w:rsidP="00363B96" w:rsidRDefault="006E1959" w14:paraId="53675598" w14:textId="11D447BF">
            <w:pPr>
              <w:pStyle w:val="NormalWeb"/>
              <w:keepNext/>
              <w:keepLines/>
              <w:numPr>
                <w:ilvl w:val="0"/>
                <w:numId w:val="23"/>
              </w:numPr>
              <w:snapToGrid w:val="0"/>
              <w:spacing w:before="0" w:beforeAutospacing="0" w:after="0" w:afterAutospacing="0"/>
              <w:ind w:left="252"/>
              <w:textAlignment w:val="baseline"/>
              <w:rPr>
                <w:rFonts w:ascii="Arial" w:hAnsi="Arial" w:cs="Arial"/>
                <w:color w:val="000000" w:themeColor="text1"/>
                <w:sz w:val="18"/>
                <w:szCs w:val="18"/>
                <w:lang w:val="es-ES_tradnl"/>
              </w:rPr>
            </w:pPr>
            <w:r w:rsidRPr="006E1959">
              <w:rPr>
                <w:rFonts w:ascii="Arial" w:hAnsi="Arial" w:cs="Arial"/>
                <w:color w:val="000000" w:themeColor="text1"/>
                <w:sz w:val="18"/>
                <w:szCs w:val="18"/>
                <w:lang w:val="es-ES_tradnl"/>
              </w:rPr>
              <w:t>Estudio y diseño de prefactibilidad para proyectos de inversión prioritarios: US$100,000</w:t>
            </w:r>
          </w:p>
        </w:tc>
        <w:tc>
          <w:tcPr>
            <w:tcW w:w="1440" w:type="dxa"/>
            <w:vAlign w:val="center"/>
          </w:tcPr>
          <w:p w:rsidRPr="00EB7397" w:rsidR="008B4B1A" w:rsidP="00363B96" w:rsidRDefault="008B4B1A" w14:paraId="3E4B8069" w14:textId="1A31259B">
            <w:pPr>
              <w:pStyle w:val="ListParagraph"/>
              <w:keepNext/>
              <w:keepLines/>
              <w:ind w:left="0"/>
              <w:contextualSpacing w:val="0"/>
              <w:jc w:val="center"/>
              <w:rPr>
                <w:rFonts w:ascii="Arial" w:hAnsi="Arial" w:cs="Arial"/>
                <w:b/>
                <w:bCs/>
                <w:color w:val="000000" w:themeColor="text1"/>
                <w:sz w:val="18"/>
                <w:szCs w:val="18"/>
                <w:lang w:val="es-ES_tradnl"/>
              </w:rPr>
            </w:pPr>
            <w:r w:rsidRPr="00EB7397">
              <w:rPr>
                <w:rFonts w:ascii="Arial" w:hAnsi="Arial" w:cs="Arial"/>
                <w:b/>
                <w:bCs/>
                <w:color w:val="000000" w:themeColor="text1"/>
                <w:sz w:val="18"/>
                <w:szCs w:val="18"/>
                <w:lang w:val="es-ES_tradnl"/>
              </w:rPr>
              <w:t>US$</w:t>
            </w:r>
            <w:r>
              <w:rPr>
                <w:rFonts w:ascii="Arial" w:hAnsi="Arial" w:cs="Arial"/>
                <w:b/>
                <w:bCs/>
                <w:color w:val="000000" w:themeColor="text1"/>
                <w:sz w:val="18"/>
                <w:szCs w:val="18"/>
                <w:lang w:val="es-ES_tradnl"/>
              </w:rPr>
              <w:t>2</w:t>
            </w:r>
            <w:r w:rsidR="006E1959">
              <w:rPr>
                <w:rFonts w:ascii="Arial" w:hAnsi="Arial" w:cs="Arial"/>
                <w:b/>
                <w:bCs/>
                <w:color w:val="000000" w:themeColor="text1"/>
                <w:sz w:val="18"/>
                <w:szCs w:val="18"/>
                <w:lang w:val="es-ES_tradnl"/>
              </w:rPr>
              <w:t>5</w:t>
            </w:r>
            <w:r w:rsidRPr="00EB7397">
              <w:rPr>
                <w:rFonts w:ascii="Arial" w:hAnsi="Arial" w:cs="Arial"/>
                <w:b/>
                <w:bCs/>
                <w:color w:val="000000" w:themeColor="text1"/>
                <w:sz w:val="18"/>
                <w:szCs w:val="18"/>
                <w:lang w:val="es-ES_tradnl"/>
              </w:rPr>
              <w:t>0,000</w:t>
            </w:r>
          </w:p>
        </w:tc>
        <w:tc>
          <w:tcPr>
            <w:tcW w:w="1440" w:type="dxa"/>
            <w:vAlign w:val="center"/>
          </w:tcPr>
          <w:p w:rsidRPr="00F001D9" w:rsidR="008B4B1A" w:rsidP="00363B96" w:rsidRDefault="008B4B1A" w14:paraId="718A0DF7" w14:textId="77777777">
            <w:pPr>
              <w:pStyle w:val="ListParagraph"/>
              <w:keepNext/>
              <w:keepLines/>
              <w:ind w:left="0"/>
              <w:contextualSpacing w:val="0"/>
              <w:jc w:val="center"/>
              <w:rPr>
                <w:rFonts w:ascii="Arial" w:hAnsi="Arial" w:cs="Arial"/>
                <w:b/>
                <w:bCs/>
                <w:color w:val="000000" w:themeColor="text1"/>
                <w:sz w:val="18"/>
                <w:szCs w:val="18"/>
              </w:rPr>
            </w:pPr>
            <w:r w:rsidRPr="00F001D9">
              <w:rPr>
                <w:rFonts w:ascii="Arial" w:hAnsi="Arial" w:cs="Arial"/>
                <w:b/>
                <w:bCs/>
                <w:sz w:val="18"/>
                <w:szCs w:val="18"/>
              </w:rPr>
              <w:t>US$24,000</w:t>
            </w:r>
          </w:p>
        </w:tc>
        <w:tc>
          <w:tcPr>
            <w:tcW w:w="1350" w:type="dxa"/>
            <w:vAlign w:val="center"/>
          </w:tcPr>
          <w:p w:rsidRPr="00F001D9" w:rsidR="008B4B1A" w:rsidP="00363B96" w:rsidRDefault="008B4B1A" w14:paraId="5846A40E" w14:textId="43A89006">
            <w:pPr>
              <w:pStyle w:val="ListParagraph"/>
              <w:keepNext/>
              <w:keepLines/>
              <w:ind w:left="0"/>
              <w:contextualSpacing w:val="0"/>
              <w:jc w:val="center"/>
              <w:rPr>
                <w:rFonts w:ascii="Arial" w:hAnsi="Arial" w:cs="Arial"/>
                <w:b/>
                <w:bCs/>
                <w:color w:val="000000" w:themeColor="text1"/>
                <w:sz w:val="18"/>
                <w:szCs w:val="18"/>
              </w:rPr>
            </w:pPr>
            <w:r w:rsidRPr="00F001D9">
              <w:rPr>
                <w:rFonts w:ascii="Arial" w:hAnsi="Arial" w:cs="Arial"/>
                <w:b/>
                <w:bCs/>
                <w:sz w:val="18"/>
                <w:szCs w:val="18"/>
              </w:rPr>
              <w:t>US$2</w:t>
            </w:r>
            <w:r w:rsidR="006E1959">
              <w:rPr>
                <w:rFonts w:ascii="Arial" w:hAnsi="Arial" w:cs="Arial"/>
                <w:b/>
                <w:bCs/>
                <w:sz w:val="18"/>
                <w:szCs w:val="18"/>
              </w:rPr>
              <w:t>7</w:t>
            </w:r>
            <w:r w:rsidRPr="00F001D9">
              <w:rPr>
                <w:rFonts w:ascii="Arial" w:hAnsi="Arial" w:cs="Arial"/>
                <w:b/>
                <w:bCs/>
                <w:sz w:val="18"/>
                <w:szCs w:val="18"/>
              </w:rPr>
              <w:t>4,000</w:t>
            </w:r>
          </w:p>
        </w:tc>
      </w:tr>
      <w:tr w:rsidRPr="00EB7397" w:rsidR="008B4B1A" w:rsidTr="00A56A84" w14:paraId="782C251A" w14:textId="77777777">
        <w:trPr>
          <w:trHeight w:val="314"/>
        </w:trPr>
        <w:tc>
          <w:tcPr>
            <w:tcW w:w="4860" w:type="dxa"/>
            <w:gridSpan w:val="2"/>
            <w:vAlign w:val="center"/>
          </w:tcPr>
          <w:p w:rsidRPr="00EB7397" w:rsidR="008B4B1A" w:rsidP="00363B96" w:rsidRDefault="008B4B1A" w14:paraId="7CDDE3B1" w14:textId="77777777">
            <w:pPr>
              <w:pStyle w:val="ListParagraph"/>
              <w:keepNext/>
              <w:keepLines/>
              <w:ind w:left="0"/>
              <w:contextualSpacing w:val="0"/>
              <w:jc w:val="right"/>
              <w:rPr>
                <w:rFonts w:ascii="Arial" w:hAnsi="Arial" w:cs="Arial"/>
                <w:color w:val="000000" w:themeColor="text1"/>
                <w:sz w:val="18"/>
                <w:szCs w:val="18"/>
                <w:lang w:val="es-ES"/>
              </w:rPr>
            </w:pPr>
            <w:r w:rsidRPr="00EB7397">
              <w:rPr>
                <w:rFonts w:ascii="Arial" w:hAnsi="Arial" w:cs="Arial"/>
                <w:b/>
                <w:bCs/>
                <w:color w:val="000000" w:themeColor="text1"/>
                <w:sz w:val="18"/>
                <w:szCs w:val="18"/>
                <w:lang w:val="es-ES_tradnl"/>
              </w:rPr>
              <w:t>TOTAL</w:t>
            </w:r>
          </w:p>
        </w:tc>
        <w:tc>
          <w:tcPr>
            <w:tcW w:w="1440" w:type="dxa"/>
            <w:vAlign w:val="center"/>
          </w:tcPr>
          <w:p w:rsidRPr="00EB7397" w:rsidR="008B4B1A" w:rsidP="00884320" w:rsidRDefault="008B4B1A" w14:paraId="67750AD7" w14:textId="77777777">
            <w:pPr>
              <w:pStyle w:val="ListParagraph"/>
              <w:keepNext/>
              <w:keepLines/>
              <w:ind w:left="0"/>
              <w:contextualSpacing w:val="0"/>
              <w:jc w:val="center"/>
              <w:rPr>
                <w:rFonts w:ascii="Arial" w:hAnsi="Arial" w:cs="Arial"/>
                <w:color w:val="000000" w:themeColor="text1"/>
                <w:sz w:val="18"/>
                <w:szCs w:val="18"/>
                <w:lang w:val="es-ES"/>
              </w:rPr>
            </w:pPr>
            <w:r w:rsidRPr="00EB7397">
              <w:rPr>
                <w:rFonts w:ascii="Arial" w:hAnsi="Arial" w:cs="Arial"/>
                <w:b/>
                <w:bCs/>
                <w:color w:val="000000" w:themeColor="text1"/>
                <w:sz w:val="18"/>
                <w:szCs w:val="18"/>
                <w:lang w:val="es-ES"/>
              </w:rPr>
              <w:t>US$400,000</w:t>
            </w:r>
          </w:p>
        </w:tc>
        <w:tc>
          <w:tcPr>
            <w:tcW w:w="1440" w:type="dxa"/>
            <w:vAlign w:val="center"/>
          </w:tcPr>
          <w:p w:rsidRPr="00EB7397" w:rsidR="008B4B1A" w:rsidP="00A56A84" w:rsidRDefault="00AE5C80" w14:paraId="102DB898" w14:textId="07A25481">
            <w:pPr>
              <w:pStyle w:val="ListParagraph"/>
              <w:keepNext/>
              <w:keepLines/>
              <w:ind w:left="0"/>
              <w:contextualSpacing w:val="0"/>
              <w:jc w:val="center"/>
              <w:rPr>
                <w:rFonts w:ascii="Arial" w:hAnsi="Arial" w:cs="Arial"/>
                <w:b/>
                <w:bCs/>
                <w:color w:val="000000" w:themeColor="text1"/>
                <w:sz w:val="18"/>
                <w:szCs w:val="18"/>
                <w:lang w:val="es-ES"/>
              </w:rPr>
            </w:pPr>
            <w:r>
              <w:rPr>
                <w:rFonts w:ascii="Arial" w:hAnsi="Arial" w:cs="Arial"/>
                <w:b/>
                <w:bCs/>
                <w:color w:val="000000" w:themeColor="text1"/>
                <w:sz w:val="18"/>
                <w:szCs w:val="18"/>
                <w:lang w:val="es-ES"/>
              </w:rPr>
              <w:t>US$44.000</w:t>
            </w:r>
          </w:p>
        </w:tc>
        <w:tc>
          <w:tcPr>
            <w:tcW w:w="1350" w:type="dxa"/>
            <w:vAlign w:val="center"/>
          </w:tcPr>
          <w:p w:rsidRPr="00EB7397" w:rsidR="008B4B1A" w:rsidP="00363B96" w:rsidRDefault="008B4B1A" w14:paraId="450F5491" w14:textId="77777777">
            <w:pPr>
              <w:pStyle w:val="ListParagraph"/>
              <w:keepNext/>
              <w:keepLines/>
              <w:ind w:left="0"/>
              <w:contextualSpacing w:val="0"/>
              <w:jc w:val="center"/>
              <w:rPr>
                <w:rFonts w:ascii="Arial" w:hAnsi="Arial" w:cs="Arial"/>
                <w:b/>
                <w:bCs/>
                <w:color w:val="000000" w:themeColor="text1"/>
                <w:sz w:val="18"/>
                <w:szCs w:val="18"/>
                <w:lang w:val="es-ES"/>
              </w:rPr>
            </w:pPr>
            <w:r>
              <w:rPr>
                <w:rFonts w:ascii="Arial" w:hAnsi="Arial" w:cs="Arial"/>
                <w:b/>
                <w:sz w:val="18"/>
                <w:szCs w:val="18"/>
              </w:rPr>
              <w:t>US$444,000</w:t>
            </w:r>
          </w:p>
        </w:tc>
      </w:tr>
    </w:tbl>
    <w:p w:rsidR="00A56A84" w:rsidP="008A2855" w:rsidRDefault="00A56A84" w14:paraId="30805966" w14:textId="77777777">
      <w:pPr>
        <w:pBdr>
          <w:top w:val="nil"/>
          <w:left w:val="nil"/>
          <w:bottom w:val="nil"/>
          <w:right w:val="nil"/>
          <w:between w:val="nil"/>
        </w:pBdr>
        <w:tabs>
          <w:tab w:val="left" w:pos="450"/>
        </w:tabs>
        <w:spacing w:before="120" w:after="120" w:line="240" w:lineRule="auto"/>
        <w:ind w:left="446" w:hanging="446"/>
        <w:jc w:val="both"/>
        <w:rPr>
          <w:rFonts w:ascii="Arial" w:hAnsi="Arial" w:eastAsia="Arial" w:cs="Arial"/>
          <w:color w:val="000000"/>
          <w:lang w:val="es-DO"/>
        </w:rPr>
      </w:pPr>
    </w:p>
    <w:p w:rsidRPr="00712785" w:rsidR="00F6363D" w:rsidP="008A2855" w:rsidRDefault="00712785" w14:paraId="3BBAB21D" w14:textId="56E1D39F">
      <w:pPr>
        <w:pBdr>
          <w:top w:val="nil"/>
          <w:left w:val="nil"/>
          <w:bottom w:val="nil"/>
          <w:right w:val="nil"/>
          <w:between w:val="nil"/>
        </w:pBdr>
        <w:tabs>
          <w:tab w:val="left" w:pos="450"/>
        </w:tabs>
        <w:spacing w:before="120" w:after="120" w:line="240" w:lineRule="auto"/>
        <w:ind w:left="446" w:hanging="446"/>
        <w:jc w:val="both"/>
        <w:rPr>
          <w:rFonts w:ascii="Arial" w:hAnsi="Arial" w:eastAsia="Arial" w:cs="Arial"/>
          <w:color w:val="000000"/>
          <w:lang w:val="es-DO"/>
        </w:rPr>
      </w:pPr>
      <w:r w:rsidRPr="00712785">
        <w:rPr>
          <w:rFonts w:ascii="Arial" w:hAnsi="Arial" w:eastAsia="Arial" w:cs="Arial"/>
          <w:color w:val="000000"/>
          <w:lang w:val="es-DO"/>
        </w:rPr>
        <w:lastRenderedPageBreak/>
        <w:t>3.5</w:t>
      </w:r>
      <w:r w:rsidRPr="00712785">
        <w:rPr>
          <w:rFonts w:ascii="Arial" w:hAnsi="Arial" w:eastAsia="Arial" w:cs="Arial"/>
          <w:color w:val="000000"/>
          <w:lang w:val="es-DO"/>
        </w:rPr>
        <w:tab/>
        <w:t>La División de Medio Ambiente, Desarrollo Rural y Administración de Riesgos por Desastres (CSD/RND) será responsable de la administración, supervisión técnica, coordinación y seguimiento de la CT. Para los temas relacionadas al cambio climático la CT contará con el apoyo de la División de Cambio Climático (CCS/CPE). La CT propuesta también contará con el apoyo de los especialistas en la Representación del Banco en Perú y consultores individuales locales</w:t>
      </w:r>
      <w:r w:rsidR="00157C81">
        <w:rPr>
          <w:rFonts w:ascii="Arial" w:hAnsi="Arial" w:eastAsia="Arial" w:cs="Arial"/>
          <w:lang w:val="es-DO"/>
        </w:rPr>
        <w:t>.</w:t>
      </w:r>
    </w:p>
    <w:p w:rsidRPr="00157C81" w:rsidR="00682309" w:rsidP="00682309" w:rsidRDefault="00682309" w14:paraId="1FC73BE6" w14:textId="77777777">
      <w:pPr>
        <w:pStyle w:val="ListParagraph"/>
        <w:spacing w:before="120" w:after="120" w:line="240" w:lineRule="auto"/>
        <w:ind w:left="360"/>
        <w:contextualSpacing w:val="0"/>
        <w:jc w:val="both"/>
        <w:rPr>
          <w:rFonts w:ascii="Arial" w:hAnsi="Arial" w:cs="Arial"/>
          <w:lang w:val="es-DO"/>
        </w:rPr>
      </w:pPr>
    </w:p>
    <w:p w:rsidR="0095711B" w:rsidP="00EF4AD6" w:rsidRDefault="00501B56" w14:paraId="3BBAB21F" w14:textId="7316F790">
      <w:pPr>
        <w:pStyle w:val="ListParagraph"/>
        <w:numPr>
          <w:ilvl w:val="0"/>
          <w:numId w:val="24"/>
        </w:numPr>
        <w:spacing w:before="120" w:after="120" w:line="240" w:lineRule="auto"/>
        <w:contextualSpacing w:val="0"/>
        <w:rPr>
          <w:rFonts w:ascii="Arial" w:hAnsi="Arial" w:eastAsia="Arial" w:cs="Arial"/>
          <w:b/>
          <w:lang w:val="es-ES"/>
        </w:rPr>
      </w:pPr>
      <w:r>
        <w:rPr>
          <w:rFonts w:ascii="Arial" w:hAnsi="Arial" w:eastAsia="Arial" w:cs="Arial"/>
          <w:b/>
          <w:bCs/>
          <w:lang w:val="es-ES"/>
        </w:rPr>
        <w:t xml:space="preserve">Agencia Ejecutora y estructura de ejecución </w:t>
      </w:r>
    </w:p>
    <w:p w:rsidRPr="00A1730E" w:rsidR="00C0776F" w:rsidP="00EF4AD6" w:rsidRDefault="00C0776F" w14:paraId="35F3A050" w14:textId="120037FB">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A1730E">
        <w:rPr>
          <w:rFonts w:ascii="Arial" w:hAnsi="Arial" w:eastAsia="Arial" w:cs="Arial"/>
          <w:color w:val="000000"/>
          <w:lang w:val="es-ES_tradnl"/>
        </w:rPr>
        <w:t xml:space="preserve">Dada la naturaleza de las múltiples instituciones públicas involucradas y a solicitud del Gobierno, el organismo ejecutor de esta cooperación técnica será el Banco, a través de CSD/RND y RND/CPE. </w:t>
      </w:r>
      <w:r w:rsidRPr="00A1730E">
        <w:rPr>
          <w:rFonts w:ascii="Arial" w:hAnsi="Arial" w:cs="Arial"/>
          <w:lang w:val="es-ES_tradnl"/>
        </w:rPr>
        <w:t xml:space="preserve">En miras a la ejecución de la CT, el Banco basa principalmente la experiencia en área de: el cumplimiento de los requisitos internos retrasaría la ejecución del CT, poniendo en riesgo el logro de sus objetivos (que incluye, entre otros, realización de diagnósticos, organización de talleres, y el desarrollo de instrumentos de planificaciones, relacionadas a las actividades en ambos Componentes 1 y 2). Esta motivación para la ejecución por parte del Banco se alinea con las justificaciones establecidas en el punto d., del Apéndice 10 de las Directrices Operativas para Productos de CT (GN-2629-1). </w:t>
      </w:r>
      <w:r>
        <w:rPr>
          <w:rFonts w:asciiTheme="minorBidi" w:hAnsiTheme="minorBidi"/>
          <w:lang w:val="es-419"/>
        </w:rPr>
        <w:t>L</w:t>
      </w:r>
      <w:r w:rsidRPr="00DE0AF6">
        <w:rPr>
          <w:rFonts w:asciiTheme="minorBidi" w:hAnsiTheme="minorBidi"/>
          <w:lang w:val="es-419"/>
        </w:rPr>
        <w:t xml:space="preserve">a supervisión de la ejecución de esta CT </w:t>
      </w:r>
      <w:r>
        <w:rPr>
          <w:rFonts w:asciiTheme="minorBidi" w:hAnsiTheme="minorBidi"/>
          <w:lang w:val="es-419"/>
        </w:rPr>
        <w:t xml:space="preserve">la realizará RND en </w:t>
      </w:r>
      <w:r w:rsidRPr="00DE0AF6">
        <w:rPr>
          <w:rFonts w:asciiTheme="minorBidi" w:hAnsiTheme="minorBidi"/>
          <w:lang w:val="es-419"/>
        </w:rPr>
        <w:t>la representación del Banco en Perú</w:t>
      </w:r>
      <w:r>
        <w:rPr>
          <w:rFonts w:asciiTheme="minorBidi" w:hAnsiTheme="minorBidi"/>
          <w:lang w:val="es-419"/>
        </w:rPr>
        <w:t xml:space="preserve">. </w:t>
      </w:r>
    </w:p>
    <w:p w:rsidRPr="007F32BE" w:rsidR="00C0776F" w:rsidP="00C0776F" w:rsidRDefault="00C0776F" w14:paraId="29C7FA19" w14:textId="063406C9">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7F32BE">
        <w:rPr>
          <w:rFonts w:ascii="Arial" w:hAnsi="Arial" w:cs="Arial"/>
          <w:lang w:val="es-DO"/>
        </w:rPr>
        <w:t>Se mantendrá una estrecha coordinación entre CSD/RND y SCL/SPH con miras a realizar una integración de dos aspectos de desastres de origen natural y de epidemias/pandemias, así como facilitar una buena coordinación entre el INDECI y MINSA</w:t>
      </w:r>
      <w:r w:rsidRPr="007F32BE">
        <w:rPr>
          <w:rFonts w:ascii="Arial" w:hAnsi="Arial" w:eastAsia="Arial" w:cs="Arial"/>
          <w:color w:val="000000"/>
          <w:lang w:val="es-DO"/>
        </w:rPr>
        <w:t xml:space="preserve">. </w:t>
      </w:r>
    </w:p>
    <w:p w:rsidRPr="0007236D" w:rsidR="00466DC9" w:rsidP="00C0776F" w:rsidRDefault="00C0776F" w14:paraId="77D2551D" w14:textId="2917D2D7">
      <w:pPr>
        <w:pStyle w:val="ListParagraph"/>
        <w:numPr>
          <w:ilvl w:val="1"/>
          <w:numId w:val="26"/>
        </w:numPr>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ES_tradnl"/>
        </w:rPr>
      </w:pPr>
      <w:r w:rsidRPr="0007236D">
        <w:rPr>
          <w:rFonts w:ascii="Arial" w:hAnsi="Arial" w:eastAsia="Arial" w:cs="Arial"/>
          <w:color w:val="000000"/>
          <w:lang w:val="es-DO"/>
        </w:rPr>
        <w:t xml:space="preserve">El INDECI de parte del </w:t>
      </w:r>
      <w:proofErr w:type="spellStart"/>
      <w:r w:rsidRPr="0007236D">
        <w:rPr>
          <w:rFonts w:ascii="Arial" w:hAnsi="Arial" w:eastAsia="Arial" w:cs="Arial"/>
          <w:color w:val="000000"/>
          <w:lang w:val="es-DO"/>
        </w:rPr>
        <w:t>GoPE</w:t>
      </w:r>
      <w:proofErr w:type="spellEnd"/>
      <w:r w:rsidRPr="0007236D">
        <w:rPr>
          <w:rFonts w:ascii="Arial" w:hAnsi="Arial" w:eastAsia="Arial" w:cs="Arial"/>
          <w:color w:val="000000"/>
          <w:lang w:val="es-DO"/>
        </w:rPr>
        <w:t xml:space="preserve"> será la principal contraparte técnica de esta CT, el cual coordinará las actividades con las otras entidades importantes que incluye el IGP, INGEMMET, SENAMHI y el MINSA</w:t>
      </w:r>
      <w:r w:rsidRPr="00033E07">
        <w:rPr>
          <w:rFonts w:ascii="Arial" w:hAnsi="Arial" w:eastAsia="Arial" w:cs="Arial"/>
          <w:color w:val="000000"/>
          <w:lang w:val="es-DO"/>
        </w:rPr>
        <w:t>.</w:t>
      </w:r>
      <w:r>
        <w:rPr>
          <w:rFonts w:ascii="Arial" w:hAnsi="Arial" w:eastAsia="Arial" w:cs="Arial"/>
          <w:color w:val="000000"/>
          <w:lang w:val="es-DO"/>
        </w:rPr>
        <w:t xml:space="preserve"> </w:t>
      </w:r>
      <w:r w:rsidRPr="00614738">
        <w:rPr>
          <w:rFonts w:ascii="Arial" w:hAnsi="Arial" w:eastAsia="Arial" w:cs="Arial"/>
          <w:color w:val="000000"/>
          <w:lang w:val="es-419"/>
        </w:rPr>
        <w:t xml:space="preserve">Dichas entidades firmarán un </w:t>
      </w:r>
      <w:r>
        <w:rPr>
          <w:rFonts w:ascii="Arial" w:hAnsi="Arial" w:eastAsia="Arial" w:cs="Arial"/>
          <w:color w:val="000000"/>
          <w:lang w:val="es-419"/>
        </w:rPr>
        <w:t>acuerdo de cooperación</w:t>
      </w:r>
      <w:r w:rsidRPr="00614738">
        <w:rPr>
          <w:rFonts w:ascii="Arial" w:hAnsi="Arial" w:eastAsia="Arial" w:cs="Arial"/>
          <w:color w:val="000000"/>
          <w:lang w:val="es-419"/>
        </w:rPr>
        <w:t xml:space="preserve">, para establecer un mecanismo formal de coordinación </w:t>
      </w:r>
      <w:r>
        <w:rPr>
          <w:rFonts w:ascii="Arial" w:hAnsi="Arial" w:eastAsia="Arial" w:cs="Arial"/>
          <w:color w:val="000000"/>
          <w:lang w:val="es-419"/>
        </w:rPr>
        <w:t xml:space="preserve">interinstitucional </w:t>
      </w:r>
      <w:r w:rsidRPr="00614738">
        <w:rPr>
          <w:rFonts w:ascii="Arial" w:hAnsi="Arial" w:eastAsia="Arial" w:cs="Arial"/>
          <w:color w:val="000000"/>
          <w:lang w:val="es-419"/>
        </w:rPr>
        <w:t>de esta CT dentro del Gobierno Central</w:t>
      </w:r>
      <w:r w:rsidRPr="00033E07" w:rsidR="00466DC9">
        <w:rPr>
          <w:rFonts w:ascii="Arial" w:hAnsi="Arial" w:eastAsia="Arial" w:cs="Arial"/>
          <w:color w:val="000000"/>
          <w:lang w:val="es-DO"/>
        </w:rPr>
        <w:t xml:space="preserve">. </w:t>
      </w:r>
    </w:p>
    <w:p w:rsidRPr="006D5E14" w:rsidR="00466DC9" w:rsidP="00F32C7F" w:rsidRDefault="00466DC9" w14:paraId="5B18370A" w14:textId="0C2C3DB2">
      <w:pPr>
        <w:pStyle w:val="ListParagraph"/>
        <w:numPr>
          <w:ilvl w:val="1"/>
          <w:numId w:val="26"/>
        </w:numPr>
        <w:pBdr>
          <w:top w:val="nil"/>
          <w:left w:val="nil"/>
          <w:bottom w:val="nil"/>
          <w:right w:val="nil"/>
          <w:between w:val="nil"/>
        </w:pBdr>
        <w:spacing w:before="120" w:after="120" w:line="240" w:lineRule="auto"/>
        <w:ind w:left="360"/>
        <w:jc w:val="both"/>
        <w:rPr>
          <w:rFonts w:ascii="Arial" w:hAnsi="Arial" w:eastAsia="Arial" w:cs="Arial"/>
          <w:color w:val="000000"/>
          <w:lang w:val="es-ES_tradnl"/>
        </w:rPr>
      </w:pPr>
      <w:r w:rsidRPr="00033E07">
        <w:rPr>
          <w:rFonts w:ascii="Arial" w:hAnsi="Arial" w:eastAsia="Arial" w:cs="Arial"/>
          <w:b/>
          <w:color w:val="000000"/>
          <w:lang w:val="es-DO"/>
        </w:rPr>
        <w:t>Adquisiciones</w:t>
      </w:r>
      <w:r w:rsidRPr="00033E07">
        <w:rPr>
          <w:rFonts w:ascii="Arial" w:hAnsi="Arial" w:eastAsia="Arial" w:cs="Arial"/>
          <w:color w:val="000000"/>
          <w:lang w:val="es-DO"/>
        </w:rPr>
        <w:t xml:space="preserve">: </w:t>
      </w:r>
      <w:r w:rsidRPr="00F32C7F" w:rsidR="00E85F49">
        <w:rPr>
          <w:rFonts w:ascii="Arial" w:hAnsi="Arial" w:eastAsia="Arial" w:cs="Arial"/>
          <w:color w:val="000000"/>
          <w:lang w:val="es-DO"/>
        </w:rPr>
        <w:t>El Banco contratará consultores individuales, firmas consultoras y de servicios logísticos y otros servicios que no sean de consultoría. Las actividades que se ejecutarán en virtud de esta CT se incluyen en el Plan de Adquisiciones (Anexo</w:t>
      </w:r>
      <w:r w:rsidR="00E85F49">
        <w:rPr>
          <w:rFonts w:ascii="Arial" w:hAnsi="Arial" w:eastAsia="Arial" w:cs="Arial"/>
          <w:color w:val="000000"/>
          <w:lang w:val="es-DO"/>
        </w:rPr>
        <w:t> </w:t>
      </w:r>
      <w:r w:rsidRPr="00F32C7F" w:rsidR="00E85F49">
        <w:rPr>
          <w:rFonts w:ascii="Arial" w:hAnsi="Arial" w:eastAsia="Arial" w:cs="Arial"/>
          <w:color w:val="000000"/>
          <w:lang w:val="es-DO"/>
        </w:rPr>
        <w:t>I</w:t>
      </w:r>
      <w:r w:rsidR="00E85F49">
        <w:rPr>
          <w:rFonts w:ascii="Arial" w:hAnsi="Arial" w:eastAsia="Arial" w:cs="Arial"/>
          <w:color w:val="000000"/>
          <w:lang w:val="es-DO"/>
        </w:rPr>
        <w:t>V</w:t>
      </w:r>
      <w:r w:rsidRPr="00F32C7F" w:rsidR="00E85F49">
        <w:rPr>
          <w:rFonts w:ascii="Arial" w:hAnsi="Arial" w:eastAsia="Arial" w:cs="Arial"/>
          <w:color w:val="000000"/>
          <w:lang w:val="es-DO"/>
        </w:rPr>
        <w:t>), de conformidad con los métodos de adquisición establecidos por el Banco, estos son: (a) Contratación de consultores individuales, según lo establecido en (a) AM-650 para los consultores individuales; (b) GN-2765-</w:t>
      </w:r>
      <w:r w:rsidR="00E85F49">
        <w:rPr>
          <w:rFonts w:ascii="Arial" w:hAnsi="Arial" w:eastAsia="Arial" w:cs="Arial"/>
          <w:color w:val="000000"/>
          <w:lang w:val="es-DO"/>
        </w:rPr>
        <w:t>4</w:t>
      </w:r>
      <w:r w:rsidRPr="00F32C7F" w:rsidR="00E85F49">
        <w:rPr>
          <w:rFonts w:ascii="Arial" w:hAnsi="Arial" w:eastAsia="Arial" w:cs="Arial"/>
          <w:color w:val="000000"/>
          <w:lang w:val="es-DO"/>
        </w:rPr>
        <w:t xml:space="preserve"> y sus guías operativas asociadas OP</w:t>
      </w:r>
      <w:r w:rsidR="00EF4AD6">
        <w:rPr>
          <w:rFonts w:ascii="Arial" w:hAnsi="Arial" w:eastAsia="Arial" w:cs="Arial"/>
          <w:color w:val="000000"/>
          <w:lang w:val="es-DO"/>
        </w:rPr>
        <w:noBreakHyphen/>
      </w:r>
      <w:r w:rsidRPr="00F32C7F" w:rsidR="00E85F49">
        <w:rPr>
          <w:rFonts w:ascii="Arial" w:hAnsi="Arial" w:eastAsia="Arial" w:cs="Arial"/>
          <w:color w:val="000000"/>
          <w:lang w:val="es-DO"/>
        </w:rPr>
        <w:t>1155-4 para los consultores de las firmas y (c) Contratación de servicios logísticos y otros servicios que no sean consultoría, de acuerdo con la política GN-2303-2</w:t>
      </w:r>
      <w:r w:rsidR="00E85F49">
        <w:rPr>
          <w:rFonts w:ascii="Arial" w:hAnsi="Arial" w:eastAsia="Arial" w:cs="Arial"/>
          <w:color w:val="000000"/>
          <w:lang w:val="es-DO"/>
        </w:rPr>
        <w:t>8</w:t>
      </w:r>
      <w:r w:rsidRPr="00033E07">
        <w:rPr>
          <w:rFonts w:ascii="Arial" w:hAnsi="Arial" w:eastAsia="Arial" w:cs="Arial"/>
          <w:color w:val="000000"/>
          <w:lang w:val="es-DO"/>
        </w:rPr>
        <w:t>.</w:t>
      </w:r>
    </w:p>
    <w:p w:rsidRPr="00F32C7F" w:rsidR="006D5E14" w:rsidP="006D5E14" w:rsidRDefault="006D5E14" w14:paraId="1DB02753" w14:textId="77777777">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ES_tradnl"/>
        </w:rPr>
      </w:pPr>
    </w:p>
    <w:p w:rsidRPr="00501B56" w:rsidR="0095711B" w:rsidP="008A2855" w:rsidRDefault="00501B56" w14:paraId="3BBAB22C" w14:textId="7EF4AA54">
      <w:pPr>
        <w:pStyle w:val="ListParagraph"/>
        <w:numPr>
          <w:ilvl w:val="0"/>
          <w:numId w:val="24"/>
        </w:numPr>
        <w:spacing w:before="120" w:after="120" w:line="240" w:lineRule="auto"/>
        <w:contextualSpacing w:val="0"/>
        <w:rPr>
          <w:rFonts w:ascii="Arial" w:hAnsi="Arial" w:eastAsia="Arial" w:cs="Arial"/>
          <w:b/>
          <w:lang w:val="es-ES"/>
        </w:rPr>
      </w:pPr>
      <w:r>
        <w:rPr>
          <w:rFonts w:ascii="Arial" w:hAnsi="Arial" w:eastAsia="Arial" w:cs="Arial"/>
          <w:b/>
          <w:bCs/>
          <w:lang w:val="es-ES"/>
        </w:rPr>
        <w:t xml:space="preserve">Riesgos importantes </w:t>
      </w:r>
    </w:p>
    <w:p w:rsidRPr="006D5E14" w:rsidR="00DA789D" w:rsidP="00DA789D" w:rsidRDefault="00DA789D" w14:paraId="02CECA5A" w14:textId="77777777">
      <w:pPr>
        <w:pStyle w:val="ListParagraph"/>
        <w:numPr>
          <w:ilvl w:val="1"/>
          <w:numId w:val="27"/>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sidRPr="006D5E14">
        <w:rPr>
          <w:rFonts w:ascii="Arial" w:hAnsi="Arial" w:eastAsia="Arial" w:cs="Arial"/>
          <w:color w:val="000000"/>
          <w:lang w:val="es-DO"/>
        </w:rPr>
        <w:t xml:space="preserve">El estado actual de salud debido al COVID-19 afectaría algunas actividades de esta </w:t>
      </w:r>
      <w:proofErr w:type="gramStart"/>
      <w:r w:rsidRPr="006D5E14">
        <w:rPr>
          <w:rFonts w:ascii="Arial" w:hAnsi="Arial" w:eastAsia="Arial" w:cs="Arial"/>
          <w:color w:val="000000"/>
          <w:lang w:val="es-DO"/>
        </w:rPr>
        <w:t>CT</w:t>
      </w:r>
      <w:proofErr w:type="gramEnd"/>
      <w:r w:rsidRPr="006D5E14">
        <w:rPr>
          <w:rFonts w:ascii="Arial" w:hAnsi="Arial" w:eastAsia="Arial" w:cs="Arial"/>
          <w:color w:val="000000"/>
          <w:lang w:val="es-DO"/>
        </w:rPr>
        <w:t xml:space="preserve"> por ejemplo, organización de talleres y reuniones. Este riesgo se mitigará organizando las reuniones y talleres de forma virtual a través de MS-</w:t>
      </w:r>
      <w:proofErr w:type="spellStart"/>
      <w:r w:rsidRPr="006D5E14">
        <w:rPr>
          <w:rFonts w:ascii="Arial" w:hAnsi="Arial" w:eastAsia="Arial" w:cs="Arial"/>
          <w:color w:val="000000"/>
          <w:lang w:val="es-DO"/>
        </w:rPr>
        <w:t>Teams</w:t>
      </w:r>
      <w:proofErr w:type="spellEnd"/>
      <w:r w:rsidRPr="006D5E14">
        <w:rPr>
          <w:rFonts w:ascii="Arial" w:hAnsi="Arial" w:eastAsia="Arial" w:cs="Arial"/>
          <w:color w:val="000000"/>
          <w:lang w:val="es-DO"/>
        </w:rPr>
        <w:t xml:space="preserve"> o </w:t>
      </w:r>
      <w:proofErr w:type="gramStart"/>
      <w:r w:rsidRPr="006D5E14">
        <w:rPr>
          <w:rFonts w:ascii="Arial" w:hAnsi="Arial" w:eastAsia="Arial" w:cs="Arial"/>
          <w:color w:val="000000"/>
          <w:lang w:val="es-DO"/>
        </w:rPr>
        <w:t>Zoom</w:t>
      </w:r>
      <w:proofErr w:type="gramEnd"/>
      <w:r w:rsidRPr="006D5E14">
        <w:rPr>
          <w:rFonts w:ascii="Arial" w:hAnsi="Arial" w:eastAsia="Arial" w:cs="Arial"/>
          <w:color w:val="000000"/>
          <w:lang w:val="es-DO"/>
        </w:rPr>
        <w:t xml:space="preserve"> durante el problema bajo el COVID-19.</w:t>
      </w:r>
    </w:p>
    <w:p w:rsidRPr="006D5E14" w:rsidR="00033E07" w:rsidP="00DA789D" w:rsidRDefault="00DA789D" w14:paraId="2CAAAAB9" w14:textId="5235916C">
      <w:pPr>
        <w:pStyle w:val="ListParagraph"/>
        <w:numPr>
          <w:ilvl w:val="1"/>
          <w:numId w:val="27"/>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sidRPr="006D5E14">
        <w:rPr>
          <w:rFonts w:ascii="Arial" w:hAnsi="Arial" w:eastAsia="Arial" w:cs="Arial"/>
          <w:color w:val="000000"/>
          <w:lang w:val="es-DO"/>
        </w:rPr>
        <w:t>La coordinación interinstitucional (</w:t>
      </w:r>
      <w:r w:rsidRPr="008B4B1A">
        <w:rPr>
          <w:rFonts w:ascii="Arial" w:hAnsi="Arial" w:cs="Arial"/>
          <w:color w:val="000000" w:themeColor="text1"/>
          <w:lang w:val="es-DO"/>
        </w:rPr>
        <w:t>¶</w:t>
      </w:r>
      <w:r>
        <w:rPr>
          <w:rFonts w:ascii="Arial" w:hAnsi="Arial" w:cs="Arial"/>
          <w:color w:val="000000" w:themeColor="text1"/>
          <w:lang w:val="es-DO"/>
        </w:rPr>
        <w:t>4.3</w:t>
      </w:r>
      <w:r w:rsidRPr="006D5E14">
        <w:rPr>
          <w:rFonts w:ascii="Arial" w:hAnsi="Arial" w:eastAsia="Arial" w:cs="Arial"/>
          <w:color w:val="000000"/>
          <w:lang w:val="es-DO"/>
        </w:rPr>
        <w:t>) es un factor importante y clave para lograr</w:t>
      </w:r>
      <w:r>
        <w:rPr>
          <w:rFonts w:ascii="Arial" w:hAnsi="Arial" w:eastAsia="Arial" w:cs="Arial"/>
          <w:color w:val="000000"/>
          <w:lang w:val="es-DO"/>
        </w:rPr>
        <w:t xml:space="preserve"> un</w:t>
      </w:r>
      <w:r w:rsidRPr="006D5E14">
        <w:rPr>
          <w:rFonts w:ascii="Arial" w:hAnsi="Arial" w:eastAsia="Arial" w:cs="Arial"/>
          <w:color w:val="000000"/>
          <w:lang w:val="es-DO"/>
        </w:rPr>
        <w:t xml:space="preserve"> impacto positivo y sostenible de esta CT. Al mismo tiempo, este factor puede presentar un riesgo potencial </w:t>
      </w:r>
      <w:r>
        <w:rPr>
          <w:rFonts w:ascii="Arial" w:hAnsi="Arial" w:eastAsia="Arial" w:cs="Arial"/>
          <w:color w:val="000000"/>
          <w:lang w:val="es-DO"/>
        </w:rPr>
        <w:t>que puede</w:t>
      </w:r>
      <w:r w:rsidRPr="006D5E14">
        <w:rPr>
          <w:rFonts w:ascii="Arial" w:hAnsi="Arial" w:eastAsia="Arial" w:cs="Arial"/>
          <w:color w:val="000000"/>
          <w:lang w:val="es-DO"/>
        </w:rPr>
        <w:t xml:space="preserve"> generar descoordinación entre entidades públicas, así como </w:t>
      </w:r>
      <w:r>
        <w:rPr>
          <w:rFonts w:ascii="Arial" w:hAnsi="Arial" w:eastAsia="Arial" w:cs="Arial"/>
          <w:color w:val="000000"/>
          <w:lang w:val="es-DO"/>
        </w:rPr>
        <w:t xml:space="preserve">también </w:t>
      </w:r>
      <w:r w:rsidRPr="006D5E14">
        <w:rPr>
          <w:rFonts w:ascii="Arial" w:hAnsi="Arial" w:eastAsia="Arial" w:cs="Arial"/>
          <w:color w:val="000000"/>
          <w:lang w:val="es-DO"/>
        </w:rPr>
        <w:t xml:space="preserve">podría generar una demora en su ejecución. Este riesgo se mitigará siendo el Banco el organismo ejecutor, </w:t>
      </w:r>
      <w:r>
        <w:rPr>
          <w:rFonts w:ascii="Arial" w:hAnsi="Arial" w:eastAsia="Arial" w:cs="Arial"/>
          <w:color w:val="000000"/>
          <w:lang w:val="es-DO"/>
        </w:rPr>
        <w:t xml:space="preserve">así como CSD/RND liderando la </w:t>
      </w:r>
      <w:r>
        <w:rPr>
          <w:rFonts w:ascii="Arial" w:hAnsi="Arial" w:eastAsia="Arial" w:cs="Arial"/>
          <w:color w:val="000000"/>
          <w:lang w:val="es-DO"/>
        </w:rPr>
        <w:lastRenderedPageBreak/>
        <w:t xml:space="preserve">coordinación interna del Banco, y manteniendo </w:t>
      </w:r>
      <w:r w:rsidRPr="006D5E14">
        <w:rPr>
          <w:rFonts w:ascii="Arial" w:hAnsi="Arial" w:eastAsia="Arial" w:cs="Arial"/>
          <w:color w:val="000000"/>
          <w:lang w:val="es-DO"/>
        </w:rPr>
        <w:t>una estrecha coordinación</w:t>
      </w:r>
      <w:r>
        <w:rPr>
          <w:rFonts w:ascii="Arial" w:hAnsi="Arial" w:eastAsia="Arial" w:cs="Arial"/>
          <w:color w:val="000000"/>
          <w:lang w:val="es-DO"/>
        </w:rPr>
        <w:t xml:space="preserve"> con </w:t>
      </w:r>
      <w:r w:rsidRPr="006D5E14">
        <w:rPr>
          <w:rFonts w:ascii="Arial" w:hAnsi="Arial" w:cs="Arial"/>
          <w:lang w:val="es-DO"/>
        </w:rPr>
        <w:t>SCL/SPH</w:t>
      </w:r>
      <w:r>
        <w:rPr>
          <w:rFonts w:ascii="Arial" w:hAnsi="Arial" w:cs="Arial"/>
          <w:lang w:val="es-DO"/>
        </w:rPr>
        <w:t xml:space="preserve"> </w:t>
      </w:r>
      <w:r>
        <w:rPr>
          <w:rFonts w:ascii="Arial" w:hAnsi="Arial" w:eastAsia="Arial" w:cs="Arial"/>
          <w:color w:val="000000"/>
          <w:lang w:val="es-DO"/>
        </w:rPr>
        <w:t>a través de reuniones periódicas</w:t>
      </w:r>
      <w:r w:rsidRPr="006D5E14" w:rsidR="00033E07">
        <w:rPr>
          <w:rFonts w:ascii="Arial" w:hAnsi="Arial" w:cs="Arial"/>
          <w:lang w:val="es-DO"/>
        </w:rPr>
        <w:t>.</w:t>
      </w:r>
    </w:p>
    <w:p w:rsidRPr="006D5E14" w:rsidR="006D5E14" w:rsidP="008A2855" w:rsidRDefault="006D5E14" w14:paraId="2746691B" w14:textId="77777777">
      <w:pPr>
        <w:pStyle w:val="ListParagraph"/>
        <w:pBdr>
          <w:top w:val="nil"/>
          <w:left w:val="nil"/>
          <w:bottom w:val="nil"/>
          <w:right w:val="nil"/>
          <w:between w:val="nil"/>
        </w:pBdr>
        <w:spacing w:before="120" w:after="120" w:line="240" w:lineRule="auto"/>
        <w:ind w:left="360"/>
        <w:contextualSpacing w:val="0"/>
        <w:jc w:val="both"/>
        <w:rPr>
          <w:rFonts w:ascii="Arial" w:hAnsi="Arial" w:eastAsia="Arial" w:cs="Arial"/>
          <w:color w:val="000000"/>
          <w:lang w:val="es-DO"/>
        </w:rPr>
      </w:pPr>
    </w:p>
    <w:p w:rsidRPr="006D5E14" w:rsidR="00F72899" w:rsidP="008A2855" w:rsidRDefault="00501B56" w14:paraId="3BBAB22F" w14:textId="3E74737B">
      <w:pPr>
        <w:pStyle w:val="ListParagraph"/>
        <w:numPr>
          <w:ilvl w:val="0"/>
          <w:numId w:val="24"/>
        </w:numPr>
        <w:spacing w:before="120" w:after="120" w:line="240" w:lineRule="auto"/>
        <w:contextualSpacing w:val="0"/>
        <w:rPr>
          <w:rFonts w:ascii="Arial" w:hAnsi="Arial" w:eastAsia="Arial" w:cs="Arial"/>
          <w:b/>
          <w:lang w:val="es-ES"/>
        </w:rPr>
      </w:pPr>
      <w:r w:rsidRPr="00A31281">
        <w:rPr>
          <w:rFonts w:ascii="Arial" w:hAnsi="Arial" w:eastAsia="Arial" w:cs="Arial"/>
          <w:b/>
          <w:bCs/>
          <w:lang w:val="es-ES_tradnl"/>
        </w:rPr>
        <w:t xml:space="preserve">Excepciones a las políticas del Banco </w:t>
      </w:r>
    </w:p>
    <w:p w:rsidR="00B11D53" w:rsidP="008A2855" w:rsidRDefault="00B11D53" w14:paraId="7947F509" w14:textId="04CD18B9">
      <w:pPr>
        <w:pStyle w:val="ListParagraph"/>
        <w:numPr>
          <w:ilvl w:val="1"/>
          <w:numId w:val="28"/>
        </w:numPr>
        <w:pBdr>
          <w:top w:val="nil"/>
          <w:left w:val="nil"/>
          <w:bottom w:val="nil"/>
          <w:right w:val="nil"/>
          <w:between w:val="nil"/>
        </w:pBdr>
        <w:spacing w:before="120" w:after="120" w:line="240" w:lineRule="auto"/>
        <w:contextualSpacing w:val="0"/>
        <w:jc w:val="both"/>
        <w:rPr>
          <w:rFonts w:ascii="Arial" w:hAnsi="Arial" w:eastAsia="Arial" w:cs="Arial"/>
          <w:color w:val="000000"/>
        </w:rPr>
      </w:pPr>
      <w:proofErr w:type="spellStart"/>
      <w:r w:rsidRPr="006D5E14">
        <w:rPr>
          <w:rFonts w:ascii="Arial" w:hAnsi="Arial" w:eastAsia="Arial" w:cs="Arial"/>
          <w:color w:val="000000"/>
        </w:rPr>
        <w:t>Ninguna</w:t>
      </w:r>
      <w:proofErr w:type="spellEnd"/>
      <w:r w:rsidRPr="006D5E14">
        <w:rPr>
          <w:rFonts w:ascii="Arial" w:hAnsi="Arial" w:eastAsia="Arial" w:cs="Arial"/>
          <w:color w:val="000000"/>
        </w:rPr>
        <w:t xml:space="preserve">. </w:t>
      </w:r>
    </w:p>
    <w:p w:rsidRPr="006D5E14" w:rsidR="008A2855" w:rsidP="008A2855" w:rsidRDefault="008A2855" w14:paraId="4B3A19F8" w14:textId="77777777">
      <w:pPr>
        <w:pStyle w:val="ListParagraph"/>
        <w:pBdr>
          <w:top w:val="nil"/>
          <w:left w:val="nil"/>
          <w:bottom w:val="nil"/>
          <w:right w:val="nil"/>
          <w:between w:val="nil"/>
        </w:pBdr>
        <w:spacing w:before="120" w:after="120" w:line="240" w:lineRule="auto"/>
        <w:ind w:left="360"/>
        <w:contextualSpacing w:val="0"/>
        <w:jc w:val="both"/>
        <w:rPr>
          <w:rFonts w:ascii="Arial" w:hAnsi="Arial" w:eastAsia="Arial" w:cs="Arial"/>
          <w:color w:val="000000"/>
        </w:rPr>
      </w:pPr>
    </w:p>
    <w:p w:rsidR="00501B56" w:rsidP="008A2855" w:rsidRDefault="00501B56" w14:paraId="64465122" w14:textId="78A36F39">
      <w:pPr>
        <w:pStyle w:val="ListParagraph"/>
        <w:numPr>
          <w:ilvl w:val="0"/>
          <w:numId w:val="24"/>
        </w:numPr>
        <w:spacing w:before="120" w:after="120" w:line="240" w:lineRule="auto"/>
        <w:contextualSpacing w:val="0"/>
        <w:rPr>
          <w:rFonts w:ascii="Arial" w:hAnsi="Arial" w:eastAsia="Arial" w:cs="Arial"/>
          <w:b/>
          <w:bCs/>
          <w:lang w:val="es-ES"/>
        </w:rPr>
      </w:pPr>
      <w:r>
        <w:rPr>
          <w:rFonts w:ascii="Arial" w:hAnsi="Arial" w:eastAsia="Arial" w:cs="Arial"/>
          <w:b/>
          <w:bCs/>
          <w:lang w:val="es-ES"/>
        </w:rPr>
        <w:t xml:space="preserve">Salvaguardias Ambientales </w:t>
      </w:r>
    </w:p>
    <w:p w:rsidR="00FF1D29" w:rsidP="008A2855" w:rsidRDefault="001A3032" w14:paraId="035ECE15" w14:textId="2FEE4BC7">
      <w:pPr>
        <w:pStyle w:val="ListParagraph"/>
        <w:numPr>
          <w:ilvl w:val="1"/>
          <w:numId w:val="29"/>
        </w:numPr>
        <w:pBdr>
          <w:top w:val="nil"/>
          <w:left w:val="nil"/>
          <w:bottom w:val="nil"/>
          <w:right w:val="nil"/>
          <w:between w:val="nil"/>
        </w:pBdr>
        <w:spacing w:before="120" w:after="120" w:line="240" w:lineRule="auto"/>
        <w:contextualSpacing w:val="0"/>
        <w:jc w:val="both"/>
        <w:rPr>
          <w:rFonts w:ascii="Arial" w:hAnsi="Arial" w:eastAsia="Arial" w:cs="Arial"/>
          <w:color w:val="000000"/>
          <w:lang w:val="es-DO"/>
        </w:rPr>
      </w:pPr>
      <w:r>
        <w:rPr>
          <w:rFonts w:ascii="Arial" w:hAnsi="Arial" w:eastAsia="Arial" w:cs="Arial"/>
          <w:color w:val="000000" w:themeColor="text1"/>
          <w:lang w:val="es-DO"/>
        </w:rPr>
        <w:t>No se anticipan</w:t>
      </w:r>
      <w:r w:rsidRPr="1F7CFF4E">
        <w:rPr>
          <w:rFonts w:ascii="Arial" w:hAnsi="Arial" w:eastAsia="Arial" w:cs="Arial"/>
          <w:color w:val="000000" w:themeColor="text1"/>
          <w:lang w:val="es-DO"/>
        </w:rPr>
        <w:t xml:space="preserve"> impacto</w:t>
      </w:r>
      <w:r>
        <w:rPr>
          <w:rFonts w:ascii="Arial" w:hAnsi="Arial" w:eastAsia="Arial" w:cs="Arial"/>
          <w:color w:val="000000" w:themeColor="text1"/>
          <w:lang w:val="es-DO"/>
        </w:rPr>
        <w:t>s</w:t>
      </w:r>
      <w:r w:rsidRPr="1F7CFF4E">
        <w:rPr>
          <w:rFonts w:ascii="Arial" w:hAnsi="Arial" w:eastAsia="Arial" w:cs="Arial"/>
          <w:color w:val="000000" w:themeColor="text1"/>
          <w:lang w:val="es-DO"/>
        </w:rPr>
        <w:t xml:space="preserve"> medioambiental</w:t>
      </w:r>
      <w:r>
        <w:rPr>
          <w:rFonts w:ascii="Arial" w:hAnsi="Arial" w:eastAsia="Arial" w:cs="Arial"/>
          <w:color w:val="000000" w:themeColor="text1"/>
          <w:lang w:val="es-DO"/>
        </w:rPr>
        <w:t>es</w:t>
      </w:r>
      <w:r w:rsidRPr="1F7CFF4E">
        <w:rPr>
          <w:rFonts w:ascii="Arial" w:hAnsi="Arial" w:eastAsia="Arial" w:cs="Arial"/>
          <w:color w:val="000000" w:themeColor="text1"/>
          <w:lang w:val="es-DO"/>
        </w:rPr>
        <w:t xml:space="preserve"> negativo</w:t>
      </w:r>
      <w:r>
        <w:rPr>
          <w:rFonts w:ascii="Arial" w:hAnsi="Arial" w:eastAsia="Arial" w:cs="Arial"/>
          <w:color w:val="000000" w:themeColor="text1"/>
          <w:lang w:val="es-DO"/>
        </w:rPr>
        <w:t>s</w:t>
      </w:r>
      <w:r w:rsidRPr="1F7CFF4E">
        <w:rPr>
          <w:rFonts w:ascii="Arial" w:hAnsi="Arial" w:eastAsia="Arial" w:cs="Arial"/>
          <w:color w:val="000000" w:themeColor="text1"/>
          <w:lang w:val="es-DO"/>
        </w:rPr>
        <w:t xml:space="preserve"> para esta Cooperación Técnica. Basado en el Informe de Filtro de Política de Salvaguardia, el proyecto no requiere una clasificación o acciones ambientales o sociales adicionales. De acuerdo con la Política Medio Ambiente y Cumplimiento de Salvaguardias (OP-703), esta CT se clasifica como</w:t>
      </w:r>
      <w:r>
        <w:rPr>
          <w:rFonts w:ascii="Arial" w:hAnsi="Arial" w:eastAsia="Arial" w:cs="Arial"/>
          <w:color w:val="000000" w:themeColor="text1"/>
          <w:lang w:val="es-DO"/>
        </w:rPr>
        <w:t xml:space="preserve"> </w:t>
      </w:r>
      <w:hyperlink r:id="rId14">
        <w:r w:rsidRPr="1F7CFF4E" w:rsidR="6CBEE294">
          <w:rPr>
            <w:rStyle w:val="Hyperlink"/>
            <w:rFonts w:ascii="Arial" w:hAnsi="Arial" w:eastAsia="Arial" w:cs="Arial"/>
            <w:lang w:val="es-DO"/>
          </w:rPr>
          <w:t>C</w:t>
        </w:r>
        <w:r w:rsidRPr="1F7CFF4E" w:rsidR="00FF1D29">
          <w:rPr>
            <w:rStyle w:val="Hyperlink"/>
            <w:rFonts w:ascii="Arial" w:hAnsi="Arial" w:eastAsia="Arial" w:cs="Arial"/>
            <w:lang w:val="es-DO"/>
          </w:rPr>
          <w:t>ategoría “C”</w:t>
        </w:r>
      </w:hyperlink>
      <w:r w:rsidRPr="1F7CFF4E" w:rsidR="00FF1D29">
        <w:rPr>
          <w:rFonts w:ascii="Arial" w:hAnsi="Arial" w:eastAsia="Arial" w:cs="Arial"/>
          <w:color w:val="000000" w:themeColor="text1"/>
          <w:lang w:val="es-DO"/>
        </w:rPr>
        <w:t>.</w:t>
      </w:r>
    </w:p>
    <w:p w:rsidR="006D5E14" w:rsidP="006D5E14" w:rsidRDefault="006D5E14" w14:paraId="3DAAE430" w14:textId="7789B26C">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008A2855" w:rsidP="006D5E14" w:rsidRDefault="008A2855" w14:paraId="788EBE9C" w14:textId="17335DBC">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Pr="006D5E14" w:rsidR="008A2855" w:rsidP="006D5E14" w:rsidRDefault="008A2855" w14:paraId="289FC0E7" w14:textId="77777777">
      <w:pPr>
        <w:pStyle w:val="ListParagraph"/>
        <w:pBdr>
          <w:top w:val="nil"/>
          <w:left w:val="nil"/>
          <w:bottom w:val="nil"/>
          <w:right w:val="nil"/>
          <w:between w:val="nil"/>
        </w:pBdr>
        <w:spacing w:before="120" w:after="120" w:line="240" w:lineRule="auto"/>
        <w:ind w:left="360"/>
        <w:jc w:val="both"/>
        <w:rPr>
          <w:rFonts w:ascii="Arial" w:hAnsi="Arial" w:eastAsia="Arial" w:cs="Arial"/>
          <w:color w:val="000000"/>
          <w:lang w:val="es-DO"/>
        </w:rPr>
      </w:pPr>
    </w:p>
    <w:p w:rsidRPr="00501B56" w:rsidR="00501B56" w:rsidP="00501B56" w:rsidRDefault="00501B56" w14:paraId="14ECC516" w14:textId="6714A570">
      <w:pPr>
        <w:pBdr>
          <w:top w:val="nil"/>
          <w:left w:val="nil"/>
          <w:bottom w:val="nil"/>
          <w:right w:val="nil"/>
          <w:between w:val="nil"/>
        </w:pBdr>
        <w:spacing w:before="120" w:after="120" w:line="240" w:lineRule="auto"/>
        <w:jc w:val="both"/>
        <w:rPr>
          <w:rFonts w:ascii="Arial" w:hAnsi="Arial" w:eastAsia="Arial" w:cs="Arial"/>
          <w:color w:val="000000"/>
          <w:lang w:val="es-DO"/>
        </w:rPr>
      </w:pPr>
      <w:r w:rsidRPr="00501B56">
        <w:rPr>
          <w:rFonts w:ascii="Arial" w:hAnsi="Arial" w:eastAsia="Arial" w:cs="Arial"/>
          <w:b/>
          <w:bCs/>
          <w:lang w:val="es-ES"/>
        </w:rPr>
        <w:t>Anexos Requeridos:</w:t>
      </w:r>
    </w:p>
    <w:sdt>
      <w:sdtPr>
        <w:alias w:val="ANNEXES"/>
        <w:tag w:val="ANNEXES"/>
        <w:id w:val="918745576"/>
        <w:lock w:val="sdtLocked"/>
        <w:placeholder>
          <w:docPart w:val="0AC49DD15B2741D8B2EA253398D185D5"/>
        </w:placeholder>
      </w:sdtPr>
      <w:sdtEndPr/>
      <w:sdtContent>
        <w:p w:rsidR="00501B56" w:rsidP="0040720A" w:rsidRDefault="00421F9E" w14:paraId="34517455" w14:textId="294B3B05">
          <w:pPr>
            <w:pStyle w:val="ListParagraph"/>
            <w:numPr>
              <w:ilvl w:val="0"/>
              <w:numId w:val="25"/>
            </w:numPr>
            <w:spacing w:line="240" w:lineRule="auto"/>
            <w:jc w:val="both"/>
            <w:rPr>
              <w:lang w:val="es-ES"/>
            </w:rPr>
          </w:pPr>
          <w:hyperlink r:id="rId15">
            <w:r w:rsidRPr="020E3C3C" w:rsidR="0040720A">
              <w:rPr>
                <w:rStyle w:val="Hyperlink"/>
                <w:rFonts w:ascii="Arial" w:hAnsi="Arial" w:eastAsia="Arial" w:cs="Arial"/>
                <w:lang w:val="es-ES"/>
              </w:rPr>
              <w:t>Solicitud del cliente</w:t>
            </w:r>
          </w:hyperlink>
        </w:p>
        <w:p w:rsidR="00501B56" w:rsidP="020E3C3C" w:rsidRDefault="00421F9E" w14:paraId="33E8BB52" w14:textId="2C094EAA">
          <w:pPr>
            <w:pStyle w:val="ListParagraph"/>
            <w:numPr>
              <w:ilvl w:val="0"/>
              <w:numId w:val="25"/>
            </w:numPr>
            <w:spacing w:before="120" w:after="120"/>
            <w:jc w:val="both"/>
            <w:rPr>
              <w:lang w:val="pt-BR"/>
            </w:rPr>
          </w:pPr>
          <w:hyperlink r:id="rId16">
            <w:r w:rsidRPr="020E3C3C" w:rsidR="00501B56">
              <w:rPr>
                <w:rStyle w:val="Hyperlink"/>
                <w:rFonts w:ascii="Arial" w:hAnsi="Arial" w:eastAsia="Arial" w:cs="Arial"/>
                <w:lang w:val="pt-BR"/>
              </w:rPr>
              <w:t>Matriz de Resultados</w:t>
            </w:r>
          </w:hyperlink>
        </w:p>
        <w:p w:rsidRPr="0040720A" w:rsidR="0040720A" w:rsidP="00281101" w:rsidRDefault="00421F9E" w14:paraId="0DCF386A" w14:textId="1A2B2A32">
          <w:pPr>
            <w:pStyle w:val="ListParagraph"/>
            <w:numPr>
              <w:ilvl w:val="0"/>
              <w:numId w:val="25"/>
            </w:numPr>
            <w:spacing w:before="120" w:after="0" w:line="240" w:lineRule="auto"/>
            <w:jc w:val="both"/>
          </w:pPr>
          <w:hyperlink r:id="rId17">
            <w:r w:rsidRPr="020E3C3C" w:rsidR="00501B56">
              <w:rPr>
                <w:rStyle w:val="Hyperlink"/>
                <w:rFonts w:ascii="Arial" w:hAnsi="Arial" w:eastAsia="Arial" w:cs="Arial"/>
                <w:lang w:val="es-ES"/>
              </w:rPr>
              <w:t>Términos de Referencia</w:t>
            </w:r>
          </w:hyperlink>
          <w:r w:rsidRPr="020E3C3C" w:rsidR="00501B56">
            <w:rPr>
              <w:rFonts w:ascii="Arial" w:hAnsi="Arial" w:eastAsia="Arial" w:cs="Arial"/>
              <w:lang w:val="es-ES"/>
            </w:rPr>
            <w:t xml:space="preserve"> </w:t>
          </w:r>
        </w:p>
        <w:p w:rsidRPr="004D3346" w:rsidR="00466C7E" w:rsidP="00281101" w:rsidRDefault="00421F9E" w14:paraId="3BBAB236" w14:textId="1DCA8014">
          <w:pPr>
            <w:pStyle w:val="ListParagraph"/>
            <w:numPr>
              <w:ilvl w:val="0"/>
              <w:numId w:val="25"/>
            </w:numPr>
            <w:spacing w:before="120" w:after="0" w:line="240" w:lineRule="auto"/>
            <w:jc w:val="both"/>
          </w:pPr>
          <w:hyperlink r:id="rId18">
            <w:r w:rsidRPr="020E3C3C" w:rsidR="00501B56">
              <w:rPr>
                <w:rStyle w:val="Hyperlink"/>
                <w:rFonts w:ascii="Arial" w:hAnsi="Arial" w:eastAsia="Arial" w:cs="Arial"/>
                <w:lang w:val="es-ES"/>
              </w:rPr>
              <w:t>Plan de Adquisiciones</w:t>
            </w:r>
          </w:hyperlink>
        </w:p>
      </w:sdtContent>
    </w:sdt>
    <w:p w:rsidR="00472C12" w:rsidP="54260729" w:rsidRDefault="00472C12" w14:paraId="3BBAB237" w14:textId="5BEA3590">
      <w:pPr>
        <w:spacing w:before="120" w:after="120" w:line="240" w:lineRule="auto"/>
        <w:jc w:val="both"/>
        <w:rPr>
          <w:rFonts w:ascii="Arial" w:hAnsi="Arial" w:cs="Arial"/>
        </w:rPr>
      </w:pPr>
    </w:p>
    <w:sectPr w:rsidR="00472C12" w:rsidSect="00855325">
      <w:headerReference w:type="default" r:id="rId19"/>
      <w:footerReference w:type="default" r:id="rId2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3903" w:rsidP="0095711B" w:rsidRDefault="00F13903" w14:paraId="7DBF8F24" w14:textId="77777777">
      <w:pPr>
        <w:spacing w:after="0" w:line="240" w:lineRule="auto"/>
      </w:pPr>
      <w:r>
        <w:separator/>
      </w:r>
    </w:p>
  </w:endnote>
  <w:endnote w:type="continuationSeparator" w:id="0">
    <w:p w:rsidR="00F13903" w:rsidP="0095711B" w:rsidRDefault="00F13903" w14:paraId="03AD801E" w14:textId="77777777">
      <w:pPr>
        <w:spacing w:after="0" w:line="240" w:lineRule="auto"/>
      </w:pPr>
      <w:r>
        <w:continuationSeparator/>
      </w:r>
    </w:p>
  </w:endnote>
  <w:endnote w:type="continuationNotice" w:id="1">
    <w:p w:rsidR="00F13903" w:rsidRDefault="00F13903" w14:paraId="799C71B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3903" w:rsidP="0095711B" w:rsidRDefault="00F13903" w14:paraId="3D7C81C4" w14:textId="77777777">
      <w:pPr>
        <w:spacing w:after="0" w:line="240" w:lineRule="auto"/>
      </w:pPr>
      <w:r>
        <w:separator/>
      </w:r>
    </w:p>
  </w:footnote>
  <w:footnote w:type="continuationSeparator" w:id="0">
    <w:p w:rsidR="00F13903" w:rsidP="0095711B" w:rsidRDefault="00F13903" w14:paraId="2B80DC35" w14:textId="77777777">
      <w:pPr>
        <w:spacing w:after="0" w:line="240" w:lineRule="auto"/>
      </w:pPr>
      <w:r>
        <w:continuationSeparator/>
      </w:r>
    </w:p>
  </w:footnote>
  <w:footnote w:type="continuationNotice" w:id="1">
    <w:p w:rsidR="00F13903" w:rsidRDefault="00F13903" w14:paraId="7658E563" w14:textId="77777777">
      <w:pPr>
        <w:spacing w:after="0" w:line="240" w:lineRule="auto"/>
      </w:pPr>
    </w:p>
  </w:footnote>
  <w:footnote w:id="2">
    <w:p w:rsidRPr="0003469B" w:rsidR="002A2C57" w:rsidP="00CE4D1F" w:rsidRDefault="002A2C57" w14:paraId="6FA357E9" w14:textId="36B99915">
      <w:pPr>
        <w:pStyle w:val="FootnoteText"/>
        <w:ind w:left="432" w:hanging="432"/>
        <w:jc w:val="both"/>
        <w:rPr>
          <w:rFonts w:ascii="Arial" w:hAnsi="Arial" w:cs="Arial"/>
        </w:rPr>
      </w:pPr>
      <w:r>
        <w:rPr>
          <w:rStyle w:val="FootnoteReference"/>
        </w:rPr>
        <w:footnoteRef/>
      </w:r>
      <w:r>
        <w:t xml:space="preserve"> </w:t>
      </w:r>
      <w:r>
        <w:tab/>
      </w:r>
      <w:r w:rsidRPr="0003469B">
        <w:rPr>
          <w:rFonts w:ascii="Arial" w:hAnsi="Arial" w:cs="Arial"/>
        </w:rPr>
        <w:t>El “desempeño” que se refiere en esta CT es una habilidad u operatividad efectiva en proteger la vida y actividades socioeconómica de la ciudadanía peruana frente a eventos de desastres a través de la RNAT. (Ver nota de pie #4 respecto a la definición específica del “SAT Nacional” en esta CT)</w:t>
      </w:r>
    </w:p>
  </w:footnote>
  <w:footnote w:id="3">
    <w:p w:rsidRPr="00103A72" w:rsidR="000F7BCC" w:rsidP="000F7BCC" w:rsidRDefault="000F7BCC" w14:paraId="424CC29E" w14:textId="6456D165">
      <w:pPr>
        <w:pStyle w:val="FootnoteText"/>
        <w:spacing w:after="60"/>
        <w:ind w:left="274" w:hanging="274"/>
        <w:jc w:val="both"/>
        <w:rPr>
          <w:rFonts w:ascii="Arial" w:hAnsi="Arial" w:cs="Arial"/>
          <w:sz w:val="18"/>
          <w:szCs w:val="18"/>
          <w:lang w:eastAsia="ja-JP"/>
        </w:rPr>
      </w:pPr>
      <w:r w:rsidRPr="00103A72">
        <w:rPr>
          <w:rStyle w:val="FootnoteReference"/>
          <w:rFonts w:ascii="Arial" w:hAnsi="Arial" w:cs="Arial"/>
          <w:sz w:val="18"/>
          <w:szCs w:val="18"/>
        </w:rPr>
        <w:footnoteRef/>
      </w:r>
      <w:r w:rsidRPr="00103A72">
        <w:rPr>
          <w:rFonts w:ascii="Arial" w:hAnsi="Arial" w:cs="Arial"/>
          <w:sz w:val="18"/>
          <w:szCs w:val="18"/>
        </w:rPr>
        <w:t xml:space="preserve"> </w:t>
      </w:r>
      <w:r w:rsidRPr="00103A72">
        <w:rPr>
          <w:rFonts w:ascii="Arial" w:hAnsi="Arial" w:cs="Arial"/>
          <w:sz w:val="18"/>
          <w:szCs w:val="18"/>
        </w:rPr>
        <w:tab/>
      </w:r>
      <w:r w:rsidRPr="008878DC" w:rsidR="008878DC">
        <w:rPr>
          <w:rFonts w:ascii="Arial" w:hAnsi="Arial" w:cs="Arial"/>
          <w:sz w:val="18"/>
          <w:szCs w:val="18"/>
          <w:lang w:eastAsia="ja-JP"/>
        </w:rPr>
        <w:t>La Ley 29664 y la Política Nacional de GRD en principio se enfocan en el aspecto de desastres de origen natural. En otras palabras, dichos instrumentos no incluyen explícitamente el tema de gestión de riesgo por epidemias/pandemias. Ver el párrafo 2.9 para el detalle de este asunto como un desafío para mejorar el desempeño del SAT Nacional</w:t>
      </w:r>
      <w:r w:rsidRPr="00103A72">
        <w:rPr>
          <w:rFonts w:ascii="Arial" w:hAnsi="Arial" w:cs="Arial"/>
          <w:sz w:val="18"/>
          <w:szCs w:val="18"/>
          <w:lang w:eastAsia="ja-JP"/>
        </w:rPr>
        <w:t xml:space="preserve">. </w:t>
      </w:r>
    </w:p>
  </w:footnote>
  <w:footnote w:id="4">
    <w:p w:rsidRPr="001E6E38" w:rsidR="00E52E9B" w:rsidP="00E52E9B" w:rsidRDefault="00E52E9B" w14:paraId="432401A1" w14:textId="77777777">
      <w:pPr>
        <w:pStyle w:val="FootnoteText"/>
        <w:spacing w:after="60"/>
        <w:ind w:left="274" w:hanging="274"/>
        <w:jc w:val="both"/>
        <w:rPr>
          <w:rFonts w:ascii="Arial" w:hAnsi="Arial" w:cs="Arial"/>
          <w:lang w:eastAsia="ja-JP"/>
        </w:rPr>
      </w:pPr>
      <w:r w:rsidRPr="00103A72">
        <w:rPr>
          <w:rStyle w:val="FootnoteReference"/>
          <w:rFonts w:ascii="Arial" w:hAnsi="Arial" w:cs="Arial"/>
          <w:sz w:val="18"/>
          <w:szCs w:val="18"/>
        </w:rPr>
        <w:footnoteRef/>
      </w:r>
      <w:r w:rsidRPr="00103A72">
        <w:rPr>
          <w:rFonts w:ascii="Arial" w:hAnsi="Arial" w:cs="Arial"/>
          <w:sz w:val="18"/>
          <w:szCs w:val="18"/>
        </w:rPr>
        <w:t xml:space="preserve"> </w:t>
      </w:r>
      <w:r w:rsidRPr="00103A72">
        <w:rPr>
          <w:rFonts w:ascii="Arial" w:hAnsi="Arial" w:cs="Arial"/>
          <w:sz w:val="18"/>
          <w:szCs w:val="18"/>
        </w:rPr>
        <w:tab/>
        <w:t xml:space="preserve">Aprobado por </w:t>
      </w:r>
      <w:r w:rsidRPr="00103A72">
        <w:rPr>
          <w:rFonts w:ascii="Arial" w:hAnsi="Arial" w:eastAsia="Arial" w:cs="Arial"/>
          <w:color w:val="000000"/>
          <w:sz w:val="18"/>
          <w:szCs w:val="18"/>
        </w:rPr>
        <w:t xml:space="preserve">el Decreto Supremo </w:t>
      </w:r>
      <w:proofErr w:type="spellStart"/>
      <w:r w:rsidRPr="00103A72">
        <w:rPr>
          <w:rFonts w:ascii="Arial" w:hAnsi="Arial" w:eastAsia="Arial" w:cs="Arial"/>
          <w:color w:val="000000"/>
          <w:sz w:val="18"/>
          <w:szCs w:val="18"/>
        </w:rPr>
        <w:t>Nº</w:t>
      </w:r>
      <w:proofErr w:type="spellEnd"/>
      <w:r w:rsidRPr="00103A72">
        <w:rPr>
          <w:rFonts w:ascii="Arial" w:hAnsi="Arial" w:eastAsia="Arial" w:cs="Arial"/>
          <w:color w:val="000000"/>
          <w:sz w:val="18"/>
          <w:szCs w:val="18"/>
        </w:rPr>
        <w:t xml:space="preserve"> 034-2014-PCM.</w:t>
      </w:r>
    </w:p>
  </w:footnote>
  <w:footnote w:id="5">
    <w:p w:rsidRPr="001E6E38" w:rsidR="00E52E9B" w:rsidP="00E52E9B" w:rsidRDefault="00E52E9B" w14:paraId="575F42F2" w14:textId="77777777">
      <w:pPr>
        <w:pStyle w:val="FootnoteText"/>
        <w:spacing w:after="60"/>
        <w:ind w:left="274" w:hanging="274"/>
        <w:jc w:val="both"/>
        <w:rPr>
          <w:rFonts w:ascii="Arial" w:hAnsi="Arial" w:cs="Arial"/>
          <w:lang w:eastAsia="ja-JP"/>
        </w:rPr>
      </w:pPr>
      <w:r w:rsidRPr="001E6E38">
        <w:rPr>
          <w:rStyle w:val="FootnoteReference"/>
          <w:rFonts w:ascii="Arial" w:hAnsi="Arial" w:cs="Arial"/>
        </w:rPr>
        <w:footnoteRef/>
      </w:r>
      <w:r w:rsidRPr="001E6E38">
        <w:rPr>
          <w:rFonts w:ascii="Arial" w:hAnsi="Arial" w:cs="Arial"/>
        </w:rPr>
        <w:t xml:space="preserve"> </w:t>
      </w:r>
      <w:r w:rsidRPr="00114F86">
        <w:rPr>
          <w:rFonts w:ascii="Arial" w:hAnsi="Arial" w:eastAsia="Times New Roman" w:cs="Arial"/>
          <w:bCs/>
          <w:color w:val="000000"/>
        </w:rPr>
        <w:tab/>
      </w:r>
      <w:r w:rsidRPr="00DF3C63">
        <w:rPr>
          <w:rFonts w:ascii="Arial" w:hAnsi="Arial" w:eastAsia="Times New Roman" w:cs="Arial"/>
          <w:bCs/>
          <w:color w:val="000000"/>
        </w:rPr>
        <w:t>El Sistema de Alerta Temprana (SAT) que se refiere en este proyecto de cooperación técnica, es un sistema que comprende cuatro elementos que trabajan en conjunto de manera integral: (i) el monitoreo y análisis del peligro, pronostico del riesgo; (</w:t>
      </w:r>
      <w:proofErr w:type="spellStart"/>
      <w:r w:rsidRPr="00DF3C63">
        <w:rPr>
          <w:rFonts w:ascii="Arial" w:hAnsi="Arial" w:eastAsia="Times New Roman" w:cs="Arial"/>
          <w:bCs/>
          <w:color w:val="000000"/>
        </w:rPr>
        <w:t>ii</w:t>
      </w:r>
      <w:proofErr w:type="spellEnd"/>
      <w:r w:rsidRPr="00DF3C63">
        <w:rPr>
          <w:rFonts w:ascii="Arial" w:hAnsi="Arial" w:eastAsia="Times New Roman" w:cs="Arial"/>
          <w:bCs/>
          <w:color w:val="000000"/>
        </w:rPr>
        <w:t>) la toma de decisiones para dar información de alerta (por ejemplo, roja, amarilla y verde); (</w:t>
      </w:r>
      <w:proofErr w:type="spellStart"/>
      <w:r w:rsidRPr="00DF3C63">
        <w:rPr>
          <w:rFonts w:ascii="Arial" w:hAnsi="Arial" w:eastAsia="Times New Roman" w:cs="Arial"/>
          <w:bCs/>
          <w:color w:val="000000"/>
        </w:rPr>
        <w:t>iii</w:t>
      </w:r>
      <w:proofErr w:type="spellEnd"/>
      <w:r w:rsidRPr="00DF3C63">
        <w:rPr>
          <w:rFonts w:ascii="Arial" w:hAnsi="Arial" w:eastAsia="Times New Roman" w:cs="Arial"/>
          <w:bCs/>
          <w:color w:val="000000"/>
        </w:rPr>
        <w:t>) la difusión y comunicación de la información de alerta de las autoridades a ciudadanos y turistas y; (</w:t>
      </w:r>
      <w:proofErr w:type="spellStart"/>
      <w:r w:rsidRPr="00DF3C63">
        <w:rPr>
          <w:rFonts w:ascii="Arial" w:hAnsi="Arial" w:eastAsia="Times New Roman" w:cs="Arial"/>
          <w:bCs/>
          <w:color w:val="000000"/>
        </w:rPr>
        <w:t>iv</w:t>
      </w:r>
      <w:proofErr w:type="spellEnd"/>
      <w:r w:rsidRPr="00DF3C63">
        <w:rPr>
          <w:rFonts w:ascii="Arial" w:hAnsi="Arial" w:eastAsia="Times New Roman" w:cs="Arial"/>
          <w:bCs/>
          <w:color w:val="000000"/>
        </w:rPr>
        <w:t>) la capacidad de respuesta de cada agencia, comunidad y familia</w:t>
      </w:r>
      <w:r w:rsidRPr="00114F86">
        <w:rPr>
          <w:rFonts w:ascii="Arial" w:hAnsi="Arial" w:eastAsia="Times New Roman" w:cs="Arial"/>
          <w:bCs/>
          <w:color w:val="000000"/>
        </w:rPr>
        <w:t>.</w:t>
      </w:r>
    </w:p>
  </w:footnote>
  <w:footnote w:id="6">
    <w:p w:rsidRPr="00C23E84" w:rsidR="00E52E9B" w:rsidP="00E52E9B" w:rsidRDefault="00E52E9B" w14:paraId="7C98265C"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C23E84">
        <w:t xml:space="preserve">Aprobados por Resolución Ministerial el año 2015 (R.M </w:t>
      </w:r>
      <w:proofErr w:type="spellStart"/>
      <w:r w:rsidRPr="00C23E84">
        <w:t>Nº</w:t>
      </w:r>
      <w:proofErr w:type="spellEnd"/>
      <w:r w:rsidRPr="00C23E84">
        <w:t xml:space="preserve"> 173- 2015-PCM3)</w:t>
      </w:r>
      <w:r>
        <w:t>.</w:t>
      </w:r>
    </w:p>
  </w:footnote>
  <w:footnote w:id="7">
    <w:p w:rsidRPr="00FF5121" w:rsidR="00E52E9B" w:rsidP="00E52E9B" w:rsidRDefault="00E52E9B" w14:paraId="74049F90"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Pr>
          <w:rFonts w:ascii="Arial" w:hAnsi="Arial" w:cs="Arial"/>
        </w:rPr>
        <w:t>Actualmente lo conforman 33 instituciones.</w:t>
      </w:r>
    </w:p>
  </w:footnote>
  <w:footnote w:id="8">
    <w:p w:rsidRPr="00050F33" w:rsidR="00700FCD" w:rsidP="00700FCD" w:rsidRDefault="00700FCD" w14:paraId="3A56DAC9"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050F33">
        <w:t xml:space="preserve">Con el apoyo de la Agencia de Cooperación Internacional de Japón </w:t>
      </w:r>
      <w:r>
        <w:t>–</w:t>
      </w:r>
      <w:r w:rsidRPr="00050F33">
        <w:t xml:space="preserve"> JICA</w:t>
      </w:r>
      <w:r>
        <w:t>.</w:t>
      </w:r>
    </w:p>
  </w:footnote>
  <w:footnote w:id="9">
    <w:p w:rsidRPr="0028791F" w:rsidR="00672028" w:rsidP="00672028" w:rsidRDefault="00672028" w14:paraId="55DACE44"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1E6E38">
        <w:rPr>
          <w:rFonts w:ascii="Arial" w:hAnsi="Arial" w:cs="Arial"/>
        </w:rPr>
        <w:t xml:space="preserve">“Perú 911” </w:t>
      </w:r>
      <w:r w:rsidRPr="001E6E38">
        <w:rPr>
          <w:rFonts w:ascii="Arial" w:hAnsi="Arial" w:cs="Arial"/>
          <w:color w:val="000000" w:themeColor="text1"/>
        </w:rPr>
        <w:t>está en proceso de creación y planificado para operar a partir de 2021</w:t>
      </w:r>
      <w:r>
        <w:rPr>
          <w:rFonts w:ascii="Arial" w:hAnsi="Arial" w:cs="Arial"/>
          <w:color w:val="000000" w:themeColor="text1"/>
        </w:rPr>
        <w:t>”.</w:t>
      </w:r>
    </w:p>
  </w:footnote>
  <w:footnote w:id="10">
    <w:p w:rsidRPr="00CC7ADF" w:rsidR="002870CF" w:rsidP="002870CF" w:rsidRDefault="002870CF" w14:paraId="5C74A1CB" w14:textId="77777777">
      <w:pPr>
        <w:pStyle w:val="FootnoteText"/>
        <w:spacing w:after="60"/>
        <w:ind w:left="274" w:hanging="274"/>
        <w:jc w:val="both"/>
        <w:rPr>
          <w:rFonts w:ascii="Arial" w:hAnsi="Arial" w:cs="Arial"/>
          <w:lang w:eastAsia="ja-JP"/>
        </w:rPr>
      </w:pPr>
      <w:r>
        <w:rPr>
          <w:rStyle w:val="FootnoteReference"/>
        </w:rPr>
        <w:footnoteRef/>
      </w:r>
      <w:r>
        <w:t xml:space="preserve"> </w:t>
      </w:r>
      <w:r>
        <w:tab/>
      </w:r>
      <w:r w:rsidRPr="00CC7ADF">
        <w:rPr>
          <w:rFonts w:ascii="Arial" w:hAnsi="Arial" w:cs="Arial"/>
          <w:lang w:eastAsia="ja-JP"/>
        </w:rPr>
        <w:t xml:space="preserve">Por ejemplo, </w:t>
      </w:r>
      <w:r w:rsidRPr="00362184">
        <w:rPr>
          <w:rFonts w:ascii="Arial" w:hAnsi="Arial" w:cs="Arial"/>
          <w:lang w:eastAsia="ja-JP"/>
        </w:rPr>
        <w:t>en caso de Ecuador se está implementando un proyecto de préstamo EC-L1221: Programa de Fortalecimiento del Sistema Nacional de Alerta Temprana (</w:t>
      </w:r>
      <w:hyperlink w:history="1" r:id="rId1">
        <w:r w:rsidRPr="00CC7ADF">
          <w:rPr>
            <w:lang w:eastAsia="ja-JP"/>
          </w:rPr>
          <w:t>https://www.iadb.org/es/project/EC-L1221</w:t>
        </w:r>
      </w:hyperlink>
      <w:r w:rsidRPr="00362184">
        <w:rPr>
          <w:rFonts w:ascii="Arial" w:hAnsi="Arial" w:cs="Arial"/>
          <w:lang w:eastAsia="ja-JP"/>
        </w:rPr>
        <w:t>)</w:t>
      </w:r>
      <w:r>
        <w:rPr>
          <w:rFonts w:ascii="Arial" w:hAnsi="Arial" w:cs="Arial"/>
          <w:lang w:eastAsia="ja-JP"/>
        </w:rPr>
        <w:t xml:space="preserve"> que incluye adquisición e instalación de sirenas comunitarias con cámaras de vigilancia en la zona costera prioritaria. </w:t>
      </w:r>
      <w:r w:rsidRPr="00362184">
        <w:rPr>
          <w:rFonts w:ascii="Arial" w:hAnsi="Arial" w:cs="Arial"/>
          <w:lang w:eastAsia="ja-JP"/>
        </w:rPr>
        <w:t>Las experiencias acumuladas a través este proyecto podrían ser de gran utilidad como base para esta CT</w:t>
      </w:r>
      <w:r>
        <w:rPr>
          <w:rFonts w:ascii="Arial" w:hAnsi="Arial" w:cs="Arial"/>
          <w:lang w:eastAsia="ja-JP"/>
        </w:rPr>
        <w:t>.</w:t>
      </w:r>
    </w:p>
  </w:footnote>
  <w:footnote w:id="11">
    <w:p w:rsidRPr="00320667" w:rsidR="00355FF9" w:rsidP="00355FF9" w:rsidRDefault="00355FF9" w14:paraId="31FC5067" w14:textId="2B193657">
      <w:pPr>
        <w:pStyle w:val="FootnoteText"/>
        <w:spacing w:after="60"/>
        <w:ind w:left="274" w:hanging="274"/>
        <w:jc w:val="both"/>
        <w:rPr>
          <w:rFonts w:ascii="Arial" w:hAnsi="Arial" w:cs="Arial"/>
          <w:color w:val="000000" w:themeColor="text1"/>
        </w:rPr>
      </w:pPr>
      <w:r>
        <w:rPr>
          <w:rStyle w:val="FootnoteReference"/>
        </w:rPr>
        <w:footnoteRef/>
      </w:r>
      <w:r>
        <w:t xml:space="preserve"> </w:t>
      </w:r>
      <w:r>
        <w:tab/>
      </w:r>
      <w:r w:rsidRPr="00320667">
        <w:rPr>
          <w:rFonts w:ascii="Arial" w:hAnsi="Arial" w:cs="Arial"/>
        </w:rPr>
        <w:t>Invitar participantes de Japón y México: (i) Japón está realizando un esfuerzo a largo plazo para desarrollar el SAT nacional (se llama J-ALERT) y tienen varias lecciones aprendidas para mejorar el desempeño del SAT Nacional; (</w:t>
      </w:r>
      <w:proofErr w:type="spellStart"/>
      <w:r w:rsidRPr="00320667">
        <w:rPr>
          <w:rFonts w:ascii="Arial" w:hAnsi="Arial" w:cs="Arial"/>
        </w:rPr>
        <w:t>ii</w:t>
      </w:r>
      <w:proofErr w:type="spellEnd"/>
      <w:r w:rsidRPr="00320667">
        <w:rPr>
          <w:rFonts w:ascii="Arial" w:hAnsi="Arial" w:cs="Arial"/>
        </w:rPr>
        <w:t xml:space="preserve">) en México ya está desarrollado el SAT Nacional para terremoto que proporciona a 60 segundos de advertencia de llegada de un terremoto a los ciudadanos de las Ciudades importantes (incluso la Ciudad de México) - la primera experiencia del SAT Nacional sísmico a ese nivel de servicio en la región de América Latina. Las experiencias de estos dos países serian útil para el </w:t>
      </w:r>
      <w:r w:rsidRPr="00320667">
        <w:rPr>
          <w:rFonts w:ascii="Arial" w:hAnsi="Arial" w:cs="Arial"/>
          <w:color w:val="000000" w:themeColor="text1"/>
        </w:rPr>
        <w:t>Perú.</w:t>
      </w:r>
    </w:p>
  </w:footnote>
  <w:footnote w:id="12">
    <w:p w:rsidRPr="00A56A84" w:rsidR="00355FF9" w:rsidP="00355FF9" w:rsidRDefault="00355FF9" w14:paraId="3A54EAF7" w14:textId="613E74E6">
      <w:pPr>
        <w:pStyle w:val="FootnoteText"/>
        <w:spacing w:after="60"/>
        <w:ind w:left="274" w:hanging="274"/>
        <w:jc w:val="both"/>
        <w:rPr>
          <w:rFonts w:ascii="Arial" w:hAnsi="Arial" w:cs="Arial"/>
          <w:color w:val="000000" w:themeColor="text1"/>
        </w:rPr>
      </w:pPr>
      <w:r w:rsidRPr="00A56A84">
        <w:rPr>
          <w:rStyle w:val="FootnoteReference"/>
          <w:rFonts w:ascii="Arial" w:hAnsi="Arial" w:cs="Arial"/>
        </w:rPr>
        <w:footnoteRef/>
      </w:r>
      <w:r w:rsidRPr="00A56A84">
        <w:rPr>
          <w:rFonts w:ascii="Arial" w:hAnsi="Arial" w:cs="Arial"/>
        </w:rPr>
        <w:t xml:space="preserve"> </w:t>
      </w:r>
      <w:r w:rsidRPr="00A56A84">
        <w:rPr>
          <w:rFonts w:ascii="Arial" w:hAnsi="Arial" w:cs="Arial"/>
        </w:rPr>
        <w:tab/>
        <w:t xml:space="preserve">Este plan incluirá múltiples niveles de actores requeridos en el SAT Nacional incluyen:  ministerios sectoriales, municipalidades, instituciones técnicas y científicas, entidades privadas incluidas pequeñas empresas, </w:t>
      </w:r>
      <w:proofErr w:type="spellStart"/>
      <w:r w:rsidRPr="00A56A84">
        <w:rPr>
          <w:rFonts w:ascii="Arial" w:hAnsi="Arial" w:cs="Arial"/>
        </w:rPr>
        <w:t>ONGs</w:t>
      </w:r>
      <w:proofErr w:type="spellEnd"/>
      <w:r w:rsidRPr="00A56A84">
        <w:rPr>
          <w:rFonts w:ascii="Arial" w:hAnsi="Arial" w:cs="Arial"/>
        </w:rPr>
        <w:t xml:space="preserve"> y sociedad comunitarias y ciudadanías. Los enfoques de este plan incluirán: un mejor monitoreo del peligro y pronostico; una mejor toma de decisiones para dar aviso de alerta; una difusión amplia y correcta de aviso/alerta a los gobiernos locales, empresas privadas, comunidades y familias, ejercicios de evacuación de las comunidades, familias a refugios asignados.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DE5FFF">
          <w:rPr>
            <w:rFonts w:ascii="Arial" w:hAnsi="Arial" w:cs="Arial"/>
            <w:noProof/>
            <w:sz w:val="18"/>
            <w:szCs w:val="18"/>
          </w:rPr>
          <w:t>7</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2">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4">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4223EA"/>
    <w:multiLevelType w:val="multilevel"/>
    <w:tmpl w:val="8E6EBBB8"/>
    <w:lvl w:ilvl="0">
      <w:start w:val="2"/>
      <w:numFmt w:val="decimal"/>
      <w:lvlText w:val="%1"/>
      <w:lvlJc w:val="left"/>
      <w:pPr>
        <w:ind w:left="360" w:hanging="360"/>
      </w:pPr>
      <w:rPr>
        <w:rFonts w:hint="default" w:eastAsia="Calibri"/>
        <w:color w:val="000000" w:themeColor="text1"/>
      </w:rPr>
    </w:lvl>
    <w:lvl w:ilvl="1">
      <w:start w:val="1"/>
      <w:numFmt w:val="decimal"/>
      <w:lvlText w:val="%1.%2"/>
      <w:lvlJc w:val="left"/>
      <w:pPr>
        <w:ind w:left="720" w:hanging="360"/>
      </w:pPr>
      <w:rPr>
        <w:rFonts w:hint="default" w:eastAsia="Calibri"/>
        <w:color w:val="000000" w:themeColor="text1"/>
      </w:rPr>
    </w:lvl>
    <w:lvl w:ilvl="2">
      <w:start w:val="1"/>
      <w:numFmt w:val="decimal"/>
      <w:lvlText w:val="%1.%2.%3"/>
      <w:lvlJc w:val="left"/>
      <w:pPr>
        <w:ind w:left="1440" w:hanging="720"/>
      </w:pPr>
      <w:rPr>
        <w:rFonts w:hint="default" w:eastAsia="Calibri"/>
        <w:color w:val="000000" w:themeColor="text1"/>
      </w:rPr>
    </w:lvl>
    <w:lvl w:ilvl="3">
      <w:start w:val="1"/>
      <w:numFmt w:val="decimal"/>
      <w:lvlText w:val="%1.%2.%3.%4"/>
      <w:lvlJc w:val="left"/>
      <w:pPr>
        <w:ind w:left="1800" w:hanging="720"/>
      </w:pPr>
      <w:rPr>
        <w:rFonts w:hint="default" w:eastAsia="Calibri"/>
        <w:color w:val="000000" w:themeColor="text1"/>
      </w:rPr>
    </w:lvl>
    <w:lvl w:ilvl="4">
      <w:start w:val="1"/>
      <w:numFmt w:val="decimal"/>
      <w:lvlText w:val="%1.%2.%3.%4.%5"/>
      <w:lvlJc w:val="left"/>
      <w:pPr>
        <w:ind w:left="2520" w:hanging="1080"/>
      </w:pPr>
      <w:rPr>
        <w:rFonts w:hint="default" w:eastAsia="Calibri"/>
        <w:color w:val="000000" w:themeColor="text1"/>
      </w:rPr>
    </w:lvl>
    <w:lvl w:ilvl="5">
      <w:start w:val="1"/>
      <w:numFmt w:val="decimal"/>
      <w:lvlText w:val="%1.%2.%3.%4.%5.%6"/>
      <w:lvlJc w:val="left"/>
      <w:pPr>
        <w:ind w:left="2880" w:hanging="1080"/>
      </w:pPr>
      <w:rPr>
        <w:rFonts w:hint="default" w:eastAsia="Calibri"/>
        <w:color w:val="000000" w:themeColor="text1"/>
      </w:rPr>
    </w:lvl>
    <w:lvl w:ilvl="6">
      <w:start w:val="1"/>
      <w:numFmt w:val="decimal"/>
      <w:lvlText w:val="%1.%2.%3.%4.%5.%6.%7"/>
      <w:lvlJc w:val="left"/>
      <w:pPr>
        <w:ind w:left="3600" w:hanging="1440"/>
      </w:pPr>
      <w:rPr>
        <w:rFonts w:hint="default" w:eastAsia="Calibri"/>
        <w:color w:val="000000" w:themeColor="text1"/>
      </w:rPr>
    </w:lvl>
    <w:lvl w:ilvl="7">
      <w:start w:val="1"/>
      <w:numFmt w:val="decimal"/>
      <w:lvlText w:val="%1.%2.%3.%4.%5.%6.%7.%8"/>
      <w:lvlJc w:val="left"/>
      <w:pPr>
        <w:ind w:left="3960" w:hanging="1440"/>
      </w:pPr>
      <w:rPr>
        <w:rFonts w:hint="default" w:eastAsia="Calibri"/>
        <w:color w:val="000000" w:themeColor="text1"/>
      </w:rPr>
    </w:lvl>
    <w:lvl w:ilvl="8">
      <w:start w:val="1"/>
      <w:numFmt w:val="decimal"/>
      <w:lvlText w:val="%1.%2.%3.%4.%5.%6.%7.%8.%9"/>
      <w:lvlJc w:val="left"/>
      <w:pPr>
        <w:ind w:left="4680" w:hanging="1800"/>
      </w:pPr>
      <w:rPr>
        <w:rFonts w:hint="default" w:eastAsia="Calibri"/>
        <w:color w:val="000000" w:themeColor="text1"/>
      </w:rPr>
    </w:lvl>
  </w:abstractNum>
  <w:abstractNum w:abstractNumId="6">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00C7"/>
    <w:multiLevelType w:val="multilevel"/>
    <w:tmpl w:val="07A0BF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DEB1F1C"/>
    <w:multiLevelType w:val="multilevel"/>
    <w:tmpl w:val="CA304A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78E4FB9"/>
    <w:multiLevelType w:val="multilevel"/>
    <w:tmpl w:val="F7DA15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52DC1405"/>
    <w:multiLevelType w:val="hybridMultilevel"/>
    <w:tmpl w:val="8378110C"/>
    <w:lvl w:ilvl="0" w:tplc="12523AC6">
      <w:numFmt w:val="bullet"/>
      <w:lvlText w:val="-"/>
      <w:lvlJc w:val="left"/>
      <w:pPr>
        <w:ind w:left="720" w:hanging="360"/>
      </w:pPr>
      <w:rPr>
        <w:rFonts w:hint="default" w:ascii="Arial" w:hAnsi="Arial" w:eastAsia="Times New Roman" w:cs="Arial"/>
        <w:color w:val="000000"/>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AD4FF0"/>
    <w:multiLevelType w:val="hybridMultilevel"/>
    <w:tmpl w:val="CA26C5D0"/>
    <w:lvl w:ilvl="0" w:tplc="2272DBFA">
      <w:start w:val="1"/>
      <w:numFmt w:val="lowerRoman"/>
      <w:lvlText w:val="(%1)"/>
      <w:lvlJc w:val="left"/>
      <w:pPr>
        <w:ind w:left="173" w:hanging="360"/>
      </w:pPr>
      <w:rPr>
        <w:rFonts w:hint="default"/>
        <w:color w:val="000000" w:themeColor="text1"/>
      </w:rPr>
    </w:lvl>
    <w:lvl w:ilvl="1" w:tplc="04090003" w:tentative="1">
      <w:start w:val="1"/>
      <w:numFmt w:val="bullet"/>
      <w:lvlText w:val="o"/>
      <w:lvlJc w:val="left"/>
      <w:pPr>
        <w:ind w:left="893" w:hanging="360"/>
      </w:pPr>
      <w:rPr>
        <w:rFonts w:hint="default" w:ascii="Courier New" w:hAnsi="Courier New" w:cs="Courier New"/>
      </w:rPr>
    </w:lvl>
    <w:lvl w:ilvl="2" w:tplc="04090005" w:tentative="1">
      <w:start w:val="1"/>
      <w:numFmt w:val="bullet"/>
      <w:lvlText w:val=""/>
      <w:lvlJc w:val="left"/>
      <w:pPr>
        <w:ind w:left="1613" w:hanging="360"/>
      </w:pPr>
      <w:rPr>
        <w:rFonts w:hint="default" w:ascii="Wingdings" w:hAnsi="Wingdings"/>
      </w:rPr>
    </w:lvl>
    <w:lvl w:ilvl="3" w:tplc="04090001" w:tentative="1">
      <w:start w:val="1"/>
      <w:numFmt w:val="bullet"/>
      <w:lvlText w:val=""/>
      <w:lvlJc w:val="left"/>
      <w:pPr>
        <w:ind w:left="2333" w:hanging="360"/>
      </w:pPr>
      <w:rPr>
        <w:rFonts w:hint="default" w:ascii="Symbol" w:hAnsi="Symbol"/>
      </w:rPr>
    </w:lvl>
    <w:lvl w:ilvl="4" w:tplc="04090003" w:tentative="1">
      <w:start w:val="1"/>
      <w:numFmt w:val="bullet"/>
      <w:lvlText w:val="o"/>
      <w:lvlJc w:val="left"/>
      <w:pPr>
        <w:ind w:left="3053" w:hanging="360"/>
      </w:pPr>
      <w:rPr>
        <w:rFonts w:hint="default" w:ascii="Courier New" w:hAnsi="Courier New" w:cs="Courier New"/>
      </w:rPr>
    </w:lvl>
    <w:lvl w:ilvl="5" w:tplc="04090005" w:tentative="1">
      <w:start w:val="1"/>
      <w:numFmt w:val="bullet"/>
      <w:lvlText w:val=""/>
      <w:lvlJc w:val="left"/>
      <w:pPr>
        <w:ind w:left="3773" w:hanging="360"/>
      </w:pPr>
      <w:rPr>
        <w:rFonts w:hint="default" w:ascii="Wingdings" w:hAnsi="Wingdings"/>
      </w:rPr>
    </w:lvl>
    <w:lvl w:ilvl="6" w:tplc="04090001" w:tentative="1">
      <w:start w:val="1"/>
      <w:numFmt w:val="bullet"/>
      <w:lvlText w:val=""/>
      <w:lvlJc w:val="left"/>
      <w:pPr>
        <w:ind w:left="4493" w:hanging="360"/>
      </w:pPr>
      <w:rPr>
        <w:rFonts w:hint="default" w:ascii="Symbol" w:hAnsi="Symbol"/>
      </w:rPr>
    </w:lvl>
    <w:lvl w:ilvl="7" w:tplc="04090003" w:tentative="1">
      <w:start w:val="1"/>
      <w:numFmt w:val="bullet"/>
      <w:lvlText w:val="o"/>
      <w:lvlJc w:val="left"/>
      <w:pPr>
        <w:ind w:left="5213" w:hanging="360"/>
      </w:pPr>
      <w:rPr>
        <w:rFonts w:hint="default" w:ascii="Courier New" w:hAnsi="Courier New" w:cs="Courier New"/>
      </w:rPr>
    </w:lvl>
    <w:lvl w:ilvl="8" w:tplc="04090005" w:tentative="1">
      <w:start w:val="1"/>
      <w:numFmt w:val="bullet"/>
      <w:lvlText w:val=""/>
      <w:lvlJc w:val="left"/>
      <w:pPr>
        <w:ind w:left="5933" w:hanging="360"/>
      </w:pPr>
      <w:rPr>
        <w:rFonts w:hint="default" w:ascii="Wingdings" w:hAnsi="Wingdings"/>
      </w:rPr>
    </w:lvl>
  </w:abstractNum>
  <w:abstractNum w:abstractNumId="21">
    <w:nsid w:val="63EF1DF9"/>
    <w:multiLevelType w:val="multilevel"/>
    <w:tmpl w:val="5A54AF58"/>
    <w:lvl w:ilvl="0">
      <w:start w:val="3"/>
      <w:numFmt w:val="decimal"/>
      <w:lvlText w:val="%1."/>
      <w:lvlJc w:val="left"/>
      <w:pPr>
        <w:ind w:left="720" w:hanging="360"/>
      </w:pPr>
      <w:rPr>
        <w:rFonts w:hint="default"/>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nsid w:val="68E154B4"/>
    <w:multiLevelType w:val="hybridMultilevel"/>
    <w:tmpl w:val="5954807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3">
    <w:nsid w:val="6EB268C9"/>
    <w:multiLevelType w:val="multilevel"/>
    <w:tmpl w:val="4F3C481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73DA472B"/>
    <w:multiLevelType w:val="multilevel"/>
    <w:tmpl w:val="6ABE803A"/>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lang w:val="es-ES_tradn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nsid w:val="7EBF36F9"/>
    <w:multiLevelType w:val="hybridMultilevel"/>
    <w:tmpl w:val="0E0E9904"/>
    <w:lvl w:ilvl="0" w:tplc="DCD6B7A0">
      <w:numFmt w:val="bullet"/>
      <w:lvlText w:val="-"/>
      <w:lvlJc w:val="left"/>
      <w:pPr>
        <w:ind w:left="173" w:hanging="360"/>
      </w:pPr>
      <w:rPr>
        <w:rFonts w:hint="default" w:ascii="Arial" w:hAnsi="Arial" w:cs="Arial" w:eastAsiaTheme="minorEastAsia"/>
        <w:color w:val="000000" w:themeColor="text1"/>
      </w:rPr>
    </w:lvl>
    <w:lvl w:ilvl="1" w:tplc="04090003" w:tentative="1">
      <w:start w:val="1"/>
      <w:numFmt w:val="bullet"/>
      <w:lvlText w:val="o"/>
      <w:lvlJc w:val="left"/>
      <w:pPr>
        <w:ind w:left="893" w:hanging="360"/>
      </w:pPr>
      <w:rPr>
        <w:rFonts w:hint="default" w:ascii="Courier New" w:hAnsi="Courier New" w:cs="Courier New"/>
      </w:rPr>
    </w:lvl>
    <w:lvl w:ilvl="2" w:tplc="04090005" w:tentative="1">
      <w:start w:val="1"/>
      <w:numFmt w:val="bullet"/>
      <w:lvlText w:val=""/>
      <w:lvlJc w:val="left"/>
      <w:pPr>
        <w:ind w:left="1613" w:hanging="360"/>
      </w:pPr>
      <w:rPr>
        <w:rFonts w:hint="default" w:ascii="Wingdings" w:hAnsi="Wingdings"/>
      </w:rPr>
    </w:lvl>
    <w:lvl w:ilvl="3" w:tplc="04090001" w:tentative="1">
      <w:start w:val="1"/>
      <w:numFmt w:val="bullet"/>
      <w:lvlText w:val=""/>
      <w:lvlJc w:val="left"/>
      <w:pPr>
        <w:ind w:left="2333" w:hanging="360"/>
      </w:pPr>
      <w:rPr>
        <w:rFonts w:hint="default" w:ascii="Symbol" w:hAnsi="Symbol"/>
      </w:rPr>
    </w:lvl>
    <w:lvl w:ilvl="4" w:tplc="04090003" w:tentative="1">
      <w:start w:val="1"/>
      <w:numFmt w:val="bullet"/>
      <w:lvlText w:val="o"/>
      <w:lvlJc w:val="left"/>
      <w:pPr>
        <w:ind w:left="3053" w:hanging="360"/>
      </w:pPr>
      <w:rPr>
        <w:rFonts w:hint="default" w:ascii="Courier New" w:hAnsi="Courier New" w:cs="Courier New"/>
      </w:rPr>
    </w:lvl>
    <w:lvl w:ilvl="5" w:tplc="04090005" w:tentative="1">
      <w:start w:val="1"/>
      <w:numFmt w:val="bullet"/>
      <w:lvlText w:val=""/>
      <w:lvlJc w:val="left"/>
      <w:pPr>
        <w:ind w:left="3773" w:hanging="360"/>
      </w:pPr>
      <w:rPr>
        <w:rFonts w:hint="default" w:ascii="Wingdings" w:hAnsi="Wingdings"/>
      </w:rPr>
    </w:lvl>
    <w:lvl w:ilvl="6" w:tplc="04090001" w:tentative="1">
      <w:start w:val="1"/>
      <w:numFmt w:val="bullet"/>
      <w:lvlText w:val=""/>
      <w:lvlJc w:val="left"/>
      <w:pPr>
        <w:ind w:left="4493" w:hanging="360"/>
      </w:pPr>
      <w:rPr>
        <w:rFonts w:hint="default" w:ascii="Symbol" w:hAnsi="Symbol"/>
      </w:rPr>
    </w:lvl>
    <w:lvl w:ilvl="7" w:tplc="04090003" w:tentative="1">
      <w:start w:val="1"/>
      <w:numFmt w:val="bullet"/>
      <w:lvlText w:val="o"/>
      <w:lvlJc w:val="left"/>
      <w:pPr>
        <w:ind w:left="5213" w:hanging="360"/>
      </w:pPr>
      <w:rPr>
        <w:rFonts w:hint="default" w:ascii="Courier New" w:hAnsi="Courier New" w:cs="Courier New"/>
      </w:rPr>
    </w:lvl>
    <w:lvl w:ilvl="8" w:tplc="04090005" w:tentative="1">
      <w:start w:val="1"/>
      <w:numFmt w:val="bullet"/>
      <w:lvlText w:val=""/>
      <w:lvlJc w:val="left"/>
      <w:pPr>
        <w:ind w:left="5933" w:hanging="360"/>
      </w:pPr>
      <w:rPr>
        <w:rFonts w:hint="default" w:ascii="Wingdings" w:hAnsi="Wingdings"/>
      </w:rPr>
    </w:lvl>
  </w:abstractNum>
  <w:abstractNum w:abstractNumId="2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15"/>
  </w:num>
  <w:num w:numId="4">
    <w:abstractNumId w:val="27"/>
  </w:num>
  <w:num w:numId="5">
    <w:abstractNumId w:val="25"/>
  </w:num>
  <w:num w:numId="6">
    <w:abstractNumId w:val="1"/>
  </w:num>
  <w:num w:numId="7">
    <w:abstractNumId w:val="3"/>
  </w:num>
  <w:num w:numId="8">
    <w:abstractNumId w:val="6"/>
  </w:num>
  <w:num w:numId="9">
    <w:abstractNumId w:val="18"/>
  </w:num>
  <w:num w:numId="10">
    <w:abstractNumId w:val="19"/>
  </w:num>
  <w:num w:numId="11">
    <w:abstractNumId w:val="0"/>
  </w:num>
  <w:num w:numId="12">
    <w:abstractNumId w:val="4"/>
  </w:num>
  <w:num w:numId="13">
    <w:abstractNumId w:val="10"/>
  </w:num>
  <w:num w:numId="14">
    <w:abstractNumId w:val="2"/>
  </w:num>
  <w:num w:numId="15">
    <w:abstractNumId w:val="13"/>
  </w:num>
  <w:num w:numId="16">
    <w:abstractNumId w:val="24"/>
  </w:num>
  <w:num w:numId="17">
    <w:abstractNumId w:val="16"/>
  </w:num>
  <w:num w:numId="18">
    <w:abstractNumId w:val="11"/>
  </w:num>
  <w:num w:numId="19">
    <w:abstractNumId w:val="5"/>
  </w:num>
  <w:num w:numId="20">
    <w:abstractNumId w:val="26"/>
  </w:num>
  <w:num w:numId="21">
    <w:abstractNumId w:val="20"/>
  </w:num>
  <w:num w:numId="22">
    <w:abstractNumId w:val="21"/>
  </w:num>
  <w:num w:numId="23">
    <w:abstractNumId w:val="17"/>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3"/>
  </w:num>
  <w:num w:numId="27">
    <w:abstractNumId w:val="12"/>
  </w:num>
  <w:num w:numId="28">
    <w:abstractNumId w:val="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605"/>
    <w:rsid w:val="00017B41"/>
    <w:rsid w:val="0002104E"/>
    <w:rsid w:val="000269F9"/>
    <w:rsid w:val="00033CFE"/>
    <w:rsid w:val="00033E07"/>
    <w:rsid w:val="0003469B"/>
    <w:rsid w:val="00041E0C"/>
    <w:rsid w:val="0004502C"/>
    <w:rsid w:val="00050F33"/>
    <w:rsid w:val="00053B24"/>
    <w:rsid w:val="00060E40"/>
    <w:rsid w:val="00060F38"/>
    <w:rsid w:val="00065D4D"/>
    <w:rsid w:val="0006695D"/>
    <w:rsid w:val="0007236D"/>
    <w:rsid w:val="0007342D"/>
    <w:rsid w:val="00084849"/>
    <w:rsid w:val="00086CFF"/>
    <w:rsid w:val="0009168E"/>
    <w:rsid w:val="000A4F7C"/>
    <w:rsid w:val="000A5A39"/>
    <w:rsid w:val="000C579D"/>
    <w:rsid w:val="000E3CEC"/>
    <w:rsid w:val="000E7D5D"/>
    <w:rsid w:val="000F39D2"/>
    <w:rsid w:val="000F6D52"/>
    <w:rsid w:val="000F744C"/>
    <w:rsid w:val="000F7BCC"/>
    <w:rsid w:val="00102DAE"/>
    <w:rsid w:val="001039B9"/>
    <w:rsid w:val="00103A72"/>
    <w:rsid w:val="00106516"/>
    <w:rsid w:val="00111A8C"/>
    <w:rsid w:val="001127C3"/>
    <w:rsid w:val="001129A4"/>
    <w:rsid w:val="00112E79"/>
    <w:rsid w:val="00114F86"/>
    <w:rsid w:val="00124040"/>
    <w:rsid w:val="0012587E"/>
    <w:rsid w:val="001316E2"/>
    <w:rsid w:val="001508F1"/>
    <w:rsid w:val="00157483"/>
    <w:rsid w:val="0015794A"/>
    <w:rsid w:val="00157C81"/>
    <w:rsid w:val="001604BB"/>
    <w:rsid w:val="0017216B"/>
    <w:rsid w:val="001906C1"/>
    <w:rsid w:val="00196BE3"/>
    <w:rsid w:val="001A3032"/>
    <w:rsid w:val="001A6ADD"/>
    <w:rsid w:val="001C18FD"/>
    <w:rsid w:val="001D3ECA"/>
    <w:rsid w:val="001F1D4C"/>
    <w:rsid w:val="001F1ECA"/>
    <w:rsid w:val="001F41E2"/>
    <w:rsid w:val="001F7559"/>
    <w:rsid w:val="00206AE7"/>
    <w:rsid w:val="00210317"/>
    <w:rsid w:val="002107CC"/>
    <w:rsid w:val="00214DA3"/>
    <w:rsid w:val="00215D69"/>
    <w:rsid w:val="00225B5A"/>
    <w:rsid w:val="00226465"/>
    <w:rsid w:val="00226F85"/>
    <w:rsid w:val="00231773"/>
    <w:rsid w:val="0023302F"/>
    <w:rsid w:val="00236249"/>
    <w:rsid w:val="00240337"/>
    <w:rsid w:val="00242552"/>
    <w:rsid w:val="00244170"/>
    <w:rsid w:val="00244A9D"/>
    <w:rsid w:val="00253BB0"/>
    <w:rsid w:val="0025609F"/>
    <w:rsid w:val="00257BDD"/>
    <w:rsid w:val="00261110"/>
    <w:rsid w:val="00262A68"/>
    <w:rsid w:val="00270E14"/>
    <w:rsid w:val="00270E92"/>
    <w:rsid w:val="0027764B"/>
    <w:rsid w:val="00281101"/>
    <w:rsid w:val="0028127C"/>
    <w:rsid w:val="002815AA"/>
    <w:rsid w:val="0028247E"/>
    <w:rsid w:val="00283316"/>
    <w:rsid w:val="0028463D"/>
    <w:rsid w:val="0028546C"/>
    <w:rsid w:val="00286772"/>
    <w:rsid w:val="002870CF"/>
    <w:rsid w:val="0028791F"/>
    <w:rsid w:val="002959D8"/>
    <w:rsid w:val="002A2C57"/>
    <w:rsid w:val="002A4783"/>
    <w:rsid w:val="002B37AA"/>
    <w:rsid w:val="002C37CE"/>
    <w:rsid w:val="002C586D"/>
    <w:rsid w:val="002D387E"/>
    <w:rsid w:val="002D4B50"/>
    <w:rsid w:val="002D7FB5"/>
    <w:rsid w:val="002E355C"/>
    <w:rsid w:val="002E65F5"/>
    <w:rsid w:val="002E6B4F"/>
    <w:rsid w:val="002F3008"/>
    <w:rsid w:val="00302426"/>
    <w:rsid w:val="00315F8A"/>
    <w:rsid w:val="00320667"/>
    <w:rsid w:val="00321AA2"/>
    <w:rsid w:val="00324E30"/>
    <w:rsid w:val="00324F67"/>
    <w:rsid w:val="00334783"/>
    <w:rsid w:val="00335B4C"/>
    <w:rsid w:val="00340BC1"/>
    <w:rsid w:val="00342DDF"/>
    <w:rsid w:val="00343F81"/>
    <w:rsid w:val="00346E79"/>
    <w:rsid w:val="003473BD"/>
    <w:rsid w:val="00353069"/>
    <w:rsid w:val="00355FF9"/>
    <w:rsid w:val="003622D9"/>
    <w:rsid w:val="00363B96"/>
    <w:rsid w:val="00364A0B"/>
    <w:rsid w:val="00367E4F"/>
    <w:rsid w:val="003807CA"/>
    <w:rsid w:val="003836F5"/>
    <w:rsid w:val="003842FC"/>
    <w:rsid w:val="003903CC"/>
    <w:rsid w:val="00395A99"/>
    <w:rsid w:val="003B0F0D"/>
    <w:rsid w:val="003C2106"/>
    <w:rsid w:val="003C2EE6"/>
    <w:rsid w:val="003C3DB3"/>
    <w:rsid w:val="003D2892"/>
    <w:rsid w:val="003D451A"/>
    <w:rsid w:val="003D609D"/>
    <w:rsid w:val="003D76EB"/>
    <w:rsid w:val="003E1AC7"/>
    <w:rsid w:val="003F1234"/>
    <w:rsid w:val="003F233F"/>
    <w:rsid w:val="003F6FE5"/>
    <w:rsid w:val="00402B78"/>
    <w:rsid w:val="00403D49"/>
    <w:rsid w:val="00405909"/>
    <w:rsid w:val="0040720A"/>
    <w:rsid w:val="004137C4"/>
    <w:rsid w:val="00416432"/>
    <w:rsid w:val="00417FB9"/>
    <w:rsid w:val="00421F9E"/>
    <w:rsid w:val="00423F56"/>
    <w:rsid w:val="00424FAC"/>
    <w:rsid w:val="00425430"/>
    <w:rsid w:val="00426219"/>
    <w:rsid w:val="004311D4"/>
    <w:rsid w:val="00431EE3"/>
    <w:rsid w:val="00432C3D"/>
    <w:rsid w:val="00432E6D"/>
    <w:rsid w:val="00433246"/>
    <w:rsid w:val="004464F6"/>
    <w:rsid w:val="00451C1B"/>
    <w:rsid w:val="00453E1D"/>
    <w:rsid w:val="00454218"/>
    <w:rsid w:val="004548B4"/>
    <w:rsid w:val="00466C7E"/>
    <w:rsid w:val="00466DC9"/>
    <w:rsid w:val="00472C12"/>
    <w:rsid w:val="00474DFA"/>
    <w:rsid w:val="00482240"/>
    <w:rsid w:val="00494731"/>
    <w:rsid w:val="004A0A91"/>
    <w:rsid w:val="004A73F2"/>
    <w:rsid w:val="004B657E"/>
    <w:rsid w:val="004C5BB9"/>
    <w:rsid w:val="004C6890"/>
    <w:rsid w:val="004D30C3"/>
    <w:rsid w:val="004D3346"/>
    <w:rsid w:val="004D5823"/>
    <w:rsid w:val="004D7049"/>
    <w:rsid w:val="004E6F61"/>
    <w:rsid w:val="004F386F"/>
    <w:rsid w:val="004F7E01"/>
    <w:rsid w:val="0050104A"/>
    <w:rsid w:val="00501B56"/>
    <w:rsid w:val="00502382"/>
    <w:rsid w:val="00503285"/>
    <w:rsid w:val="00510DB8"/>
    <w:rsid w:val="00512024"/>
    <w:rsid w:val="0051320A"/>
    <w:rsid w:val="00520F58"/>
    <w:rsid w:val="00531E51"/>
    <w:rsid w:val="00534ED1"/>
    <w:rsid w:val="005364CE"/>
    <w:rsid w:val="005410E2"/>
    <w:rsid w:val="005414A4"/>
    <w:rsid w:val="00544613"/>
    <w:rsid w:val="005503F6"/>
    <w:rsid w:val="0055655D"/>
    <w:rsid w:val="005618CD"/>
    <w:rsid w:val="00561BFE"/>
    <w:rsid w:val="00567CC8"/>
    <w:rsid w:val="0058137A"/>
    <w:rsid w:val="005833C9"/>
    <w:rsid w:val="0059194E"/>
    <w:rsid w:val="005A1056"/>
    <w:rsid w:val="005A279C"/>
    <w:rsid w:val="005C7663"/>
    <w:rsid w:val="005D330B"/>
    <w:rsid w:val="005E69A7"/>
    <w:rsid w:val="005F1662"/>
    <w:rsid w:val="005F5F78"/>
    <w:rsid w:val="0060089A"/>
    <w:rsid w:val="006060EC"/>
    <w:rsid w:val="0061102B"/>
    <w:rsid w:val="006113E5"/>
    <w:rsid w:val="00625398"/>
    <w:rsid w:val="00626C51"/>
    <w:rsid w:val="0062725A"/>
    <w:rsid w:val="006339EC"/>
    <w:rsid w:val="00641ED4"/>
    <w:rsid w:val="006448E1"/>
    <w:rsid w:val="00646B82"/>
    <w:rsid w:val="00653C93"/>
    <w:rsid w:val="00660FE3"/>
    <w:rsid w:val="00664574"/>
    <w:rsid w:val="00670648"/>
    <w:rsid w:val="00672028"/>
    <w:rsid w:val="00673BF3"/>
    <w:rsid w:val="00675E7A"/>
    <w:rsid w:val="006771C5"/>
    <w:rsid w:val="00682309"/>
    <w:rsid w:val="006824BB"/>
    <w:rsid w:val="006902FC"/>
    <w:rsid w:val="00690EEA"/>
    <w:rsid w:val="0069155D"/>
    <w:rsid w:val="00692CA4"/>
    <w:rsid w:val="006A1798"/>
    <w:rsid w:val="006C72BF"/>
    <w:rsid w:val="006D3804"/>
    <w:rsid w:val="006D5E14"/>
    <w:rsid w:val="006D7064"/>
    <w:rsid w:val="006E1959"/>
    <w:rsid w:val="006E3A35"/>
    <w:rsid w:val="006E3D87"/>
    <w:rsid w:val="006E4FDA"/>
    <w:rsid w:val="006E50E7"/>
    <w:rsid w:val="006E6E0F"/>
    <w:rsid w:val="00700FCD"/>
    <w:rsid w:val="00702A56"/>
    <w:rsid w:val="00704B85"/>
    <w:rsid w:val="00712785"/>
    <w:rsid w:val="00715137"/>
    <w:rsid w:val="00721922"/>
    <w:rsid w:val="00725899"/>
    <w:rsid w:val="007262F2"/>
    <w:rsid w:val="007363A8"/>
    <w:rsid w:val="00746260"/>
    <w:rsid w:val="007530CD"/>
    <w:rsid w:val="00754C01"/>
    <w:rsid w:val="007569EA"/>
    <w:rsid w:val="007721C1"/>
    <w:rsid w:val="007869F4"/>
    <w:rsid w:val="00795AD6"/>
    <w:rsid w:val="007B0420"/>
    <w:rsid w:val="007B500B"/>
    <w:rsid w:val="007B65ED"/>
    <w:rsid w:val="007B6B61"/>
    <w:rsid w:val="007B7DA6"/>
    <w:rsid w:val="007C3374"/>
    <w:rsid w:val="007E18D7"/>
    <w:rsid w:val="007E1FFF"/>
    <w:rsid w:val="007F1EF9"/>
    <w:rsid w:val="007F32BE"/>
    <w:rsid w:val="00801D9C"/>
    <w:rsid w:val="008052A0"/>
    <w:rsid w:val="00807C07"/>
    <w:rsid w:val="00810075"/>
    <w:rsid w:val="00820977"/>
    <w:rsid w:val="00825F8B"/>
    <w:rsid w:val="008364C4"/>
    <w:rsid w:val="008372C2"/>
    <w:rsid w:val="00841608"/>
    <w:rsid w:val="00844C94"/>
    <w:rsid w:val="0085412F"/>
    <w:rsid w:val="00855325"/>
    <w:rsid w:val="008564AD"/>
    <w:rsid w:val="008604CA"/>
    <w:rsid w:val="0086465C"/>
    <w:rsid w:val="00865A6F"/>
    <w:rsid w:val="0087190C"/>
    <w:rsid w:val="008739E3"/>
    <w:rsid w:val="008813B9"/>
    <w:rsid w:val="00884298"/>
    <w:rsid w:val="00884320"/>
    <w:rsid w:val="008871D2"/>
    <w:rsid w:val="008878DC"/>
    <w:rsid w:val="008902BA"/>
    <w:rsid w:val="00897E10"/>
    <w:rsid w:val="008A2855"/>
    <w:rsid w:val="008A7EB5"/>
    <w:rsid w:val="008B4B1A"/>
    <w:rsid w:val="008C4945"/>
    <w:rsid w:val="008C7400"/>
    <w:rsid w:val="008C7753"/>
    <w:rsid w:val="008D2CC3"/>
    <w:rsid w:val="008D525D"/>
    <w:rsid w:val="008D573D"/>
    <w:rsid w:val="008E6BF3"/>
    <w:rsid w:val="00915206"/>
    <w:rsid w:val="0091715B"/>
    <w:rsid w:val="0092554B"/>
    <w:rsid w:val="00925C27"/>
    <w:rsid w:val="00930A8F"/>
    <w:rsid w:val="009332E2"/>
    <w:rsid w:val="00933A84"/>
    <w:rsid w:val="0093554E"/>
    <w:rsid w:val="00937BD4"/>
    <w:rsid w:val="00943C1A"/>
    <w:rsid w:val="00945A38"/>
    <w:rsid w:val="00946B06"/>
    <w:rsid w:val="0095122E"/>
    <w:rsid w:val="00953879"/>
    <w:rsid w:val="00955553"/>
    <w:rsid w:val="0095711B"/>
    <w:rsid w:val="00965361"/>
    <w:rsid w:val="00970799"/>
    <w:rsid w:val="00994B24"/>
    <w:rsid w:val="009A2D1B"/>
    <w:rsid w:val="009C0286"/>
    <w:rsid w:val="009C1F6B"/>
    <w:rsid w:val="009C5C06"/>
    <w:rsid w:val="009D73A8"/>
    <w:rsid w:val="009E1945"/>
    <w:rsid w:val="009F1441"/>
    <w:rsid w:val="009F33FF"/>
    <w:rsid w:val="009F3CA2"/>
    <w:rsid w:val="009F705D"/>
    <w:rsid w:val="00A0394B"/>
    <w:rsid w:val="00A05DEF"/>
    <w:rsid w:val="00A0625F"/>
    <w:rsid w:val="00A067E6"/>
    <w:rsid w:val="00A07BE2"/>
    <w:rsid w:val="00A10CD5"/>
    <w:rsid w:val="00A112A8"/>
    <w:rsid w:val="00A12C27"/>
    <w:rsid w:val="00A13EE1"/>
    <w:rsid w:val="00A1730E"/>
    <w:rsid w:val="00A20379"/>
    <w:rsid w:val="00A22B9B"/>
    <w:rsid w:val="00A2474F"/>
    <w:rsid w:val="00A27CFE"/>
    <w:rsid w:val="00A3058E"/>
    <w:rsid w:val="00A3093A"/>
    <w:rsid w:val="00A31281"/>
    <w:rsid w:val="00A356A7"/>
    <w:rsid w:val="00A357F7"/>
    <w:rsid w:val="00A3678C"/>
    <w:rsid w:val="00A37C9C"/>
    <w:rsid w:val="00A421A8"/>
    <w:rsid w:val="00A530F6"/>
    <w:rsid w:val="00A54370"/>
    <w:rsid w:val="00A56A84"/>
    <w:rsid w:val="00A57185"/>
    <w:rsid w:val="00A726C4"/>
    <w:rsid w:val="00A73144"/>
    <w:rsid w:val="00A773E8"/>
    <w:rsid w:val="00A8462C"/>
    <w:rsid w:val="00A85528"/>
    <w:rsid w:val="00A876E7"/>
    <w:rsid w:val="00A944F8"/>
    <w:rsid w:val="00A96B58"/>
    <w:rsid w:val="00AC07CF"/>
    <w:rsid w:val="00AC081B"/>
    <w:rsid w:val="00AC4EA6"/>
    <w:rsid w:val="00AC7C95"/>
    <w:rsid w:val="00AD3653"/>
    <w:rsid w:val="00AD3845"/>
    <w:rsid w:val="00AE5C80"/>
    <w:rsid w:val="00AF2F55"/>
    <w:rsid w:val="00AF38DD"/>
    <w:rsid w:val="00AF5C75"/>
    <w:rsid w:val="00B00FD6"/>
    <w:rsid w:val="00B03E1E"/>
    <w:rsid w:val="00B05128"/>
    <w:rsid w:val="00B07D92"/>
    <w:rsid w:val="00B1113D"/>
    <w:rsid w:val="00B11D53"/>
    <w:rsid w:val="00B13125"/>
    <w:rsid w:val="00B15326"/>
    <w:rsid w:val="00B24731"/>
    <w:rsid w:val="00B30180"/>
    <w:rsid w:val="00B307EC"/>
    <w:rsid w:val="00B347ED"/>
    <w:rsid w:val="00B50FCF"/>
    <w:rsid w:val="00B60C91"/>
    <w:rsid w:val="00B65DBF"/>
    <w:rsid w:val="00B665E1"/>
    <w:rsid w:val="00B811D8"/>
    <w:rsid w:val="00B82074"/>
    <w:rsid w:val="00B83CCE"/>
    <w:rsid w:val="00B90EAD"/>
    <w:rsid w:val="00BB2778"/>
    <w:rsid w:val="00BB5BAB"/>
    <w:rsid w:val="00BB612A"/>
    <w:rsid w:val="00BC7986"/>
    <w:rsid w:val="00BE7549"/>
    <w:rsid w:val="00BF3520"/>
    <w:rsid w:val="00C007AB"/>
    <w:rsid w:val="00C0776F"/>
    <w:rsid w:val="00C1501F"/>
    <w:rsid w:val="00C200E4"/>
    <w:rsid w:val="00C23E84"/>
    <w:rsid w:val="00C27ED3"/>
    <w:rsid w:val="00C30EC4"/>
    <w:rsid w:val="00C31ACD"/>
    <w:rsid w:val="00C3492D"/>
    <w:rsid w:val="00C36BCC"/>
    <w:rsid w:val="00C4070C"/>
    <w:rsid w:val="00C43E24"/>
    <w:rsid w:val="00C44C30"/>
    <w:rsid w:val="00C51AE8"/>
    <w:rsid w:val="00C571D0"/>
    <w:rsid w:val="00C5730B"/>
    <w:rsid w:val="00C70C8B"/>
    <w:rsid w:val="00C745F8"/>
    <w:rsid w:val="00C74899"/>
    <w:rsid w:val="00C74904"/>
    <w:rsid w:val="00C91583"/>
    <w:rsid w:val="00CB32B1"/>
    <w:rsid w:val="00CC4CF8"/>
    <w:rsid w:val="00CC610D"/>
    <w:rsid w:val="00CC7ADF"/>
    <w:rsid w:val="00CD109E"/>
    <w:rsid w:val="00CD6EEA"/>
    <w:rsid w:val="00CE3E03"/>
    <w:rsid w:val="00CE4D1F"/>
    <w:rsid w:val="00CE7434"/>
    <w:rsid w:val="00CE7C16"/>
    <w:rsid w:val="00CF2016"/>
    <w:rsid w:val="00D01324"/>
    <w:rsid w:val="00D07EB4"/>
    <w:rsid w:val="00D200F9"/>
    <w:rsid w:val="00D214BA"/>
    <w:rsid w:val="00D2491C"/>
    <w:rsid w:val="00D32EE3"/>
    <w:rsid w:val="00D42966"/>
    <w:rsid w:val="00D466CF"/>
    <w:rsid w:val="00D46764"/>
    <w:rsid w:val="00D55EA9"/>
    <w:rsid w:val="00D8086B"/>
    <w:rsid w:val="00D84B54"/>
    <w:rsid w:val="00D95606"/>
    <w:rsid w:val="00DA789D"/>
    <w:rsid w:val="00DB1F3F"/>
    <w:rsid w:val="00DC1E68"/>
    <w:rsid w:val="00DC5688"/>
    <w:rsid w:val="00DD3115"/>
    <w:rsid w:val="00DD3E01"/>
    <w:rsid w:val="00DE2731"/>
    <w:rsid w:val="00DE5FFF"/>
    <w:rsid w:val="00DE66BF"/>
    <w:rsid w:val="00DF3C63"/>
    <w:rsid w:val="00DF475D"/>
    <w:rsid w:val="00DF650E"/>
    <w:rsid w:val="00E15516"/>
    <w:rsid w:val="00E165B8"/>
    <w:rsid w:val="00E20EBD"/>
    <w:rsid w:val="00E31AEC"/>
    <w:rsid w:val="00E335A8"/>
    <w:rsid w:val="00E40AE6"/>
    <w:rsid w:val="00E52408"/>
    <w:rsid w:val="00E5259A"/>
    <w:rsid w:val="00E52E9B"/>
    <w:rsid w:val="00E65098"/>
    <w:rsid w:val="00E6675A"/>
    <w:rsid w:val="00E702E9"/>
    <w:rsid w:val="00E748C3"/>
    <w:rsid w:val="00E74D1B"/>
    <w:rsid w:val="00E75CB3"/>
    <w:rsid w:val="00E82ADA"/>
    <w:rsid w:val="00E8560F"/>
    <w:rsid w:val="00E85797"/>
    <w:rsid w:val="00E85F49"/>
    <w:rsid w:val="00E9053A"/>
    <w:rsid w:val="00E909E2"/>
    <w:rsid w:val="00E91CB8"/>
    <w:rsid w:val="00E93186"/>
    <w:rsid w:val="00E96971"/>
    <w:rsid w:val="00EA3919"/>
    <w:rsid w:val="00EA63A1"/>
    <w:rsid w:val="00EB435F"/>
    <w:rsid w:val="00EB5DC4"/>
    <w:rsid w:val="00EB7DB8"/>
    <w:rsid w:val="00EC4075"/>
    <w:rsid w:val="00EC44A7"/>
    <w:rsid w:val="00EC6CAF"/>
    <w:rsid w:val="00ED361D"/>
    <w:rsid w:val="00ED3650"/>
    <w:rsid w:val="00ED4732"/>
    <w:rsid w:val="00ED581E"/>
    <w:rsid w:val="00ED6DDA"/>
    <w:rsid w:val="00ED70D1"/>
    <w:rsid w:val="00EE0122"/>
    <w:rsid w:val="00EE0BAD"/>
    <w:rsid w:val="00EE7001"/>
    <w:rsid w:val="00EF41CE"/>
    <w:rsid w:val="00EF4AD6"/>
    <w:rsid w:val="00EF5138"/>
    <w:rsid w:val="00F001D3"/>
    <w:rsid w:val="00F06133"/>
    <w:rsid w:val="00F0615D"/>
    <w:rsid w:val="00F13903"/>
    <w:rsid w:val="00F163D4"/>
    <w:rsid w:val="00F16677"/>
    <w:rsid w:val="00F20BFE"/>
    <w:rsid w:val="00F25AC2"/>
    <w:rsid w:val="00F32C7F"/>
    <w:rsid w:val="00F42466"/>
    <w:rsid w:val="00F455F8"/>
    <w:rsid w:val="00F45E82"/>
    <w:rsid w:val="00F569BD"/>
    <w:rsid w:val="00F6363D"/>
    <w:rsid w:val="00F70187"/>
    <w:rsid w:val="00F70B82"/>
    <w:rsid w:val="00F72899"/>
    <w:rsid w:val="00F7391D"/>
    <w:rsid w:val="00FA40C9"/>
    <w:rsid w:val="00FB1CA2"/>
    <w:rsid w:val="00FC1608"/>
    <w:rsid w:val="00FC1B74"/>
    <w:rsid w:val="00FE1499"/>
    <w:rsid w:val="00FE2CE6"/>
    <w:rsid w:val="00FE43C7"/>
    <w:rsid w:val="00FE6607"/>
    <w:rsid w:val="00FF0E64"/>
    <w:rsid w:val="00FF1250"/>
    <w:rsid w:val="00FF1D29"/>
    <w:rsid w:val="00FF5121"/>
    <w:rsid w:val="00FF5A10"/>
    <w:rsid w:val="020E3C3C"/>
    <w:rsid w:val="0FBA85EA"/>
    <w:rsid w:val="1F7CFF4E"/>
    <w:rsid w:val="2298E280"/>
    <w:rsid w:val="2349D93A"/>
    <w:rsid w:val="2492D806"/>
    <w:rsid w:val="26B9D784"/>
    <w:rsid w:val="27DF31B5"/>
    <w:rsid w:val="41C81FA9"/>
    <w:rsid w:val="4252552F"/>
    <w:rsid w:val="4505A3FF"/>
    <w:rsid w:val="52C2ED10"/>
    <w:rsid w:val="54225132"/>
    <w:rsid w:val="54260729"/>
    <w:rsid w:val="58983D62"/>
    <w:rsid w:val="641E2C23"/>
    <w:rsid w:val="654A1C9E"/>
    <w:rsid w:val="6CBEE294"/>
    <w:rsid w:val="712584EA"/>
    <w:rsid w:val="73D5AFF6"/>
    <w:rsid w:val="7B1758E7"/>
    <w:rsid w:val="7ECB2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0F7BCC"/>
    <w:pPr>
      <w:spacing w:after="0" w:line="240" w:lineRule="auto"/>
    </w:pPr>
    <w:rPr>
      <w:rFonts w:ascii="Calibri" w:hAnsi="Calibri" w:cs="Calibri"/>
      <w:sz w:val="20"/>
      <w:szCs w:val="20"/>
      <w:lang w:val="es-ES_tradnl" w:eastAsia="es-SV"/>
    </w:rPr>
  </w:style>
  <w:style w:type="character" w:styleId="FootnoteTextChar" w:customStyle="1">
    <w:name w:val="Footnote Text Char"/>
    <w:basedOn w:val="DefaultParagraphFont"/>
    <w:link w:val="FootnoteText"/>
    <w:uiPriority w:val="99"/>
    <w:semiHidden/>
    <w:rsid w:val="000F7BCC"/>
    <w:rPr>
      <w:rFonts w:ascii="Calibri" w:hAnsi="Calibri" w:cs="Calibri"/>
      <w:sz w:val="20"/>
      <w:szCs w:val="20"/>
      <w:lang w:val="es-ES_tradnl" w:eastAsia="es-SV"/>
    </w:rPr>
  </w:style>
  <w:style w:type="character" w:styleId="FootnoteReference">
    <w:name w:val="footnote reference"/>
    <w:basedOn w:val="DefaultParagraphFont"/>
    <w:uiPriority w:val="99"/>
    <w:semiHidden/>
    <w:unhideWhenUsed/>
    <w:rsid w:val="000F7BCC"/>
    <w:rPr>
      <w:vertAlign w:val="superscript"/>
    </w:rPr>
  </w:style>
  <w:style w:type="character" w:styleId="Hyperlink">
    <w:name w:val="Hyperlink"/>
    <w:basedOn w:val="DefaultParagraphFont"/>
    <w:uiPriority w:val="99"/>
    <w:unhideWhenUsed/>
    <w:rsid w:val="000F7BCC"/>
    <w:rPr>
      <w:color w:val="0000FF"/>
      <w:u w:val="single"/>
    </w:rPr>
  </w:style>
  <w:style w:type="paragraph" w:styleId="NormalWeb">
    <w:name w:val="Normal (Web)"/>
    <w:basedOn w:val="Normal"/>
    <w:uiPriority w:val="99"/>
    <w:unhideWhenUsed/>
    <w:rsid w:val="008B4B1A"/>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1" w:customStyle="1">
    <w:name w:val="Unresolved Mention1"/>
    <w:basedOn w:val="DefaultParagraphFont"/>
    <w:uiPriority w:val="99"/>
    <w:semiHidden/>
    <w:unhideWhenUsed/>
    <w:rsid w:val="007E1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91662">
      <w:bodyDiv w:val="1"/>
      <w:marLeft w:val="0"/>
      <w:marRight w:val="0"/>
      <w:marTop w:val="0"/>
      <w:marBottom w:val="0"/>
      <w:divBdr>
        <w:top w:val="none" w:color="auto" w:sz="0" w:space="0"/>
        <w:left w:val="none" w:color="auto" w:sz="0" w:space="0"/>
        <w:bottom w:val="none" w:color="auto" w:sz="0" w:space="0"/>
        <w:right w:val="none" w:color="auto" w:sz="0" w:space="0"/>
      </w:divBdr>
    </w:div>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421993404">
      <w:bodyDiv w:val="1"/>
      <w:marLeft w:val="0"/>
      <w:marRight w:val="0"/>
      <w:marTop w:val="0"/>
      <w:marBottom w:val="0"/>
      <w:divBdr>
        <w:top w:val="none" w:color="auto" w:sz="0" w:space="0"/>
        <w:left w:val="none" w:color="auto" w:sz="0" w:space="0"/>
        <w:bottom w:val="none" w:color="auto" w:sz="0" w:space="0"/>
        <w:right w:val="none" w:color="auto" w:sz="0" w:space="0"/>
      </w:divBdr>
    </w:div>
    <w:div w:id="493423471">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641425787">
      <w:bodyDiv w:val="1"/>
      <w:marLeft w:val="0"/>
      <w:marRight w:val="0"/>
      <w:marTop w:val="0"/>
      <w:marBottom w:val="0"/>
      <w:divBdr>
        <w:top w:val="none" w:color="auto" w:sz="0" w:space="0"/>
        <w:left w:val="none" w:color="auto" w:sz="0" w:space="0"/>
        <w:bottom w:val="none" w:color="auto" w:sz="0" w:space="0"/>
        <w:right w:val="none" w:color="auto" w:sz="0" w:space="0"/>
      </w:divBdr>
    </w:div>
    <w:div w:id="714234158">
      <w:bodyDiv w:val="1"/>
      <w:marLeft w:val="0"/>
      <w:marRight w:val="0"/>
      <w:marTop w:val="0"/>
      <w:marBottom w:val="0"/>
      <w:divBdr>
        <w:top w:val="none" w:color="auto" w:sz="0" w:space="0"/>
        <w:left w:val="none" w:color="auto" w:sz="0" w:space="0"/>
        <w:bottom w:val="none" w:color="auto" w:sz="0" w:space="0"/>
        <w:right w:val="none" w:color="auto" w:sz="0" w:space="0"/>
      </w:divBdr>
    </w:div>
    <w:div w:id="773793266">
      <w:bodyDiv w:val="1"/>
      <w:marLeft w:val="0"/>
      <w:marRight w:val="0"/>
      <w:marTop w:val="0"/>
      <w:marBottom w:val="0"/>
      <w:divBdr>
        <w:top w:val="none" w:color="auto" w:sz="0" w:space="0"/>
        <w:left w:val="none" w:color="auto" w:sz="0" w:space="0"/>
        <w:bottom w:val="none" w:color="auto" w:sz="0" w:space="0"/>
        <w:right w:val="none" w:color="auto" w:sz="0" w:space="0"/>
      </w:divBdr>
    </w:div>
    <w:div w:id="850486600">
      <w:bodyDiv w:val="1"/>
      <w:marLeft w:val="0"/>
      <w:marRight w:val="0"/>
      <w:marTop w:val="0"/>
      <w:marBottom w:val="0"/>
      <w:divBdr>
        <w:top w:val="none" w:color="auto" w:sz="0" w:space="0"/>
        <w:left w:val="none" w:color="auto" w:sz="0" w:space="0"/>
        <w:bottom w:val="none" w:color="auto" w:sz="0" w:space="0"/>
        <w:right w:val="none" w:color="auto" w:sz="0" w:space="0"/>
      </w:divBdr>
    </w:div>
    <w:div w:id="1096828799">
      <w:bodyDiv w:val="1"/>
      <w:marLeft w:val="0"/>
      <w:marRight w:val="0"/>
      <w:marTop w:val="0"/>
      <w:marBottom w:val="0"/>
      <w:divBdr>
        <w:top w:val="none" w:color="auto" w:sz="0" w:space="0"/>
        <w:left w:val="none" w:color="auto" w:sz="0" w:space="0"/>
        <w:bottom w:val="none" w:color="auto" w:sz="0" w:space="0"/>
        <w:right w:val="none" w:color="auto" w:sz="0" w:space="0"/>
      </w:divBdr>
    </w:div>
    <w:div w:id="1458141717">
      <w:bodyDiv w:val="1"/>
      <w:marLeft w:val="0"/>
      <w:marRight w:val="0"/>
      <w:marTop w:val="0"/>
      <w:marBottom w:val="0"/>
      <w:divBdr>
        <w:top w:val="none" w:color="auto" w:sz="0" w:space="0"/>
        <w:left w:val="none" w:color="auto" w:sz="0" w:space="0"/>
        <w:bottom w:val="none" w:color="auto" w:sz="0" w:space="0"/>
        <w:right w:val="none" w:color="auto" w:sz="0" w:space="0"/>
      </w:divBdr>
    </w:div>
    <w:div w:id="1671562692">
      <w:bodyDiv w:val="1"/>
      <w:marLeft w:val="0"/>
      <w:marRight w:val="0"/>
      <w:marTop w:val="0"/>
      <w:marBottom w:val="0"/>
      <w:divBdr>
        <w:top w:val="none" w:color="auto" w:sz="0" w:space="0"/>
        <w:left w:val="none" w:color="auto" w:sz="0" w:space="0"/>
        <w:bottom w:val="none" w:color="auto" w:sz="0" w:space="0"/>
        <w:right w:val="none" w:color="auto" w:sz="0" w:space="0"/>
      </w:divBdr>
    </w:div>
    <w:div w:id="1739283803">
      <w:bodyDiv w:val="1"/>
      <w:marLeft w:val="0"/>
      <w:marRight w:val="0"/>
      <w:marTop w:val="0"/>
      <w:marBottom w:val="0"/>
      <w:divBdr>
        <w:top w:val="none" w:color="auto" w:sz="0" w:space="0"/>
        <w:left w:val="none" w:color="auto" w:sz="0" w:space="0"/>
        <w:bottom w:val="none" w:color="auto" w:sz="0" w:space="0"/>
        <w:right w:val="none" w:color="auto" w:sz="0" w:space="0"/>
      </w:divBdr>
    </w:div>
    <w:div w:id="1751658528">
      <w:bodyDiv w:val="1"/>
      <w:marLeft w:val="0"/>
      <w:marRight w:val="0"/>
      <w:marTop w:val="0"/>
      <w:marBottom w:val="0"/>
      <w:divBdr>
        <w:top w:val="none" w:color="auto" w:sz="0" w:space="0"/>
        <w:left w:val="none" w:color="auto" w:sz="0" w:space="0"/>
        <w:bottom w:val="none" w:color="auto" w:sz="0" w:space="0"/>
        <w:right w:val="none" w:color="auto" w:sz="0" w:space="0"/>
      </w:divBdr>
    </w:div>
    <w:div w:id="1850753821">
      <w:bodyDiv w:val="1"/>
      <w:marLeft w:val="0"/>
      <w:marRight w:val="0"/>
      <w:marTop w:val="0"/>
      <w:marBottom w:val="0"/>
      <w:divBdr>
        <w:top w:val="none" w:color="auto" w:sz="0" w:space="0"/>
        <w:left w:val="none" w:color="auto" w:sz="0" w:space="0"/>
        <w:bottom w:val="none" w:color="auto" w:sz="0" w:space="0"/>
        <w:right w:val="none" w:color="auto" w:sz="0" w:space="0"/>
      </w:divBdr>
    </w:div>
    <w:div w:id="1964844706">
      <w:bodyDiv w:val="1"/>
      <w:marLeft w:val="0"/>
      <w:marRight w:val="0"/>
      <w:marTop w:val="0"/>
      <w:marBottom w:val="0"/>
      <w:divBdr>
        <w:top w:val="none" w:color="auto" w:sz="0" w:space="0"/>
        <w:left w:val="none" w:color="auto" w:sz="0" w:space="0"/>
        <w:bottom w:val="none" w:color="auto" w:sz="0" w:space="0"/>
        <w:right w:val="none" w:color="auto" w:sz="0" w:space="0"/>
      </w:divBdr>
    </w:div>
    <w:div w:id="2021153112">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2088378796-7" TargetMode="External"/><Relationship Id="rId26" Type="http://schemas.openxmlformats.org/officeDocument/2006/relationships/customXml" Target="../customXml/item3.xml"/><Relationship Id="rId21" Type="http://schemas.openxmlformats.org/officeDocument/2006/relationships/fontTable" Target="fontTable.xml"/><Relationship Id="rId12" Type="http://schemas.openxmlformats.org/officeDocument/2006/relationships/footnotes" Target="footnotes.xml"/><Relationship Id="rId17" Type="http://schemas.openxmlformats.org/officeDocument/2006/relationships/hyperlink" Target="http://idbdocs.iadb.org/wsdocs/getDocument.aspx?DOCNUM=EZSHARE-2088378796-6" TargetMode="External"/><Relationship Id="rId25" Type="http://schemas.openxmlformats.org/officeDocument/2006/relationships/customXml" Target="../customXml/item2.xml"/><Relationship Id="rId16" Type="http://schemas.openxmlformats.org/officeDocument/2006/relationships/hyperlink" Target="http://idbdocs.iadb.org/wsdocs/getDocument.aspx?DOCNUM=EZSHARE-2088378796-5" TargetMode="External"/><Relationship Id="rId20" Type="http://schemas.openxmlformats.org/officeDocument/2006/relationships/footer" Target="footer1.xml"/><Relationship Id="rId29"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customXml/item1.xml"/><Relationship Id="rId15" Type="http://schemas.openxmlformats.org/officeDocument/2006/relationships/hyperlink" Target="http://idbdocs.iadb.org/wsdocs/getDocument.aspx?DOCNUM=EZSHARE-2088378796-1"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9" Type="http://schemas.openxmlformats.org/officeDocument/2006/relationships/styles" Target="styles.xml"/><Relationship Id="rId14" Type="http://schemas.openxmlformats.org/officeDocument/2006/relationships/hyperlink" Target="http://idbdocs.iadb.org/wsdocs/getDocument.aspx?DOCNUM=EZSHARE-2088378796-8" TargetMode="External"/><Relationship Id="rId22" Type="http://schemas.openxmlformats.org/officeDocument/2006/relationships/glossaryDocument" Target="glossary/document.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iadb.org/es/project/EC-L122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2A4783" w:rsidRDefault="002A4783">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2A4783" w:rsidRDefault="002A4783">
          <w:pPr>
            <w:pStyle w:val="19F5288FE7CC4C80A1FC8C20A439351A28"/>
          </w:pPr>
          <w:r>
            <w:rPr>
              <w:rFonts w:ascii="Arial" w:hAnsi="Arial" w:cs="Arial"/>
              <w:sz w:val="18"/>
              <w:szCs w:val="18"/>
            </w:rPr>
            <w:t>12 May 2020</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2A4783" w:rsidRDefault="002A4783">
          <w:pPr>
            <w:pStyle w:val="D43C05E765C742E5A882436BE6D57E8E16"/>
          </w:pPr>
          <w:r>
            <w:rPr>
              <w:rFonts w:ascii="Arial"/>
              <w:sz w:val="18"/>
            </w:rPr>
            <w:t>US$400,000.00</w:t>
          </w:r>
          <w:r>
            <w:rPr>
              <w:rFonts w:ascii="Arial"/>
              <w:sz w:val="18"/>
            </w:rPr>
            <w:br/>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D0C02570D64849D4B7AA500FE4FCEE95"/>
        <w:category>
          <w:name w:val="General"/>
          <w:gallery w:val="placeholder"/>
        </w:category>
        <w:types>
          <w:type w:val="bbPlcHdr"/>
        </w:types>
        <w:behaviors>
          <w:behavior w:val="content"/>
        </w:behaviors>
        <w:guid w:val="{DD722E98-6FFB-41AE-ABF7-2DED336C6B5C}"/>
      </w:docPartPr>
      <w:docPartBody>
        <w:p w:rsidR="00124F78" w:rsidRDefault="003D451A">
          <w:pPr>
            <w:pStyle w:val="D0C02570D64849D4B7AA500FE4FCEE95"/>
          </w:pPr>
          <w:r w:rsidRPr="00501B56">
            <w:rPr>
              <w:rFonts w:ascii="Arial" w:hAnsi="Arial" w:cs="Arial"/>
              <w:sz w:val="18"/>
              <w:szCs w:val="18"/>
            </w:rPr>
            <w:t>Sostenibilidad ambiental</w:t>
          </w:r>
        </w:p>
      </w:docPartBody>
    </w:docPart>
    <w:docPart>
      <w:docPartPr>
        <w:name w:val="7CA573F7BB2F4FB592AF07CD931E924E"/>
        <w:category>
          <w:name w:val="General"/>
          <w:gallery w:val="placeholder"/>
        </w:category>
        <w:types>
          <w:type w:val="bbPlcHdr"/>
        </w:types>
        <w:behaviors>
          <w:behavior w:val="content"/>
        </w:behaviors>
        <w:guid w:val="{FF4B1683-22DC-496C-A474-E955ED106682}"/>
      </w:docPartPr>
      <w:docPartBody>
        <w:p w:rsidR="00124F78" w:rsidRDefault="003D451A">
          <w:pPr>
            <w:pStyle w:val="7CA573F7BB2F4FB592AF07CD931E924E"/>
          </w:pPr>
          <w:r w:rsidRPr="00501B56">
            <w:rPr>
              <w:rFonts w:ascii="Arial" w:hAnsi="Arial" w:cs="Arial"/>
              <w:sz w:val="18"/>
              <w:szCs w:val="18"/>
            </w:rPr>
            <w:t>CAN/CPE-Representación Perú</w:t>
          </w:r>
        </w:p>
      </w:docPartBody>
    </w:docPart>
    <w:docPart>
      <w:docPartPr>
        <w:name w:val="0AC49DD15B2741D8B2EA253398D185D5"/>
        <w:category>
          <w:name w:val="General"/>
          <w:gallery w:val="placeholder"/>
        </w:category>
        <w:types>
          <w:type w:val="bbPlcHdr"/>
        </w:types>
        <w:behaviors>
          <w:behavior w:val="content"/>
        </w:behaviors>
        <w:guid w:val="{37D1C01A-5260-410F-91E4-3D820CAA8FD4}"/>
      </w:docPartPr>
      <w:docPartBody>
        <w:p w:rsidR="00124F78" w:rsidRDefault="00561BFE">
          <w:pPr>
            <w:pStyle w:val="0AC49DD15B2741D8B2EA253398D185D5"/>
          </w:pPr>
          <w:r w:rsidRPr="00A2367E">
            <w:rPr>
              <w:rStyle w:val="PlaceholderText"/>
            </w:rPr>
            <w:t>Haga clic aquí para escribir texto.</w:t>
          </w:r>
        </w:p>
      </w:docPartBody>
    </w:docPart>
    <w:docPart>
      <w:docPartPr>
        <w:name w:val="138B5B086CE346408C01662BD7745ED5"/>
        <w:category>
          <w:name w:val="General"/>
          <w:gallery w:val="placeholder"/>
        </w:category>
        <w:types>
          <w:type w:val="bbPlcHdr"/>
        </w:types>
        <w:behaviors>
          <w:behavior w:val="content"/>
        </w:behaviors>
        <w:guid w:val="{7F812734-48AD-41D3-A295-35381D30CE18}"/>
      </w:docPartPr>
      <w:docPartBody>
        <w:p w:rsidR="00124F78" w:rsidRDefault="003D451A">
          <w:pPr>
            <w:pStyle w:val="138B5B086CE346408C01662BD7745ED5"/>
          </w:pPr>
          <w:r w:rsidRPr="00501B56">
            <w:rPr>
              <w:rFonts w:ascii="Arial" w:hAnsi="Arial" w:cs="Arial"/>
              <w:sz w:val="18"/>
              <w:szCs w:val="18"/>
            </w:rPr>
            <w:t>Apoyo al Cliente</w:t>
          </w:r>
        </w:p>
      </w:docPartBody>
    </w:docPart>
    <w:docPart>
      <w:docPartPr>
        <w:name w:val="468274084A1D44B6A3288FB87CB3A228"/>
        <w:category>
          <w:name w:val="General"/>
          <w:gallery w:val="placeholder"/>
        </w:category>
        <w:types>
          <w:type w:val="bbPlcHdr"/>
        </w:types>
        <w:behaviors>
          <w:behavior w:val="content"/>
        </w:behaviors>
        <w:guid w:val="{FAFC3B04-DB4C-4829-83A7-94EA9836E203}"/>
      </w:docPartPr>
      <w:docPartBody>
        <w:p w:rsidR="00124F78" w:rsidRDefault="003D451A">
          <w:pPr>
            <w:pStyle w:val="468274084A1D44B6A3288FB87CB3A228"/>
          </w:pPr>
          <w:r w:rsidRPr="00501B56">
            <w:rPr>
              <w:rFonts w:ascii="Arial" w:hAnsi="Arial" w:cs="Arial"/>
              <w:sz w:val="18"/>
              <w:szCs w:val="18"/>
            </w:rPr>
            <w:t>Fortalecimiento de la Red Nacional de Alerta Temprana del Perú</w:t>
          </w:r>
        </w:p>
      </w:docPartBody>
    </w:docPart>
    <w:docPart>
      <w:docPartPr>
        <w:name w:val="A3B40846004F403A8795C45DF2FEA6ED"/>
        <w:category>
          <w:name w:val="General"/>
          <w:gallery w:val="placeholder"/>
        </w:category>
        <w:types>
          <w:type w:val="bbPlcHdr"/>
        </w:types>
        <w:behaviors>
          <w:behavior w:val="content"/>
        </w:behaviors>
        <w:guid w:val="{92D982B1-2398-4E2D-9A26-AC82BA0BA0CD}"/>
      </w:docPartPr>
      <w:docPartBody>
        <w:p w:rsidR="00466CA1" w:rsidRDefault="005E020F">
          <w:pPr>
            <w:pStyle w:val="A3B40846004F403A8795C45DF2FEA6ED"/>
          </w:pPr>
          <w:r>
            <w:rPr>
              <w:rFonts w:ascii="Arial" w:hAnsi="Arial" w:cs="Arial"/>
              <w:sz w:val="18"/>
              <w:szCs w:val="18"/>
            </w:rPr>
            <w:t>CSD/RND-</w:t>
          </w:r>
        </w:p>
      </w:docPartBody>
    </w:docPart>
    <w:docPart>
      <w:docPartPr>
        <w:name w:val="518E55A9E5444A00A82312A1CF91D38C"/>
        <w:category>
          <w:name w:val="General"/>
          <w:gallery w:val="placeholder"/>
        </w:category>
        <w:types>
          <w:type w:val="bbPlcHdr"/>
        </w:types>
        <w:behaviors>
          <w:behavior w:val="content"/>
        </w:behaviors>
        <w:guid w:val="{46148F6F-3C5E-44BC-A279-951FABEB3FEC}"/>
      </w:docPartPr>
      <w:docPartBody>
        <w:p w:rsidR="00466CA1" w:rsidRDefault="005E020F">
          <w:pPr>
            <w:pStyle w:val="518E55A9E5444A00A82312A1CF91D38C"/>
          </w:pPr>
          <w:r>
            <w:rPr>
              <w:rFonts w:ascii="Arial" w:hAnsi="Arial" w:cs="Arial"/>
              <w:sz w:val="18"/>
              <w:szCs w:val="18"/>
            </w:rPr>
            <w:t>Perú</w:t>
          </w:r>
        </w:p>
      </w:docPartBody>
    </w:docPart>
    <w:docPart>
      <w:docPartPr>
        <w:name w:val="236EBDDDAA4640A1B6831FEB347C7928"/>
        <w:category>
          <w:name w:val="General"/>
          <w:gallery w:val="placeholder"/>
        </w:category>
        <w:types>
          <w:type w:val="bbPlcHdr"/>
        </w:types>
        <w:behaviors>
          <w:behavior w:val="content"/>
        </w:behaviors>
        <w:guid w:val="{B6A45206-6BC3-4622-8F1A-FA6A6088C7B7}"/>
      </w:docPartPr>
      <w:docPartBody>
        <w:p w:rsidR="00466CA1" w:rsidRDefault="005E020F">
          <w:pPr>
            <w:pStyle w:val="236EBDDDAA4640A1B6831FEB347C7928"/>
          </w:pPr>
          <w:r>
            <w:rPr>
              <w:rFonts w:ascii="Arial" w:hAnsi="Arial" w:cs="Arial"/>
              <w:sz w:val="18"/>
              <w:szCs w:val="18"/>
            </w:rPr>
            <w:t>Fondo Especial de</w:t>
          </w:r>
          <w:r w:rsidRPr="0069155D">
            <w:rPr>
              <w:rFonts w:ascii="Arial" w:hAnsi="Arial" w:cs="Arial"/>
              <w:sz w:val="18"/>
              <w:szCs w:val="18"/>
            </w:rPr>
            <w:t xml:space="preserve"> Japon(JSF)</w:t>
          </w:r>
        </w:p>
      </w:docPartBody>
    </w:docPart>
    <w:docPart>
      <w:docPartPr>
        <w:name w:val="322208BAEEEC4A8E9AA51B0A003625D9"/>
        <w:category>
          <w:name w:val="General"/>
          <w:gallery w:val="placeholder"/>
        </w:category>
        <w:types>
          <w:type w:val="bbPlcHdr"/>
        </w:types>
        <w:behaviors>
          <w:behavior w:val="content"/>
        </w:behaviors>
        <w:guid w:val="{E4A00374-1715-4146-A300-93724CF4E126}"/>
      </w:docPartPr>
      <w:docPartBody>
        <w:p w:rsidR="00466CA1" w:rsidRDefault="002A4783">
          <w:pPr>
            <w:pStyle w:val="322208BAEEEC4A8E9AA51B0A003625D9"/>
          </w:pPr>
          <w:r w:rsidRPr="004A0A91">
            <w:rPr>
              <w:rFonts w:ascii="Arial" w:hAnsi="Arial" w:cs="Arial"/>
              <w:sz w:val="18"/>
              <w:szCs w:val="18"/>
            </w:rPr>
            <w:t>US$0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24F78"/>
    <w:rsid w:val="00142182"/>
    <w:rsid w:val="001850C8"/>
    <w:rsid w:val="00185B34"/>
    <w:rsid w:val="001A5674"/>
    <w:rsid w:val="001B45EE"/>
    <w:rsid w:val="001B661B"/>
    <w:rsid w:val="001D373F"/>
    <w:rsid w:val="0022103E"/>
    <w:rsid w:val="002452C2"/>
    <w:rsid w:val="00254F74"/>
    <w:rsid w:val="002A4783"/>
    <w:rsid w:val="002D632A"/>
    <w:rsid w:val="00315B57"/>
    <w:rsid w:val="00320348"/>
    <w:rsid w:val="003D451A"/>
    <w:rsid w:val="003F15C7"/>
    <w:rsid w:val="003F3B06"/>
    <w:rsid w:val="00412BB1"/>
    <w:rsid w:val="00446662"/>
    <w:rsid w:val="00466CA1"/>
    <w:rsid w:val="004843B9"/>
    <w:rsid w:val="004F3C3C"/>
    <w:rsid w:val="00534ED1"/>
    <w:rsid w:val="0056121F"/>
    <w:rsid w:val="00561BFE"/>
    <w:rsid w:val="0057065C"/>
    <w:rsid w:val="00587CDD"/>
    <w:rsid w:val="005B3BA8"/>
    <w:rsid w:val="005E020F"/>
    <w:rsid w:val="006602A4"/>
    <w:rsid w:val="0066450E"/>
    <w:rsid w:val="006804EF"/>
    <w:rsid w:val="006A5A9B"/>
    <w:rsid w:val="006B16B6"/>
    <w:rsid w:val="007315FF"/>
    <w:rsid w:val="007C4340"/>
    <w:rsid w:val="007E1F65"/>
    <w:rsid w:val="00822346"/>
    <w:rsid w:val="00832CE1"/>
    <w:rsid w:val="00860CBB"/>
    <w:rsid w:val="0086276C"/>
    <w:rsid w:val="00880451"/>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96163"/>
    <w:rsid w:val="00EB5604"/>
    <w:rsid w:val="00EC5915"/>
    <w:rsid w:val="00ED6A68"/>
    <w:rsid w:val="00EE01EC"/>
    <w:rsid w:val="00F24AFF"/>
    <w:rsid w:val="00F34310"/>
    <w:rsid w:val="00FE40DC"/>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EED8EE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2A4783"/>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F21B320DC5CC4CA29D18953BBE653F7728" w:customStyle="1">
    <w:name w:val="F21B320DC5CC4CA29D18953BBE653F7728"/>
    <w:rsid w:val="002A4783"/>
    <w:rPr>
      <w:lang w:val="en-US" w:eastAsia="en-US"/>
    </w:rPr>
  </w:style>
  <w:style w:type="paragraph" w:styleId="19F5288FE7CC4C80A1FC8C20A439351A28" w:customStyle="1">
    <w:name w:val="19F5288FE7CC4C80A1FC8C20A439351A28"/>
    <w:rsid w:val="002A4783"/>
    <w:rPr>
      <w:lang w:val="en-US" w:eastAsia="en-US"/>
    </w:rPr>
  </w:style>
  <w:style w:type="paragraph" w:styleId="D43C05E765C742E5A882436BE6D57E8E16" w:customStyle="1">
    <w:name w:val="D43C05E765C742E5A882436BE6D57E8E16"/>
    <w:rsid w:val="002A4783"/>
    <w:rPr>
      <w:lang w:val="en-US" w:eastAsia="en-US"/>
    </w:rPr>
  </w:style>
  <w:style w:type="paragraph" w:styleId="D0C02570D64849D4B7AA500FE4FCEE95" w:customStyle="1">
    <w:name w:val="D0C02570D64849D4B7AA500FE4FCEE95"/>
    <w:pPr>
      <w:spacing w:after="160" w:line="259" w:lineRule="auto"/>
    </w:pPr>
    <w:rPr>
      <w:lang w:val="en-US" w:eastAsia="en-US"/>
    </w:rPr>
  </w:style>
  <w:style w:type="paragraph" w:styleId="7CA573F7BB2F4FB592AF07CD931E924E" w:customStyle="1">
    <w:name w:val="7CA573F7BB2F4FB592AF07CD931E924E"/>
    <w:pPr>
      <w:spacing w:after="160" w:line="259" w:lineRule="auto"/>
    </w:pPr>
    <w:rPr>
      <w:lang w:val="en-US" w:eastAsia="en-US"/>
    </w:rPr>
  </w:style>
  <w:style w:type="paragraph" w:styleId="0AC49DD15B2741D8B2EA253398D185D5" w:customStyle="1">
    <w:name w:val="0AC49DD15B2741D8B2EA253398D185D5"/>
    <w:pPr>
      <w:spacing w:after="160" w:line="259" w:lineRule="auto"/>
    </w:pPr>
    <w:rPr>
      <w:lang w:val="en-US" w:eastAsia="en-US"/>
    </w:rPr>
  </w:style>
  <w:style w:type="paragraph" w:styleId="138B5B086CE346408C01662BD7745ED5" w:customStyle="1">
    <w:name w:val="138B5B086CE346408C01662BD7745ED5"/>
    <w:pPr>
      <w:spacing w:after="160" w:line="259" w:lineRule="auto"/>
    </w:pPr>
    <w:rPr>
      <w:lang w:val="en-US" w:eastAsia="en-US"/>
    </w:rPr>
  </w:style>
  <w:style w:type="paragraph" w:styleId="468274084A1D44B6A3288FB87CB3A228" w:customStyle="1">
    <w:name w:val="468274084A1D44B6A3288FB87CB3A228"/>
    <w:pPr>
      <w:spacing w:after="160" w:line="259" w:lineRule="auto"/>
    </w:pPr>
    <w:rPr>
      <w:lang w:val="en-US" w:eastAsia="en-US"/>
    </w:rPr>
  </w:style>
  <w:style w:type="paragraph" w:styleId="A3B40846004F403A8795C45DF2FEA6ED" w:customStyle="1">
    <w:name w:val="A3B40846004F403A8795C45DF2FEA6ED"/>
    <w:pPr>
      <w:spacing w:after="160" w:line="259" w:lineRule="auto"/>
    </w:pPr>
    <w:rPr>
      <w:lang w:val="en-US" w:eastAsia="en-US"/>
    </w:rPr>
  </w:style>
  <w:style w:type="paragraph" w:styleId="518E55A9E5444A00A82312A1CF91D38C" w:customStyle="1">
    <w:name w:val="518E55A9E5444A00A82312A1CF91D38C"/>
    <w:pPr>
      <w:spacing w:after="160" w:line="259" w:lineRule="auto"/>
    </w:pPr>
    <w:rPr>
      <w:lang w:val="en-US" w:eastAsia="en-US"/>
    </w:rPr>
  </w:style>
  <w:style w:type="paragraph" w:styleId="236EBDDDAA4640A1B6831FEB347C7928" w:customStyle="1">
    <w:name w:val="236EBDDDAA4640A1B6831FEB347C7928"/>
    <w:pPr>
      <w:spacing w:after="160" w:line="259" w:lineRule="auto"/>
    </w:pPr>
    <w:rPr>
      <w:lang w:val="en-US" w:eastAsia="en-US"/>
    </w:rPr>
  </w:style>
  <w:style w:type="paragraph" w:styleId="322208BAEEEC4A8E9AA51B0A003625D9" w:customStyle="1">
    <w:name w:val="322208BAEEEC4A8E9AA51B0A003625D9"/>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13234C5F23D7C4597B77FE526002208" ma:contentTypeVersion="0" ma:contentTypeDescription="A content type to manage public (operations) IDB documents" ma:contentTypeScope="" ma:versionID="681617f3c2159c6b21f3f1c0dcd9d7d1">
  <xsd:schema xmlns:xsd="http://www.w3.org/2001/XMLSchema" xmlns:xs="http://www.w3.org/2001/XMLSchema" xmlns:p="http://schemas.microsoft.com/office/2006/metadata/properties" xmlns:ns2="cdc7663a-08f0-4737-9e8c-148ce897a09c" targetNamespace="http://schemas.microsoft.com/office/2006/metadata/properties" ma:root="true" ma:fieldsID="e522bb7a1d00c75fd7ea2c2cd19a668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T14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CSD/RND</Division_x0020_or_x0020_Unit>
    <_dlc_DocId xmlns="cdc7663a-08f0-4737-9e8c-148ce897a09c">EZSHARE-2088378796-4</_dlc_DocId>
    <Document_x0020_Author xmlns="cdc7663a-08f0-4737-9e8c-148ce897a09c">Chavez Elizabeth</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TermName>
          <TermId xmlns="http://schemas.microsoft.com/office/infopath/2007/PartnerControls">c988f60b-81f1-4c24-8da7-d5473741c5b0</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PE-T1453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PA-DRM</TermName>
          <TermId xmlns="http://schemas.microsoft.com/office/infopath/2007/PartnerControls">afbb464c-1cb3-4d52-bca0-aab08a1cdcf2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_dlc_DocIdUrl xmlns="cdc7663a-08f0-4737-9e8c-148ce897a09c">
      <Url>https://idbg.sharepoint.com/teams/EZ-PE-TCP/PE-T1453/_layouts/15/DocIdRedir.aspx?ID=EZSHARE-2088378796-4</Url>
      <Description>EZSHARE-2088378796-4</Description>
    </_dlc_DocIdUrl>
    <Phase xmlns="cdc7663a-08f0-4737-9e8c-148ce897a09c">ACTIVE</Phase>
    <Other_x0020_Author xmlns="cdc7663a-08f0-4737-9e8c-148ce897a09c" xsi:nil="true"/>
    <IDBDocs_x0020_Number xmlns="cdc7663a-08f0-4737-9e8c-148ce897a09c" xsi:nil="true"/>
    <TaxCatchAll xmlns="cdc7663a-08f0-4737-9e8c-148ce897a09c">
      <Value>44</Value>
      <Value>29</Value>
      <Value>331</Value>
      <Value>351</Value>
      <Value>2</Value>
    </TaxCatchAll>
    <Fiscal_x0020_Year_x0020_IDB xmlns="cdc7663a-08f0-4737-9e8c-148ce897a09c">2020</Fiscal_x0020_Year_x0020_IDB>
    <Operation_x0020_Type xmlns="cdc7663a-08f0-4737-9e8c-148ce897a09c">TCP</Operation_x0020_Typ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325D74C-A0AA-416B-B142-F553DD996BD9}"/>
</file>

<file path=customXml/itemProps2.xml><?xml version="1.0" encoding="utf-8"?>
<ds:datastoreItem xmlns:ds="http://schemas.openxmlformats.org/officeDocument/2006/customXml" ds:itemID="{F155C51C-F5B4-4570-B52B-5C7BC71B3513}"/>
</file>

<file path=customXml/itemProps3.xml><?xml version="1.0" encoding="utf-8"?>
<ds:datastoreItem xmlns:ds="http://schemas.openxmlformats.org/officeDocument/2006/customXml" ds:itemID="{DFA27AB4-34A1-4114-AE34-92485E448A4A}"/>
</file>

<file path=customXml/itemProps4.xml><?xml version="1.0" encoding="utf-8"?>
<ds:datastoreItem xmlns:ds="http://schemas.openxmlformats.org/officeDocument/2006/customXml" ds:itemID="{1CC9C729-BE99-43D1-9C40-67D820289EDC}"/>
</file>

<file path=customXml/itemProps5.xml><?xml version="1.0" encoding="utf-8"?>
<ds:datastoreItem xmlns:ds="http://schemas.openxmlformats.org/officeDocument/2006/customXml" ds:itemID="{B2659D41-0CC8-4DCA-ABD3-C2899273D68F}"/>
</file>

<file path=customXml/itemProps6.xml><?xml version="1.0" encoding="utf-8"?>
<ds:datastoreItem xmlns:ds="http://schemas.openxmlformats.org/officeDocument/2006/customXml" ds:itemID="{9DBEB636-CFAA-4D7A-BB79-6EB34D4CBB8D}"/>
</file>

<file path=docProps/app.xml><?xml version="1.0" encoding="utf-8"?>
<ap:Properties xmlns:vt="http://schemas.openxmlformats.org/officeDocument/2006/docPropsVTypes" xmlns:ap="http://schemas.openxmlformats.org/officeDocument/2006/extended-properties">
  <ap:Template>Normal.dotm</ap:Template>
  <ap:TotalTime>49</ap:TotalTime>
  <ap:Pages>9</ap:Pages>
  <ap:Words>3751</ap:Words>
  <ap:Characters>21384</ap:Characters>
  <ap:Application>Microsoft Office Word</ap:Application>
  <ap:DocSecurity>0</ap:DocSecurity>
  <ap:Lines>178</ap:Lines>
  <ap:Paragraphs>50</ap:Paragraphs>
  <ap:ScaleCrop>false</ap:ScaleCrop>
  <ap:Company>Inter-American Development Bank</ap:Company>
  <ap:LinksUpToDate>false</ap:LinksUpToDate>
  <ap:CharactersWithSpaces>25085</ap:CharactersWithSpaces>
  <ap:SharedDoc>false</ap:SharedDoc>
  <ap:HLinks>
    <vt:vector baseType="variant" size="36">
      <vt:variant>
        <vt:i4>7340136</vt:i4>
      </vt:variant>
      <vt:variant>
        <vt:i4>18</vt:i4>
      </vt:variant>
      <vt:variant>
        <vt:i4>0</vt:i4>
      </vt:variant>
      <vt:variant>
        <vt:i4>5</vt:i4>
      </vt:variant>
      <vt:variant>
        <vt:lpwstr>http://idbdocs.iadb.org/wsdocs/getDocument.aspx?DOCNUM=EZSHARE-2088378796-7</vt:lpwstr>
      </vt:variant>
      <vt:variant>
        <vt:lpwstr/>
      </vt:variant>
      <vt:variant>
        <vt:i4>7340136</vt:i4>
      </vt:variant>
      <vt:variant>
        <vt:i4>15</vt:i4>
      </vt:variant>
      <vt:variant>
        <vt:i4>0</vt:i4>
      </vt:variant>
      <vt:variant>
        <vt:i4>5</vt:i4>
      </vt:variant>
      <vt:variant>
        <vt:lpwstr>http://idbdocs.iadb.org/wsdocs/getDocument.aspx?DOCNUM=EZSHARE-2088378796-6</vt:lpwstr>
      </vt:variant>
      <vt:variant>
        <vt:lpwstr/>
      </vt:variant>
      <vt:variant>
        <vt:i4>7340136</vt:i4>
      </vt:variant>
      <vt:variant>
        <vt:i4>12</vt:i4>
      </vt:variant>
      <vt:variant>
        <vt:i4>0</vt:i4>
      </vt:variant>
      <vt:variant>
        <vt:i4>5</vt:i4>
      </vt:variant>
      <vt:variant>
        <vt:lpwstr>http://idbdocs.iadb.org/wsdocs/getDocument.aspx?DOCNUM=EZSHARE-2088378796-5</vt:lpwstr>
      </vt:variant>
      <vt:variant>
        <vt:lpwstr/>
      </vt:variant>
      <vt:variant>
        <vt:i4>7340136</vt:i4>
      </vt:variant>
      <vt:variant>
        <vt:i4>9</vt:i4>
      </vt:variant>
      <vt:variant>
        <vt:i4>0</vt:i4>
      </vt:variant>
      <vt:variant>
        <vt:i4>5</vt:i4>
      </vt:variant>
      <vt:variant>
        <vt:lpwstr>http://idbdocs.iadb.org/wsdocs/getDocument.aspx?DOCNUM=EZSHARE-2088378796-1</vt:lpwstr>
      </vt:variant>
      <vt:variant>
        <vt:lpwstr/>
      </vt:variant>
      <vt:variant>
        <vt:i4>7340136</vt:i4>
      </vt:variant>
      <vt:variant>
        <vt:i4>6</vt:i4>
      </vt:variant>
      <vt:variant>
        <vt:i4>0</vt:i4>
      </vt:variant>
      <vt:variant>
        <vt:i4>5</vt:i4>
      </vt:variant>
      <vt:variant>
        <vt:lpwstr>http://idbdocs.iadb.org/wsdocs/getDocument.aspx?DOCNUM=EZSHARE-2088378796-8</vt:lpwstr>
      </vt:variant>
      <vt:variant>
        <vt:lpwstr/>
      </vt:variant>
      <vt:variant>
        <vt:i4>5308424</vt:i4>
      </vt:variant>
      <vt:variant>
        <vt:i4>0</vt:i4>
      </vt:variant>
      <vt:variant>
        <vt:i4>0</vt:i4>
      </vt:variant>
      <vt:variant>
        <vt:i4>5</vt:i4>
      </vt:variant>
      <vt:variant>
        <vt:lpwstr>https://www.iadb.org/es/project/EC-L1221</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Chavez, Elizabeth</cp:lastModifiedBy>
  <cp:revision>178</cp:revision>
  <cp:lastPrinted>2011-03-28T08:34:00Z</cp:lastPrinted>
  <dcterms:created xsi:type="dcterms:W3CDTF">2019-05-21T12:01:00Z</dcterms:created>
  <dcterms:modified xsi:type="dcterms:W3CDTF">2020-10-09T16:01:00Z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351;#PA-DRM|afbb464c-1cb3-4d52-bca0-aab08a1cdcf2</vt:lpwstr>
  </property>
  <property fmtid="{D5CDD505-2E9C-101B-9397-08002B2CF9AE}" pid="7" name="Country">
    <vt:lpwstr>29;#PE|c988f60b-81f1-4c24-8da7-d5473741c5b0</vt:lpwstr>
  </property>
  <property fmtid="{D5CDD505-2E9C-101B-9397-08002B2CF9AE}" pid="8" name="_dlc_DocIdItemGuid">
    <vt:lpwstr>1fe6fd65-d836-4544-8ecc-2e2fa6ed0d29</vt:lpwstr>
  </property>
  <property fmtid="{D5CDD505-2E9C-101B-9397-08002B2CF9AE}" pid="9" name="Fund IDB">
    <vt:lpwstr>331;#JSF|42e89227-ec0a-483f-91bb-7a753aa184bd</vt:lpwstr>
  </property>
  <property fmtid="{D5CDD505-2E9C-101B-9397-08002B2CF9AE}" pid="10" name="Sector IDB">
    <vt:lpwstr>44;#PA|261e2b33-090b-4ab0-8e06-3aa3e7f32d57</vt:lpwstr>
  </property>
  <property fmtid="{D5CDD505-2E9C-101B-9397-08002B2CF9AE}" pid="11" name="Function Operations IDB">
    <vt:lpwstr>2;#Project Preparation Planning and Design|29ca0c72-1fc4-435f-a09c-28585cb5eac9</vt:lpwstr>
  </property>
  <property fmtid="{D5CDD505-2E9C-101B-9397-08002B2CF9AE}" pid="12" name="SharedWithUsers">
    <vt:lpwstr>142;#Chavez, Elizabeth</vt:lpwstr>
  </property>
  <property fmtid="{D5CDD505-2E9C-101B-9397-08002B2CF9AE}" pid="13" name="ContentTypeId">
    <vt:lpwstr>0x0101001A458A224826124E8B45B1D613300CFC00D13234C5F23D7C4597B77FE526002208</vt:lpwstr>
  </property>
</Properties>
</file>