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1E3C53" w14:textId="3ED75632" w:rsidR="00CE02E4" w:rsidRPr="001F10B7" w:rsidRDefault="00CE02E4" w:rsidP="00CE02E4">
      <w:pPr>
        <w:jc w:val="center"/>
        <w:rPr>
          <w:b/>
          <w:bCs/>
          <w:szCs w:val="24"/>
          <w:lang w:val="es-ES_tradnl"/>
        </w:rPr>
      </w:pPr>
      <w:r w:rsidRPr="001F10B7">
        <w:rPr>
          <w:b/>
          <w:bCs/>
          <w:szCs w:val="24"/>
          <w:lang w:val="es-ES_tradnl"/>
        </w:rPr>
        <w:t xml:space="preserve">MATRIZ DE </w:t>
      </w:r>
      <w:r w:rsidR="00911076">
        <w:rPr>
          <w:b/>
          <w:bCs/>
          <w:szCs w:val="24"/>
          <w:lang w:val="es-ES_tradnl"/>
        </w:rPr>
        <w:t>M</w:t>
      </w:r>
      <w:r w:rsidR="00911076" w:rsidRPr="00911076">
        <w:rPr>
          <w:b/>
          <w:bCs/>
          <w:szCs w:val="24"/>
          <w:lang w:val="es-ES_tradnl"/>
        </w:rPr>
        <w:t>EDIOS DE VERIFICACIÓN</w:t>
      </w:r>
    </w:p>
    <w:p w14:paraId="79FD220D" w14:textId="77777777" w:rsidR="00CE02E4" w:rsidRPr="00CE02E4" w:rsidRDefault="00CE02E4" w:rsidP="00CE02E4">
      <w:pPr>
        <w:jc w:val="center"/>
        <w:rPr>
          <w:rFonts w:ascii="Times New Roman Bold,Bold" w:hAnsi="Times New Roman Bold,Bold" w:cs="Times New Roman Bold,Bold"/>
          <w:b/>
          <w:bCs/>
          <w:szCs w:val="24"/>
          <w:lang w:val="es-ES_tradnl"/>
        </w:rPr>
      </w:pPr>
    </w:p>
    <w:p w14:paraId="7F104E1F" w14:textId="77777777" w:rsidR="00CE02E4" w:rsidRPr="00CE02E4" w:rsidRDefault="00CE02E4" w:rsidP="00CE02E4">
      <w:pPr>
        <w:jc w:val="center"/>
        <w:rPr>
          <w:b/>
          <w:smallCaps/>
          <w:sz w:val="28"/>
          <w:szCs w:val="28"/>
          <w:lang w:val="es-ES"/>
        </w:rPr>
      </w:pPr>
      <w:r w:rsidRPr="00CE02E4">
        <w:rPr>
          <w:b/>
          <w:smallCaps/>
          <w:sz w:val="28"/>
          <w:szCs w:val="28"/>
          <w:lang w:val="es-ES"/>
        </w:rPr>
        <w:t>Programa de Apoyo a la Consolidación Fiscal</w:t>
      </w:r>
    </w:p>
    <w:p w14:paraId="2F91EFC7" w14:textId="77777777" w:rsidR="008674E3" w:rsidRDefault="00CE02E4" w:rsidP="00CE02E4">
      <w:pPr>
        <w:jc w:val="center"/>
        <w:rPr>
          <w:b/>
          <w:smallCaps/>
          <w:sz w:val="28"/>
          <w:szCs w:val="28"/>
          <w:lang w:val="es-ES"/>
        </w:rPr>
      </w:pPr>
      <w:bookmarkStart w:id="0" w:name="_GoBack"/>
      <w:bookmarkEnd w:id="0"/>
      <w:r w:rsidRPr="00CE02E4">
        <w:rPr>
          <w:b/>
          <w:smallCaps/>
          <w:sz w:val="28"/>
          <w:szCs w:val="28"/>
          <w:lang w:val="es-ES"/>
        </w:rPr>
        <w:t>(HO-L1103)</w:t>
      </w:r>
    </w:p>
    <w:p w14:paraId="0CA86A28" w14:textId="77777777" w:rsidR="00CE02E4" w:rsidRDefault="00CE02E4" w:rsidP="00CE02E4">
      <w:pPr>
        <w:jc w:val="center"/>
        <w:rPr>
          <w:b/>
          <w:smallCaps/>
          <w:sz w:val="28"/>
          <w:szCs w:val="28"/>
          <w:lang w:val="es-ES"/>
        </w:rPr>
      </w:pPr>
    </w:p>
    <w:tbl>
      <w:tblPr>
        <w:tblStyle w:val="TableGrid"/>
        <w:tblW w:w="13737" w:type="dxa"/>
        <w:tblInd w:w="-162" w:type="dxa"/>
        <w:tblLayout w:type="fixed"/>
        <w:tblLook w:val="04A0" w:firstRow="1" w:lastRow="0" w:firstColumn="1" w:lastColumn="0" w:noHBand="0" w:noVBand="1"/>
      </w:tblPr>
      <w:tblGrid>
        <w:gridCol w:w="7074"/>
        <w:gridCol w:w="6663"/>
      </w:tblGrid>
      <w:tr w:rsidR="00063F5A" w:rsidRPr="002448BE" w14:paraId="2DF971C1" w14:textId="77777777" w:rsidTr="00063F5A">
        <w:tc>
          <w:tcPr>
            <w:tcW w:w="7074" w:type="dxa"/>
            <w:shd w:val="clear" w:color="auto" w:fill="C6D9F1" w:themeFill="text2" w:themeFillTint="33"/>
          </w:tcPr>
          <w:p w14:paraId="1356A730" w14:textId="77777777" w:rsidR="00063F5A" w:rsidRPr="002A40D6" w:rsidRDefault="00063F5A" w:rsidP="004A004A">
            <w:pPr>
              <w:jc w:val="center"/>
              <w:rPr>
                <w:rFonts w:ascii="Arial" w:hAnsi="Arial" w:cs="Arial"/>
                <w:b/>
                <w:smallCaps/>
                <w:sz w:val="20"/>
                <w:lang w:val="es-ES"/>
              </w:rPr>
            </w:pPr>
            <w:r w:rsidRPr="002A40D6">
              <w:rPr>
                <w:rFonts w:ascii="Arial" w:hAnsi="Arial" w:cs="Arial"/>
                <w:b/>
                <w:sz w:val="20"/>
                <w:lang w:val="es-ES"/>
              </w:rPr>
              <w:t xml:space="preserve">Acciones de Política </w:t>
            </w:r>
          </w:p>
        </w:tc>
        <w:tc>
          <w:tcPr>
            <w:tcW w:w="6663" w:type="dxa"/>
            <w:shd w:val="clear" w:color="auto" w:fill="C6D9F1" w:themeFill="text2" w:themeFillTint="33"/>
          </w:tcPr>
          <w:p w14:paraId="7E588E7C" w14:textId="329D5802" w:rsidR="00063F5A" w:rsidRPr="002A40D6" w:rsidRDefault="00063F5A" w:rsidP="002F473A">
            <w:pPr>
              <w:jc w:val="center"/>
              <w:rPr>
                <w:rFonts w:ascii="Arial" w:hAnsi="Arial" w:cs="Arial"/>
                <w:b/>
                <w:sz w:val="20"/>
                <w:lang w:val="es-ES"/>
              </w:rPr>
            </w:pPr>
            <w:r w:rsidRPr="002A40D6">
              <w:rPr>
                <w:rFonts w:ascii="Arial" w:hAnsi="Arial" w:cs="Arial"/>
                <w:b/>
                <w:sz w:val="20"/>
                <w:lang w:val="es-ES"/>
              </w:rPr>
              <w:t>Medios de Verificación -</w:t>
            </w:r>
            <w:r w:rsidR="00E31D2D">
              <w:rPr>
                <w:rFonts w:ascii="Arial" w:hAnsi="Arial" w:cs="Arial"/>
                <w:b/>
                <w:sz w:val="20"/>
                <w:lang w:val="es-ES"/>
              </w:rPr>
              <w:t xml:space="preserve"> </w:t>
            </w:r>
            <w:r w:rsidRPr="002A40D6">
              <w:rPr>
                <w:rFonts w:ascii="Arial" w:hAnsi="Arial" w:cs="Arial"/>
                <w:b/>
                <w:sz w:val="20"/>
                <w:lang w:val="es-ES"/>
              </w:rPr>
              <w:t>Programático I</w:t>
            </w:r>
          </w:p>
        </w:tc>
      </w:tr>
      <w:tr w:rsidR="0011026F" w:rsidRPr="002A40D6" w14:paraId="0F78509F" w14:textId="77777777" w:rsidTr="00E34076">
        <w:tc>
          <w:tcPr>
            <w:tcW w:w="13737" w:type="dxa"/>
            <w:gridSpan w:val="2"/>
            <w:shd w:val="clear" w:color="auto" w:fill="C6D9F1" w:themeFill="text2" w:themeFillTint="33"/>
          </w:tcPr>
          <w:p w14:paraId="594A38F7" w14:textId="0A6D1E66" w:rsidR="0011026F" w:rsidRPr="002A40D6" w:rsidRDefault="0011026F" w:rsidP="00E34076">
            <w:pPr>
              <w:rPr>
                <w:rFonts w:ascii="Arial" w:hAnsi="Arial" w:cs="Arial"/>
                <w:sz w:val="20"/>
                <w:lang w:val="es-ES"/>
              </w:rPr>
            </w:pPr>
            <w:r w:rsidRPr="002A40D6">
              <w:rPr>
                <w:rFonts w:ascii="Arial" w:hAnsi="Arial" w:cs="Arial"/>
                <w:b/>
                <w:sz w:val="20"/>
                <w:lang w:val="es-ES"/>
              </w:rPr>
              <w:t>Componente I - Estabilidad Macroeconómica</w:t>
            </w:r>
          </w:p>
        </w:tc>
      </w:tr>
      <w:tr w:rsidR="00063F5A" w:rsidRPr="002448BE" w14:paraId="5815619E" w14:textId="77777777" w:rsidTr="00063F5A">
        <w:tc>
          <w:tcPr>
            <w:tcW w:w="7074" w:type="dxa"/>
          </w:tcPr>
          <w:p w14:paraId="27B46896" w14:textId="635BEC0C" w:rsidR="00063F5A" w:rsidRPr="002448BE" w:rsidRDefault="00063F5A" w:rsidP="002448BE">
            <w:pPr>
              <w:pStyle w:val="ListParagraph"/>
              <w:ind w:left="20"/>
              <w:rPr>
                <w:rFonts w:ascii="Arial" w:hAnsi="Arial" w:cs="Arial"/>
                <w:sz w:val="20"/>
                <w:lang w:val="es-ES"/>
              </w:rPr>
            </w:pPr>
            <w:r w:rsidRPr="002A40D6">
              <w:rPr>
                <w:rFonts w:ascii="Arial" w:hAnsi="Arial" w:cs="Arial"/>
                <w:sz w:val="20"/>
                <w:lang w:val="es-ES"/>
              </w:rPr>
              <w:t>Mantener un marco de políticas macroeconómicas congruente con los objetivos del programa y con los lineamientos establecidos en la Carta de Política.</w:t>
            </w:r>
          </w:p>
        </w:tc>
        <w:tc>
          <w:tcPr>
            <w:tcW w:w="6663" w:type="dxa"/>
          </w:tcPr>
          <w:p w14:paraId="4F1D09D3" w14:textId="77777777" w:rsidR="00063F5A" w:rsidRPr="002A40D6" w:rsidRDefault="00063F5A" w:rsidP="002F5F4C">
            <w:pPr>
              <w:rPr>
                <w:rFonts w:ascii="Arial" w:hAnsi="Arial" w:cs="Arial"/>
                <w:sz w:val="20"/>
                <w:lang w:val="es-ES"/>
              </w:rPr>
            </w:pPr>
            <w:r w:rsidRPr="002A40D6">
              <w:rPr>
                <w:rFonts w:ascii="Arial" w:hAnsi="Arial" w:cs="Arial"/>
                <w:sz w:val="20"/>
                <w:lang w:val="es-ES"/>
              </w:rPr>
              <w:t>Evaluación Macroeconómica Independiente elaborada por el Banco (IMAC) y Carta de Política del Gobierno de Honduras</w:t>
            </w:r>
          </w:p>
        </w:tc>
      </w:tr>
      <w:tr w:rsidR="0011026F" w:rsidRPr="002448BE" w14:paraId="0DFCB90A" w14:textId="77777777" w:rsidTr="00E34076">
        <w:tc>
          <w:tcPr>
            <w:tcW w:w="13737" w:type="dxa"/>
            <w:gridSpan w:val="2"/>
            <w:shd w:val="clear" w:color="auto" w:fill="C6D9F1" w:themeFill="text2" w:themeFillTint="33"/>
          </w:tcPr>
          <w:p w14:paraId="15B9A507" w14:textId="77777777" w:rsidR="0011026F" w:rsidRPr="002A40D6" w:rsidRDefault="0011026F" w:rsidP="00E34076">
            <w:pPr>
              <w:rPr>
                <w:rFonts w:ascii="Arial" w:hAnsi="Arial" w:cs="Arial"/>
                <w:sz w:val="20"/>
                <w:lang w:val="es-ES"/>
              </w:rPr>
            </w:pPr>
            <w:r w:rsidRPr="002A40D6">
              <w:rPr>
                <w:rFonts w:ascii="Arial" w:hAnsi="Arial" w:cs="Arial"/>
                <w:b/>
                <w:sz w:val="20"/>
                <w:lang w:val="es-ES"/>
              </w:rPr>
              <w:t>Componente II – Fortalecimiento de la gestión macro-fiscal</w:t>
            </w:r>
          </w:p>
        </w:tc>
      </w:tr>
      <w:tr w:rsidR="00063F5A" w:rsidRPr="002A40D6" w14:paraId="3E7E20B1" w14:textId="77777777" w:rsidTr="00063F5A">
        <w:tc>
          <w:tcPr>
            <w:tcW w:w="7074" w:type="dxa"/>
          </w:tcPr>
          <w:p w14:paraId="3AFE5897" w14:textId="3B6F79A0" w:rsidR="00063F5A" w:rsidRPr="002A40D6" w:rsidRDefault="0011026F" w:rsidP="002448BE">
            <w:pPr>
              <w:ind w:left="342" w:hanging="342"/>
              <w:rPr>
                <w:rFonts w:ascii="Arial" w:hAnsi="Arial" w:cs="Arial"/>
                <w:sz w:val="20"/>
                <w:lang w:val="es-ES"/>
              </w:rPr>
            </w:pPr>
            <w:r w:rsidRPr="002A40D6">
              <w:rPr>
                <w:rFonts w:ascii="Arial" w:hAnsi="Arial" w:cs="Arial"/>
                <w:sz w:val="20"/>
                <w:lang w:val="es-ES"/>
              </w:rPr>
              <w:t>2</w:t>
            </w:r>
            <w:r w:rsidR="00063F5A" w:rsidRPr="002A40D6">
              <w:rPr>
                <w:rFonts w:ascii="Arial" w:hAnsi="Arial" w:cs="Arial"/>
                <w:sz w:val="20"/>
                <w:lang w:val="es-ES"/>
              </w:rPr>
              <w:t>.1 Fortalecimiento de los instrumentos que generan mayor predictibilidad y guíen las decisiones de la política fiscal, mediante la  elaboración por primera vez de un Marco Fiscal de Mediano Plazo, incluyendo metas fiscales, así como una política de endeudamiento público</w:t>
            </w:r>
            <w:r w:rsidR="00063F5A" w:rsidRPr="002A40D6">
              <w:rPr>
                <w:rFonts w:ascii="Arial" w:hAnsi="Arial" w:cs="Arial"/>
                <w:iCs/>
                <w:sz w:val="20"/>
                <w:lang w:val="es-ES"/>
              </w:rPr>
              <w:t xml:space="preserve"> con análisis de sostenibilidad de la deuda</w:t>
            </w:r>
            <w:r w:rsidR="00063F5A" w:rsidRPr="002A40D6">
              <w:rPr>
                <w:rFonts w:ascii="Arial" w:hAnsi="Arial" w:cs="Arial"/>
                <w:sz w:val="20"/>
                <w:lang w:val="es-ES_tradnl"/>
              </w:rPr>
              <w:t>.</w:t>
            </w:r>
            <w:r w:rsidR="00063F5A" w:rsidRPr="002A40D6">
              <w:rPr>
                <w:rFonts w:ascii="Arial" w:eastAsiaTheme="minorEastAsia" w:hAnsi="Arial" w:cs="Arial"/>
                <w:bCs/>
                <w:sz w:val="20"/>
                <w:lang w:val="es-ES"/>
              </w:rPr>
              <w:t xml:space="preserve"> </w:t>
            </w:r>
          </w:p>
        </w:tc>
        <w:tc>
          <w:tcPr>
            <w:tcW w:w="6663" w:type="dxa"/>
          </w:tcPr>
          <w:p w14:paraId="4A996402" w14:textId="29588497" w:rsidR="00063F5A" w:rsidRPr="002A40D6" w:rsidRDefault="0011026F" w:rsidP="005659DA">
            <w:pPr>
              <w:rPr>
                <w:rFonts w:ascii="Arial" w:hAnsi="Arial" w:cs="Arial"/>
                <w:sz w:val="20"/>
                <w:lang w:val="es-ES"/>
              </w:rPr>
            </w:pPr>
            <w:r w:rsidRPr="002A40D6">
              <w:rPr>
                <w:rFonts w:ascii="Arial" w:hAnsi="Arial" w:cs="Arial"/>
                <w:sz w:val="20"/>
                <w:lang w:val="es-ES"/>
              </w:rPr>
              <w:t>2</w:t>
            </w:r>
            <w:r w:rsidR="00063F5A" w:rsidRPr="002A40D6">
              <w:rPr>
                <w:rFonts w:ascii="Arial" w:hAnsi="Arial" w:cs="Arial"/>
                <w:sz w:val="20"/>
                <w:lang w:val="es-ES"/>
              </w:rPr>
              <w:t>.1 Documentos referentes a:</w:t>
            </w:r>
          </w:p>
          <w:p w14:paraId="799E81AE" w14:textId="3BB7402A" w:rsidR="00063F5A" w:rsidRPr="002A40D6" w:rsidRDefault="00063F5A" w:rsidP="005659DA">
            <w:pPr>
              <w:pStyle w:val="ListParagraph"/>
              <w:numPr>
                <w:ilvl w:val="0"/>
                <w:numId w:val="9"/>
              </w:numPr>
              <w:ind w:left="432"/>
              <w:rPr>
                <w:rFonts w:ascii="Arial" w:hAnsi="Arial" w:cs="Arial"/>
                <w:sz w:val="20"/>
                <w:lang w:val="es-ES"/>
              </w:rPr>
            </w:pPr>
            <w:r w:rsidRPr="002A40D6">
              <w:rPr>
                <w:rFonts w:ascii="Arial" w:hAnsi="Arial" w:cs="Arial"/>
                <w:sz w:val="20"/>
                <w:lang w:val="es-ES"/>
              </w:rPr>
              <w:t>Marco Macro Fiscal de Mediano Plazo 2016-19 publicado y presentado como anexo del Anteproyecto del Presupuesto 2016-19;</w:t>
            </w:r>
          </w:p>
          <w:p w14:paraId="50E1F210" w14:textId="77777777" w:rsidR="00063F5A" w:rsidRPr="002A40D6" w:rsidRDefault="00063F5A" w:rsidP="005659DA">
            <w:pPr>
              <w:pStyle w:val="ListParagraph"/>
              <w:numPr>
                <w:ilvl w:val="0"/>
                <w:numId w:val="9"/>
              </w:numPr>
              <w:ind w:left="432"/>
              <w:rPr>
                <w:rFonts w:ascii="Arial" w:hAnsi="Arial" w:cs="Arial"/>
                <w:sz w:val="20"/>
                <w:lang w:val="es-ES"/>
              </w:rPr>
            </w:pPr>
            <w:r w:rsidRPr="002A40D6">
              <w:rPr>
                <w:rFonts w:ascii="Arial" w:hAnsi="Arial" w:cs="Arial"/>
                <w:iCs/>
                <w:sz w:val="20"/>
                <w:lang w:val="es-ES"/>
              </w:rPr>
              <w:t>Política de endeudamiento público 2016-19</w:t>
            </w:r>
          </w:p>
          <w:p w14:paraId="0710216A" w14:textId="77777777" w:rsidR="00063F5A" w:rsidRPr="002A40D6" w:rsidRDefault="00063F5A" w:rsidP="00FE5BE3">
            <w:pPr>
              <w:pStyle w:val="ListParagraph"/>
              <w:ind w:left="432"/>
              <w:rPr>
                <w:rFonts w:ascii="Arial" w:hAnsi="Arial" w:cs="Arial"/>
                <w:sz w:val="20"/>
                <w:lang w:val="es-ES"/>
              </w:rPr>
            </w:pPr>
          </w:p>
          <w:p w14:paraId="10DE8B92" w14:textId="77777777" w:rsidR="00063F5A" w:rsidRPr="002A40D6" w:rsidRDefault="00063F5A" w:rsidP="005659DA">
            <w:pPr>
              <w:rPr>
                <w:rFonts w:ascii="Arial" w:hAnsi="Arial" w:cs="Arial"/>
                <w:sz w:val="20"/>
                <w:lang w:val="es-ES"/>
              </w:rPr>
            </w:pPr>
            <w:r w:rsidRPr="002A40D6">
              <w:rPr>
                <w:rFonts w:ascii="Arial" w:hAnsi="Arial" w:cs="Arial"/>
                <w:iCs/>
                <w:sz w:val="20"/>
                <w:lang w:val="es-ES"/>
              </w:rPr>
              <w:t xml:space="preserve">Responsable: </w:t>
            </w:r>
            <w:r w:rsidRPr="002A40D6">
              <w:rPr>
                <w:rFonts w:ascii="Arial" w:hAnsi="Arial" w:cs="Arial"/>
                <w:sz w:val="20"/>
                <w:lang w:val="es-ES"/>
              </w:rPr>
              <w:t>SEFIN</w:t>
            </w:r>
          </w:p>
        </w:tc>
      </w:tr>
      <w:tr w:rsidR="00063F5A" w:rsidRPr="002A40D6" w14:paraId="317987C8" w14:textId="77777777" w:rsidTr="00063F5A">
        <w:tc>
          <w:tcPr>
            <w:tcW w:w="7074" w:type="dxa"/>
          </w:tcPr>
          <w:p w14:paraId="5DE5A6A8" w14:textId="047132FD" w:rsidR="00063F5A" w:rsidRPr="002A40D6" w:rsidRDefault="0011026F" w:rsidP="002448BE">
            <w:pPr>
              <w:ind w:left="342" w:hanging="342"/>
              <w:rPr>
                <w:rFonts w:ascii="Arial" w:hAnsi="Arial" w:cs="Arial"/>
                <w:sz w:val="20"/>
                <w:lang w:val="es-ES"/>
              </w:rPr>
            </w:pPr>
            <w:r w:rsidRPr="002A40D6">
              <w:rPr>
                <w:rFonts w:ascii="Arial" w:hAnsi="Arial" w:cs="Arial"/>
                <w:sz w:val="20"/>
                <w:lang w:val="es-ES"/>
              </w:rPr>
              <w:t>2</w:t>
            </w:r>
            <w:r w:rsidR="00063F5A" w:rsidRPr="002A40D6">
              <w:rPr>
                <w:rFonts w:ascii="Arial" w:hAnsi="Arial" w:cs="Arial"/>
                <w:sz w:val="20"/>
                <w:lang w:val="es-ES"/>
              </w:rPr>
              <w:t xml:space="preserve">.2 Modernización de la estructura, responsabilidades y funciones de SEFIN para mejorar la capacidad de análisis macro-fiscal, mediante la creación de la Dirección de Política Macro-Fiscal. </w:t>
            </w:r>
          </w:p>
        </w:tc>
        <w:tc>
          <w:tcPr>
            <w:tcW w:w="6663" w:type="dxa"/>
          </w:tcPr>
          <w:p w14:paraId="4E375C96" w14:textId="5F293505" w:rsidR="00063F5A" w:rsidRPr="002A40D6" w:rsidRDefault="0011026F" w:rsidP="005659DA">
            <w:pPr>
              <w:rPr>
                <w:rFonts w:ascii="Arial" w:hAnsi="Arial" w:cs="Arial"/>
                <w:sz w:val="20"/>
                <w:lang w:val="es-ES"/>
              </w:rPr>
            </w:pPr>
            <w:r w:rsidRPr="002A40D6">
              <w:rPr>
                <w:rFonts w:ascii="Arial" w:hAnsi="Arial" w:cs="Arial"/>
                <w:sz w:val="20"/>
                <w:lang w:val="es-ES"/>
              </w:rPr>
              <w:t>2</w:t>
            </w:r>
            <w:r w:rsidR="00063F5A" w:rsidRPr="002A40D6">
              <w:rPr>
                <w:rFonts w:ascii="Arial" w:hAnsi="Arial" w:cs="Arial"/>
                <w:sz w:val="20"/>
                <w:lang w:val="es-ES"/>
              </w:rPr>
              <w:t xml:space="preserve">.2 Decreto ejecutivo de la </w:t>
            </w:r>
            <w:r w:rsidR="00063F5A" w:rsidRPr="002A40D6">
              <w:rPr>
                <w:rFonts w:ascii="Arial" w:hAnsi="Arial" w:cs="Arial"/>
                <w:sz w:val="20"/>
                <w:lang w:val="es-ES_tradnl"/>
              </w:rPr>
              <w:t xml:space="preserve">creación de la Dirección de Política Macro-Fiscal </w:t>
            </w:r>
          </w:p>
          <w:p w14:paraId="3CE7D35D" w14:textId="77777777" w:rsidR="00063F5A" w:rsidRPr="002A40D6" w:rsidRDefault="00063F5A" w:rsidP="005659DA">
            <w:pPr>
              <w:rPr>
                <w:rFonts w:ascii="Arial" w:hAnsi="Arial" w:cs="Arial"/>
                <w:sz w:val="20"/>
                <w:lang w:val="es-ES_tradnl"/>
              </w:rPr>
            </w:pPr>
          </w:p>
          <w:p w14:paraId="24A46DB4" w14:textId="77777777" w:rsidR="00063F5A" w:rsidRPr="002A40D6" w:rsidRDefault="00063F5A" w:rsidP="005659DA">
            <w:pPr>
              <w:rPr>
                <w:rFonts w:ascii="Arial" w:hAnsi="Arial" w:cs="Arial"/>
                <w:sz w:val="20"/>
                <w:lang w:val="es-ES"/>
              </w:rPr>
            </w:pPr>
            <w:r w:rsidRPr="002A40D6">
              <w:rPr>
                <w:rFonts w:ascii="Arial" w:hAnsi="Arial" w:cs="Arial"/>
                <w:sz w:val="20"/>
                <w:lang w:val="es-ES_tradnl"/>
              </w:rPr>
              <w:t>Responsable: SEFIN</w:t>
            </w:r>
          </w:p>
          <w:p w14:paraId="531160D7" w14:textId="77777777" w:rsidR="00063F5A" w:rsidRPr="002A40D6" w:rsidRDefault="00063F5A" w:rsidP="005659DA">
            <w:pPr>
              <w:rPr>
                <w:rFonts w:ascii="Arial" w:hAnsi="Arial" w:cs="Arial"/>
                <w:sz w:val="20"/>
                <w:lang w:val="es-ES"/>
              </w:rPr>
            </w:pPr>
            <w:r w:rsidRPr="002A40D6">
              <w:rPr>
                <w:rFonts w:ascii="Arial" w:hAnsi="Arial" w:cs="Arial"/>
                <w:sz w:val="20"/>
                <w:lang w:val="es-ES"/>
              </w:rPr>
              <w:t xml:space="preserve"> </w:t>
            </w:r>
          </w:p>
        </w:tc>
      </w:tr>
      <w:tr w:rsidR="00063F5A" w:rsidRPr="002A40D6" w14:paraId="5B8C65BC" w14:textId="77777777" w:rsidTr="00063F5A">
        <w:tc>
          <w:tcPr>
            <w:tcW w:w="7074" w:type="dxa"/>
          </w:tcPr>
          <w:p w14:paraId="1ACB7288" w14:textId="248436F8" w:rsidR="00063F5A" w:rsidRPr="002A40D6" w:rsidRDefault="0011026F" w:rsidP="002448BE">
            <w:pPr>
              <w:ind w:left="342" w:hanging="342"/>
              <w:rPr>
                <w:rFonts w:ascii="Arial" w:hAnsi="Arial" w:cs="Arial"/>
                <w:sz w:val="20"/>
                <w:lang w:val="es-ES"/>
              </w:rPr>
            </w:pPr>
            <w:r w:rsidRPr="002A40D6">
              <w:rPr>
                <w:rFonts w:ascii="Arial" w:hAnsi="Arial" w:cs="Arial"/>
                <w:sz w:val="20"/>
                <w:lang w:val="es-ES"/>
              </w:rPr>
              <w:t>2</w:t>
            </w:r>
            <w:r w:rsidR="00063F5A" w:rsidRPr="002A40D6">
              <w:rPr>
                <w:rFonts w:ascii="Arial" w:hAnsi="Arial" w:cs="Arial"/>
                <w:sz w:val="20"/>
                <w:lang w:val="es-ES"/>
              </w:rPr>
              <w:t xml:space="preserve">.3 Fortalecimiento del marco institucional para establecer la disciplina fiscal, mediante la introducción de una ley de responsabilidad y transparencia fiscal. </w:t>
            </w:r>
          </w:p>
        </w:tc>
        <w:tc>
          <w:tcPr>
            <w:tcW w:w="6663" w:type="dxa"/>
          </w:tcPr>
          <w:p w14:paraId="09F596F0" w14:textId="783E193B" w:rsidR="00063F5A" w:rsidRPr="002A40D6" w:rsidRDefault="0011026F" w:rsidP="000C6072">
            <w:pPr>
              <w:rPr>
                <w:rFonts w:ascii="Arial" w:hAnsi="Arial" w:cs="Arial"/>
                <w:sz w:val="20"/>
                <w:lang w:val="es-ES"/>
              </w:rPr>
            </w:pPr>
            <w:r w:rsidRPr="002A40D6">
              <w:rPr>
                <w:rFonts w:ascii="Arial" w:hAnsi="Arial" w:cs="Arial"/>
                <w:sz w:val="20"/>
                <w:lang w:val="es-ES"/>
              </w:rPr>
              <w:t>2</w:t>
            </w:r>
            <w:r w:rsidR="00063F5A" w:rsidRPr="002A40D6">
              <w:rPr>
                <w:rFonts w:ascii="Arial" w:hAnsi="Arial" w:cs="Arial"/>
                <w:sz w:val="20"/>
                <w:lang w:val="es-ES"/>
              </w:rPr>
              <w:t xml:space="preserve">.3 Anteproyecto de Decreto de Ley de Responsabilidad y Transparencia Fiscal preparado por SEFIN </w:t>
            </w:r>
          </w:p>
          <w:p w14:paraId="220FD71B" w14:textId="77777777" w:rsidR="00063F5A" w:rsidRPr="002A40D6" w:rsidRDefault="00063F5A" w:rsidP="000C6072">
            <w:pPr>
              <w:rPr>
                <w:rFonts w:ascii="Arial" w:hAnsi="Arial" w:cs="Arial"/>
                <w:sz w:val="20"/>
                <w:lang w:val="es-ES"/>
              </w:rPr>
            </w:pPr>
          </w:p>
          <w:p w14:paraId="54BBE0A7" w14:textId="77777777" w:rsidR="00063F5A" w:rsidRPr="002A40D6" w:rsidRDefault="00063F5A" w:rsidP="000C6072">
            <w:pPr>
              <w:rPr>
                <w:rFonts w:ascii="Arial" w:hAnsi="Arial" w:cs="Arial"/>
                <w:sz w:val="20"/>
                <w:lang w:val="es-ES"/>
              </w:rPr>
            </w:pPr>
            <w:r w:rsidRPr="002A40D6">
              <w:rPr>
                <w:rFonts w:ascii="Arial" w:hAnsi="Arial" w:cs="Arial"/>
                <w:sz w:val="20"/>
                <w:lang w:val="es-ES"/>
              </w:rPr>
              <w:t xml:space="preserve">Responsable: SEFIN </w:t>
            </w:r>
          </w:p>
        </w:tc>
      </w:tr>
      <w:tr w:rsidR="0011026F" w:rsidRPr="002448BE" w14:paraId="6BE1D19B" w14:textId="77777777" w:rsidTr="00E34076">
        <w:tc>
          <w:tcPr>
            <w:tcW w:w="13737" w:type="dxa"/>
            <w:gridSpan w:val="2"/>
            <w:shd w:val="clear" w:color="auto" w:fill="C6D9F1" w:themeFill="text2" w:themeFillTint="33"/>
          </w:tcPr>
          <w:p w14:paraId="31718AAD" w14:textId="55DD267B" w:rsidR="0011026F" w:rsidRPr="002A40D6" w:rsidRDefault="0011026F" w:rsidP="00E34076">
            <w:pPr>
              <w:rPr>
                <w:rFonts w:ascii="Arial" w:hAnsi="Arial" w:cs="Arial"/>
                <w:sz w:val="20"/>
                <w:lang w:val="es-ES"/>
              </w:rPr>
            </w:pPr>
            <w:r w:rsidRPr="002A40D6">
              <w:rPr>
                <w:rFonts w:ascii="Arial" w:hAnsi="Arial" w:cs="Arial"/>
                <w:b/>
                <w:sz w:val="20"/>
                <w:lang w:val="es-ES"/>
              </w:rPr>
              <w:t>Componente III – Modernización de la gestión de ingresos tributarios y aduaneros</w:t>
            </w:r>
          </w:p>
        </w:tc>
      </w:tr>
      <w:tr w:rsidR="00063F5A" w:rsidRPr="002448BE" w14:paraId="16194DAD" w14:textId="77777777" w:rsidTr="00063F5A">
        <w:tc>
          <w:tcPr>
            <w:tcW w:w="7074" w:type="dxa"/>
          </w:tcPr>
          <w:p w14:paraId="20BD2961" w14:textId="7B86ED2C" w:rsidR="00063F5A" w:rsidRPr="002A40D6" w:rsidRDefault="0011026F" w:rsidP="002448BE">
            <w:pPr>
              <w:ind w:left="342" w:hanging="342"/>
              <w:rPr>
                <w:rFonts w:ascii="Arial" w:hAnsi="Arial" w:cs="Arial"/>
                <w:sz w:val="20"/>
                <w:lang w:val="es-ES"/>
              </w:rPr>
            </w:pPr>
            <w:r w:rsidRPr="002A40D6">
              <w:rPr>
                <w:rFonts w:ascii="Arial" w:hAnsi="Arial" w:cs="Arial"/>
                <w:sz w:val="20"/>
                <w:lang w:val="es-ES"/>
              </w:rPr>
              <w:t>3</w:t>
            </w:r>
            <w:r w:rsidR="00063F5A" w:rsidRPr="002A40D6">
              <w:rPr>
                <w:rFonts w:ascii="Arial" w:hAnsi="Arial" w:cs="Arial"/>
                <w:sz w:val="20"/>
                <w:lang w:val="es-ES"/>
              </w:rPr>
              <w:t>.1 Fortalecimiento de la gestión de la Administración Tributaria y Aduanera, por medio de la creación del nuevo Servicio de Administración de Rentas (SAR), r</w:t>
            </w:r>
            <w:r w:rsidR="00521220">
              <w:rPr>
                <w:rFonts w:ascii="Arial" w:hAnsi="Arial" w:cs="Arial"/>
                <w:sz w:val="20"/>
                <w:lang w:val="es-ES"/>
              </w:rPr>
              <w:t>ee</w:t>
            </w:r>
            <w:r w:rsidR="00063F5A" w:rsidRPr="002A40D6">
              <w:rPr>
                <w:rFonts w:ascii="Arial" w:hAnsi="Arial" w:cs="Arial"/>
                <w:sz w:val="20"/>
                <w:lang w:val="es-ES"/>
              </w:rPr>
              <w:t>emplazando a la actual Dirección Ejecutiva de Ingresos (DEI).</w:t>
            </w:r>
          </w:p>
        </w:tc>
        <w:tc>
          <w:tcPr>
            <w:tcW w:w="6663" w:type="dxa"/>
          </w:tcPr>
          <w:p w14:paraId="13E93F3D" w14:textId="1DBE20EF" w:rsidR="00063F5A" w:rsidRPr="002A40D6" w:rsidRDefault="0011026F" w:rsidP="00197AA1">
            <w:pPr>
              <w:rPr>
                <w:rFonts w:ascii="Arial" w:hAnsi="Arial" w:cs="Arial"/>
                <w:sz w:val="20"/>
                <w:lang w:val="es-ES"/>
              </w:rPr>
            </w:pPr>
            <w:r w:rsidRPr="002A40D6">
              <w:rPr>
                <w:rFonts w:ascii="Arial" w:hAnsi="Arial" w:cs="Arial"/>
                <w:sz w:val="20"/>
                <w:lang w:val="es-ES"/>
              </w:rPr>
              <w:t>3</w:t>
            </w:r>
            <w:r w:rsidR="00063F5A" w:rsidRPr="002A40D6">
              <w:rPr>
                <w:rFonts w:ascii="Arial" w:hAnsi="Arial" w:cs="Arial"/>
                <w:sz w:val="20"/>
                <w:lang w:val="es-ES"/>
              </w:rPr>
              <w:t>.1 Decretos Ejecutivos sobre:</w:t>
            </w:r>
          </w:p>
          <w:p w14:paraId="762BC832" w14:textId="77777777" w:rsidR="00063F5A" w:rsidRPr="002A40D6" w:rsidRDefault="00063F5A" w:rsidP="00AA0977">
            <w:pPr>
              <w:pStyle w:val="ListParagraph"/>
              <w:numPr>
                <w:ilvl w:val="0"/>
                <w:numId w:val="8"/>
              </w:numPr>
              <w:rPr>
                <w:rFonts w:ascii="Arial" w:hAnsi="Arial" w:cs="Arial"/>
                <w:sz w:val="20"/>
                <w:lang w:val="es-ES"/>
              </w:rPr>
            </w:pPr>
            <w:r w:rsidRPr="002A40D6">
              <w:rPr>
                <w:rFonts w:ascii="Arial" w:hAnsi="Arial" w:cs="Arial"/>
                <w:sz w:val="20"/>
                <w:lang w:val="es-ES"/>
              </w:rPr>
              <w:t>Supresión de la DEI</w:t>
            </w:r>
            <w:r w:rsidRPr="002A40D6">
              <w:rPr>
                <w:rFonts w:ascii="Arial" w:hAnsi="Arial" w:cs="Arial"/>
                <w:iCs/>
                <w:sz w:val="20"/>
                <w:lang w:val="es-ES"/>
              </w:rPr>
              <w:t>;</w:t>
            </w:r>
          </w:p>
          <w:p w14:paraId="08AC197B" w14:textId="77777777" w:rsidR="00063F5A" w:rsidRPr="002A40D6" w:rsidRDefault="00063F5A" w:rsidP="00AA0977">
            <w:pPr>
              <w:pStyle w:val="ListParagraph"/>
              <w:numPr>
                <w:ilvl w:val="0"/>
                <w:numId w:val="8"/>
              </w:numPr>
              <w:rPr>
                <w:rFonts w:ascii="Arial" w:hAnsi="Arial" w:cs="Arial"/>
                <w:sz w:val="20"/>
                <w:lang w:val="es-ES"/>
              </w:rPr>
            </w:pPr>
            <w:r w:rsidRPr="002A40D6">
              <w:rPr>
                <w:rFonts w:ascii="Arial" w:hAnsi="Arial" w:cs="Arial"/>
                <w:iCs/>
                <w:sz w:val="20"/>
                <w:lang w:val="es-ES"/>
              </w:rPr>
              <w:t>Creación del Servicio de Administración de Rentas;</w:t>
            </w:r>
          </w:p>
          <w:p w14:paraId="4D5A4C24" w14:textId="11D2864D" w:rsidR="00063F5A" w:rsidRPr="002A40D6" w:rsidRDefault="00063F5A" w:rsidP="00AA0977">
            <w:pPr>
              <w:pStyle w:val="ListParagraph"/>
              <w:numPr>
                <w:ilvl w:val="0"/>
                <w:numId w:val="8"/>
              </w:numPr>
              <w:rPr>
                <w:rFonts w:ascii="Arial" w:hAnsi="Arial" w:cs="Arial"/>
                <w:sz w:val="20"/>
                <w:lang w:val="es-ES"/>
              </w:rPr>
            </w:pPr>
            <w:r w:rsidRPr="002A40D6">
              <w:rPr>
                <w:rFonts w:ascii="Arial" w:hAnsi="Arial" w:cs="Arial"/>
                <w:sz w:val="20"/>
                <w:lang w:val="es-ES_tradnl"/>
              </w:rPr>
              <w:t>Estatuto Orgánico del SAR</w:t>
            </w:r>
            <w:r w:rsidRPr="002A40D6">
              <w:rPr>
                <w:rFonts w:ascii="Arial" w:hAnsi="Arial" w:cs="Arial"/>
                <w:iCs/>
                <w:sz w:val="20"/>
                <w:lang w:val="es-ES"/>
              </w:rPr>
              <w:t xml:space="preserve"> </w:t>
            </w:r>
          </w:p>
          <w:p w14:paraId="511A4FC4" w14:textId="77777777" w:rsidR="00063F5A" w:rsidRPr="002A40D6" w:rsidRDefault="00063F5A" w:rsidP="00DE4FA5">
            <w:pPr>
              <w:rPr>
                <w:rFonts w:ascii="Arial" w:hAnsi="Arial" w:cs="Arial"/>
                <w:sz w:val="20"/>
                <w:lang w:val="es-ES"/>
              </w:rPr>
            </w:pPr>
          </w:p>
          <w:p w14:paraId="7972E67F" w14:textId="77777777" w:rsidR="00063F5A" w:rsidRPr="002A40D6" w:rsidRDefault="00063F5A" w:rsidP="00DE4FA5">
            <w:pPr>
              <w:rPr>
                <w:rFonts w:ascii="Arial" w:hAnsi="Arial" w:cs="Arial"/>
                <w:sz w:val="20"/>
                <w:lang w:val="es-ES"/>
              </w:rPr>
            </w:pPr>
            <w:r w:rsidRPr="002A40D6">
              <w:rPr>
                <w:rFonts w:ascii="Arial" w:hAnsi="Arial" w:cs="Arial"/>
                <w:sz w:val="20"/>
                <w:lang w:val="es-ES"/>
              </w:rPr>
              <w:t>Responsable: Poder Ejecutivo y DEI</w:t>
            </w:r>
          </w:p>
        </w:tc>
      </w:tr>
      <w:tr w:rsidR="00063F5A" w:rsidRPr="002A40D6" w14:paraId="2F3DC8C0" w14:textId="77777777" w:rsidTr="00063F5A">
        <w:trPr>
          <w:trHeight w:val="1547"/>
        </w:trPr>
        <w:tc>
          <w:tcPr>
            <w:tcW w:w="7074" w:type="dxa"/>
          </w:tcPr>
          <w:p w14:paraId="2DB7A0EA" w14:textId="4AB5676C" w:rsidR="00063F5A" w:rsidRPr="002A40D6" w:rsidRDefault="0011026F" w:rsidP="002448BE">
            <w:pPr>
              <w:ind w:left="342" w:hanging="342"/>
              <w:rPr>
                <w:rFonts w:ascii="Arial" w:hAnsi="Arial" w:cs="Arial"/>
                <w:sz w:val="20"/>
                <w:lang w:val="es-ES"/>
              </w:rPr>
            </w:pPr>
            <w:r w:rsidRPr="002A40D6">
              <w:rPr>
                <w:rFonts w:ascii="Arial" w:hAnsi="Arial" w:cs="Arial"/>
                <w:sz w:val="20"/>
                <w:lang w:val="es-ES"/>
              </w:rPr>
              <w:t>3</w:t>
            </w:r>
            <w:r w:rsidR="00063F5A" w:rsidRPr="002A40D6">
              <w:rPr>
                <w:rFonts w:ascii="Arial" w:hAnsi="Arial" w:cs="Arial"/>
                <w:sz w:val="20"/>
                <w:lang w:val="es-ES"/>
              </w:rPr>
              <w:t xml:space="preserve">.2 Mejora de la gestión del Impuesto sobre Ventas (ISV), por medio del establecimiento de las bases normativas para la implementación del uso de la factura electrónica para un control más efectivo del impuesto y reducir la evasión fiscal. </w:t>
            </w:r>
          </w:p>
        </w:tc>
        <w:tc>
          <w:tcPr>
            <w:tcW w:w="6663" w:type="dxa"/>
          </w:tcPr>
          <w:p w14:paraId="78A4F291" w14:textId="35C0882A" w:rsidR="00063F5A" w:rsidRPr="002A40D6" w:rsidRDefault="0011026F" w:rsidP="00197AA1">
            <w:pPr>
              <w:rPr>
                <w:rFonts w:ascii="Arial" w:hAnsi="Arial" w:cs="Arial"/>
                <w:sz w:val="20"/>
                <w:lang w:val="es-ES"/>
              </w:rPr>
            </w:pPr>
            <w:r w:rsidRPr="002A40D6">
              <w:rPr>
                <w:rFonts w:ascii="Arial" w:hAnsi="Arial" w:cs="Arial"/>
                <w:sz w:val="20"/>
                <w:lang w:val="es-ES"/>
              </w:rPr>
              <w:t>3</w:t>
            </w:r>
            <w:r w:rsidR="00063F5A" w:rsidRPr="002A40D6">
              <w:rPr>
                <w:rFonts w:ascii="Arial" w:hAnsi="Arial" w:cs="Arial"/>
                <w:sz w:val="20"/>
                <w:lang w:val="es-ES"/>
              </w:rPr>
              <w:t>.2 Puesta en vigencia de la siguiente normativa:</w:t>
            </w:r>
          </w:p>
          <w:p w14:paraId="6AFAA267" w14:textId="14FB7984" w:rsidR="00063F5A" w:rsidRPr="002A40D6" w:rsidRDefault="00063F5A" w:rsidP="00A66BA8">
            <w:pPr>
              <w:pStyle w:val="ListParagraph"/>
              <w:numPr>
                <w:ilvl w:val="0"/>
                <w:numId w:val="43"/>
              </w:numPr>
              <w:ind w:left="432"/>
              <w:rPr>
                <w:rFonts w:ascii="Arial" w:hAnsi="Arial" w:cs="Arial"/>
                <w:sz w:val="20"/>
                <w:lang w:val="es-ES"/>
              </w:rPr>
            </w:pPr>
            <w:r w:rsidRPr="002A40D6">
              <w:rPr>
                <w:rFonts w:ascii="Arial" w:hAnsi="Arial" w:cs="Arial"/>
                <w:sz w:val="20"/>
                <w:lang w:val="es-ES"/>
              </w:rPr>
              <w:t>Reglamentación de la Ley sobre firmas electrónicas;</w:t>
            </w:r>
          </w:p>
          <w:p w14:paraId="2C3541D4" w14:textId="77777777" w:rsidR="00063F5A" w:rsidRPr="002A40D6" w:rsidRDefault="00063F5A" w:rsidP="00A66BA8">
            <w:pPr>
              <w:pStyle w:val="ListParagraph"/>
              <w:numPr>
                <w:ilvl w:val="0"/>
                <w:numId w:val="43"/>
              </w:numPr>
              <w:ind w:left="432"/>
              <w:rPr>
                <w:rFonts w:ascii="Arial" w:hAnsi="Arial" w:cs="Arial"/>
                <w:sz w:val="20"/>
                <w:lang w:val="es-ES"/>
              </w:rPr>
            </w:pPr>
            <w:r w:rsidRPr="002A40D6">
              <w:rPr>
                <w:rFonts w:ascii="Arial" w:hAnsi="Arial" w:cs="Arial"/>
                <w:iCs/>
                <w:sz w:val="20"/>
                <w:lang w:val="es-ES"/>
              </w:rPr>
              <w:t xml:space="preserve">Resolución del Instituto de la Propiedad Intelectual autorizando a la DEI como certificador de firma. </w:t>
            </w:r>
          </w:p>
          <w:p w14:paraId="122B37F6" w14:textId="77777777" w:rsidR="00063F5A" w:rsidRPr="002A40D6" w:rsidRDefault="00063F5A" w:rsidP="005674DA">
            <w:pPr>
              <w:rPr>
                <w:rFonts w:ascii="Arial" w:hAnsi="Arial" w:cs="Arial"/>
                <w:iCs/>
                <w:sz w:val="20"/>
                <w:lang w:val="es-ES"/>
              </w:rPr>
            </w:pPr>
          </w:p>
          <w:p w14:paraId="1F0E98F5" w14:textId="77777777" w:rsidR="00063F5A" w:rsidRPr="002A40D6" w:rsidRDefault="00063F5A" w:rsidP="00DE4FA5">
            <w:pPr>
              <w:rPr>
                <w:rFonts w:ascii="Arial" w:hAnsi="Arial" w:cs="Arial"/>
                <w:sz w:val="20"/>
                <w:lang w:val="es-ES"/>
              </w:rPr>
            </w:pPr>
            <w:r w:rsidRPr="002A40D6">
              <w:rPr>
                <w:rFonts w:ascii="Arial" w:hAnsi="Arial" w:cs="Arial"/>
                <w:iCs/>
                <w:sz w:val="20"/>
                <w:lang w:val="es-ES"/>
              </w:rPr>
              <w:t xml:space="preserve">Responsable: </w:t>
            </w:r>
            <w:r w:rsidRPr="002A40D6">
              <w:rPr>
                <w:rFonts w:ascii="Arial" w:hAnsi="Arial" w:cs="Arial"/>
                <w:sz w:val="20"/>
                <w:lang w:val="es-ES"/>
              </w:rPr>
              <w:t>DEI</w:t>
            </w:r>
          </w:p>
        </w:tc>
      </w:tr>
      <w:tr w:rsidR="00063F5A" w:rsidRPr="002A40D6" w14:paraId="34443D79" w14:textId="77777777" w:rsidTr="00063F5A">
        <w:trPr>
          <w:trHeight w:val="1243"/>
        </w:trPr>
        <w:tc>
          <w:tcPr>
            <w:tcW w:w="7074" w:type="dxa"/>
          </w:tcPr>
          <w:p w14:paraId="138D5774" w14:textId="19916432" w:rsidR="00063F5A" w:rsidRPr="002A40D6" w:rsidRDefault="0011026F" w:rsidP="002448BE">
            <w:pPr>
              <w:ind w:left="342" w:hanging="342"/>
              <w:rPr>
                <w:rFonts w:ascii="Arial" w:hAnsi="Arial" w:cs="Arial"/>
                <w:sz w:val="20"/>
                <w:lang w:val="es-ES"/>
              </w:rPr>
            </w:pPr>
            <w:r w:rsidRPr="002A40D6">
              <w:rPr>
                <w:rFonts w:ascii="Arial" w:hAnsi="Arial" w:cs="Arial"/>
                <w:sz w:val="20"/>
                <w:lang w:val="es-ES"/>
              </w:rPr>
              <w:lastRenderedPageBreak/>
              <w:t>3</w:t>
            </w:r>
            <w:r w:rsidR="00063F5A" w:rsidRPr="002A40D6">
              <w:rPr>
                <w:rFonts w:ascii="Arial" w:hAnsi="Arial" w:cs="Arial"/>
                <w:sz w:val="20"/>
                <w:lang w:val="es-ES"/>
              </w:rPr>
              <w:t>.3 Fortalecimiento de la transparencia y del control del otorgamiento de las exoneraciones fiscales, mediante la consolidación del padrón de beneficiarios y la creación de procedimientos para su evaluación sistemática y reporte.</w:t>
            </w:r>
          </w:p>
          <w:p w14:paraId="3060AE5F" w14:textId="77777777" w:rsidR="00063F5A" w:rsidRPr="002A40D6" w:rsidRDefault="00063F5A" w:rsidP="009D13D9">
            <w:pPr>
              <w:rPr>
                <w:rFonts w:ascii="Arial" w:hAnsi="Arial" w:cs="Arial"/>
                <w:sz w:val="20"/>
                <w:lang w:val="es-ES"/>
              </w:rPr>
            </w:pPr>
          </w:p>
        </w:tc>
        <w:tc>
          <w:tcPr>
            <w:tcW w:w="6663" w:type="dxa"/>
          </w:tcPr>
          <w:p w14:paraId="080E32F4" w14:textId="587B633F" w:rsidR="00063F5A" w:rsidRPr="002A40D6" w:rsidRDefault="0011026F" w:rsidP="002448BE">
            <w:pPr>
              <w:ind w:left="288" w:hanging="288"/>
              <w:rPr>
                <w:rFonts w:ascii="Arial" w:hAnsi="Arial" w:cs="Arial"/>
                <w:sz w:val="20"/>
                <w:lang w:val="es-ES_tradnl"/>
              </w:rPr>
            </w:pPr>
            <w:r w:rsidRPr="002A40D6">
              <w:rPr>
                <w:rFonts w:ascii="Arial" w:hAnsi="Arial" w:cs="Arial"/>
                <w:sz w:val="20"/>
                <w:lang w:val="es-ES"/>
              </w:rPr>
              <w:t>3</w:t>
            </w:r>
            <w:r w:rsidR="00063F5A" w:rsidRPr="002A40D6">
              <w:rPr>
                <w:rFonts w:ascii="Arial" w:hAnsi="Arial" w:cs="Arial"/>
                <w:sz w:val="20"/>
                <w:lang w:val="es-ES"/>
              </w:rPr>
              <w:t xml:space="preserve">.3 Base de datos del padrón de los beneficiarios de las exoneraciones </w:t>
            </w:r>
            <w:r w:rsidR="002448BE">
              <w:rPr>
                <w:rFonts w:ascii="Arial" w:hAnsi="Arial" w:cs="Arial"/>
                <w:sz w:val="20"/>
                <w:lang w:val="es-ES"/>
              </w:rPr>
              <w:t xml:space="preserve">  </w:t>
            </w:r>
            <w:r w:rsidR="00063F5A" w:rsidRPr="002A40D6">
              <w:rPr>
                <w:rFonts w:ascii="Arial" w:hAnsi="Arial" w:cs="Arial"/>
                <w:sz w:val="20"/>
                <w:lang w:val="es-ES"/>
              </w:rPr>
              <w:t xml:space="preserve">fiscales por régimen, incluyendo fecha de inicio y salida. </w:t>
            </w:r>
          </w:p>
          <w:p w14:paraId="23C57636" w14:textId="77777777" w:rsidR="00063F5A" w:rsidRPr="002A40D6" w:rsidRDefault="00063F5A" w:rsidP="002F5F4C">
            <w:pPr>
              <w:rPr>
                <w:rFonts w:ascii="Arial" w:hAnsi="Arial" w:cs="Arial"/>
                <w:sz w:val="20"/>
                <w:lang w:val="es-ES"/>
              </w:rPr>
            </w:pPr>
          </w:p>
          <w:p w14:paraId="798928AC" w14:textId="77777777" w:rsidR="00063F5A" w:rsidRPr="002A40D6" w:rsidRDefault="00063F5A" w:rsidP="0087479C">
            <w:pPr>
              <w:rPr>
                <w:rFonts w:ascii="Arial" w:hAnsi="Arial" w:cs="Arial"/>
                <w:sz w:val="20"/>
                <w:lang w:val="es-ES_tradnl"/>
              </w:rPr>
            </w:pPr>
            <w:r w:rsidRPr="002A40D6">
              <w:rPr>
                <w:rFonts w:ascii="Arial" w:hAnsi="Arial" w:cs="Arial"/>
                <w:sz w:val="20"/>
                <w:lang w:val="es-ES"/>
              </w:rPr>
              <w:t>Responsable: SEFIN</w:t>
            </w:r>
          </w:p>
        </w:tc>
      </w:tr>
      <w:tr w:rsidR="0011026F" w:rsidRPr="002448BE" w14:paraId="3196C8BD" w14:textId="77777777" w:rsidTr="00E34076">
        <w:tc>
          <w:tcPr>
            <w:tcW w:w="13737" w:type="dxa"/>
            <w:gridSpan w:val="2"/>
            <w:shd w:val="clear" w:color="auto" w:fill="C6D9F1" w:themeFill="text2" w:themeFillTint="33"/>
          </w:tcPr>
          <w:p w14:paraId="51332171" w14:textId="1E7F3D3F" w:rsidR="0011026F" w:rsidRPr="002A40D6" w:rsidRDefault="0011026F" w:rsidP="00E34076">
            <w:pPr>
              <w:rPr>
                <w:rFonts w:ascii="Arial" w:hAnsi="Arial" w:cs="Arial"/>
                <w:sz w:val="20"/>
                <w:lang w:val="es-ES"/>
              </w:rPr>
            </w:pPr>
            <w:r w:rsidRPr="002A40D6">
              <w:rPr>
                <w:rFonts w:ascii="Arial" w:hAnsi="Arial" w:cs="Arial"/>
                <w:b/>
                <w:sz w:val="20"/>
                <w:lang w:val="es-ES"/>
              </w:rPr>
              <w:t>Componente IV – Mejora de la gestión del gasto público</w:t>
            </w:r>
          </w:p>
        </w:tc>
      </w:tr>
      <w:tr w:rsidR="00063F5A" w:rsidRPr="002A40D6" w14:paraId="7BC884CC" w14:textId="77777777" w:rsidTr="00063F5A">
        <w:tc>
          <w:tcPr>
            <w:tcW w:w="7074" w:type="dxa"/>
          </w:tcPr>
          <w:p w14:paraId="35D44BAE" w14:textId="6EF2C40B" w:rsidR="00063F5A" w:rsidRPr="002A40D6" w:rsidRDefault="00063F5A" w:rsidP="002448BE">
            <w:pPr>
              <w:ind w:left="342" w:hanging="342"/>
              <w:rPr>
                <w:rFonts w:ascii="Arial" w:hAnsi="Arial" w:cs="Arial"/>
                <w:sz w:val="20"/>
                <w:lang w:val="es-ES"/>
              </w:rPr>
            </w:pPr>
            <w:r w:rsidRPr="002A40D6">
              <w:rPr>
                <w:rFonts w:ascii="Arial" w:hAnsi="Arial" w:cs="Arial"/>
                <w:sz w:val="20"/>
                <w:lang w:val="es-ES_tradnl"/>
              </w:rPr>
              <w:t xml:space="preserve">4.1 Mejora de la formulación del presupuesto, mediante la implementación de un Marco de Gasto de Mediano Plazo (MGMP) </w:t>
            </w:r>
            <w:r w:rsidRPr="002A40D6">
              <w:rPr>
                <w:rFonts w:ascii="Arial" w:hAnsi="Arial" w:cs="Arial"/>
                <w:sz w:val="20"/>
                <w:lang w:val="es-ES"/>
              </w:rPr>
              <w:t>en entidades pilotos</w:t>
            </w:r>
            <w:r w:rsidRPr="002A40D6">
              <w:rPr>
                <w:rFonts w:ascii="Arial" w:hAnsi="Arial" w:cs="Arial"/>
                <w:sz w:val="20"/>
                <w:vertAlign w:val="superscript"/>
                <w:lang w:val="es-ES_tradnl"/>
              </w:rPr>
              <w:footnoteReference w:id="1"/>
            </w:r>
            <w:r w:rsidRPr="002A40D6">
              <w:rPr>
                <w:rFonts w:ascii="Arial" w:hAnsi="Arial" w:cs="Arial"/>
                <w:sz w:val="20"/>
                <w:lang w:val="es-ES"/>
              </w:rPr>
              <w:t xml:space="preserve"> </w:t>
            </w:r>
            <w:r w:rsidRPr="002A40D6">
              <w:rPr>
                <w:rFonts w:ascii="Arial" w:hAnsi="Arial" w:cs="Arial"/>
                <w:sz w:val="20"/>
                <w:lang w:val="es-ES_tradnl"/>
              </w:rPr>
              <w:t>y la elaboración de</w:t>
            </w:r>
            <w:r w:rsidRPr="002A40D6">
              <w:rPr>
                <w:rFonts w:ascii="Arial" w:hAnsi="Arial" w:cs="Arial"/>
                <w:sz w:val="20"/>
                <w:lang w:val="es-ES"/>
              </w:rPr>
              <w:t xml:space="preserve"> un presupuesto plurianual</w:t>
            </w:r>
            <w:r w:rsidRPr="002A40D6">
              <w:rPr>
                <w:rFonts w:ascii="Arial" w:hAnsi="Arial" w:cs="Arial"/>
                <w:sz w:val="20"/>
                <w:lang w:val="es-ES_tradnl"/>
              </w:rPr>
              <w:t xml:space="preserve"> 2016-19</w:t>
            </w:r>
            <w:r w:rsidRPr="002A40D6">
              <w:rPr>
                <w:rFonts w:ascii="Arial" w:hAnsi="Arial" w:cs="Arial"/>
                <w:sz w:val="20"/>
                <w:lang w:val="es-ES"/>
              </w:rPr>
              <w:t>.</w:t>
            </w:r>
          </w:p>
        </w:tc>
        <w:tc>
          <w:tcPr>
            <w:tcW w:w="6663" w:type="dxa"/>
          </w:tcPr>
          <w:p w14:paraId="2C682DC6" w14:textId="77777777" w:rsidR="00063F5A" w:rsidRPr="002A40D6" w:rsidRDefault="00063F5A" w:rsidP="00D02D40">
            <w:pPr>
              <w:rPr>
                <w:rFonts w:ascii="Arial" w:hAnsi="Arial" w:cs="Arial"/>
                <w:sz w:val="20"/>
                <w:lang w:val="es-ES"/>
              </w:rPr>
            </w:pPr>
            <w:r w:rsidRPr="002A40D6">
              <w:rPr>
                <w:rFonts w:ascii="Arial" w:hAnsi="Arial" w:cs="Arial"/>
                <w:sz w:val="20"/>
                <w:lang w:val="es-ES"/>
              </w:rPr>
              <w:t xml:space="preserve">4.1 </w:t>
            </w:r>
          </w:p>
          <w:p w14:paraId="33B0DD6C" w14:textId="25835E79" w:rsidR="00063F5A" w:rsidRPr="002A40D6" w:rsidRDefault="00063F5A" w:rsidP="00D02D40">
            <w:pPr>
              <w:rPr>
                <w:rFonts w:ascii="Arial" w:hAnsi="Arial" w:cs="Arial"/>
                <w:sz w:val="20"/>
                <w:lang w:val="es-ES"/>
              </w:rPr>
            </w:pPr>
            <w:r w:rsidRPr="002A40D6">
              <w:rPr>
                <w:rFonts w:ascii="Arial" w:hAnsi="Arial" w:cs="Arial"/>
                <w:sz w:val="20"/>
                <w:lang w:val="es-ES"/>
              </w:rPr>
              <w:t>a)Anteproyecto del Presupuesto 2016-19 remitido al Congreso  Nacional y publicado;</w:t>
            </w:r>
          </w:p>
          <w:p w14:paraId="232B3F91" w14:textId="77777777" w:rsidR="00063F5A" w:rsidRPr="002A40D6" w:rsidRDefault="00063F5A" w:rsidP="00D02D40">
            <w:pPr>
              <w:rPr>
                <w:rFonts w:ascii="Arial" w:hAnsi="Arial" w:cs="Arial"/>
                <w:sz w:val="20"/>
                <w:lang w:val="es-ES"/>
              </w:rPr>
            </w:pPr>
          </w:p>
          <w:p w14:paraId="4D327484" w14:textId="65C26D94" w:rsidR="00063F5A" w:rsidRPr="002A40D6" w:rsidRDefault="00063F5A" w:rsidP="00D02D40">
            <w:pPr>
              <w:rPr>
                <w:rFonts w:ascii="Arial" w:hAnsi="Arial" w:cs="Arial"/>
                <w:sz w:val="20"/>
                <w:lang w:val="es-ES_tradnl"/>
              </w:rPr>
            </w:pPr>
            <w:r w:rsidRPr="002A40D6">
              <w:rPr>
                <w:rFonts w:ascii="Arial" w:hAnsi="Arial" w:cs="Arial"/>
                <w:sz w:val="20"/>
                <w:lang w:val="es-ES"/>
              </w:rPr>
              <w:t xml:space="preserve">b) Marco de Gasto de Mediano Plazo implantado en 5 entidades  Piloto </w:t>
            </w:r>
            <w:r w:rsidRPr="002A40D6">
              <w:rPr>
                <w:rFonts w:ascii="Arial" w:hAnsi="Arial" w:cs="Arial"/>
                <w:color w:val="000000"/>
                <w:sz w:val="20"/>
                <w:lang w:val="es-ES" w:eastAsia="es-HN"/>
              </w:rPr>
              <w:t>que forman parte del Gabinete de Desarrollo Social (Salud, Educación, Patronato nacional de la Infancia (PANI), Servicio Autónomo Nacional de Acueductos y Alcantarillados (SANAA) y Programa Nacional de Desarrollo Rural y Urbano Sostenible (PRONADERS)</w:t>
            </w:r>
            <w:r w:rsidRPr="002A40D6">
              <w:rPr>
                <w:rFonts w:ascii="Arial" w:hAnsi="Arial" w:cs="Arial"/>
                <w:sz w:val="20"/>
                <w:lang w:val="es-ES_tradnl"/>
              </w:rPr>
              <w:t>.</w:t>
            </w:r>
          </w:p>
          <w:p w14:paraId="23ACD9CD" w14:textId="77777777" w:rsidR="00063F5A" w:rsidRPr="002A40D6" w:rsidRDefault="00063F5A" w:rsidP="002F5F4C">
            <w:pPr>
              <w:rPr>
                <w:rFonts w:ascii="Arial" w:hAnsi="Arial" w:cs="Arial"/>
                <w:iCs/>
                <w:sz w:val="20"/>
                <w:lang w:val="es-ES"/>
              </w:rPr>
            </w:pPr>
          </w:p>
          <w:p w14:paraId="4334CDE7" w14:textId="77777777" w:rsidR="00063F5A" w:rsidRPr="002A40D6" w:rsidRDefault="00063F5A" w:rsidP="002F5F4C">
            <w:pPr>
              <w:rPr>
                <w:rFonts w:ascii="Arial" w:hAnsi="Arial" w:cs="Arial"/>
                <w:sz w:val="20"/>
                <w:lang w:val="es-ES"/>
              </w:rPr>
            </w:pPr>
            <w:r w:rsidRPr="002A40D6">
              <w:rPr>
                <w:rFonts w:ascii="Arial" w:hAnsi="Arial" w:cs="Arial"/>
                <w:iCs/>
                <w:sz w:val="20"/>
                <w:lang w:val="es-ES"/>
              </w:rPr>
              <w:t xml:space="preserve">Responsable: </w:t>
            </w:r>
            <w:r w:rsidRPr="002A40D6">
              <w:rPr>
                <w:rFonts w:ascii="Arial" w:hAnsi="Arial" w:cs="Arial"/>
                <w:sz w:val="20"/>
                <w:lang w:val="es-ES"/>
              </w:rPr>
              <w:t>SEFIN</w:t>
            </w:r>
          </w:p>
        </w:tc>
      </w:tr>
      <w:tr w:rsidR="00063F5A" w:rsidRPr="002448BE" w14:paraId="7C8A4726" w14:textId="77777777" w:rsidTr="00063F5A">
        <w:tc>
          <w:tcPr>
            <w:tcW w:w="7074" w:type="dxa"/>
          </w:tcPr>
          <w:p w14:paraId="2928C977" w14:textId="77777777" w:rsidR="00063F5A" w:rsidRPr="002A40D6" w:rsidRDefault="00063F5A" w:rsidP="002448BE">
            <w:pPr>
              <w:ind w:left="342" w:hanging="342"/>
              <w:rPr>
                <w:rFonts w:ascii="Arial" w:eastAsiaTheme="minorHAnsi" w:hAnsi="Arial" w:cs="Arial"/>
                <w:sz w:val="20"/>
                <w:lang w:val="es-ES_tradnl"/>
              </w:rPr>
            </w:pPr>
            <w:r w:rsidRPr="002A40D6">
              <w:rPr>
                <w:rFonts w:ascii="Arial" w:hAnsi="Arial" w:cs="Arial"/>
                <w:sz w:val="20"/>
                <w:lang w:val="es-ES"/>
              </w:rPr>
              <w:t>4.2 Fortalecimiento del control del gasto en nómina del Poder Ejecutivo (Administración Central, Desconcentrada y Descentralizada), mediante la mejora de la</w:t>
            </w:r>
            <w:r w:rsidRPr="002A40D6">
              <w:rPr>
                <w:rFonts w:ascii="Arial" w:hAnsi="Arial" w:cs="Arial"/>
                <w:sz w:val="20"/>
                <w:lang w:val="es-ES_tradnl"/>
              </w:rPr>
              <w:t xml:space="preserve"> gestión de los recursos humanos</w:t>
            </w:r>
            <w:r w:rsidRPr="002A40D6">
              <w:rPr>
                <w:rFonts w:ascii="Arial" w:eastAsiaTheme="minorHAnsi" w:hAnsi="Arial" w:cs="Arial"/>
                <w:sz w:val="20"/>
                <w:lang w:val="es-ES_tradnl"/>
              </w:rPr>
              <w:t xml:space="preserve">, con la introducción de instrumentos que habilitan las reformas que mandata el </w:t>
            </w:r>
            <w:r w:rsidRPr="002A40D6">
              <w:rPr>
                <w:rFonts w:ascii="Arial" w:eastAsiaTheme="minorHAnsi" w:hAnsi="Arial" w:cs="Arial"/>
                <w:sz w:val="20"/>
                <w:lang w:val="es-ES"/>
              </w:rPr>
              <w:t>Decreto Ejecutivo PCM-028-2014 de creación de la Comisión para la Reforma de la Administración Pública Centralizada y Descentralizada</w:t>
            </w:r>
            <w:r w:rsidRPr="002A40D6">
              <w:rPr>
                <w:rFonts w:ascii="Arial" w:hAnsi="Arial" w:cs="Arial"/>
                <w:sz w:val="20"/>
                <w:lang w:val="es-ES_tradnl"/>
              </w:rPr>
              <w:t>.</w:t>
            </w:r>
            <w:r w:rsidRPr="002A40D6">
              <w:rPr>
                <w:rFonts w:ascii="Arial" w:eastAsiaTheme="minorHAnsi" w:hAnsi="Arial" w:cs="Arial"/>
                <w:sz w:val="20"/>
                <w:lang w:val="es-ES_tradnl"/>
              </w:rPr>
              <w:t xml:space="preserve">  Esto deberá incluir:</w:t>
            </w:r>
            <w:r w:rsidRPr="002A40D6">
              <w:rPr>
                <w:rFonts w:ascii="Arial" w:hAnsi="Arial" w:cs="Arial"/>
                <w:sz w:val="20"/>
                <w:lang w:val="es-ES"/>
              </w:rPr>
              <w:t xml:space="preserve"> </w:t>
            </w:r>
          </w:p>
          <w:p w14:paraId="1CC5B366" w14:textId="77777777" w:rsidR="00063F5A" w:rsidRPr="002A40D6" w:rsidRDefault="00063F5A" w:rsidP="00ED7B8C">
            <w:pPr>
              <w:pStyle w:val="ListParagraph"/>
              <w:numPr>
                <w:ilvl w:val="0"/>
                <w:numId w:val="16"/>
              </w:numPr>
              <w:ind w:left="342" w:hanging="270"/>
              <w:rPr>
                <w:rFonts w:ascii="Arial" w:eastAsiaTheme="minorHAnsi" w:hAnsi="Arial" w:cs="Arial"/>
                <w:sz w:val="20"/>
                <w:lang w:val="es-ES_tradnl"/>
              </w:rPr>
            </w:pPr>
            <w:r w:rsidRPr="002A40D6">
              <w:rPr>
                <w:rFonts w:ascii="Arial" w:eastAsiaTheme="minorHAnsi" w:hAnsi="Arial" w:cs="Arial"/>
                <w:sz w:val="20"/>
                <w:lang w:val="es-ES_tradnl"/>
              </w:rPr>
              <w:t xml:space="preserve">La obligatoriedad para todas las instituciones de censar a sus empleados en el Sistema de Registro y Control de Empleados Públicos (SIREP), y actualizar dicho censo reportando altas y bajas a SEFIN mensualmente, para poder recibir sus transferencias presupuestarias.  </w:t>
            </w:r>
          </w:p>
          <w:p w14:paraId="6780095F" w14:textId="0245BDB4" w:rsidR="00063F5A" w:rsidRPr="002A40D6" w:rsidRDefault="00063F5A" w:rsidP="00ED7B8C">
            <w:pPr>
              <w:pStyle w:val="ListParagraph"/>
              <w:numPr>
                <w:ilvl w:val="0"/>
                <w:numId w:val="16"/>
              </w:numPr>
              <w:ind w:left="342" w:hanging="270"/>
              <w:rPr>
                <w:rFonts w:ascii="Arial" w:eastAsiaTheme="minorHAnsi" w:hAnsi="Arial" w:cs="Arial"/>
                <w:sz w:val="20"/>
                <w:lang w:val="es-ES_tradnl"/>
              </w:rPr>
            </w:pPr>
            <w:r w:rsidRPr="002A40D6">
              <w:rPr>
                <w:rFonts w:ascii="Arial" w:eastAsiaTheme="minorHAnsi" w:hAnsi="Arial" w:cs="Arial"/>
                <w:sz w:val="20"/>
                <w:lang w:val="es-ES_tradnl"/>
              </w:rPr>
              <w:t xml:space="preserve">La publicación de información consolidada del </w:t>
            </w:r>
            <w:r w:rsidRPr="002A40D6">
              <w:rPr>
                <w:rFonts w:ascii="Arial" w:hAnsi="Arial" w:cs="Arial"/>
                <w:sz w:val="20"/>
                <w:lang w:val="es-ES_tradnl"/>
              </w:rPr>
              <w:t>Sistema de Registro y Control de Empleados Públicos (SIREP), incluyendo el número</w:t>
            </w:r>
            <w:r w:rsidRPr="002A40D6">
              <w:rPr>
                <w:rFonts w:ascii="Arial" w:eastAsiaTheme="minorHAnsi" w:hAnsi="Arial" w:cs="Arial"/>
                <w:sz w:val="20"/>
                <w:lang w:val="es-ES_tradnl"/>
              </w:rPr>
              <w:t xml:space="preserve"> </w:t>
            </w:r>
            <w:r w:rsidR="00521220">
              <w:rPr>
                <w:rFonts w:ascii="Arial" w:eastAsiaTheme="minorHAnsi" w:hAnsi="Arial" w:cs="Arial"/>
                <w:sz w:val="20"/>
                <w:lang w:val="es-ES_tradnl"/>
              </w:rPr>
              <w:t xml:space="preserve">de </w:t>
            </w:r>
            <w:r w:rsidRPr="002A40D6">
              <w:rPr>
                <w:rFonts w:ascii="Arial" w:eastAsiaTheme="minorHAnsi" w:hAnsi="Arial" w:cs="Arial"/>
                <w:sz w:val="20"/>
                <w:lang w:val="es-ES_tradnl"/>
              </w:rPr>
              <w:t xml:space="preserve">empleados total (permanentes y temporales) por entidad y por mes, así como el gasto total en remuneraciones de las mismas. </w:t>
            </w:r>
          </w:p>
          <w:p w14:paraId="35F47FFE" w14:textId="4326294C" w:rsidR="00063F5A" w:rsidRPr="002A40D6" w:rsidRDefault="00063F5A" w:rsidP="00ED7B8C">
            <w:pPr>
              <w:pStyle w:val="ListParagraph"/>
              <w:numPr>
                <w:ilvl w:val="0"/>
                <w:numId w:val="16"/>
              </w:numPr>
              <w:ind w:left="342" w:hanging="270"/>
              <w:rPr>
                <w:rFonts w:ascii="Arial" w:eastAsiaTheme="minorHAnsi" w:hAnsi="Arial" w:cs="Arial"/>
                <w:sz w:val="20"/>
                <w:lang w:val="es-ES_tradnl"/>
              </w:rPr>
            </w:pPr>
            <w:r w:rsidRPr="002A40D6">
              <w:rPr>
                <w:rFonts w:ascii="Arial" w:eastAsiaTheme="minorHAnsi" w:hAnsi="Arial" w:cs="Arial"/>
                <w:sz w:val="20"/>
                <w:lang w:val="es-ES_tradnl"/>
              </w:rPr>
              <w:t>La finalización de auditorías externas de la nómina en las Secretarías de Educación, Infraestructura y Servicios Públicos, Salud, y Seguridad (</w:t>
            </w:r>
            <w:r w:rsidRPr="0095321B">
              <w:rPr>
                <w:rFonts w:ascii="Arial" w:eastAsiaTheme="minorHAnsi" w:hAnsi="Arial" w:cs="Arial"/>
                <w:sz w:val="20"/>
                <w:lang w:val="es-ES_tradnl"/>
              </w:rPr>
              <w:t>aproximadamente el 54% del total de empleados), con</w:t>
            </w:r>
            <w:r w:rsidRPr="002A40D6">
              <w:rPr>
                <w:rFonts w:ascii="Arial" w:eastAsiaTheme="minorHAnsi" w:hAnsi="Arial" w:cs="Arial"/>
                <w:sz w:val="20"/>
                <w:lang w:val="es-ES_tradnl"/>
              </w:rPr>
              <w:t xml:space="preserve"> hallazgos y recomendaciones para eliminar las irregularidades detectadas.  </w:t>
            </w:r>
          </w:p>
          <w:p w14:paraId="28C7FD13" w14:textId="1571B4B4" w:rsidR="00063F5A" w:rsidRPr="002A40D6" w:rsidRDefault="00063F5A" w:rsidP="00521220">
            <w:pPr>
              <w:pStyle w:val="ListParagraph"/>
              <w:numPr>
                <w:ilvl w:val="0"/>
                <w:numId w:val="16"/>
              </w:numPr>
              <w:ind w:left="342" w:hanging="270"/>
              <w:rPr>
                <w:rFonts w:ascii="Arial" w:eastAsiaTheme="minorHAnsi" w:hAnsi="Arial" w:cs="Arial"/>
                <w:sz w:val="20"/>
                <w:lang w:val="es-ES_tradnl"/>
              </w:rPr>
            </w:pPr>
            <w:r w:rsidRPr="002A40D6">
              <w:rPr>
                <w:rFonts w:ascii="Arial" w:eastAsiaTheme="minorHAnsi" w:hAnsi="Arial" w:cs="Arial"/>
                <w:sz w:val="20"/>
                <w:lang w:val="es-ES_tradnl"/>
              </w:rPr>
              <w:t>La supresión de puestos p</w:t>
            </w:r>
            <w:r w:rsidR="0095321B">
              <w:rPr>
                <w:rFonts w:ascii="Arial" w:eastAsiaTheme="minorHAnsi" w:hAnsi="Arial" w:cs="Arial"/>
                <w:sz w:val="20"/>
                <w:lang w:val="es-ES_tradnl"/>
              </w:rPr>
              <w:t>or motivos de mayor eficiencia</w:t>
            </w:r>
            <w:r w:rsidRPr="002A40D6">
              <w:rPr>
                <w:rFonts w:ascii="Arial" w:eastAsiaTheme="minorHAnsi" w:hAnsi="Arial" w:cs="Arial"/>
                <w:sz w:val="20"/>
                <w:lang w:val="es-ES_tradnl"/>
              </w:rPr>
              <w:t xml:space="preserve">. </w:t>
            </w:r>
          </w:p>
        </w:tc>
        <w:tc>
          <w:tcPr>
            <w:tcW w:w="6663" w:type="dxa"/>
          </w:tcPr>
          <w:p w14:paraId="1B4487AA" w14:textId="77777777" w:rsidR="00063F5A" w:rsidRPr="002A40D6" w:rsidRDefault="00063F5A" w:rsidP="00ED7B8C">
            <w:pPr>
              <w:rPr>
                <w:rFonts w:ascii="Arial" w:eastAsiaTheme="minorHAnsi" w:hAnsi="Arial" w:cs="Arial"/>
                <w:sz w:val="20"/>
                <w:lang w:val="es-ES"/>
              </w:rPr>
            </w:pPr>
            <w:r w:rsidRPr="002A40D6">
              <w:rPr>
                <w:rFonts w:ascii="Arial" w:eastAsiaTheme="minorHAnsi" w:hAnsi="Arial" w:cs="Arial"/>
                <w:sz w:val="20"/>
                <w:lang w:val="es-ES_tradnl"/>
              </w:rPr>
              <w:t>4</w:t>
            </w:r>
            <w:r w:rsidRPr="002A40D6">
              <w:rPr>
                <w:rFonts w:ascii="Arial" w:eastAsiaTheme="minorHAnsi" w:hAnsi="Arial" w:cs="Arial"/>
                <w:sz w:val="20"/>
                <w:lang w:val="es-ES"/>
              </w:rPr>
              <w:t>.2</w:t>
            </w:r>
          </w:p>
          <w:p w14:paraId="2F153C5B" w14:textId="712DC912" w:rsidR="00063F5A" w:rsidRPr="002A40D6" w:rsidRDefault="00063F5A" w:rsidP="00ED7B8C">
            <w:pPr>
              <w:rPr>
                <w:rFonts w:ascii="Arial" w:eastAsiaTheme="minorHAnsi" w:hAnsi="Arial" w:cs="Arial"/>
                <w:sz w:val="20"/>
                <w:lang w:val="es-ES"/>
              </w:rPr>
            </w:pPr>
            <w:r w:rsidRPr="002A40D6">
              <w:rPr>
                <w:rFonts w:ascii="Arial" w:eastAsiaTheme="minorHAnsi" w:hAnsi="Arial" w:cs="Arial"/>
                <w:sz w:val="20"/>
                <w:lang w:val="es-ES"/>
              </w:rPr>
              <w:t xml:space="preserve">(a) Circular No. CGG-013-2015,  disponible en: </w:t>
            </w:r>
            <w:hyperlink r:id="rId9" w:history="1">
              <w:r w:rsidRPr="002A40D6">
                <w:rPr>
                  <w:rStyle w:val="Hyperlink"/>
                  <w:rFonts w:ascii="Arial" w:hAnsi="Arial" w:cs="Arial"/>
                  <w:sz w:val="20"/>
                  <w:lang w:val="es-ES" w:eastAsia="es-HN"/>
                </w:rPr>
                <w:t>http://ww.sefin.gob.hn/wp-content/uploads/2015/05/Circular_CGG-013-2015.pdf</w:t>
              </w:r>
            </w:hyperlink>
          </w:p>
          <w:p w14:paraId="5CB9405B" w14:textId="77777777" w:rsidR="00063F5A" w:rsidRPr="002A40D6" w:rsidRDefault="00063F5A" w:rsidP="00ED7B8C">
            <w:pPr>
              <w:rPr>
                <w:rFonts w:ascii="Arial" w:eastAsiaTheme="minorHAnsi" w:hAnsi="Arial" w:cs="Arial"/>
                <w:sz w:val="20"/>
                <w:lang w:val="es-ES"/>
              </w:rPr>
            </w:pPr>
          </w:p>
          <w:p w14:paraId="49E6BFF8" w14:textId="77777777" w:rsidR="00063F5A" w:rsidRPr="002A40D6" w:rsidRDefault="00063F5A" w:rsidP="00ED7B8C">
            <w:pPr>
              <w:rPr>
                <w:rFonts w:ascii="Arial" w:eastAsiaTheme="minorHAnsi" w:hAnsi="Arial" w:cs="Arial"/>
                <w:sz w:val="20"/>
                <w:lang w:val="es-ES"/>
              </w:rPr>
            </w:pPr>
            <w:r w:rsidRPr="002A40D6">
              <w:rPr>
                <w:rFonts w:ascii="Arial" w:eastAsiaTheme="minorHAnsi" w:hAnsi="Arial" w:cs="Arial"/>
                <w:sz w:val="20"/>
                <w:lang w:val="es-ES"/>
              </w:rPr>
              <w:t xml:space="preserve">(b) </w:t>
            </w:r>
            <w:r w:rsidRPr="002A40D6">
              <w:rPr>
                <w:rFonts w:ascii="Arial" w:eastAsiaTheme="minorHAnsi" w:hAnsi="Arial" w:cs="Arial"/>
                <w:sz w:val="20"/>
                <w:lang w:val="es-ES_tradnl"/>
              </w:rPr>
              <w:t xml:space="preserve">Reportes del SIREP, disponible en: </w:t>
            </w:r>
            <w:hyperlink r:id="rId10" w:history="1">
              <w:r w:rsidRPr="002A40D6">
                <w:rPr>
                  <w:rStyle w:val="Hyperlink"/>
                  <w:rFonts w:ascii="Arial" w:eastAsiaTheme="minorHAnsi" w:hAnsi="Arial" w:cs="Arial"/>
                  <w:sz w:val="20"/>
                  <w:lang w:val="es-ES_tradnl"/>
                </w:rPr>
                <w:t>http://www.sefin.gob.hn/?page_id=48760</w:t>
              </w:r>
            </w:hyperlink>
          </w:p>
          <w:p w14:paraId="345F6FED" w14:textId="77777777" w:rsidR="00063F5A" w:rsidRPr="002A40D6" w:rsidRDefault="00063F5A" w:rsidP="00ED7B8C">
            <w:pPr>
              <w:rPr>
                <w:rFonts w:ascii="Arial" w:eastAsiaTheme="minorHAnsi" w:hAnsi="Arial" w:cs="Arial"/>
                <w:sz w:val="20"/>
                <w:lang w:val="es-ES"/>
              </w:rPr>
            </w:pPr>
          </w:p>
          <w:p w14:paraId="4C55A0FA" w14:textId="4D2C8FEE" w:rsidR="00063F5A" w:rsidRPr="002A40D6" w:rsidRDefault="00063F5A" w:rsidP="00ED7B8C">
            <w:pPr>
              <w:rPr>
                <w:rFonts w:ascii="Arial" w:eastAsiaTheme="minorHAnsi" w:hAnsi="Arial" w:cs="Arial"/>
                <w:sz w:val="20"/>
                <w:lang w:val="es-ES"/>
              </w:rPr>
            </w:pPr>
            <w:r w:rsidRPr="002A40D6">
              <w:rPr>
                <w:rFonts w:ascii="Arial" w:eastAsiaTheme="minorHAnsi" w:hAnsi="Arial" w:cs="Arial"/>
                <w:sz w:val="20"/>
                <w:lang w:val="es-ES"/>
              </w:rPr>
              <w:t xml:space="preserve">(c) Informes finales de las auditorías externas de nómina para las secretarías de Educación, Infraestructura y Servicios Públicos, Salud y Seguridad. </w:t>
            </w:r>
          </w:p>
          <w:p w14:paraId="0C0D7469" w14:textId="77777777" w:rsidR="00063F5A" w:rsidRPr="002A40D6" w:rsidRDefault="00063F5A" w:rsidP="00ED7B8C">
            <w:pPr>
              <w:rPr>
                <w:rFonts w:ascii="Arial" w:eastAsiaTheme="minorHAnsi" w:hAnsi="Arial" w:cs="Arial"/>
                <w:sz w:val="20"/>
                <w:lang w:val="es-ES"/>
              </w:rPr>
            </w:pPr>
          </w:p>
          <w:p w14:paraId="7B378E99" w14:textId="77777777" w:rsidR="00063F5A" w:rsidRPr="002A40D6" w:rsidRDefault="00063F5A" w:rsidP="00ED7B8C">
            <w:pPr>
              <w:rPr>
                <w:rFonts w:ascii="Arial" w:eastAsiaTheme="minorHAnsi" w:hAnsi="Arial" w:cs="Arial"/>
                <w:sz w:val="20"/>
                <w:lang w:val="es-ES"/>
              </w:rPr>
            </w:pPr>
            <w:r w:rsidRPr="002A40D6">
              <w:rPr>
                <w:rFonts w:ascii="Arial" w:eastAsiaTheme="minorHAnsi" w:hAnsi="Arial" w:cs="Arial"/>
                <w:sz w:val="20"/>
                <w:lang w:val="es-ES"/>
              </w:rPr>
              <w:t>d) Nota técnica de SEFIN especificando el número de supresiones de puestos y plazas vacantes eliminadas en la administración central y descentralizada en cumplimiento del Decreto Ejecutivo PCM-028-2014, respectivamente, así como los costos ahorrados por dichas medidas.</w:t>
            </w:r>
          </w:p>
          <w:p w14:paraId="1D66751A" w14:textId="77777777" w:rsidR="00063F5A" w:rsidRPr="002A40D6" w:rsidRDefault="00063F5A" w:rsidP="00ED7B8C">
            <w:pPr>
              <w:rPr>
                <w:rFonts w:ascii="Arial" w:eastAsiaTheme="minorHAnsi" w:hAnsi="Arial" w:cs="Arial"/>
                <w:sz w:val="20"/>
                <w:lang w:val="es-ES"/>
              </w:rPr>
            </w:pPr>
          </w:p>
          <w:p w14:paraId="7EA7211C" w14:textId="77777777" w:rsidR="00063F5A" w:rsidRPr="002A40D6" w:rsidRDefault="00063F5A" w:rsidP="00ED7B8C">
            <w:pPr>
              <w:rPr>
                <w:rFonts w:ascii="Arial" w:eastAsiaTheme="minorHAnsi" w:hAnsi="Arial" w:cs="Arial"/>
                <w:sz w:val="20"/>
                <w:lang w:val="es-ES"/>
              </w:rPr>
            </w:pPr>
          </w:p>
          <w:p w14:paraId="6CAE37FD" w14:textId="77777777" w:rsidR="00063F5A" w:rsidRPr="002A40D6" w:rsidRDefault="00063F5A" w:rsidP="00ED7B8C">
            <w:pPr>
              <w:rPr>
                <w:rFonts w:ascii="Arial" w:eastAsiaTheme="minorHAnsi" w:hAnsi="Arial" w:cs="Arial"/>
                <w:sz w:val="20"/>
                <w:lang w:val="es-ES"/>
              </w:rPr>
            </w:pPr>
          </w:p>
          <w:p w14:paraId="72A6D8D2" w14:textId="77777777" w:rsidR="00063F5A" w:rsidRPr="002A40D6" w:rsidRDefault="00063F5A" w:rsidP="00ED7B8C">
            <w:pPr>
              <w:rPr>
                <w:rFonts w:ascii="Arial" w:eastAsiaTheme="minorHAnsi" w:hAnsi="Arial" w:cs="Arial"/>
                <w:sz w:val="20"/>
                <w:lang w:val="es-ES_tradnl"/>
              </w:rPr>
            </w:pPr>
          </w:p>
          <w:p w14:paraId="05D8F07F" w14:textId="77777777" w:rsidR="00063F5A" w:rsidRPr="002A40D6" w:rsidRDefault="00063F5A" w:rsidP="00ED7B8C">
            <w:pPr>
              <w:rPr>
                <w:rFonts w:ascii="Arial" w:hAnsi="Arial" w:cs="Arial"/>
                <w:sz w:val="20"/>
                <w:lang w:val="es-ES"/>
              </w:rPr>
            </w:pPr>
          </w:p>
          <w:p w14:paraId="6E8EE385" w14:textId="77777777" w:rsidR="00063F5A" w:rsidRPr="002A40D6" w:rsidRDefault="00063F5A" w:rsidP="00ED7B8C">
            <w:pPr>
              <w:rPr>
                <w:rFonts w:ascii="Arial" w:hAnsi="Arial" w:cs="Arial"/>
                <w:sz w:val="20"/>
                <w:lang w:val="es-ES"/>
              </w:rPr>
            </w:pPr>
          </w:p>
          <w:p w14:paraId="7ABB45AC" w14:textId="77777777" w:rsidR="00063F5A" w:rsidRPr="002A40D6" w:rsidRDefault="00063F5A" w:rsidP="00ED7B8C">
            <w:pPr>
              <w:rPr>
                <w:rFonts w:ascii="Arial" w:hAnsi="Arial" w:cs="Arial"/>
                <w:sz w:val="20"/>
                <w:lang w:val="es-ES"/>
              </w:rPr>
            </w:pPr>
          </w:p>
          <w:p w14:paraId="2DDBF2E1" w14:textId="77777777" w:rsidR="00063F5A" w:rsidRPr="002A40D6" w:rsidRDefault="00063F5A" w:rsidP="00ED7B8C">
            <w:pPr>
              <w:rPr>
                <w:rFonts w:ascii="Arial" w:hAnsi="Arial" w:cs="Arial"/>
                <w:sz w:val="20"/>
                <w:lang w:val="es-ES"/>
              </w:rPr>
            </w:pPr>
            <w:r w:rsidRPr="002A40D6">
              <w:rPr>
                <w:rFonts w:ascii="Arial" w:hAnsi="Arial" w:cs="Arial"/>
                <w:sz w:val="20"/>
                <w:lang w:val="es-ES"/>
              </w:rPr>
              <w:t xml:space="preserve">Responsable: </w:t>
            </w:r>
            <w:r w:rsidRPr="002A40D6">
              <w:rPr>
                <w:rFonts w:ascii="Arial" w:hAnsi="Arial" w:cs="Arial"/>
                <w:sz w:val="20"/>
                <w:lang w:val="es-ES_tradnl"/>
              </w:rPr>
              <w:t xml:space="preserve">Secretaría de  Coordinación General de Gobierno </w:t>
            </w:r>
            <w:r w:rsidRPr="002A40D6">
              <w:rPr>
                <w:rFonts w:ascii="Arial" w:hAnsi="Arial" w:cs="Arial"/>
                <w:sz w:val="20"/>
                <w:lang w:val="es-ES_tradnl"/>
              </w:rPr>
              <w:lastRenderedPageBreak/>
              <w:t>(</w:t>
            </w:r>
            <w:r w:rsidRPr="002A40D6">
              <w:rPr>
                <w:rFonts w:ascii="Arial" w:hAnsi="Arial" w:cs="Arial"/>
                <w:sz w:val="20"/>
                <w:lang w:val="es-ES"/>
              </w:rPr>
              <w:t>SCGG) y SEFIN</w:t>
            </w:r>
          </w:p>
          <w:p w14:paraId="53DAE65D" w14:textId="77777777" w:rsidR="00063F5A" w:rsidRPr="002A40D6" w:rsidRDefault="00063F5A" w:rsidP="00ED7B8C">
            <w:pPr>
              <w:rPr>
                <w:rFonts w:ascii="Arial" w:hAnsi="Arial" w:cs="Arial"/>
                <w:sz w:val="20"/>
                <w:lang w:val="es-ES"/>
              </w:rPr>
            </w:pPr>
          </w:p>
        </w:tc>
      </w:tr>
      <w:tr w:rsidR="00063F5A" w:rsidRPr="002A40D6" w14:paraId="5921F64F" w14:textId="77777777" w:rsidTr="00063F5A">
        <w:trPr>
          <w:trHeight w:val="1065"/>
        </w:trPr>
        <w:tc>
          <w:tcPr>
            <w:tcW w:w="7074" w:type="dxa"/>
          </w:tcPr>
          <w:p w14:paraId="0DF5F646" w14:textId="4A8E3C21" w:rsidR="00063F5A" w:rsidRPr="002A40D6" w:rsidRDefault="00063F5A" w:rsidP="002448BE">
            <w:pPr>
              <w:ind w:left="342" w:hanging="342"/>
              <w:rPr>
                <w:rFonts w:ascii="Arial" w:hAnsi="Arial" w:cs="Arial"/>
                <w:sz w:val="20"/>
                <w:lang w:val="es-ES"/>
              </w:rPr>
            </w:pPr>
            <w:r w:rsidRPr="002A40D6">
              <w:rPr>
                <w:rFonts w:ascii="Arial" w:hAnsi="Arial" w:cs="Arial"/>
                <w:sz w:val="20"/>
                <w:lang w:val="es-ES"/>
              </w:rPr>
              <w:lastRenderedPageBreak/>
              <w:t>4.3 Mejora de la transparencia en el uso de los fideicomisos en el gasto</w:t>
            </w:r>
            <w:r w:rsidRPr="002A40D6">
              <w:rPr>
                <w:rFonts w:ascii="Arial" w:hAnsi="Arial" w:cs="Arial"/>
                <w:color w:val="000000"/>
                <w:sz w:val="20"/>
                <w:lang w:val="es-ES" w:eastAsia="es-HN"/>
              </w:rPr>
              <w:t xml:space="preserve"> público</w:t>
            </w:r>
            <w:r w:rsidRPr="002A40D6">
              <w:rPr>
                <w:rFonts w:ascii="Arial" w:eastAsiaTheme="minorEastAsia" w:hAnsi="Arial" w:cs="Arial"/>
                <w:bCs/>
                <w:sz w:val="20"/>
                <w:lang w:val="es-ES"/>
              </w:rPr>
              <w:t xml:space="preserve">, mediante el </w:t>
            </w:r>
            <w:r w:rsidRPr="002A40D6">
              <w:rPr>
                <w:rFonts w:ascii="Arial" w:hAnsi="Arial" w:cs="Arial"/>
                <w:sz w:val="20"/>
                <w:lang w:val="es-ES_tradnl"/>
              </w:rPr>
              <w:t>establecimiento de procedimientos para su</w:t>
            </w:r>
            <w:r w:rsidRPr="002A40D6">
              <w:rPr>
                <w:rFonts w:ascii="Arial" w:eastAsiaTheme="minorEastAsia" w:hAnsi="Arial" w:cs="Arial"/>
                <w:bCs/>
                <w:sz w:val="20"/>
                <w:lang w:val="es-ES"/>
              </w:rPr>
              <w:t xml:space="preserve"> registro </w:t>
            </w:r>
            <w:r w:rsidRPr="002A40D6">
              <w:rPr>
                <w:rFonts w:ascii="Arial" w:hAnsi="Arial" w:cs="Arial"/>
                <w:sz w:val="20"/>
                <w:lang w:val="es-ES"/>
              </w:rPr>
              <w:t xml:space="preserve">en la formulación presupuestal y su eliminación gradual </w:t>
            </w:r>
          </w:p>
        </w:tc>
        <w:tc>
          <w:tcPr>
            <w:tcW w:w="6663" w:type="dxa"/>
          </w:tcPr>
          <w:p w14:paraId="2FF59C05" w14:textId="22CED895" w:rsidR="00063F5A" w:rsidRPr="002A40D6" w:rsidRDefault="00063F5A" w:rsidP="00751AB9">
            <w:pPr>
              <w:rPr>
                <w:rFonts w:ascii="Arial" w:hAnsi="Arial" w:cs="Arial"/>
                <w:sz w:val="20"/>
                <w:lang w:val="es-ES"/>
              </w:rPr>
            </w:pPr>
            <w:r w:rsidRPr="002A40D6">
              <w:rPr>
                <w:rFonts w:ascii="Arial" w:hAnsi="Arial" w:cs="Arial"/>
                <w:sz w:val="20"/>
                <w:lang w:val="es-ES"/>
              </w:rPr>
              <w:t xml:space="preserve">4.3 Autorización del procedimiento de registro presupuestal de los fideicomisos más representativos (equivalente al 7,5% del presupuesto). </w:t>
            </w:r>
          </w:p>
          <w:p w14:paraId="203B5E6A" w14:textId="77777777" w:rsidR="00063F5A" w:rsidRPr="002A40D6" w:rsidRDefault="00063F5A" w:rsidP="00E62699">
            <w:pPr>
              <w:rPr>
                <w:rFonts w:ascii="Arial" w:hAnsi="Arial" w:cs="Arial"/>
                <w:sz w:val="20"/>
                <w:lang w:val="es-ES"/>
              </w:rPr>
            </w:pPr>
          </w:p>
          <w:p w14:paraId="7BE5B3FA" w14:textId="77777777" w:rsidR="00063F5A" w:rsidRPr="002A40D6" w:rsidRDefault="00063F5A" w:rsidP="00E62699">
            <w:pPr>
              <w:rPr>
                <w:rFonts w:ascii="Arial" w:hAnsi="Arial" w:cs="Arial"/>
                <w:sz w:val="20"/>
                <w:lang w:val="es-ES"/>
              </w:rPr>
            </w:pPr>
            <w:r w:rsidRPr="002A40D6">
              <w:rPr>
                <w:rFonts w:ascii="Arial" w:hAnsi="Arial" w:cs="Arial"/>
                <w:sz w:val="20"/>
                <w:lang w:val="es-ES"/>
              </w:rPr>
              <w:t>Responsable: SEFIN</w:t>
            </w:r>
          </w:p>
        </w:tc>
      </w:tr>
      <w:tr w:rsidR="00063F5A" w:rsidRPr="002448BE" w14:paraId="38C1213D" w14:textId="77777777" w:rsidTr="00063F5A">
        <w:trPr>
          <w:trHeight w:val="3522"/>
        </w:trPr>
        <w:tc>
          <w:tcPr>
            <w:tcW w:w="7074" w:type="dxa"/>
          </w:tcPr>
          <w:p w14:paraId="39F9A255" w14:textId="77777777" w:rsidR="00063F5A" w:rsidRPr="002A40D6" w:rsidRDefault="00063F5A" w:rsidP="002448BE">
            <w:pPr>
              <w:ind w:left="342" w:hanging="342"/>
              <w:rPr>
                <w:rFonts w:ascii="Arial" w:eastAsiaTheme="minorHAnsi" w:hAnsi="Arial" w:cs="Arial"/>
                <w:sz w:val="20"/>
                <w:lang w:val="es-ES_tradnl"/>
              </w:rPr>
            </w:pPr>
            <w:r w:rsidRPr="002A40D6">
              <w:rPr>
                <w:rFonts w:ascii="Arial" w:hAnsi="Arial" w:cs="Arial"/>
                <w:sz w:val="20"/>
                <w:lang w:val="es-ES"/>
              </w:rPr>
              <w:t xml:space="preserve">4.4 Optimización del proceso de contrataciones y adquisiciones  públicas orientado a mejorar la economía, eficiencia y transparencia, mediante </w:t>
            </w:r>
            <w:r w:rsidRPr="002A40D6">
              <w:rPr>
                <w:rFonts w:ascii="Arial" w:hAnsi="Arial" w:cs="Arial"/>
                <w:sz w:val="20"/>
                <w:lang w:val="es-ES" w:eastAsia="es-ES"/>
              </w:rPr>
              <w:t xml:space="preserve">formas de procedimiento más transparentes y apalancados en e-medios, </w:t>
            </w:r>
            <w:r w:rsidRPr="002A40D6">
              <w:rPr>
                <w:rFonts w:ascii="Arial" w:eastAsiaTheme="minorHAnsi" w:hAnsi="Arial" w:cs="Arial"/>
                <w:sz w:val="20"/>
                <w:lang w:val="es-ES_tradnl"/>
              </w:rPr>
              <w:t xml:space="preserve">con la introducción de instrumentos que habilitan las reformas que mandata el Decreto Legislativo No. 36-2013, Ley de Compras Eficientes y Transparentes a través de medios electrónicos, de agosto de 2014 y su reglamento (Acuerdo Ejecutivo No. 00641-2014) de octubre de 2014. Esto deberá incluir: </w:t>
            </w:r>
          </w:p>
          <w:p w14:paraId="38D579B6" w14:textId="705285EE" w:rsidR="00063F5A" w:rsidRPr="002A40D6" w:rsidRDefault="00063F5A" w:rsidP="00521220">
            <w:pPr>
              <w:rPr>
                <w:rFonts w:ascii="Arial" w:hAnsi="Arial" w:cs="Arial"/>
                <w:sz w:val="20"/>
                <w:lang w:val="es-ES"/>
              </w:rPr>
            </w:pPr>
            <w:r w:rsidRPr="002A40D6">
              <w:rPr>
                <w:rFonts w:ascii="Arial" w:eastAsiaTheme="minorHAnsi" w:hAnsi="Arial" w:cs="Arial"/>
                <w:sz w:val="20"/>
                <w:lang w:val="es-ES_tradnl"/>
              </w:rPr>
              <w:t xml:space="preserve">(a) la finalización de </w:t>
            </w:r>
            <w:r w:rsidR="00521220">
              <w:rPr>
                <w:rFonts w:ascii="Arial" w:eastAsiaTheme="minorHAnsi" w:hAnsi="Arial" w:cs="Arial"/>
                <w:sz w:val="20"/>
                <w:lang w:val="es-ES_tradnl"/>
              </w:rPr>
              <w:t>3</w:t>
            </w:r>
            <w:r w:rsidR="00521220" w:rsidRPr="002A40D6">
              <w:rPr>
                <w:rFonts w:ascii="Arial" w:eastAsiaTheme="minorHAnsi" w:hAnsi="Arial" w:cs="Arial"/>
                <w:sz w:val="20"/>
                <w:lang w:val="es-ES_tradnl"/>
              </w:rPr>
              <w:t xml:space="preserve"> </w:t>
            </w:r>
            <w:r w:rsidRPr="002A40D6">
              <w:rPr>
                <w:rFonts w:ascii="Arial" w:eastAsiaTheme="minorHAnsi" w:hAnsi="Arial" w:cs="Arial"/>
                <w:sz w:val="20"/>
                <w:lang w:val="es-ES_tradnl"/>
              </w:rPr>
              <w:t>(</w:t>
            </w:r>
            <w:r w:rsidR="00521220">
              <w:rPr>
                <w:rFonts w:ascii="Arial" w:eastAsiaTheme="minorHAnsi" w:hAnsi="Arial" w:cs="Arial"/>
                <w:sz w:val="20"/>
                <w:lang w:val="es-ES_tradnl"/>
              </w:rPr>
              <w:t>tres</w:t>
            </w:r>
            <w:r w:rsidRPr="002A40D6">
              <w:rPr>
                <w:rFonts w:ascii="Arial" w:eastAsiaTheme="minorHAnsi" w:hAnsi="Arial" w:cs="Arial"/>
                <w:sz w:val="20"/>
                <w:lang w:val="es-ES_tradnl"/>
              </w:rPr>
              <w:t>) convenios marco que determinen la obligatoriedad para todas las entidades del estado de comprar suministros bajo esos convenios exclusivamente a través de ese catálogo electrónico y su uso efectivo en las instituciones del sector público.</w:t>
            </w:r>
          </w:p>
        </w:tc>
        <w:tc>
          <w:tcPr>
            <w:tcW w:w="6663" w:type="dxa"/>
          </w:tcPr>
          <w:p w14:paraId="70AB04FE" w14:textId="77777777" w:rsidR="00063F5A" w:rsidRPr="002A40D6" w:rsidRDefault="00063F5A" w:rsidP="00ED7B8C">
            <w:pPr>
              <w:rPr>
                <w:rFonts w:ascii="Arial" w:hAnsi="Arial" w:cs="Arial"/>
                <w:color w:val="FF0000"/>
                <w:sz w:val="20"/>
                <w:lang w:val="es-ES"/>
              </w:rPr>
            </w:pPr>
            <w:r w:rsidRPr="002A40D6">
              <w:rPr>
                <w:rFonts w:ascii="Arial" w:hAnsi="Arial" w:cs="Arial"/>
                <w:sz w:val="20"/>
                <w:lang w:val="es-ES"/>
              </w:rPr>
              <w:t xml:space="preserve">4.4 </w:t>
            </w:r>
          </w:p>
          <w:p w14:paraId="6BEB8838" w14:textId="77777777" w:rsidR="00063F5A" w:rsidRPr="002A40D6" w:rsidRDefault="00063F5A" w:rsidP="00ED7B8C">
            <w:pPr>
              <w:rPr>
                <w:rFonts w:ascii="Arial" w:hAnsi="Arial" w:cs="Arial"/>
                <w:sz w:val="20"/>
                <w:lang w:val="es-ES"/>
              </w:rPr>
            </w:pPr>
          </w:p>
          <w:p w14:paraId="45D5C79A" w14:textId="0B1FF08C" w:rsidR="00063F5A" w:rsidRPr="002A40D6" w:rsidRDefault="00063F5A" w:rsidP="006273BC">
            <w:pPr>
              <w:pStyle w:val="ListParagraph"/>
              <w:numPr>
                <w:ilvl w:val="0"/>
                <w:numId w:val="50"/>
              </w:numPr>
              <w:ind w:left="432"/>
              <w:rPr>
                <w:rFonts w:ascii="Arial" w:hAnsi="Arial" w:cs="Arial"/>
                <w:sz w:val="20"/>
                <w:lang w:val="es-ES"/>
              </w:rPr>
            </w:pPr>
            <w:r w:rsidRPr="002A40D6">
              <w:rPr>
                <w:rFonts w:ascii="Arial" w:hAnsi="Arial" w:cs="Arial"/>
                <w:sz w:val="20"/>
                <w:lang w:val="es-ES"/>
              </w:rPr>
              <w:t xml:space="preserve">Convenios Marco licitados, adjudicados y con catálogo en línea para </w:t>
            </w:r>
            <w:r w:rsidR="00521220">
              <w:rPr>
                <w:rFonts w:ascii="Arial" w:hAnsi="Arial" w:cs="Arial"/>
                <w:sz w:val="20"/>
                <w:lang w:val="es-ES"/>
              </w:rPr>
              <w:t>3</w:t>
            </w:r>
            <w:r w:rsidRPr="002A40D6">
              <w:rPr>
                <w:rFonts w:ascii="Arial" w:hAnsi="Arial" w:cs="Arial"/>
                <w:sz w:val="20"/>
                <w:lang w:val="es-ES"/>
              </w:rPr>
              <w:t xml:space="preserve"> (</w:t>
            </w:r>
            <w:r w:rsidR="00521220">
              <w:rPr>
                <w:rFonts w:ascii="Arial" w:hAnsi="Arial" w:cs="Arial"/>
                <w:sz w:val="20"/>
                <w:lang w:val="es-ES"/>
              </w:rPr>
              <w:t>tres</w:t>
            </w:r>
            <w:r w:rsidRPr="002A40D6">
              <w:rPr>
                <w:rFonts w:ascii="Arial" w:hAnsi="Arial" w:cs="Arial"/>
                <w:sz w:val="20"/>
                <w:lang w:val="es-ES"/>
              </w:rPr>
              <w:t xml:space="preserve">) categorías de suministros, incluyendo: (i) útiles de oficina; (ii) alimentos y bebidas; (iii) equipos de reproducción, impresión y consumibles; (iv) servicios de impresión; y (v) bienes informáticos.  </w:t>
            </w:r>
          </w:p>
          <w:p w14:paraId="35573125" w14:textId="77777777" w:rsidR="00063F5A" w:rsidRPr="002A40D6" w:rsidRDefault="00063F5A" w:rsidP="006273BC">
            <w:pPr>
              <w:ind w:left="432"/>
              <w:rPr>
                <w:rFonts w:ascii="Arial" w:hAnsi="Arial" w:cs="Arial"/>
                <w:sz w:val="20"/>
                <w:lang w:val="es-ES"/>
              </w:rPr>
            </w:pPr>
          </w:p>
          <w:p w14:paraId="1F596C77" w14:textId="77777777" w:rsidR="00063F5A" w:rsidRPr="002A40D6" w:rsidRDefault="00063F5A" w:rsidP="00063F5A">
            <w:pPr>
              <w:rPr>
                <w:rFonts w:ascii="Arial" w:hAnsi="Arial" w:cs="Arial"/>
                <w:sz w:val="20"/>
                <w:lang w:val="es-ES"/>
              </w:rPr>
            </w:pPr>
          </w:p>
          <w:p w14:paraId="5338EE28" w14:textId="6D509B3F" w:rsidR="00063F5A" w:rsidRPr="002A40D6" w:rsidRDefault="00063F5A" w:rsidP="00125417">
            <w:pPr>
              <w:ind w:left="72"/>
              <w:rPr>
                <w:rFonts w:ascii="Arial" w:hAnsi="Arial" w:cs="Arial"/>
                <w:sz w:val="20"/>
                <w:lang w:val="es-ES"/>
              </w:rPr>
            </w:pPr>
            <w:r w:rsidRPr="002A40D6">
              <w:rPr>
                <w:rFonts w:ascii="Arial" w:hAnsi="Arial" w:cs="Arial"/>
                <w:sz w:val="20"/>
                <w:lang w:val="es-ES"/>
              </w:rPr>
              <w:t xml:space="preserve">Responsable: </w:t>
            </w:r>
            <w:r w:rsidRPr="002A40D6">
              <w:rPr>
                <w:rFonts w:ascii="Arial" w:hAnsi="Arial" w:cs="Arial"/>
                <w:sz w:val="20"/>
                <w:lang w:val="es-ES_tradnl"/>
              </w:rPr>
              <w:t>Secretaría de  Coordinación General de Gobierno y Oficina Normativa de Contrataciones y Adquisiciones  del Estado (ONCAE).</w:t>
            </w:r>
          </w:p>
        </w:tc>
      </w:tr>
      <w:tr w:rsidR="0011026F" w:rsidRPr="002448BE" w14:paraId="0CDEF8BD" w14:textId="77777777" w:rsidTr="00E34076">
        <w:tc>
          <w:tcPr>
            <w:tcW w:w="13737" w:type="dxa"/>
            <w:gridSpan w:val="2"/>
            <w:shd w:val="clear" w:color="auto" w:fill="C6D9F1" w:themeFill="text2" w:themeFillTint="33"/>
          </w:tcPr>
          <w:p w14:paraId="009FC897" w14:textId="66C4A8E3" w:rsidR="0011026F" w:rsidRPr="002A40D6" w:rsidRDefault="0011026F" w:rsidP="00E34076">
            <w:pPr>
              <w:rPr>
                <w:rFonts w:ascii="Arial" w:hAnsi="Arial" w:cs="Arial"/>
                <w:sz w:val="20"/>
                <w:lang w:val="es-ES"/>
              </w:rPr>
            </w:pPr>
            <w:r w:rsidRPr="002A40D6">
              <w:rPr>
                <w:rFonts w:ascii="Arial" w:hAnsi="Arial" w:cs="Arial"/>
                <w:b/>
                <w:sz w:val="20"/>
                <w:lang w:val="es-ES"/>
              </w:rPr>
              <w:t>Componente V – Fortalecimiento de la gestión de los pasivos contingentes</w:t>
            </w:r>
          </w:p>
        </w:tc>
      </w:tr>
      <w:tr w:rsidR="0011026F" w:rsidRPr="002448BE" w14:paraId="097FC171" w14:textId="77777777" w:rsidTr="0011026F">
        <w:tc>
          <w:tcPr>
            <w:tcW w:w="13737" w:type="dxa"/>
            <w:gridSpan w:val="2"/>
            <w:shd w:val="clear" w:color="auto" w:fill="D9D9D9" w:themeFill="background1" w:themeFillShade="D9"/>
          </w:tcPr>
          <w:p w14:paraId="54563017" w14:textId="2989BD4D" w:rsidR="0011026F" w:rsidRPr="002A40D6" w:rsidRDefault="0011026F" w:rsidP="00E34076">
            <w:pPr>
              <w:rPr>
                <w:rFonts w:ascii="Arial" w:hAnsi="Arial" w:cs="Arial"/>
                <w:b/>
                <w:sz w:val="20"/>
                <w:lang w:val="es-ES"/>
              </w:rPr>
            </w:pPr>
            <w:r w:rsidRPr="002A40D6">
              <w:rPr>
                <w:rFonts w:ascii="Arial" w:hAnsi="Arial" w:cs="Arial"/>
                <w:sz w:val="20"/>
                <w:lang w:val="es-AR"/>
              </w:rPr>
              <w:t>R</w:t>
            </w:r>
            <w:r w:rsidRPr="002A40D6">
              <w:rPr>
                <w:rFonts w:ascii="Arial" w:hAnsi="Arial" w:cs="Arial"/>
                <w:sz w:val="20"/>
                <w:lang w:val="es-ES"/>
              </w:rPr>
              <w:t xml:space="preserve">iesgos fiscales vinculados a los pasivos contingentes relacionados con </w:t>
            </w:r>
            <w:r w:rsidRPr="002A40D6">
              <w:rPr>
                <w:rFonts w:ascii="Arial" w:hAnsi="Arial" w:cs="Arial"/>
                <w:iCs/>
                <w:sz w:val="20"/>
                <w:lang w:val="es-ES"/>
              </w:rPr>
              <w:t>Asociación Público Privada (APP)</w:t>
            </w:r>
          </w:p>
        </w:tc>
      </w:tr>
      <w:tr w:rsidR="00063F5A" w:rsidRPr="002448BE" w14:paraId="4E5CB659" w14:textId="77777777" w:rsidTr="00063F5A">
        <w:tc>
          <w:tcPr>
            <w:tcW w:w="7074" w:type="dxa"/>
          </w:tcPr>
          <w:p w14:paraId="72C1BF07" w14:textId="77777777" w:rsidR="00063F5A" w:rsidRPr="002A40D6" w:rsidRDefault="00063F5A" w:rsidP="002448BE">
            <w:pPr>
              <w:pStyle w:val="FootnoteText"/>
              <w:ind w:left="342" w:hanging="342"/>
              <w:rPr>
                <w:rFonts w:ascii="Arial" w:hAnsi="Arial" w:cs="Arial"/>
                <w:iCs/>
                <w:lang w:val="es-ES"/>
              </w:rPr>
            </w:pPr>
            <w:r w:rsidRPr="002A40D6">
              <w:rPr>
                <w:rFonts w:ascii="Arial" w:hAnsi="Arial" w:cs="Arial"/>
                <w:iCs/>
                <w:lang w:val="es-ES"/>
              </w:rPr>
              <w:t>5.1 Mejoramiento del proceso de aprobación, monitoreo y control de los proyectos de APP</w:t>
            </w:r>
            <w:r w:rsidRPr="002A40D6">
              <w:rPr>
                <w:rFonts w:ascii="Arial" w:hAnsi="Arial" w:cs="Arial"/>
                <w:lang w:val="es-ES"/>
              </w:rPr>
              <w:t xml:space="preserve"> </w:t>
            </w:r>
            <w:r w:rsidRPr="002A40D6">
              <w:rPr>
                <w:rFonts w:ascii="Arial" w:hAnsi="Arial" w:cs="Arial"/>
                <w:iCs/>
                <w:lang w:val="es-ES"/>
              </w:rPr>
              <w:t>mediante:</w:t>
            </w:r>
          </w:p>
          <w:p w14:paraId="0DCA51ED" w14:textId="77777777" w:rsidR="00063F5A" w:rsidRPr="002A40D6" w:rsidRDefault="00063F5A" w:rsidP="000C6072">
            <w:pPr>
              <w:pStyle w:val="FootnoteText"/>
              <w:rPr>
                <w:rFonts w:ascii="Arial" w:hAnsi="Arial" w:cs="Arial"/>
                <w:iCs/>
                <w:lang w:val="es-ES"/>
              </w:rPr>
            </w:pPr>
            <w:r w:rsidRPr="002A40D6">
              <w:rPr>
                <w:rFonts w:ascii="Arial" w:hAnsi="Arial" w:cs="Arial"/>
                <w:iCs/>
                <w:lang w:val="es-ES"/>
              </w:rPr>
              <w:t>a) fortalecimiento de la Ley de Promoción de la Alianza Público-Privada;</w:t>
            </w:r>
          </w:p>
          <w:p w14:paraId="25B5B79B" w14:textId="77777777" w:rsidR="00063F5A" w:rsidRPr="002A40D6" w:rsidRDefault="00063F5A" w:rsidP="000C6072">
            <w:pPr>
              <w:pStyle w:val="FootnoteText"/>
              <w:rPr>
                <w:rFonts w:ascii="Arial" w:hAnsi="Arial" w:cs="Arial"/>
                <w:lang w:val="es-ES"/>
              </w:rPr>
            </w:pPr>
          </w:p>
          <w:p w14:paraId="47518C3A" w14:textId="3E567950" w:rsidR="00063F5A" w:rsidRPr="002A40D6" w:rsidRDefault="00063F5A" w:rsidP="002448BE">
            <w:pPr>
              <w:pStyle w:val="FootnoteText"/>
              <w:ind w:left="252" w:hanging="270"/>
              <w:rPr>
                <w:rFonts w:ascii="Arial" w:hAnsi="Arial" w:cs="Arial"/>
                <w:lang w:val="es-ES"/>
              </w:rPr>
            </w:pPr>
            <w:r w:rsidRPr="002A40D6">
              <w:rPr>
                <w:rFonts w:ascii="Arial" w:hAnsi="Arial" w:cs="Arial"/>
                <w:lang w:val="es-ES"/>
              </w:rPr>
              <w:t xml:space="preserve">b) Mejora del proceso de registro de las APPs en el Sistema Nacional de Inversión Pública (SNIP), y establecimiento de un cronograma y calendarización para incluir a las APPs en el anteproyecto del presupuesto anual. </w:t>
            </w:r>
          </w:p>
          <w:p w14:paraId="4A2CDDF9" w14:textId="14EC4B55" w:rsidR="00063F5A" w:rsidRPr="002A40D6" w:rsidRDefault="00063F5A" w:rsidP="008B580E">
            <w:pPr>
              <w:pStyle w:val="FootnoteText"/>
              <w:rPr>
                <w:rFonts w:ascii="Arial" w:hAnsi="Arial" w:cs="Arial"/>
                <w:lang w:val="es-ES"/>
              </w:rPr>
            </w:pPr>
          </w:p>
          <w:p w14:paraId="364C7F6F" w14:textId="77777777" w:rsidR="00063F5A" w:rsidRPr="002A40D6" w:rsidRDefault="00063F5A" w:rsidP="008B580E">
            <w:pPr>
              <w:pStyle w:val="FootnoteText"/>
              <w:rPr>
                <w:rFonts w:ascii="Arial" w:hAnsi="Arial" w:cs="Arial"/>
                <w:lang w:val="es-ES"/>
              </w:rPr>
            </w:pPr>
          </w:p>
        </w:tc>
        <w:tc>
          <w:tcPr>
            <w:tcW w:w="6663" w:type="dxa"/>
          </w:tcPr>
          <w:p w14:paraId="2FC1A755" w14:textId="77777777" w:rsidR="00063F5A" w:rsidRPr="002A40D6" w:rsidRDefault="00063F5A" w:rsidP="000C6072">
            <w:pPr>
              <w:pStyle w:val="FootnoteText"/>
              <w:rPr>
                <w:rFonts w:ascii="Arial" w:hAnsi="Arial" w:cs="Arial"/>
                <w:iCs/>
                <w:lang w:val="es-ES"/>
              </w:rPr>
            </w:pPr>
            <w:r w:rsidRPr="002A40D6">
              <w:rPr>
                <w:rFonts w:ascii="Arial" w:hAnsi="Arial" w:cs="Arial"/>
                <w:iCs/>
                <w:lang w:val="es-ES"/>
              </w:rPr>
              <w:t xml:space="preserve">5.1 </w:t>
            </w:r>
          </w:p>
          <w:p w14:paraId="333D31D6" w14:textId="77777777" w:rsidR="00063F5A" w:rsidRPr="002A40D6" w:rsidRDefault="00063F5A" w:rsidP="00534A8E">
            <w:pPr>
              <w:pStyle w:val="FootnoteText"/>
              <w:rPr>
                <w:rFonts w:ascii="Arial" w:hAnsi="Arial" w:cs="Arial"/>
                <w:lang w:val="es-ES"/>
              </w:rPr>
            </w:pPr>
          </w:p>
          <w:p w14:paraId="4DAD9CEF" w14:textId="3108678D" w:rsidR="00063F5A" w:rsidRPr="002A40D6" w:rsidRDefault="00063F5A" w:rsidP="00534A8E">
            <w:pPr>
              <w:pStyle w:val="FootnoteText"/>
              <w:rPr>
                <w:rFonts w:ascii="Arial" w:hAnsi="Arial" w:cs="Arial"/>
                <w:lang w:val="es-AR"/>
              </w:rPr>
            </w:pPr>
            <w:r w:rsidRPr="002A40D6">
              <w:rPr>
                <w:rFonts w:ascii="Arial" w:hAnsi="Arial" w:cs="Arial"/>
                <w:lang w:val="es-ES"/>
              </w:rPr>
              <w:t>a) Decreto Legislativo No. 115-2014 que reforma la Ley de Promoción de Alianza Público Privada (Dec. 143- 2010).</w:t>
            </w:r>
          </w:p>
          <w:p w14:paraId="186A4D86" w14:textId="77777777" w:rsidR="00063F5A" w:rsidRPr="002A40D6" w:rsidRDefault="00063F5A" w:rsidP="00534A8E">
            <w:pPr>
              <w:rPr>
                <w:rFonts w:ascii="Arial" w:hAnsi="Arial" w:cs="Arial"/>
                <w:sz w:val="20"/>
                <w:lang w:val="es-ES"/>
              </w:rPr>
            </w:pPr>
            <w:r w:rsidRPr="002A40D6">
              <w:rPr>
                <w:rFonts w:ascii="Arial" w:hAnsi="Arial" w:cs="Arial"/>
                <w:sz w:val="20"/>
                <w:lang w:val="es-ES"/>
              </w:rPr>
              <w:t> </w:t>
            </w:r>
          </w:p>
          <w:p w14:paraId="37B5842F" w14:textId="2308F298" w:rsidR="00063F5A" w:rsidRPr="002A40D6" w:rsidRDefault="00063F5A" w:rsidP="00530590">
            <w:pPr>
              <w:rPr>
                <w:rFonts w:ascii="Arial" w:hAnsi="Arial" w:cs="Arial"/>
                <w:sz w:val="20"/>
                <w:lang w:val="es-AR"/>
              </w:rPr>
            </w:pPr>
            <w:r w:rsidRPr="002A40D6">
              <w:rPr>
                <w:rFonts w:ascii="Arial" w:hAnsi="Arial" w:cs="Arial"/>
                <w:sz w:val="20"/>
                <w:lang w:val="es-ES"/>
              </w:rPr>
              <w:t xml:space="preserve">b)  Reglamento del Decreto 115-2014 en el cual se establece que todas las propuestas de proyectos  APPs, a partir de la publicación del reglamento fueron  incluidas en el SNIP y se define el mecanismo de incorporación de nuevos  proyectos APP al anteproyecto de presupuesto anual con un cronograma y calendario que define los tiempos límites para su incorporación. </w:t>
            </w:r>
          </w:p>
          <w:p w14:paraId="18B499F2" w14:textId="0ED93E3E" w:rsidR="00063F5A" w:rsidRPr="002A40D6" w:rsidRDefault="00063F5A" w:rsidP="0041090F">
            <w:pPr>
              <w:rPr>
                <w:rFonts w:ascii="Arial" w:hAnsi="Arial" w:cs="Arial"/>
                <w:sz w:val="20"/>
                <w:lang w:val="es-ES"/>
              </w:rPr>
            </w:pPr>
            <w:r w:rsidRPr="002A40D6">
              <w:rPr>
                <w:rFonts w:ascii="Arial" w:hAnsi="Arial" w:cs="Arial"/>
                <w:sz w:val="20"/>
                <w:lang w:val="es-ES"/>
              </w:rPr>
              <w:t> </w:t>
            </w:r>
          </w:p>
          <w:p w14:paraId="7B87F722" w14:textId="77777777" w:rsidR="00063F5A" w:rsidRPr="002A40D6" w:rsidRDefault="00063F5A" w:rsidP="0041090F">
            <w:pPr>
              <w:rPr>
                <w:rFonts w:ascii="Arial" w:hAnsi="Arial" w:cs="Arial"/>
                <w:sz w:val="20"/>
                <w:lang w:val="es-ES"/>
              </w:rPr>
            </w:pPr>
            <w:r w:rsidRPr="002A40D6">
              <w:rPr>
                <w:rFonts w:ascii="Arial" w:hAnsi="Arial" w:cs="Arial"/>
                <w:sz w:val="20"/>
                <w:lang w:val="es-ES"/>
              </w:rPr>
              <w:t>Responsable: Poder Ejecutivo y SEFIN</w:t>
            </w:r>
          </w:p>
        </w:tc>
      </w:tr>
      <w:tr w:rsidR="00063F5A" w:rsidRPr="002A40D6" w14:paraId="3833CB13" w14:textId="77777777" w:rsidTr="00063F5A">
        <w:trPr>
          <w:trHeight w:val="980"/>
        </w:trPr>
        <w:tc>
          <w:tcPr>
            <w:tcW w:w="7074" w:type="dxa"/>
          </w:tcPr>
          <w:p w14:paraId="1C2FE505" w14:textId="77777777" w:rsidR="00063F5A" w:rsidRPr="002A40D6" w:rsidRDefault="00063F5A" w:rsidP="002448BE">
            <w:pPr>
              <w:pStyle w:val="FootnoteText"/>
              <w:ind w:left="342" w:hanging="342"/>
              <w:rPr>
                <w:rFonts w:ascii="Arial" w:hAnsi="Arial" w:cs="Arial"/>
                <w:iCs/>
                <w:lang w:val="es-ES"/>
              </w:rPr>
            </w:pPr>
            <w:r w:rsidRPr="002A40D6">
              <w:rPr>
                <w:rFonts w:ascii="Arial" w:hAnsi="Arial" w:cs="Arial"/>
                <w:iCs/>
                <w:lang w:val="es-ES"/>
              </w:rPr>
              <w:t xml:space="preserve">5.2 Fortalecimiento de </w:t>
            </w:r>
            <w:r w:rsidRPr="002A40D6">
              <w:rPr>
                <w:rFonts w:ascii="Arial" w:hAnsi="Arial" w:cs="Arial"/>
                <w:lang w:val="es-ES"/>
              </w:rPr>
              <w:t xml:space="preserve">la gestión de </w:t>
            </w:r>
            <w:r w:rsidRPr="002A40D6">
              <w:rPr>
                <w:rFonts w:ascii="Arial" w:hAnsi="Arial" w:cs="Arial"/>
                <w:iCs/>
                <w:lang w:val="es-ES"/>
              </w:rPr>
              <w:t>los riesgos fiscales asociados a los pasivos contingentes de APPs,</w:t>
            </w:r>
            <w:r w:rsidRPr="002A40D6">
              <w:rPr>
                <w:rFonts w:ascii="Arial" w:hAnsi="Arial" w:cs="Arial"/>
                <w:lang w:val="es-ES"/>
              </w:rPr>
              <w:t xml:space="preserve"> mediante </w:t>
            </w:r>
            <w:r w:rsidRPr="002A40D6">
              <w:rPr>
                <w:rFonts w:ascii="Arial" w:hAnsi="Arial" w:cs="Arial"/>
                <w:iCs/>
                <w:lang w:val="es-ES"/>
              </w:rPr>
              <w:t>la creación de una unidad técnica especializada</w:t>
            </w:r>
            <w:r w:rsidRPr="002A40D6">
              <w:rPr>
                <w:rFonts w:ascii="Arial" w:hAnsi="Arial" w:cs="Arial"/>
                <w:lang w:val="es-ES"/>
              </w:rPr>
              <w:t xml:space="preserve"> en SEFIN y la mejora de la coordinación con las áreas vinculadas a APP</w:t>
            </w:r>
            <w:r w:rsidRPr="002A40D6">
              <w:rPr>
                <w:rFonts w:ascii="Arial" w:hAnsi="Arial" w:cs="Arial"/>
                <w:iCs/>
                <w:lang w:val="es-ES"/>
              </w:rPr>
              <w:t xml:space="preserve">. </w:t>
            </w:r>
          </w:p>
        </w:tc>
        <w:tc>
          <w:tcPr>
            <w:tcW w:w="6663" w:type="dxa"/>
          </w:tcPr>
          <w:p w14:paraId="5B411E67" w14:textId="3F3584AD" w:rsidR="00063F5A" w:rsidRPr="002A40D6" w:rsidRDefault="00063F5A" w:rsidP="002448BE">
            <w:pPr>
              <w:ind w:left="288" w:hanging="288"/>
              <w:rPr>
                <w:rFonts w:ascii="Arial" w:hAnsi="Arial" w:cs="Arial"/>
                <w:iCs/>
                <w:sz w:val="20"/>
                <w:lang w:val="es-ES"/>
              </w:rPr>
            </w:pPr>
            <w:r w:rsidRPr="002A40D6">
              <w:rPr>
                <w:rFonts w:ascii="Arial" w:hAnsi="Arial" w:cs="Arial"/>
                <w:iCs/>
                <w:sz w:val="20"/>
                <w:lang w:val="es-ES"/>
              </w:rPr>
              <w:t>5.2 Decreto legislativo para la creación de la Unidad de Contingencias Fiscales</w:t>
            </w:r>
          </w:p>
          <w:p w14:paraId="39E153B7" w14:textId="77777777" w:rsidR="00063F5A" w:rsidRPr="002A40D6" w:rsidRDefault="00063F5A" w:rsidP="000C6072">
            <w:pPr>
              <w:rPr>
                <w:rFonts w:ascii="Arial" w:hAnsi="Arial" w:cs="Arial"/>
                <w:sz w:val="20"/>
                <w:lang w:val="es-ES"/>
              </w:rPr>
            </w:pPr>
          </w:p>
          <w:p w14:paraId="109B4E64" w14:textId="77777777" w:rsidR="00063F5A" w:rsidRDefault="00063F5A" w:rsidP="000C6072">
            <w:pPr>
              <w:rPr>
                <w:rFonts w:ascii="Arial" w:hAnsi="Arial" w:cs="Arial"/>
                <w:sz w:val="20"/>
                <w:lang w:val="es-ES"/>
              </w:rPr>
            </w:pPr>
            <w:r w:rsidRPr="002A40D6">
              <w:rPr>
                <w:rFonts w:ascii="Arial" w:hAnsi="Arial" w:cs="Arial"/>
                <w:sz w:val="20"/>
                <w:lang w:val="es-ES"/>
              </w:rPr>
              <w:t>Responsable: SEFIN</w:t>
            </w:r>
          </w:p>
          <w:p w14:paraId="311B1863" w14:textId="77777777" w:rsidR="002448BE" w:rsidRDefault="002448BE" w:rsidP="000C6072">
            <w:pPr>
              <w:rPr>
                <w:rFonts w:ascii="Arial" w:hAnsi="Arial" w:cs="Arial"/>
                <w:sz w:val="20"/>
                <w:lang w:val="es-ES"/>
              </w:rPr>
            </w:pPr>
          </w:p>
          <w:p w14:paraId="6C3836AC" w14:textId="77777777" w:rsidR="002448BE" w:rsidRPr="002A40D6" w:rsidRDefault="002448BE" w:rsidP="000C6072">
            <w:pPr>
              <w:rPr>
                <w:rFonts w:ascii="Arial" w:hAnsi="Arial" w:cs="Arial"/>
                <w:iCs/>
                <w:sz w:val="20"/>
                <w:lang w:val="es-ES"/>
              </w:rPr>
            </w:pPr>
          </w:p>
        </w:tc>
      </w:tr>
      <w:tr w:rsidR="0011026F" w:rsidRPr="002448BE" w14:paraId="05841A4A" w14:textId="77777777" w:rsidTr="0011026F">
        <w:tc>
          <w:tcPr>
            <w:tcW w:w="13737" w:type="dxa"/>
            <w:gridSpan w:val="2"/>
            <w:shd w:val="clear" w:color="auto" w:fill="D9D9D9" w:themeFill="background1" w:themeFillShade="D9"/>
          </w:tcPr>
          <w:p w14:paraId="295D90AE" w14:textId="69F78945" w:rsidR="0011026F" w:rsidRPr="002A40D6" w:rsidRDefault="0011026F" w:rsidP="0011026F">
            <w:pPr>
              <w:rPr>
                <w:rFonts w:ascii="Arial" w:hAnsi="Arial" w:cs="Arial"/>
                <w:sz w:val="20"/>
                <w:lang w:val="es-AR"/>
              </w:rPr>
            </w:pPr>
            <w:r w:rsidRPr="002A40D6">
              <w:rPr>
                <w:rFonts w:ascii="Arial" w:hAnsi="Arial" w:cs="Arial"/>
                <w:sz w:val="20"/>
                <w:lang w:val="es-AR"/>
              </w:rPr>
              <w:t>Riesgos fiscales vinculados a los pasivos contingentes relacionados con pensiones</w:t>
            </w:r>
          </w:p>
        </w:tc>
      </w:tr>
      <w:tr w:rsidR="00063F5A" w:rsidRPr="002448BE" w14:paraId="7866F4B7" w14:textId="77777777" w:rsidTr="00063F5A">
        <w:tc>
          <w:tcPr>
            <w:tcW w:w="7074" w:type="dxa"/>
          </w:tcPr>
          <w:p w14:paraId="02D7CE5C" w14:textId="77777777" w:rsidR="00063F5A" w:rsidRPr="002A40D6" w:rsidRDefault="00063F5A" w:rsidP="002448BE">
            <w:pPr>
              <w:pStyle w:val="FootnoteText"/>
              <w:ind w:left="252" w:hanging="252"/>
              <w:rPr>
                <w:rFonts w:ascii="Arial" w:hAnsi="Arial" w:cs="Arial"/>
                <w:iCs/>
                <w:lang w:val="es-ES"/>
              </w:rPr>
            </w:pPr>
            <w:r w:rsidRPr="002A40D6">
              <w:rPr>
                <w:rFonts w:ascii="Arial" w:hAnsi="Arial" w:cs="Arial"/>
                <w:iCs/>
                <w:lang w:val="es-ES"/>
              </w:rPr>
              <w:t xml:space="preserve">5.3 Fortalecimiento de la gestión de los riesgos asociados a las inversiones </w:t>
            </w:r>
            <w:r w:rsidRPr="002A40D6">
              <w:rPr>
                <w:rFonts w:ascii="Arial" w:hAnsi="Arial" w:cs="Arial"/>
                <w:iCs/>
                <w:lang w:val="es-ES"/>
              </w:rPr>
              <w:lastRenderedPageBreak/>
              <w:t xml:space="preserve">de fondos de pensiones, mediante </w:t>
            </w:r>
            <w:r w:rsidRPr="002A40D6">
              <w:rPr>
                <w:rFonts w:ascii="Arial" w:hAnsi="Arial" w:cs="Arial"/>
                <w:lang w:val="es-ES"/>
              </w:rPr>
              <w:t>la creación de un marco regulatorio para las inversiones de los Institutos Previsionales</w:t>
            </w:r>
            <w:r w:rsidRPr="002A40D6">
              <w:rPr>
                <w:rFonts w:ascii="Arial" w:hAnsi="Arial" w:cs="Arial"/>
                <w:iCs/>
                <w:lang w:val="es-ES"/>
              </w:rPr>
              <w:t>.</w:t>
            </w:r>
          </w:p>
          <w:p w14:paraId="2C145E84" w14:textId="77777777" w:rsidR="00063F5A" w:rsidRPr="002A40D6" w:rsidRDefault="00063F5A" w:rsidP="000C6072">
            <w:pPr>
              <w:pStyle w:val="FootnoteText"/>
              <w:rPr>
                <w:rFonts w:ascii="Arial" w:hAnsi="Arial" w:cs="Arial"/>
                <w:iCs/>
                <w:lang w:val="es-ES"/>
              </w:rPr>
            </w:pPr>
          </w:p>
        </w:tc>
        <w:tc>
          <w:tcPr>
            <w:tcW w:w="6663" w:type="dxa"/>
          </w:tcPr>
          <w:p w14:paraId="247AAAAF" w14:textId="77777777" w:rsidR="00063F5A" w:rsidRPr="002A40D6" w:rsidRDefault="00063F5A" w:rsidP="000C6072">
            <w:pPr>
              <w:rPr>
                <w:rFonts w:ascii="Arial" w:hAnsi="Arial" w:cs="Arial"/>
                <w:iCs/>
                <w:sz w:val="20"/>
                <w:lang w:val="es-ES"/>
              </w:rPr>
            </w:pPr>
            <w:r w:rsidRPr="002A40D6">
              <w:rPr>
                <w:rFonts w:ascii="Arial" w:hAnsi="Arial" w:cs="Arial"/>
                <w:iCs/>
                <w:sz w:val="20"/>
                <w:lang w:val="es-ES"/>
              </w:rPr>
              <w:lastRenderedPageBreak/>
              <w:t xml:space="preserve">5.3 Dictamen Técnico de la CNBS del Ante-Proyecto del  Marco </w:t>
            </w:r>
            <w:r w:rsidRPr="002A40D6">
              <w:rPr>
                <w:rFonts w:ascii="Arial" w:hAnsi="Arial" w:cs="Arial"/>
                <w:iCs/>
                <w:sz w:val="20"/>
                <w:lang w:val="es-ES"/>
              </w:rPr>
              <w:lastRenderedPageBreak/>
              <w:t>Normativo de Inversión de los Institutos Previsionales Público.</w:t>
            </w:r>
          </w:p>
          <w:p w14:paraId="3239135D" w14:textId="77777777" w:rsidR="00063F5A" w:rsidRPr="002A40D6" w:rsidRDefault="00063F5A" w:rsidP="000C6072">
            <w:pPr>
              <w:rPr>
                <w:rFonts w:ascii="Arial" w:hAnsi="Arial" w:cs="Arial"/>
                <w:iCs/>
                <w:sz w:val="20"/>
                <w:lang w:val="es-ES"/>
              </w:rPr>
            </w:pPr>
          </w:p>
          <w:p w14:paraId="52A8A070" w14:textId="77777777" w:rsidR="00063F5A" w:rsidRPr="002A40D6" w:rsidRDefault="00063F5A" w:rsidP="000C6072">
            <w:pPr>
              <w:rPr>
                <w:rFonts w:ascii="Arial" w:hAnsi="Arial" w:cs="Arial"/>
                <w:iCs/>
                <w:sz w:val="20"/>
                <w:lang w:val="es-ES"/>
              </w:rPr>
            </w:pPr>
            <w:r w:rsidRPr="002A40D6">
              <w:rPr>
                <w:rFonts w:ascii="Arial" w:hAnsi="Arial" w:cs="Arial"/>
                <w:iCs/>
                <w:sz w:val="20"/>
                <w:lang w:val="es-ES"/>
              </w:rPr>
              <w:t>Responsable: Comisión Nacional de Bancos y Seguros</w:t>
            </w:r>
          </w:p>
          <w:p w14:paraId="2A1FD7BC" w14:textId="77777777" w:rsidR="00063F5A" w:rsidRPr="002A40D6" w:rsidRDefault="00063F5A" w:rsidP="000C6072">
            <w:pPr>
              <w:rPr>
                <w:rFonts w:ascii="Arial" w:hAnsi="Arial" w:cs="Arial"/>
                <w:iCs/>
                <w:sz w:val="20"/>
                <w:lang w:val="es-ES"/>
              </w:rPr>
            </w:pPr>
          </w:p>
        </w:tc>
      </w:tr>
      <w:tr w:rsidR="00063F5A" w:rsidRPr="002448BE" w14:paraId="7EA57E0E" w14:textId="77777777" w:rsidTr="00063F5A">
        <w:tc>
          <w:tcPr>
            <w:tcW w:w="7074" w:type="dxa"/>
          </w:tcPr>
          <w:p w14:paraId="0F28834A" w14:textId="77777777" w:rsidR="00063F5A" w:rsidRPr="002A40D6" w:rsidRDefault="00063F5A" w:rsidP="002448BE">
            <w:pPr>
              <w:pStyle w:val="FootnoteText"/>
              <w:ind w:left="342" w:hanging="342"/>
              <w:rPr>
                <w:rFonts w:ascii="Arial" w:hAnsi="Arial" w:cs="Arial"/>
                <w:iCs/>
                <w:lang w:val="es-ES_tradnl"/>
              </w:rPr>
            </w:pPr>
            <w:r w:rsidRPr="002A40D6">
              <w:rPr>
                <w:rFonts w:ascii="Arial" w:hAnsi="Arial" w:cs="Arial"/>
                <w:iCs/>
                <w:lang w:val="es-ES"/>
              </w:rPr>
              <w:lastRenderedPageBreak/>
              <w:t xml:space="preserve">5.4 Fortalecimiento de la gobernanza de </w:t>
            </w:r>
            <w:r w:rsidRPr="002A40D6">
              <w:rPr>
                <w:rFonts w:ascii="Arial" w:hAnsi="Arial" w:cs="Arial"/>
                <w:lang w:val="es-ES"/>
              </w:rPr>
              <w:t>los Institutos Previsionales con lineamientos que permitan definir los requisitos de idoneidad de los miembros del comité.</w:t>
            </w:r>
          </w:p>
        </w:tc>
        <w:tc>
          <w:tcPr>
            <w:tcW w:w="6663" w:type="dxa"/>
          </w:tcPr>
          <w:p w14:paraId="20415DB0" w14:textId="77777777" w:rsidR="00063F5A" w:rsidRPr="002A40D6" w:rsidRDefault="00063F5A" w:rsidP="002448BE">
            <w:pPr>
              <w:ind w:left="378" w:hanging="378"/>
              <w:rPr>
                <w:rFonts w:ascii="Arial" w:hAnsi="Arial" w:cs="Arial"/>
                <w:iCs/>
                <w:sz w:val="20"/>
                <w:lang w:val="es-ES"/>
              </w:rPr>
            </w:pPr>
            <w:r w:rsidRPr="002A40D6">
              <w:rPr>
                <w:rFonts w:ascii="Arial" w:hAnsi="Arial" w:cs="Arial"/>
                <w:iCs/>
                <w:sz w:val="20"/>
                <w:lang w:val="es-ES"/>
              </w:rPr>
              <w:t>5.4 Dictamen Técnico de la CNBS del Ante-Proyecto del  Reglamento de Gobierno Corporativo de los Institutos Previsionales Públicos.</w:t>
            </w:r>
          </w:p>
          <w:p w14:paraId="14E82860" w14:textId="77777777" w:rsidR="00063F5A" w:rsidRPr="002A40D6" w:rsidRDefault="00063F5A" w:rsidP="000C6072">
            <w:pPr>
              <w:rPr>
                <w:rFonts w:ascii="Arial" w:hAnsi="Arial" w:cs="Arial"/>
                <w:iCs/>
                <w:sz w:val="20"/>
                <w:lang w:val="es-ES"/>
              </w:rPr>
            </w:pPr>
          </w:p>
          <w:p w14:paraId="2961AD7D" w14:textId="77777777" w:rsidR="00063F5A" w:rsidRPr="002A40D6" w:rsidRDefault="00063F5A" w:rsidP="000C6072">
            <w:pPr>
              <w:rPr>
                <w:rFonts w:ascii="Arial" w:hAnsi="Arial" w:cs="Arial"/>
                <w:iCs/>
                <w:sz w:val="20"/>
                <w:lang w:val="es-ES"/>
              </w:rPr>
            </w:pPr>
            <w:r w:rsidRPr="002A40D6">
              <w:rPr>
                <w:rFonts w:ascii="Arial" w:hAnsi="Arial" w:cs="Arial"/>
                <w:iCs/>
                <w:sz w:val="20"/>
                <w:lang w:val="es-ES"/>
              </w:rPr>
              <w:t>Responsable: Comisión Nacional de Bancos y Seguros</w:t>
            </w:r>
          </w:p>
          <w:p w14:paraId="23495A3F" w14:textId="77777777" w:rsidR="00063F5A" w:rsidRPr="002A40D6" w:rsidRDefault="00063F5A" w:rsidP="000C6072">
            <w:pPr>
              <w:rPr>
                <w:rFonts w:ascii="Arial" w:hAnsi="Arial" w:cs="Arial"/>
                <w:iCs/>
                <w:sz w:val="20"/>
                <w:lang w:val="es-ES"/>
              </w:rPr>
            </w:pPr>
          </w:p>
        </w:tc>
      </w:tr>
    </w:tbl>
    <w:p w14:paraId="2DE1D88C" w14:textId="77777777" w:rsidR="001C00FA" w:rsidRPr="00F96B0A" w:rsidRDefault="001C00FA">
      <w:pPr>
        <w:pStyle w:val="Footer"/>
        <w:tabs>
          <w:tab w:val="clear" w:pos="4320"/>
          <w:tab w:val="clear" w:pos="8640"/>
        </w:tabs>
        <w:rPr>
          <w:sz w:val="22"/>
          <w:szCs w:val="22"/>
          <w:lang w:val="es-ES"/>
        </w:rPr>
      </w:pPr>
    </w:p>
    <w:sectPr w:rsidR="001C00FA" w:rsidRPr="00F96B0A" w:rsidSect="00651EA2">
      <w:headerReference w:type="default" r:id="rId11"/>
      <w:footerReference w:type="even" r:id="rId12"/>
      <w:pgSz w:w="15840" w:h="12240" w:orient="landscape" w:code="1"/>
      <w:pgMar w:top="806" w:right="1440" w:bottom="864"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38257D" w14:textId="77777777" w:rsidR="008025AE" w:rsidRDefault="008025AE">
      <w:r>
        <w:separator/>
      </w:r>
    </w:p>
  </w:endnote>
  <w:endnote w:type="continuationSeparator" w:id="0">
    <w:p w14:paraId="7BC625EC" w14:textId="77777777" w:rsidR="008025AE" w:rsidRDefault="00802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Times New Roman Bold,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E4CAC" w14:textId="77777777" w:rsidR="006E6C18" w:rsidRDefault="000E1E79">
    <w:pPr>
      <w:pStyle w:val="Footer"/>
      <w:framePr w:wrap="around" w:vAnchor="text" w:hAnchor="margin" w:xAlign="center" w:y="1"/>
      <w:rPr>
        <w:rStyle w:val="PageNumber"/>
      </w:rPr>
    </w:pPr>
    <w:r>
      <w:rPr>
        <w:rStyle w:val="PageNumber"/>
      </w:rPr>
      <w:fldChar w:fldCharType="begin"/>
    </w:r>
    <w:r w:rsidR="006E6C18">
      <w:rPr>
        <w:rStyle w:val="PageNumber"/>
      </w:rPr>
      <w:instrText xml:space="preserve">PAGE  </w:instrText>
    </w:r>
    <w:r>
      <w:rPr>
        <w:rStyle w:val="PageNumber"/>
      </w:rPr>
      <w:fldChar w:fldCharType="separate"/>
    </w:r>
    <w:r w:rsidR="006E6C18">
      <w:rPr>
        <w:rStyle w:val="PageNumber"/>
        <w:noProof/>
      </w:rPr>
      <w:t>11</w:t>
    </w:r>
    <w:r>
      <w:rPr>
        <w:rStyle w:val="PageNumber"/>
      </w:rPr>
      <w:fldChar w:fldCharType="end"/>
    </w:r>
  </w:p>
  <w:p w14:paraId="6DF03D25" w14:textId="77777777" w:rsidR="006E6C18" w:rsidRDefault="006E6C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2F91B" w14:textId="77777777" w:rsidR="008025AE" w:rsidRDefault="008025AE">
      <w:r>
        <w:separator/>
      </w:r>
    </w:p>
  </w:footnote>
  <w:footnote w:type="continuationSeparator" w:id="0">
    <w:p w14:paraId="28E06B38" w14:textId="77777777" w:rsidR="008025AE" w:rsidRDefault="008025AE">
      <w:r>
        <w:continuationSeparator/>
      </w:r>
    </w:p>
  </w:footnote>
  <w:footnote w:id="1">
    <w:p w14:paraId="7257CECE" w14:textId="3E582780" w:rsidR="00063F5A" w:rsidRPr="003E2AA3" w:rsidRDefault="00063F5A" w:rsidP="00F62DC8">
      <w:pPr>
        <w:pStyle w:val="FootnoteText"/>
        <w:jc w:val="both"/>
        <w:rPr>
          <w:lang w:val="es-ES_tradnl"/>
        </w:rPr>
      </w:pPr>
      <w:r>
        <w:rPr>
          <w:rStyle w:val="FootnoteReference"/>
        </w:rPr>
        <w:footnoteRef/>
      </w:r>
      <w:r w:rsidRPr="006718B1">
        <w:rPr>
          <w:lang w:val="es-ES_tradnl"/>
        </w:rPr>
        <w:t xml:space="preserve"> </w:t>
      </w:r>
      <w:r>
        <w:rPr>
          <w:bCs/>
          <w:lang w:val="es-ES_tradnl"/>
        </w:rPr>
        <w:t>S</w:t>
      </w:r>
      <w:r w:rsidR="0095321B">
        <w:rPr>
          <w:bCs/>
          <w:lang w:val="es-ES_tradnl"/>
        </w:rPr>
        <w:t>e utilizará el Manual de Adopció</w:t>
      </w:r>
      <w:r>
        <w:rPr>
          <w:bCs/>
          <w:lang w:val="es-ES_tradnl"/>
        </w:rPr>
        <w:t>n del MGMP</w:t>
      </w:r>
      <w:r w:rsidR="0095321B">
        <w:rPr>
          <w:bCs/>
          <w:lang w:val="es-ES_tradnl"/>
        </w:rPr>
        <w:t xml:space="preserve"> como guía para su implementació</w:t>
      </w:r>
      <w:r>
        <w:rPr>
          <w:bCs/>
          <w:lang w:val="es-ES_tradnl"/>
        </w:rPr>
        <w:t>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8DAE1" w14:textId="77777777" w:rsidR="002448BE" w:rsidRPr="002448BE" w:rsidRDefault="002448BE">
    <w:pPr>
      <w:pStyle w:val="Header"/>
      <w:jc w:val="right"/>
      <w:rPr>
        <w:sz w:val="20"/>
        <w:lang w:val="es-ES_tradnl"/>
      </w:rPr>
    </w:pPr>
    <w:r w:rsidRPr="002448BE">
      <w:rPr>
        <w:sz w:val="20"/>
        <w:lang w:val="es-ES_tradnl"/>
      </w:rPr>
      <w:t>EER#3: Matriz de Medios de Verificación</w:t>
    </w:r>
  </w:p>
  <w:p w14:paraId="394A0368" w14:textId="22B1CDB2" w:rsidR="006E6C18" w:rsidRPr="006B5E99" w:rsidRDefault="006E6C18">
    <w:pPr>
      <w:pStyle w:val="Header"/>
      <w:jc w:val="right"/>
      <w:rPr>
        <w:sz w:val="20"/>
        <w:lang w:val="pt-BR"/>
      </w:rPr>
    </w:pPr>
    <w:r w:rsidRPr="006B5E99">
      <w:rPr>
        <w:sz w:val="20"/>
        <w:lang w:val="pt-BR"/>
      </w:rPr>
      <w:t xml:space="preserve">Página </w:t>
    </w:r>
    <w:r w:rsidR="000E1E79" w:rsidRPr="006B5E99">
      <w:rPr>
        <w:rStyle w:val="PageNumber"/>
        <w:sz w:val="20"/>
      </w:rPr>
      <w:fldChar w:fldCharType="begin"/>
    </w:r>
    <w:r w:rsidRPr="006B5E99">
      <w:rPr>
        <w:rStyle w:val="PageNumber"/>
        <w:sz w:val="20"/>
        <w:lang w:val="pt-BR"/>
      </w:rPr>
      <w:instrText xml:space="preserve"> PAGE </w:instrText>
    </w:r>
    <w:r w:rsidR="000E1E79" w:rsidRPr="006B5E99">
      <w:rPr>
        <w:rStyle w:val="PageNumber"/>
        <w:sz w:val="20"/>
      </w:rPr>
      <w:fldChar w:fldCharType="separate"/>
    </w:r>
    <w:r w:rsidR="00AB1476">
      <w:rPr>
        <w:rStyle w:val="PageNumber"/>
        <w:noProof/>
        <w:sz w:val="20"/>
        <w:lang w:val="pt-BR"/>
      </w:rPr>
      <w:t>4</w:t>
    </w:r>
    <w:r w:rsidR="000E1E79" w:rsidRPr="006B5E99">
      <w:rPr>
        <w:rStyle w:val="PageNumber"/>
        <w:sz w:val="20"/>
      </w:rPr>
      <w:fldChar w:fldCharType="end"/>
    </w:r>
    <w:r w:rsidRPr="006B5E99">
      <w:rPr>
        <w:rStyle w:val="PageNumber"/>
        <w:sz w:val="20"/>
        <w:lang w:val="pt-BR"/>
      </w:rPr>
      <w:t xml:space="preserve"> de </w:t>
    </w:r>
    <w:r w:rsidR="000E1E79" w:rsidRPr="006B5E99">
      <w:rPr>
        <w:rStyle w:val="PageNumber"/>
        <w:sz w:val="20"/>
      </w:rPr>
      <w:fldChar w:fldCharType="begin"/>
    </w:r>
    <w:r w:rsidRPr="006B5E99">
      <w:rPr>
        <w:rStyle w:val="PageNumber"/>
        <w:sz w:val="20"/>
        <w:lang w:val="pt-BR"/>
      </w:rPr>
      <w:instrText xml:space="preserve"> NUMPAGES </w:instrText>
    </w:r>
    <w:r w:rsidR="000E1E79" w:rsidRPr="006B5E99">
      <w:rPr>
        <w:rStyle w:val="PageNumber"/>
        <w:sz w:val="20"/>
      </w:rPr>
      <w:fldChar w:fldCharType="separate"/>
    </w:r>
    <w:r w:rsidR="00AB1476">
      <w:rPr>
        <w:rStyle w:val="PageNumber"/>
        <w:noProof/>
        <w:sz w:val="20"/>
        <w:lang w:val="pt-BR"/>
      </w:rPr>
      <w:t>4</w:t>
    </w:r>
    <w:r w:rsidR="000E1E79" w:rsidRPr="006B5E99">
      <w:rPr>
        <w:rStyle w:val="PageNumber"/>
        <w:sz w:val="20"/>
      </w:rPr>
      <w:fldChar w:fldCharType="end"/>
    </w:r>
  </w:p>
  <w:p w14:paraId="67717216" w14:textId="77777777" w:rsidR="006E6C18" w:rsidRPr="00F65FEF" w:rsidRDefault="006E6C18">
    <w:pPr>
      <w:pStyle w:val="Header"/>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58A8"/>
    <w:multiLevelType w:val="hybridMultilevel"/>
    <w:tmpl w:val="AC6E7CD6"/>
    <w:lvl w:ilvl="0" w:tplc="6B3AEE3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
    <w:nsid w:val="02564D42"/>
    <w:multiLevelType w:val="hybridMultilevel"/>
    <w:tmpl w:val="E2C2F108"/>
    <w:lvl w:ilvl="0" w:tplc="6B3AEE3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
    <w:nsid w:val="02C915E2"/>
    <w:multiLevelType w:val="hybridMultilevel"/>
    <w:tmpl w:val="3AD67AB4"/>
    <w:lvl w:ilvl="0" w:tplc="6B3AEE3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
    <w:nsid w:val="02FF0F0E"/>
    <w:multiLevelType w:val="multilevel"/>
    <w:tmpl w:val="576EAAF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54A0C5D"/>
    <w:multiLevelType w:val="hybridMultilevel"/>
    <w:tmpl w:val="66FC48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2D0CB0"/>
    <w:multiLevelType w:val="hybridMultilevel"/>
    <w:tmpl w:val="965CBB78"/>
    <w:lvl w:ilvl="0" w:tplc="6B3AEE3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
    <w:nsid w:val="07D108FB"/>
    <w:multiLevelType w:val="hybridMultilevel"/>
    <w:tmpl w:val="5D76F740"/>
    <w:lvl w:ilvl="0" w:tplc="6276C7D2">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
    <w:nsid w:val="0CAF3887"/>
    <w:multiLevelType w:val="hybridMultilevel"/>
    <w:tmpl w:val="4E00D3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800A9E"/>
    <w:multiLevelType w:val="multilevel"/>
    <w:tmpl w:val="4B3E18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2A86C4B"/>
    <w:multiLevelType w:val="hybridMultilevel"/>
    <w:tmpl w:val="FB42C13C"/>
    <w:lvl w:ilvl="0" w:tplc="6B3AEE3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0">
    <w:nsid w:val="1C2A25A2"/>
    <w:multiLevelType w:val="hybridMultilevel"/>
    <w:tmpl w:val="C762A7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DC7497"/>
    <w:multiLevelType w:val="hybridMultilevel"/>
    <w:tmpl w:val="419EB6A6"/>
    <w:lvl w:ilvl="0" w:tplc="6B3AEE3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2">
    <w:nsid w:val="2450513F"/>
    <w:multiLevelType w:val="multilevel"/>
    <w:tmpl w:val="612EB1C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4FB6BF2"/>
    <w:multiLevelType w:val="hybridMultilevel"/>
    <w:tmpl w:val="AC6E7CD6"/>
    <w:lvl w:ilvl="0" w:tplc="6B3AEE3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4">
    <w:nsid w:val="286C6F0F"/>
    <w:multiLevelType w:val="multilevel"/>
    <w:tmpl w:val="97D44FD0"/>
    <w:lvl w:ilvl="0">
      <w:start w:val="3"/>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lang w:val="es-ES"/>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320" w:hanging="1440"/>
      </w:pPr>
      <w:rPr>
        <w:rFonts w:eastAsia="Times New Roman" w:hint="default"/>
      </w:rPr>
    </w:lvl>
  </w:abstractNum>
  <w:abstractNum w:abstractNumId="15">
    <w:nsid w:val="292B1855"/>
    <w:multiLevelType w:val="hybridMultilevel"/>
    <w:tmpl w:val="A28EC5A6"/>
    <w:lvl w:ilvl="0" w:tplc="6B3AEE3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6">
    <w:nsid w:val="2D5A18B7"/>
    <w:multiLevelType w:val="multilevel"/>
    <w:tmpl w:val="9402775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345900BC"/>
    <w:multiLevelType w:val="multilevel"/>
    <w:tmpl w:val="D31C8A3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78516D7"/>
    <w:multiLevelType w:val="multilevel"/>
    <w:tmpl w:val="B3EC0328"/>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D0809B8"/>
    <w:multiLevelType w:val="hybridMultilevel"/>
    <w:tmpl w:val="3A96E7A4"/>
    <w:lvl w:ilvl="0" w:tplc="6B3AEE3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0">
    <w:nsid w:val="3DF11066"/>
    <w:multiLevelType w:val="hybridMultilevel"/>
    <w:tmpl w:val="73889170"/>
    <w:lvl w:ilvl="0" w:tplc="6B3AEE3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1">
    <w:nsid w:val="44C460EF"/>
    <w:multiLevelType w:val="multilevel"/>
    <w:tmpl w:val="DB6C432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6A31E17"/>
    <w:multiLevelType w:val="multilevel"/>
    <w:tmpl w:val="CDAE45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nsid w:val="471F2504"/>
    <w:multiLevelType w:val="hybridMultilevel"/>
    <w:tmpl w:val="5D76F740"/>
    <w:lvl w:ilvl="0" w:tplc="6276C7D2">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4">
    <w:nsid w:val="47302D07"/>
    <w:multiLevelType w:val="multilevel"/>
    <w:tmpl w:val="326A852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4ABC4412"/>
    <w:multiLevelType w:val="hybridMultilevel"/>
    <w:tmpl w:val="A8B0F9B8"/>
    <w:lvl w:ilvl="0" w:tplc="04090017">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6">
    <w:nsid w:val="4DE63424"/>
    <w:multiLevelType w:val="hybridMultilevel"/>
    <w:tmpl w:val="8774F5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084102"/>
    <w:multiLevelType w:val="hybridMultilevel"/>
    <w:tmpl w:val="6DCED8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A26538"/>
    <w:multiLevelType w:val="multilevel"/>
    <w:tmpl w:val="E56274B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53620E47"/>
    <w:multiLevelType w:val="multilevel"/>
    <w:tmpl w:val="CDAE45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nsid w:val="5521251B"/>
    <w:multiLevelType w:val="hybridMultilevel"/>
    <w:tmpl w:val="B83AFA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91483E"/>
    <w:multiLevelType w:val="multilevel"/>
    <w:tmpl w:val="7C24EB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5B1D2971"/>
    <w:multiLevelType w:val="hybridMultilevel"/>
    <w:tmpl w:val="3E3289E6"/>
    <w:lvl w:ilvl="0" w:tplc="6B3AEE3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3">
    <w:nsid w:val="642C2707"/>
    <w:multiLevelType w:val="hybridMultilevel"/>
    <w:tmpl w:val="1F348824"/>
    <w:lvl w:ilvl="0" w:tplc="04090017">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4">
    <w:nsid w:val="66C85AF8"/>
    <w:multiLevelType w:val="hybridMultilevel"/>
    <w:tmpl w:val="4E00D3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1E2FE5"/>
    <w:multiLevelType w:val="hybridMultilevel"/>
    <w:tmpl w:val="AE00CD6C"/>
    <w:lvl w:ilvl="0" w:tplc="7792AD9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6">
    <w:nsid w:val="68FB30C8"/>
    <w:multiLevelType w:val="multilevel"/>
    <w:tmpl w:val="2F2625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A725B25"/>
    <w:multiLevelType w:val="hybridMultilevel"/>
    <w:tmpl w:val="4CD044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C265CC"/>
    <w:multiLevelType w:val="hybridMultilevel"/>
    <w:tmpl w:val="F484EF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3D5980"/>
    <w:multiLevelType w:val="hybridMultilevel"/>
    <w:tmpl w:val="3B36DE7A"/>
    <w:lvl w:ilvl="0" w:tplc="04090017">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0">
    <w:nsid w:val="70665A0B"/>
    <w:multiLevelType w:val="multilevel"/>
    <w:tmpl w:val="4252AF0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60F0143"/>
    <w:multiLevelType w:val="multilevel"/>
    <w:tmpl w:val="4B3E18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77A4C68"/>
    <w:multiLevelType w:val="hybridMultilevel"/>
    <w:tmpl w:val="4CD044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F119A2"/>
    <w:multiLevelType w:val="hybridMultilevel"/>
    <w:tmpl w:val="05446BF0"/>
    <w:lvl w:ilvl="0" w:tplc="C9C4185C">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4">
    <w:nsid w:val="78F46EB9"/>
    <w:multiLevelType w:val="hybridMultilevel"/>
    <w:tmpl w:val="D4C082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4474C3"/>
    <w:multiLevelType w:val="hybridMultilevel"/>
    <w:tmpl w:val="3AD67AB4"/>
    <w:lvl w:ilvl="0" w:tplc="6B3AEE3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6">
    <w:nsid w:val="7A79562A"/>
    <w:multiLevelType w:val="multilevel"/>
    <w:tmpl w:val="82AEB9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7AF83FD4"/>
    <w:multiLevelType w:val="hybridMultilevel"/>
    <w:tmpl w:val="B3AAFD32"/>
    <w:lvl w:ilvl="0" w:tplc="1FBE3FE6">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8">
    <w:nsid w:val="7D866249"/>
    <w:multiLevelType w:val="hybridMultilevel"/>
    <w:tmpl w:val="3E3289E6"/>
    <w:lvl w:ilvl="0" w:tplc="6B3AEE3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9">
    <w:nsid w:val="7FB235C7"/>
    <w:multiLevelType w:val="multilevel"/>
    <w:tmpl w:val="8FCC2D50"/>
    <w:lvl w:ilvl="0">
      <w:start w:val="3"/>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320" w:hanging="1440"/>
      </w:pPr>
      <w:rPr>
        <w:rFonts w:eastAsia="Times New Roman" w:hint="default"/>
      </w:rPr>
    </w:lvl>
  </w:abstractNum>
  <w:num w:numId="1">
    <w:abstractNumId w:val="30"/>
  </w:num>
  <w:num w:numId="2">
    <w:abstractNumId w:val="43"/>
  </w:num>
  <w:num w:numId="3">
    <w:abstractNumId w:val="16"/>
  </w:num>
  <w:num w:numId="4">
    <w:abstractNumId w:val="29"/>
  </w:num>
  <w:num w:numId="5">
    <w:abstractNumId w:val="6"/>
  </w:num>
  <w:num w:numId="6">
    <w:abstractNumId w:val="13"/>
  </w:num>
  <w:num w:numId="7">
    <w:abstractNumId w:val="47"/>
  </w:num>
  <w:num w:numId="8">
    <w:abstractNumId w:val="25"/>
  </w:num>
  <w:num w:numId="9">
    <w:abstractNumId w:val="44"/>
  </w:num>
  <w:num w:numId="10">
    <w:abstractNumId w:val="23"/>
  </w:num>
  <w:num w:numId="11">
    <w:abstractNumId w:val="0"/>
  </w:num>
  <w:num w:numId="12">
    <w:abstractNumId w:val="4"/>
  </w:num>
  <w:num w:numId="13">
    <w:abstractNumId w:val="38"/>
  </w:num>
  <w:num w:numId="14">
    <w:abstractNumId w:val="49"/>
  </w:num>
  <w:num w:numId="15">
    <w:abstractNumId w:val="1"/>
  </w:num>
  <w:num w:numId="16">
    <w:abstractNumId w:val="5"/>
  </w:num>
  <w:num w:numId="17">
    <w:abstractNumId w:val="31"/>
  </w:num>
  <w:num w:numId="18">
    <w:abstractNumId w:val="22"/>
  </w:num>
  <w:num w:numId="19">
    <w:abstractNumId w:val="14"/>
  </w:num>
  <w:num w:numId="20">
    <w:abstractNumId w:val="11"/>
  </w:num>
  <w:num w:numId="21">
    <w:abstractNumId w:val="15"/>
  </w:num>
  <w:num w:numId="22">
    <w:abstractNumId w:val="9"/>
  </w:num>
  <w:num w:numId="23">
    <w:abstractNumId w:val="19"/>
  </w:num>
  <w:num w:numId="24">
    <w:abstractNumId w:val="45"/>
  </w:num>
  <w:num w:numId="25">
    <w:abstractNumId w:val="2"/>
  </w:num>
  <w:num w:numId="26">
    <w:abstractNumId w:val="20"/>
  </w:num>
  <w:num w:numId="27">
    <w:abstractNumId w:val="26"/>
  </w:num>
  <w:num w:numId="28">
    <w:abstractNumId w:val="34"/>
  </w:num>
  <w:num w:numId="29">
    <w:abstractNumId w:val="7"/>
  </w:num>
  <w:num w:numId="30">
    <w:abstractNumId w:val="36"/>
  </w:num>
  <w:num w:numId="31">
    <w:abstractNumId w:val="32"/>
  </w:num>
  <w:num w:numId="32">
    <w:abstractNumId w:val="48"/>
  </w:num>
  <w:num w:numId="33">
    <w:abstractNumId w:val="37"/>
  </w:num>
  <w:num w:numId="34">
    <w:abstractNumId w:val="42"/>
  </w:num>
  <w:num w:numId="35">
    <w:abstractNumId w:val="18"/>
  </w:num>
  <w:num w:numId="36">
    <w:abstractNumId w:val="3"/>
  </w:num>
  <w:num w:numId="37">
    <w:abstractNumId w:val="24"/>
  </w:num>
  <w:num w:numId="38">
    <w:abstractNumId w:val="21"/>
  </w:num>
  <w:num w:numId="39">
    <w:abstractNumId w:val="28"/>
  </w:num>
  <w:num w:numId="40">
    <w:abstractNumId w:val="40"/>
  </w:num>
  <w:num w:numId="41">
    <w:abstractNumId w:val="41"/>
  </w:num>
  <w:num w:numId="42">
    <w:abstractNumId w:val="27"/>
  </w:num>
  <w:num w:numId="43">
    <w:abstractNumId w:val="10"/>
  </w:num>
  <w:num w:numId="44">
    <w:abstractNumId w:val="8"/>
  </w:num>
  <w:num w:numId="45">
    <w:abstractNumId w:val="17"/>
  </w:num>
  <w:num w:numId="46">
    <w:abstractNumId w:val="35"/>
  </w:num>
  <w:num w:numId="47">
    <w:abstractNumId w:val="12"/>
  </w:num>
  <w:num w:numId="48">
    <w:abstractNumId w:val="39"/>
  </w:num>
  <w:num w:numId="49">
    <w:abstractNumId w:val="46"/>
  </w:num>
  <w:num w:numId="50">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ES_tradnl" w:vendorID="9" w:dllVersion="512" w:checkStyle="1"/>
  <w:activeWritingStyle w:appName="MSWord" w:lang="pt-BR" w:vendorID="1" w:dllVersion="513" w:checkStyle="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revisionView w:markup="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111"/>
    <w:rsid w:val="0000687A"/>
    <w:rsid w:val="0000758C"/>
    <w:rsid w:val="000077F2"/>
    <w:rsid w:val="00010578"/>
    <w:rsid w:val="00010BC2"/>
    <w:rsid w:val="00010EB7"/>
    <w:rsid w:val="00014EF4"/>
    <w:rsid w:val="00016744"/>
    <w:rsid w:val="000201B4"/>
    <w:rsid w:val="00021C16"/>
    <w:rsid w:val="000228C3"/>
    <w:rsid w:val="00023403"/>
    <w:rsid w:val="0002570A"/>
    <w:rsid w:val="00026AB0"/>
    <w:rsid w:val="0002702E"/>
    <w:rsid w:val="000271D2"/>
    <w:rsid w:val="00027A2F"/>
    <w:rsid w:val="00033EAF"/>
    <w:rsid w:val="00040EEC"/>
    <w:rsid w:val="00041395"/>
    <w:rsid w:val="00041E75"/>
    <w:rsid w:val="0004287B"/>
    <w:rsid w:val="00050698"/>
    <w:rsid w:val="00053C98"/>
    <w:rsid w:val="000557B1"/>
    <w:rsid w:val="0005624C"/>
    <w:rsid w:val="00057086"/>
    <w:rsid w:val="00060471"/>
    <w:rsid w:val="00061994"/>
    <w:rsid w:val="00061A70"/>
    <w:rsid w:val="00062635"/>
    <w:rsid w:val="00063F5A"/>
    <w:rsid w:val="0006447A"/>
    <w:rsid w:val="0006658B"/>
    <w:rsid w:val="00067F31"/>
    <w:rsid w:val="0007100A"/>
    <w:rsid w:val="00072AB7"/>
    <w:rsid w:val="00075DC7"/>
    <w:rsid w:val="00077EBE"/>
    <w:rsid w:val="0008314D"/>
    <w:rsid w:val="000852C0"/>
    <w:rsid w:val="00085ECF"/>
    <w:rsid w:val="00085FDD"/>
    <w:rsid w:val="00086300"/>
    <w:rsid w:val="00090EC9"/>
    <w:rsid w:val="000A02B6"/>
    <w:rsid w:val="000A2C78"/>
    <w:rsid w:val="000A471E"/>
    <w:rsid w:val="000A5EBC"/>
    <w:rsid w:val="000A6D81"/>
    <w:rsid w:val="000B7847"/>
    <w:rsid w:val="000B7A92"/>
    <w:rsid w:val="000C0044"/>
    <w:rsid w:val="000C54FC"/>
    <w:rsid w:val="000D3F39"/>
    <w:rsid w:val="000D52E1"/>
    <w:rsid w:val="000D54D9"/>
    <w:rsid w:val="000E1E79"/>
    <w:rsid w:val="000E2B97"/>
    <w:rsid w:val="000E38D4"/>
    <w:rsid w:val="000F12EC"/>
    <w:rsid w:val="000F471E"/>
    <w:rsid w:val="000F617D"/>
    <w:rsid w:val="00101175"/>
    <w:rsid w:val="0010569A"/>
    <w:rsid w:val="0011026F"/>
    <w:rsid w:val="00111510"/>
    <w:rsid w:val="00112753"/>
    <w:rsid w:val="00114D1C"/>
    <w:rsid w:val="00121135"/>
    <w:rsid w:val="00125417"/>
    <w:rsid w:val="00132A39"/>
    <w:rsid w:val="001354A0"/>
    <w:rsid w:val="00135C06"/>
    <w:rsid w:val="00137320"/>
    <w:rsid w:val="001412E8"/>
    <w:rsid w:val="00141814"/>
    <w:rsid w:val="001424C2"/>
    <w:rsid w:val="001450C2"/>
    <w:rsid w:val="00150151"/>
    <w:rsid w:val="001517FF"/>
    <w:rsid w:val="0015326C"/>
    <w:rsid w:val="00154DBD"/>
    <w:rsid w:val="00155DFB"/>
    <w:rsid w:val="00162020"/>
    <w:rsid w:val="00167382"/>
    <w:rsid w:val="00167D60"/>
    <w:rsid w:val="00173897"/>
    <w:rsid w:val="00173DD0"/>
    <w:rsid w:val="00176C0E"/>
    <w:rsid w:val="001772ED"/>
    <w:rsid w:val="00177A8B"/>
    <w:rsid w:val="00177C9F"/>
    <w:rsid w:val="00180154"/>
    <w:rsid w:val="001829A3"/>
    <w:rsid w:val="001829FD"/>
    <w:rsid w:val="00182AD5"/>
    <w:rsid w:val="00183A1F"/>
    <w:rsid w:val="00184CAD"/>
    <w:rsid w:val="0019332A"/>
    <w:rsid w:val="00193C79"/>
    <w:rsid w:val="00193D40"/>
    <w:rsid w:val="001940B1"/>
    <w:rsid w:val="00194BBD"/>
    <w:rsid w:val="0019673A"/>
    <w:rsid w:val="001973DB"/>
    <w:rsid w:val="00197AA1"/>
    <w:rsid w:val="001A3146"/>
    <w:rsid w:val="001A3CBE"/>
    <w:rsid w:val="001A542E"/>
    <w:rsid w:val="001A62AF"/>
    <w:rsid w:val="001B2B77"/>
    <w:rsid w:val="001B491E"/>
    <w:rsid w:val="001B5D25"/>
    <w:rsid w:val="001C00FA"/>
    <w:rsid w:val="001C3EA9"/>
    <w:rsid w:val="001C6329"/>
    <w:rsid w:val="001C7141"/>
    <w:rsid w:val="001D16C5"/>
    <w:rsid w:val="001D4A0E"/>
    <w:rsid w:val="001D6422"/>
    <w:rsid w:val="001E0DAB"/>
    <w:rsid w:val="001E3858"/>
    <w:rsid w:val="001E3E19"/>
    <w:rsid w:val="001E415B"/>
    <w:rsid w:val="001E5DC8"/>
    <w:rsid w:val="001E78A5"/>
    <w:rsid w:val="001F03C1"/>
    <w:rsid w:val="001F10B7"/>
    <w:rsid w:val="001F44B2"/>
    <w:rsid w:val="00203C41"/>
    <w:rsid w:val="00206FC0"/>
    <w:rsid w:val="00210C95"/>
    <w:rsid w:val="002133E0"/>
    <w:rsid w:val="002134FC"/>
    <w:rsid w:val="002135D4"/>
    <w:rsid w:val="002173D5"/>
    <w:rsid w:val="00220470"/>
    <w:rsid w:val="00221292"/>
    <w:rsid w:val="002232F8"/>
    <w:rsid w:val="002243AB"/>
    <w:rsid w:val="002249A4"/>
    <w:rsid w:val="002260E0"/>
    <w:rsid w:val="00226910"/>
    <w:rsid w:val="002273A4"/>
    <w:rsid w:val="0023106E"/>
    <w:rsid w:val="0023125F"/>
    <w:rsid w:val="00233152"/>
    <w:rsid w:val="00233B6E"/>
    <w:rsid w:val="002353A8"/>
    <w:rsid w:val="002435AD"/>
    <w:rsid w:val="00243E77"/>
    <w:rsid w:val="002448BE"/>
    <w:rsid w:val="00245C17"/>
    <w:rsid w:val="00247914"/>
    <w:rsid w:val="00251C9A"/>
    <w:rsid w:val="00252868"/>
    <w:rsid w:val="002535FD"/>
    <w:rsid w:val="00254CCF"/>
    <w:rsid w:val="00254E93"/>
    <w:rsid w:val="00261C0C"/>
    <w:rsid w:val="0026225B"/>
    <w:rsid w:val="002725BD"/>
    <w:rsid w:val="00275DB1"/>
    <w:rsid w:val="00275F07"/>
    <w:rsid w:val="00287833"/>
    <w:rsid w:val="00290537"/>
    <w:rsid w:val="00290909"/>
    <w:rsid w:val="00291EEB"/>
    <w:rsid w:val="00292B23"/>
    <w:rsid w:val="002A14FC"/>
    <w:rsid w:val="002A40D6"/>
    <w:rsid w:val="002A4A69"/>
    <w:rsid w:val="002B17EB"/>
    <w:rsid w:val="002B2F08"/>
    <w:rsid w:val="002B34CB"/>
    <w:rsid w:val="002C5726"/>
    <w:rsid w:val="002C6B08"/>
    <w:rsid w:val="002D3739"/>
    <w:rsid w:val="002D4E70"/>
    <w:rsid w:val="002D7AB1"/>
    <w:rsid w:val="002E1DB5"/>
    <w:rsid w:val="002E4373"/>
    <w:rsid w:val="002E4880"/>
    <w:rsid w:val="002F00E1"/>
    <w:rsid w:val="002F2E6E"/>
    <w:rsid w:val="002F473A"/>
    <w:rsid w:val="002F57B1"/>
    <w:rsid w:val="002F5EE5"/>
    <w:rsid w:val="002F5F4C"/>
    <w:rsid w:val="002F65B3"/>
    <w:rsid w:val="002F7D4E"/>
    <w:rsid w:val="00301317"/>
    <w:rsid w:val="0030243A"/>
    <w:rsid w:val="00307BC1"/>
    <w:rsid w:val="00307CC0"/>
    <w:rsid w:val="00307FD9"/>
    <w:rsid w:val="0031577C"/>
    <w:rsid w:val="003177DF"/>
    <w:rsid w:val="00321947"/>
    <w:rsid w:val="00322236"/>
    <w:rsid w:val="00325A5D"/>
    <w:rsid w:val="00327795"/>
    <w:rsid w:val="00327F58"/>
    <w:rsid w:val="0033181D"/>
    <w:rsid w:val="00332FBA"/>
    <w:rsid w:val="00335497"/>
    <w:rsid w:val="003373B3"/>
    <w:rsid w:val="00340B4A"/>
    <w:rsid w:val="00350D0D"/>
    <w:rsid w:val="0035134A"/>
    <w:rsid w:val="003551BE"/>
    <w:rsid w:val="00355295"/>
    <w:rsid w:val="00356BF4"/>
    <w:rsid w:val="00357059"/>
    <w:rsid w:val="00357B6C"/>
    <w:rsid w:val="0036156E"/>
    <w:rsid w:val="00364785"/>
    <w:rsid w:val="00364DCD"/>
    <w:rsid w:val="003650D3"/>
    <w:rsid w:val="00370B79"/>
    <w:rsid w:val="003717F2"/>
    <w:rsid w:val="00372470"/>
    <w:rsid w:val="00372830"/>
    <w:rsid w:val="00374A00"/>
    <w:rsid w:val="00377BDE"/>
    <w:rsid w:val="00381900"/>
    <w:rsid w:val="0038203B"/>
    <w:rsid w:val="0038419F"/>
    <w:rsid w:val="0038462A"/>
    <w:rsid w:val="003857C2"/>
    <w:rsid w:val="0038631C"/>
    <w:rsid w:val="00386553"/>
    <w:rsid w:val="00391F38"/>
    <w:rsid w:val="003A2FA5"/>
    <w:rsid w:val="003A4851"/>
    <w:rsid w:val="003A748D"/>
    <w:rsid w:val="003B4BFE"/>
    <w:rsid w:val="003B6EAC"/>
    <w:rsid w:val="003B6F4D"/>
    <w:rsid w:val="003C5E72"/>
    <w:rsid w:val="003C76CA"/>
    <w:rsid w:val="003C7CFE"/>
    <w:rsid w:val="003D00F1"/>
    <w:rsid w:val="003D15D8"/>
    <w:rsid w:val="003D7266"/>
    <w:rsid w:val="003E385D"/>
    <w:rsid w:val="003E4343"/>
    <w:rsid w:val="003E4AA0"/>
    <w:rsid w:val="003E7CA3"/>
    <w:rsid w:val="003F0B18"/>
    <w:rsid w:val="003F280C"/>
    <w:rsid w:val="003F2C05"/>
    <w:rsid w:val="003F3089"/>
    <w:rsid w:val="003F5EB3"/>
    <w:rsid w:val="00400C23"/>
    <w:rsid w:val="00401CE4"/>
    <w:rsid w:val="00403024"/>
    <w:rsid w:val="004073B0"/>
    <w:rsid w:val="0041090F"/>
    <w:rsid w:val="004121C6"/>
    <w:rsid w:val="0041321A"/>
    <w:rsid w:val="0041665A"/>
    <w:rsid w:val="004201A0"/>
    <w:rsid w:val="00424184"/>
    <w:rsid w:val="004243DD"/>
    <w:rsid w:val="00424486"/>
    <w:rsid w:val="004253BC"/>
    <w:rsid w:val="004301AE"/>
    <w:rsid w:val="0043450A"/>
    <w:rsid w:val="0043661A"/>
    <w:rsid w:val="00437037"/>
    <w:rsid w:val="00437104"/>
    <w:rsid w:val="0043770F"/>
    <w:rsid w:val="00442DED"/>
    <w:rsid w:val="004439AF"/>
    <w:rsid w:val="00450AE7"/>
    <w:rsid w:val="00450D90"/>
    <w:rsid w:val="0045605C"/>
    <w:rsid w:val="0045775E"/>
    <w:rsid w:val="00462EC9"/>
    <w:rsid w:val="00463F64"/>
    <w:rsid w:val="00466BFE"/>
    <w:rsid w:val="0048139C"/>
    <w:rsid w:val="00483AD7"/>
    <w:rsid w:val="00486E6F"/>
    <w:rsid w:val="00487DC3"/>
    <w:rsid w:val="00490D8B"/>
    <w:rsid w:val="004947D2"/>
    <w:rsid w:val="0049508B"/>
    <w:rsid w:val="004A004A"/>
    <w:rsid w:val="004A0495"/>
    <w:rsid w:val="004A20CC"/>
    <w:rsid w:val="004A4637"/>
    <w:rsid w:val="004A5980"/>
    <w:rsid w:val="004A5AD3"/>
    <w:rsid w:val="004A5DFA"/>
    <w:rsid w:val="004A721B"/>
    <w:rsid w:val="004B222D"/>
    <w:rsid w:val="004B22FC"/>
    <w:rsid w:val="004B239B"/>
    <w:rsid w:val="004B3453"/>
    <w:rsid w:val="004B4A5D"/>
    <w:rsid w:val="004C349D"/>
    <w:rsid w:val="004C4ACA"/>
    <w:rsid w:val="004C524A"/>
    <w:rsid w:val="004C71F9"/>
    <w:rsid w:val="004D29B3"/>
    <w:rsid w:val="004D63BA"/>
    <w:rsid w:val="004D67A6"/>
    <w:rsid w:val="004E018E"/>
    <w:rsid w:val="004E12F3"/>
    <w:rsid w:val="004E2278"/>
    <w:rsid w:val="004E3DEF"/>
    <w:rsid w:val="004E56CE"/>
    <w:rsid w:val="004E7175"/>
    <w:rsid w:val="004E737E"/>
    <w:rsid w:val="004F04BF"/>
    <w:rsid w:val="004F2E7F"/>
    <w:rsid w:val="004F430A"/>
    <w:rsid w:val="004F4843"/>
    <w:rsid w:val="004F69F7"/>
    <w:rsid w:val="00500899"/>
    <w:rsid w:val="00501694"/>
    <w:rsid w:val="005026E4"/>
    <w:rsid w:val="005054D9"/>
    <w:rsid w:val="00511AAF"/>
    <w:rsid w:val="00511F13"/>
    <w:rsid w:val="00513F60"/>
    <w:rsid w:val="005171BA"/>
    <w:rsid w:val="0052076D"/>
    <w:rsid w:val="00520F9D"/>
    <w:rsid w:val="00521220"/>
    <w:rsid w:val="00524360"/>
    <w:rsid w:val="0052527A"/>
    <w:rsid w:val="00530590"/>
    <w:rsid w:val="00531E7D"/>
    <w:rsid w:val="00533056"/>
    <w:rsid w:val="005348D6"/>
    <w:rsid w:val="00534A8E"/>
    <w:rsid w:val="00536727"/>
    <w:rsid w:val="00543893"/>
    <w:rsid w:val="00545F44"/>
    <w:rsid w:val="00546735"/>
    <w:rsid w:val="00552CDB"/>
    <w:rsid w:val="00552DCC"/>
    <w:rsid w:val="00553809"/>
    <w:rsid w:val="00557582"/>
    <w:rsid w:val="005634D4"/>
    <w:rsid w:val="00563F56"/>
    <w:rsid w:val="00564199"/>
    <w:rsid w:val="00564521"/>
    <w:rsid w:val="005659EB"/>
    <w:rsid w:val="005674DA"/>
    <w:rsid w:val="00570640"/>
    <w:rsid w:val="00573498"/>
    <w:rsid w:val="00573821"/>
    <w:rsid w:val="0057691D"/>
    <w:rsid w:val="00581D79"/>
    <w:rsid w:val="0058388A"/>
    <w:rsid w:val="00586296"/>
    <w:rsid w:val="0058786D"/>
    <w:rsid w:val="00595FC4"/>
    <w:rsid w:val="005A29AE"/>
    <w:rsid w:val="005A52E1"/>
    <w:rsid w:val="005B17BE"/>
    <w:rsid w:val="005B2EFD"/>
    <w:rsid w:val="005B340A"/>
    <w:rsid w:val="005B35FD"/>
    <w:rsid w:val="005C09E4"/>
    <w:rsid w:val="005C50A3"/>
    <w:rsid w:val="005D1598"/>
    <w:rsid w:val="005D27C3"/>
    <w:rsid w:val="005E6C64"/>
    <w:rsid w:val="005F128B"/>
    <w:rsid w:val="005F440C"/>
    <w:rsid w:val="005F4D8A"/>
    <w:rsid w:val="005F6842"/>
    <w:rsid w:val="00601E6D"/>
    <w:rsid w:val="006026D4"/>
    <w:rsid w:val="006046B9"/>
    <w:rsid w:val="006122BF"/>
    <w:rsid w:val="0061330D"/>
    <w:rsid w:val="0061708D"/>
    <w:rsid w:val="006239CA"/>
    <w:rsid w:val="0062485D"/>
    <w:rsid w:val="006273BC"/>
    <w:rsid w:val="00636093"/>
    <w:rsid w:val="006360CB"/>
    <w:rsid w:val="0063658E"/>
    <w:rsid w:val="006403BA"/>
    <w:rsid w:val="0064364A"/>
    <w:rsid w:val="00646864"/>
    <w:rsid w:val="00646C47"/>
    <w:rsid w:val="00651BC9"/>
    <w:rsid w:val="00651EA2"/>
    <w:rsid w:val="00651F30"/>
    <w:rsid w:val="00653000"/>
    <w:rsid w:val="006564BB"/>
    <w:rsid w:val="0066077A"/>
    <w:rsid w:val="006625FA"/>
    <w:rsid w:val="0066355F"/>
    <w:rsid w:val="00671ECA"/>
    <w:rsid w:val="00674509"/>
    <w:rsid w:val="0067597A"/>
    <w:rsid w:val="00677342"/>
    <w:rsid w:val="00681C69"/>
    <w:rsid w:val="00682413"/>
    <w:rsid w:val="0068276C"/>
    <w:rsid w:val="0068377B"/>
    <w:rsid w:val="006838AE"/>
    <w:rsid w:val="00690493"/>
    <w:rsid w:val="0069250D"/>
    <w:rsid w:val="00694145"/>
    <w:rsid w:val="00695691"/>
    <w:rsid w:val="006A0A16"/>
    <w:rsid w:val="006A1473"/>
    <w:rsid w:val="006A7AA4"/>
    <w:rsid w:val="006B0C36"/>
    <w:rsid w:val="006B1997"/>
    <w:rsid w:val="006B4797"/>
    <w:rsid w:val="006B5E99"/>
    <w:rsid w:val="006B6E12"/>
    <w:rsid w:val="006C1A83"/>
    <w:rsid w:val="006C1DFA"/>
    <w:rsid w:val="006C505F"/>
    <w:rsid w:val="006C6238"/>
    <w:rsid w:val="006D129A"/>
    <w:rsid w:val="006D130A"/>
    <w:rsid w:val="006D2E64"/>
    <w:rsid w:val="006D3111"/>
    <w:rsid w:val="006D7FDD"/>
    <w:rsid w:val="006E6C18"/>
    <w:rsid w:val="006F3278"/>
    <w:rsid w:val="006F6DA7"/>
    <w:rsid w:val="00700077"/>
    <w:rsid w:val="00710656"/>
    <w:rsid w:val="007154F0"/>
    <w:rsid w:val="007158E4"/>
    <w:rsid w:val="0072046B"/>
    <w:rsid w:val="00720A1D"/>
    <w:rsid w:val="00723040"/>
    <w:rsid w:val="00723CA3"/>
    <w:rsid w:val="0072512F"/>
    <w:rsid w:val="00742FA4"/>
    <w:rsid w:val="007454BB"/>
    <w:rsid w:val="007477CE"/>
    <w:rsid w:val="0075167A"/>
    <w:rsid w:val="00751AB9"/>
    <w:rsid w:val="007540BD"/>
    <w:rsid w:val="007545A3"/>
    <w:rsid w:val="007567D5"/>
    <w:rsid w:val="00757FB1"/>
    <w:rsid w:val="00763B02"/>
    <w:rsid w:val="00765405"/>
    <w:rsid w:val="00766354"/>
    <w:rsid w:val="00767F19"/>
    <w:rsid w:val="00773598"/>
    <w:rsid w:val="007805EA"/>
    <w:rsid w:val="0078325C"/>
    <w:rsid w:val="00783960"/>
    <w:rsid w:val="00790DF0"/>
    <w:rsid w:val="007911B5"/>
    <w:rsid w:val="00791ACB"/>
    <w:rsid w:val="00792ACC"/>
    <w:rsid w:val="0079405F"/>
    <w:rsid w:val="00796C69"/>
    <w:rsid w:val="007B05AB"/>
    <w:rsid w:val="007B4C8A"/>
    <w:rsid w:val="007B5E71"/>
    <w:rsid w:val="007B67CC"/>
    <w:rsid w:val="007B74B1"/>
    <w:rsid w:val="007C2B3B"/>
    <w:rsid w:val="007C39C0"/>
    <w:rsid w:val="007C4F25"/>
    <w:rsid w:val="007C7E37"/>
    <w:rsid w:val="007E0562"/>
    <w:rsid w:val="007E0CA7"/>
    <w:rsid w:val="007E37E1"/>
    <w:rsid w:val="007E52B2"/>
    <w:rsid w:val="007E6CEB"/>
    <w:rsid w:val="007F1FA6"/>
    <w:rsid w:val="007F3DEC"/>
    <w:rsid w:val="007F533D"/>
    <w:rsid w:val="00800C39"/>
    <w:rsid w:val="00802113"/>
    <w:rsid w:val="008025AE"/>
    <w:rsid w:val="008045CB"/>
    <w:rsid w:val="008063E2"/>
    <w:rsid w:val="00806A52"/>
    <w:rsid w:val="0080757C"/>
    <w:rsid w:val="00807941"/>
    <w:rsid w:val="0081189D"/>
    <w:rsid w:val="00812AC4"/>
    <w:rsid w:val="00821B16"/>
    <w:rsid w:val="00822B61"/>
    <w:rsid w:val="00822DEC"/>
    <w:rsid w:val="0082535A"/>
    <w:rsid w:val="008273D0"/>
    <w:rsid w:val="00827E78"/>
    <w:rsid w:val="00830251"/>
    <w:rsid w:val="00833DB2"/>
    <w:rsid w:val="00836F24"/>
    <w:rsid w:val="0084025F"/>
    <w:rsid w:val="00840505"/>
    <w:rsid w:val="00840A8F"/>
    <w:rsid w:val="00844396"/>
    <w:rsid w:val="00847CE0"/>
    <w:rsid w:val="008508C8"/>
    <w:rsid w:val="00852D21"/>
    <w:rsid w:val="008531CA"/>
    <w:rsid w:val="00855DFE"/>
    <w:rsid w:val="00866CB9"/>
    <w:rsid w:val="00866F89"/>
    <w:rsid w:val="008674E3"/>
    <w:rsid w:val="00872606"/>
    <w:rsid w:val="0087342C"/>
    <w:rsid w:val="0087479C"/>
    <w:rsid w:val="00886A10"/>
    <w:rsid w:val="00891BC2"/>
    <w:rsid w:val="008940B0"/>
    <w:rsid w:val="00894565"/>
    <w:rsid w:val="00895838"/>
    <w:rsid w:val="00895C65"/>
    <w:rsid w:val="008A2674"/>
    <w:rsid w:val="008A53B2"/>
    <w:rsid w:val="008B109B"/>
    <w:rsid w:val="008B338C"/>
    <w:rsid w:val="008B580E"/>
    <w:rsid w:val="008C012A"/>
    <w:rsid w:val="008C16AB"/>
    <w:rsid w:val="008C74FB"/>
    <w:rsid w:val="008D142C"/>
    <w:rsid w:val="008D25CA"/>
    <w:rsid w:val="008D3BF9"/>
    <w:rsid w:val="008D4F13"/>
    <w:rsid w:val="008D6E1D"/>
    <w:rsid w:val="008E4185"/>
    <w:rsid w:val="008E4863"/>
    <w:rsid w:val="008E5815"/>
    <w:rsid w:val="008E7D99"/>
    <w:rsid w:val="00911076"/>
    <w:rsid w:val="00911236"/>
    <w:rsid w:val="009137F9"/>
    <w:rsid w:val="00916978"/>
    <w:rsid w:val="00917FF5"/>
    <w:rsid w:val="009203A5"/>
    <w:rsid w:val="00926CA5"/>
    <w:rsid w:val="009275ED"/>
    <w:rsid w:val="0093299A"/>
    <w:rsid w:val="009340E6"/>
    <w:rsid w:val="00935A7A"/>
    <w:rsid w:val="00936293"/>
    <w:rsid w:val="0094236A"/>
    <w:rsid w:val="009428D6"/>
    <w:rsid w:val="00943882"/>
    <w:rsid w:val="00945430"/>
    <w:rsid w:val="00947083"/>
    <w:rsid w:val="00952C91"/>
    <w:rsid w:val="00952EF1"/>
    <w:rsid w:val="0095321B"/>
    <w:rsid w:val="00954C66"/>
    <w:rsid w:val="00955F92"/>
    <w:rsid w:val="00963110"/>
    <w:rsid w:val="0096442B"/>
    <w:rsid w:val="00964DB4"/>
    <w:rsid w:val="00971004"/>
    <w:rsid w:val="00971BB9"/>
    <w:rsid w:val="00980B24"/>
    <w:rsid w:val="00980C94"/>
    <w:rsid w:val="00980EA4"/>
    <w:rsid w:val="00981F74"/>
    <w:rsid w:val="00982C68"/>
    <w:rsid w:val="00984EE3"/>
    <w:rsid w:val="009865B6"/>
    <w:rsid w:val="00990E72"/>
    <w:rsid w:val="00991445"/>
    <w:rsid w:val="00992529"/>
    <w:rsid w:val="009935C8"/>
    <w:rsid w:val="009968A6"/>
    <w:rsid w:val="009A07B9"/>
    <w:rsid w:val="009A4112"/>
    <w:rsid w:val="009A5F19"/>
    <w:rsid w:val="009B1675"/>
    <w:rsid w:val="009B2020"/>
    <w:rsid w:val="009B2A61"/>
    <w:rsid w:val="009B4C1E"/>
    <w:rsid w:val="009C076B"/>
    <w:rsid w:val="009C20F0"/>
    <w:rsid w:val="009C3B21"/>
    <w:rsid w:val="009C5D67"/>
    <w:rsid w:val="009C5EED"/>
    <w:rsid w:val="009C6BA3"/>
    <w:rsid w:val="009C6CA1"/>
    <w:rsid w:val="009C6CCA"/>
    <w:rsid w:val="009C7D37"/>
    <w:rsid w:val="009D13D9"/>
    <w:rsid w:val="009D6655"/>
    <w:rsid w:val="009E2F7C"/>
    <w:rsid w:val="009F08AC"/>
    <w:rsid w:val="009F1300"/>
    <w:rsid w:val="009F19FB"/>
    <w:rsid w:val="009F759E"/>
    <w:rsid w:val="00A0230B"/>
    <w:rsid w:val="00A0572F"/>
    <w:rsid w:val="00A07355"/>
    <w:rsid w:val="00A075F8"/>
    <w:rsid w:val="00A119D5"/>
    <w:rsid w:val="00A1324D"/>
    <w:rsid w:val="00A1408A"/>
    <w:rsid w:val="00A20200"/>
    <w:rsid w:val="00A215AA"/>
    <w:rsid w:val="00A23BE5"/>
    <w:rsid w:val="00A23C78"/>
    <w:rsid w:val="00A25047"/>
    <w:rsid w:val="00A253C1"/>
    <w:rsid w:val="00A26AB9"/>
    <w:rsid w:val="00A27735"/>
    <w:rsid w:val="00A27D5E"/>
    <w:rsid w:val="00A33B79"/>
    <w:rsid w:val="00A4237D"/>
    <w:rsid w:val="00A44EA8"/>
    <w:rsid w:val="00A4520D"/>
    <w:rsid w:val="00A530CF"/>
    <w:rsid w:val="00A534BA"/>
    <w:rsid w:val="00A53BF0"/>
    <w:rsid w:val="00A53C4F"/>
    <w:rsid w:val="00A548A8"/>
    <w:rsid w:val="00A569EE"/>
    <w:rsid w:val="00A56D27"/>
    <w:rsid w:val="00A56DB8"/>
    <w:rsid w:val="00A626F2"/>
    <w:rsid w:val="00A6298E"/>
    <w:rsid w:val="00A634FF"/>
    <w:rsid w:val="00A66BA8"/>
    <w:rsid w:val="00A67F90"/>
    <w:rsid w:val="00A763D3"/>
    <w:rsid w:val="00A81D70"/>
    <w:rsid w:val="00A84B05"/>
    <w:rsid w:val="00A8794F"/>
    <w:rsid w:val="00A93BBF"/>
    <w:rsid w:val="00A97E55"/>
    <w:rsid w:val="00AA0977"/>
    <w:rsid w:val="00AA6D59"/>
    <w:rsid w:val="00AA7128"/>
    <w:rsid w:val="00AA737E"/>
    <w:rsid w:val="00AB1476"/>
    <w:rsid w:val="00AB29A3"/>
    <w:rsid w:val="00AB3095"/>
    <w:rsid w:val="00AB3155"/>
    <w:rsid w:val="00AB3302"/>
    <w:rsid w:val="00AB5EFE"/>
    <w:rsid w:val="00AB76D7"/>
    <w:rsid w:val="00AC0154"/>
    <w:rsid w:val="00AD07A3"/>
    <w:rsid w:val="00AD562B"/>
    <w:rsid w:val="00AD5758"/>
    <w:rsid w:val="00AD5761"/>
    <w:rsid w:val="00AD66F3"/>
    <w:rsid w:val="00AD7320"/>
    <w:rsid w:val="00AE1AC5"/>
    <w:rsid w:val="00AE4A33"/>
    <w:rsid w:val="00AE553D"/>
    <w:rsid w:val="00AE7826"/>
    <w:rsid w:val="00AE7E0E"/>
    <w:rsid w:val="00B11D4A"/>
    <w:rsid w:val="00B1566F"/>
    <w:rsid w:val="00B15769"/>
    <w:rsid w:val="00B15D55"/>
    <w:rsid w:val="00B16252"/>
    <w:rsid w:val="00B1630C"/>
    <w:rsid w:val="00B20E2B"/>
    <w:rsid w:val="00B2118F"/>
    <w:rsid w:val="00B235B3"/>
    <w:rsid w:val="00B30284"/>
    <w:rsid w:val="00B33FAE"/>
    <w:rsid w:val="00B34FAB"/>
    <w:rsid w:val="00B40FD6"/>
    <w:rsid w:val="00B414AF"/>
    <w:rsid w:val="00B41E49"/>
    <w:rsid w:val="00B41F60"/>
    <w:rsid w:val="00B4353A"/>
    <w:rsid w:val="00B50F99"/>
    <w:rsid w:val="00B515A9"/>
    <w:rsid w:val="00B53A6E"/>
    <w:rsid w:val="00B54367"/>
    <w:rsid w:val="00B55485"/>
    <w:rsid w:val="00B631CB"/>
    <w:rsid w:val="00B75345"/>
    <w:rsid w:val="00B762B9"/>
    <w:rsid w:val="00B76E8A"/>
    <w:rsid w:val="00B776CD"/>
    <w:rsid w:val="00B9041F"/>
    <w:rsid w:val="00B91D24"/>
    <w:rsid w:val="00B94795"/>
    <w:rsid w:val="00B97F1D"/>
    <w:rsid w:val="00BA13F4"/>
    <w:rsid w:val="00BA20D0"/>
    <w:rsid w:val="00BA68FA"/>
    <w:rsid w:val="00BB14FD"/>
    <w:rsid w:val="00BB39CB"/>
    <w:rsid w:val="00BB3C0D"/>
    <w:rsid w:val="00BB56D6"/>
    <w:rsid w:val="00BC0C24"/>
    <w:rsid w:val="00BC2AF9"/>
    <w:rsid w:val="00BC47F9"/>
    <w:rsid w:val="00BD0952"/>
    <w:rsid w:val="00BD1084"/>
    <w:rsid w:val="00BD2A9C"/>
    <w:rsid w:val="00BD34E9"/>
    <w:rsid w:val="00BD6D1F"/>
    <w:rsid w:val="00BE025E"/>
    <w:rsid w:val="00BE18D0"/>
    <w:rsid w:val="00BE253D"/>
    <w:rsid w:val="00BE3ECF"/>
    <w:rsid w:val="00BE6796"/>
    <w:rsid w:val="00BF0A8F"/>
    <w:rsid w:val="00BF5AD4"/>
    <w:rsid w:val="00BF7C06"/>
    <w:rsid w:val="00C0185E"/>
    <w:rsid w:val="00C027C4"/>
    <w:rsid w:val="00C03649"/>
    <w:rsid w:val="00C06EE9"/>
    <w:rsid w:val="00C07488"/>
    <w:rsid w:val="00C12716"/>
    <w:rsid w:val="00C310B8"/>
    <w:rsid w:val="00C319E8"/>
    <w:rsid w:val="00C33BCF"/>
    <w:rsid w:val="00C36825"/>
    <w:rsid w:val="00C412B8"/>
    <w:rsid w:val="00C4550A"/>
    <w:rsid w:val="00C46B16"/>
    <w:rsid w:val="00C47939"/>
    <w:rsid w:val="00C47A5A"/>
    <w:rsid w:val="00C523D4"/>
    <w:rsid w:val="00C53BE2"/>
    <w:rsid w:val="00C60A45"/>
    <w:rsid w:val="00C62D92"/>
    <w:rsid w:val="00C633DA"/>
    <w:rsid w:val="00C65A36"/>
    <w:rsid w:val="00C75932"/>
    <w:rsid w:val="00C76DED"/>
    <w:rsid w:val="00C81F70"/>
    <w:rsid w:val="00C91207"/>
    <w:rsid w:val="00C935AB"/>
    <w:rsid w:val="00CA48F0"/>
    <w:rsid w:val="00CA5F1C"/>
    <w:rsid w:val="00CB005C"/>
    <w:rsid w:val="00CB2BDC"/>
    <w:rsid w:val="00CB3958"/>
    <w:rsid w:val="00CC6A18"/>
    <w:rsid w:val="00CD28C6"/>
    <w:rsid w:val="00CD4382"/>
    <w:rsid w:val="00CD4E8A"/>
    <w:rsid w:val="00CD50AC"/>
    <w:rsid w:val="00CD5828"/>
    <w:rsid w:val="00CE02E4"/>
    <w:rsid w:val="00CE0A32"/>
    <w:rsid w:val="00CE3426"/>
    <w:rsid w:val="00CE3606"/>
    <w:rsid w:val="00CE4EFC"/>
    <w:rsid w:val="00CE74CA"/>
    <w:rsid w:val="00CF2E48"/>
    <w:rsid w:val="00CF58E9"/>
    <w:rsid w:val="00D004CA"/>
    <w:rsid w:val="00D00565"/>
    <w:rsid w:val="00D02D40"/>
    <w:rsid w:val="00D03398"/>
    <w:rsid w:val="00D05251"/>
    <w:rsid w:val="00D05E04"/>
    <w:rsid w:val="00D05E3C"/>
    <w:rsid w:val="00D07D66"/>
    <w:rsid w:val="00D20324"/>
    <w:rsid w:val="00D26D4D"/>
    <w:rsid w:val="00D27EE2"/>
    <w:rsid w:val="00D35124"/>
    <w:rsid w:val="00D36B13"/>
    <w:rsid w:val="00D36F52"/>
    <w:rsid w:val="00D50DB9"/>
    <w:rsid w:val="00D51105"/>
    <w:rsid w:val="00D51B12"/>
    <w:rsid w:val="00D55DD6"/>
    <w:rsid w:val="00D63022"/>
    <w:rsid w:val="00D64252"/>
    <w:rsid w:val="00D66416"/>
    <w:rsid w:val="00D66E95"/>
    <w:rsid w:val="00D71C8D"/>
    <w:rsid w:val="00D71DCE"/>
    <w:rsid w:val="00D73E62"/>
    <w:rsid w:val="00D80052"/>
    <w:rsid w:val="00D81E07"/>
    <w:rsid w:val="00D823D5"/>
    <w:rsid w:val="00D85FE3"/>
    <w:rsid w:val="00D87133"/>
    <w:rsid w:val="00D87B1C"/>
    <w:rsid w:val="00D87CA0"/>
    <w:rsid w:val="00D90DE1"/>
    <w:rsid w:val="00D91E52"/>
    <w:rsid w:val="00D935AC"/>
    <w:rsid w:val="00D9519D"/>
    <w:rsid w:val="00D95290"/>
    <w:rsid w:val="00D96981"/>
    <w:rsid w:val="00DA1E3A"/>
    <w:rsid w:val="00DA2781"/>
    <w:rsid w:val="00DA4B5A"/>
    <w:rsid w:val="00DA54A2"/>
    <w:rsid w:val="00DA6329"/>
    <w:rsid w:val="00DA7BE4"/>
    <w:rsid w:val="00DB2F0D"/>
    <w:rsid w:val="00DB611E"/>
    <w:rsid w:val="00DB674F"/>
    <w:rsid w:val="00DB7C40"/>
    <w:rsid w:val="00DC18ED"/>
    <w:rsid w:val="00DC62F5"/>
    <w:rsid w:val="00DC65E7"/>
    <w:rsid w:val="00DD37E4"/>
    <w:rsid w:val="00DD5706"/>
    <w:rsid w:val="00DE3438"/>
    <w:rsid w:val="00DE4FA5"/>
    <w:rsid w:val="00DE53C0"/>
    <w:rsid w:val="00DE71B0"/>
    <w:rsid w:val="00DF00F9"/>
    <w:rsid w:val="00DF6FF5"/>
    <w:rsid w:val="00DF72B7"/>
    <w:rsid w:val="00E015B5"/>
    <w:rsid w:val="00E055FA"/>
    <w:rsid w:val="00E05EE2"/>
    <w:rsid w:val="00E11802"/>
    <w:rsid w:val="00E14375"/>
    <w:rsid w:val="00E14C87"/>
    <w:rsid w:val="00E17A1F"/>
    <w:rsid w:val="00E17E2D"/>
    <w:rsid w:val="00E22B5D"/>
    <w:rsid w:val="00E22E45"/>
    <w:rsid w:val="00E27035"/>
    <w:rsid w:val="00E27128"/>
    <w:rsid w:val="00E313F3"/>
    <w:rsid w:val="00E31D2D"/>
    <w:rsid w:val="00E33641"/>
    <w:rsid w:val="00E35791"/>
    <w:rsid w:val="00E436D0"/>
    <w:rsid w:val="00E44A77"/>
    <w:rsid w:val="00E4765A"/>
    <w:rsid w:val="00E54C99"/>
    <w:rsid w:val="00E555C5"/>
    <w:rsid w:val="00E60A0D"/>
    <w:rsid w:val="00E6264B"/>
    <w:rsid w:val="00E62699"/>
    <w:rsid w:val="00E648C1"/>
    <w:rsid w:val="00E65503"/>
    <w:rsid w:val="00E7290C"/>
    <w:rsid w:val="00E73C45"/>
    <w:rsid w:val="00E74726"/>
    <w:rsid w:val="00E84793"/>
    <w:rsid w:val="00E84B7E"/>
    <w:rsid w:val="00E86B05"/>
    <w:rsid w:val="00E87A87"/>
    <w:rsid w:val="00E9205A"/>
    <w:rsid w:val="00E94E75"/>
    <w:rsid w:val="00E952AF"/>
    <w:rsid w:val="00E97543"/>
    <w:rsid w:val="00EA112E"/>
    <w:rsid w:val="00EA1F9F"/>
    <w:rsid w:val="00EA3263"/>
    <w:rsid w:val="00EA3862"/>
    <w:rsid w:val="00EA4A15"/>
    <w:rsid w:val="00EB26C7"/>
    <w:rsid w:val="00EC2796"/>
    <w:rsid w:val="00EC4DE1"/>
    <w:rsid w:val="00EC6263"/>
    <w:rsid w:val="00EC7331"/>
    <w:rsid w:val="00ED1C57"/>
    <w:rsid w:val="00ED3004"/>
    <w:rsid w:val="00ED3B67"/>
    <w:rsid w:val="00ED57D7"/>
    <w:rsid w:val="00ED6E2F"/>
    <w:rsid w:val="00ED7CBB"/>
    <w:rsid w:val="00EE1277"/>
    <w:rsid w:val="00EE12E5"/>
    <w:rsid w:val="00EE359A"/>
    <w:rsid w:val="00EE4048"/>
    <w:rsid w:val="00EE4BC6"/>
    <w:rsid w:val="00EE5316"/>
    <w:rsid w:val="00EE617D"/>
    <w:rsid w:val="00F02384"/>
    <w:rsid w:val="00F028D0"/>
    <w:rsid w:val="00F03586"/>
    <w:rsid w:val="00F126C7"/>
    <w:rsid w:val="00F1380E"/>
    <w:rsid w:val="00F21412"/>
    <w:rsid w:val="00F21462"/>
    <w:rsid w:val="00F238E3"/>
    <w:rsid w:val="00F26811"/>
    <w:rsid w:val="00F27073"/>
    <w:rsid w:val="00F309C8"/>
    <w:rsid w:val="00F32CCF"/>
    <w:rsid w:val="00F35CE7"/>
    <w:rsid w:val="00F370D3"/>
    <w:rsid w:val="00F420AC"/>
    <w:rsid w:val="00F4249B"/>
    <w:rsid w:val="00F429F2"/>
    <w:rsid w:val="00F42E83"/>
    <w:rsid w:val="00F45940"/>
    <w:rsid w:val="00F46EA5"/>
    <w:rsid w:val="00F50541"/>
    <w:rsid w:val="00F520C6"/>
    <w:rsid w:val="00F62DC8"/>
    <w:rsid w:val="00F6594E"/>
    <w:rsid w:val="00F65FEF"/>
    <w:rsid w:val="00F70F01"/>
    <w:rsid w:val="00F72E73"/>
    <w:rsid w:val="00F7386B"/>
    <w:rsid w:val="00F739A0"/>
    <w:rsid w:val="00F80556"/>
    <w:rsid w:val="00F82968"/>
    <w:rsid w:val="00F83156"/>
    <w:rsid w:val="00F86D93"/>
    <w:rsid w:val="00F8777C"/>
    <w:rsid w:val="00F90C6B"/>
    <w:rsid w:val="00F93E77"/>
    <w:rsid w:val="00F96B0A"/>
    <w:rsid w:val="00FA1487"/>
    <w:rsid w:val="00FA20D8"/>
    <w:rsid w:val="00FA6F55"/>
    <w:rsid w:val="00FA736B"/>
    <w:rsid w:val="00FB5314"/>
    <w:rsid w:val="00FB64AB"/>
    <w:rsid w:val="00FC12E3"/>
    <w:rsid w:val="00FC1542"/>
    <w:rsid w:val="00FC1C0D"/>
    <w:rsid w:val="00FC5014"/>
    <w:rsid w:val="00FC6211"/>
    <w:rsid w:val="00FD0122"/>
    <w:rsid w:val="00FD1CF5"/>
    <w:rsid w:val="00FD1E70"/>
    <w:rsid w:val="00FD569B"/>
    <w:rsid w:val="00FE0A2D"/>
    <w:rsid w:val="00FE0E7F"/>
    <w:rsid w:val="00FE3136"/>
    <w:rsid w:val="00FE36AC"/>
    <w:rsid w:val="00FE4C83"/>
    <w:rsid w:val="00FE4E95"/>
    <w:rsid w:val="00FE4F53"/>
    <w:rsid w:val="00FE5BE3"/>
    <w:rsid w:val="00FF188E"/>
    <w:rsid w:val="00FF5BC9"/>
    <w:rsid w:val="00FF6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35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92"/>
    <w:rPr>
      <w:sz w:val="24"/>
    </w:rPr>
  </w:style>
  <w:style w:type="paragraph" w:styleId="Heading1">
    <w:name w:val="heading 1"/>
    <w:basedOn w:val="Normal"/>
    <w:next w:val="Normal"/>
    <w:qFormat/>
    <w:rsid w:val="00B50F99"/>
    <w:pPr>
      <w:keepNext/>
      <w:outlineLvl w:val="0"/>
    </w:pPr>
    <w:rPr>
      <w:b/>
      <w:bCs/>
      <w:lang w:val="es-ES"/>
    </w:rPr>
  </w:style>
  <w:style w:type="paragraph" w:styleId="Heading2">
    <w:name w:val="heading 2"/>
    <w:basedOn w:val="Normal"/>
    <w:next w:val="Normal"/>
    <w:qFormat/>
    <w:rsid w:val="00B50F99"/>
    <w:pPr>
      <w:keepNext/>
      <w:outlineLvl w:val="1"/>
    </w:pPr>
    <w:rPr>
      <w:i/>
      <w:lang w:val="es-ES"/>
    </w:rPr>
  </w:style>
  <w:style w:type="paragraph" w:styleId="Heading3">
    <w:name w:val="heading 3"/>
    <w:basedOn w:val="Normal"/>
    <w:next w:val="Normal"/>
    <w:qFormat/>
    <w:rsid w:val="00B50F99"/>
    <w:pPr>
      <w:keepNext/>
      <w:jc w:val="right"/>
      <w:outlineLvl w:val="2"/>
    </w:pPr>
    <w:rPr>
      <w:b/>
      <w:lang w:val="es-ES"/>
    </w:rPr>
  </w:style>
  <w:style w:type="paragraph" w:styleId="Heading4">
    <w:name w:val="heading 4"/>
    <w:basedOn w:val="Normal"/>
    <w:next w:val="Normal"/>
    <w:qFormat/>
    <w:rsid w:val="00B50F99"/>
    <w:pPr>
      <w:keepNext/>
      <w:jc w:val="right"/>
      <w:outlineLvl w:val="3"/>
    </w:pPr>
    <w:rPr>
      <w:rFonts w:ascii="Arial Black" w:hAnsi="Arial Black"/>
      <w:b/>
      <w:bCs/>
      <w:sz w:val="20"/>
      <w:lang w:val="es-ES_tradnl"/>
    </w:rPr>
  </w:style>
  <w:style w:type="paragraph" w:styleId="Heading5">
    <w:name w:val="heading 5"/>
    <w:basedOn w:val="Normal"/>
    <w:next w:val="Normal"/>
    <w:qFormat/>
    <w:rsid w:val="00B50F99"/>
    <w:pPr>
      <w:keepNext/>
      <w:jc w:val="center"/>
      <w:outlineLvl w:val="4"/>
    </w:pPr>
    <w:rPr>
      <w:i/>
      <w:iCs/>
      <w:sz w:val="22"/>
      <w:lang w:val="es-ES"/>
    </w:rPr>
  </w:style>
  <w:style w:type="paragraph" w:styleId="Heading6">
    <w:name w:val="heading 6"/>
    <w:basedOn w:val="Normal"/>
    <w:next w:val="Normal"/>
    <w:qFormat/>
    <w:rsid w:val="00B50F99"/>
    <w:pPr>
      <w:keepNext/>
      <w:keepLines/>
      <w:outlineLvl w:val="5"/>
    </w:pPr>
    <w:rPr>
      <w:b/>
      <w:bCs/>
      <w:color w:val="000000"/>
      <w:sz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6D3111"/>
    <w:rPr>
      <w:rFonts w:ascii="Tahoma" w:hAnsi="Tahoma" w:cs="Tahoma"/>
      <w:sz w:val="16"/>
      <w:szCs w:val="16"/>
    </w:rPr>
  </w:style>
  <w:style w:type="character" w:customStyle="1" w:styleId="BalloonTextChar">
    <w:name w:val="Balloon Text Char"/>
    <w:basedOn w:val="DefaultParagraphFont"/>
    <w:link w:val="BalloonText"/>
    <w:uiPriority w:val="99"/>
    <w:semiHidden/>
    <w:rsid w:val="002056E4"/>
    <w:rPr>
      <w:rFonts w:ascii="Lucida Grande" w:hAnsi="Lucida Grande"/>
      <w:sz w:val="18"/>
      <w:szCs w:val="18"/>
    </w:rPr>
  </w:style>
  <w:style w:type="paragraph" w:styleId="FootnoteText">
    <w:name w:val="footnote text"/>
    <w:basedOn w:val="Normal"/>
    <w:link w:val="FootnoteTextChar"/>
    <w:uiPriority w:val="99"/>
    <w:semiHidden/>
    <w:rsid w:val="00B50F99"/>
    <w:rPr>
      <w:sz w:val="20"/>
    </w:rPr>
  </w:style>
  <w:style w:type="character" w:styleId="FootnoteReference">
    <w:name w:val="footnote reference"/>
    <w:uiPriority w:val="99"/>
    <w:semiHidden/>
    <w:rsid w:val="00B50F99"/>
    <w:rPr>
      <w:vertAlign w:val="superscript"/>
    </w:rPr>
  </w:style>
  <w:style w:type="paragraph" w:styleId="Footer">
    <w:name w:val="footer"/>
    <w:basedOn w:val="Normal"/>
    <w:rsid w:val="00B50F99"/>
    <w:pPr>
      <w:tabs>
        <w:tab w:val="center" w:pos="4320"/>
        <w:tab w:val="right" w:pos="8640"/>
      </w:tabs>
    </w:pPr>
  </w:style>
  <w:style w:type="character" w:styleId="PageNumber">
    <w:name w:val="page number"/>
    <w:basedOn w:val="DefaultParagraphFont"/>
    <w:rsid w:val="00B50F99"/>
  </w:style>
  <w:style w:type="character" w:styleId="Emphasis">
    <w:name w:val="Emphasis"/>
    <w:qFormat/>
    <w:rsid w:val="00B50F99"/>
    <w:rPr>
      <w:i/>
      <w:iCs/>
    </w:rPr>
  </w:style>
  <w:style w:type="paragraph" w:styleId="BodyText">
    <w:name w:val="Body Text"/>
    <w:basedOn w:val="Normal"/>
    <w:rsid w:val="00B50F99"/>
    <w:rPr>
      <w:sz w:val="20"/>
      <w:lang w:val="es-ES_tradnl"/>
    </w:rPr>
  </w:style>
  <w:style w:type="paragraph" w:styleId="NormalWeb">
    <w:name w:val="Normal (Web)"/>
    <w:basedOn w:val="Normal"/>
    <w:rsid w:val="00B50F99"/>
    <w:pPr>
      <w:spacing w:before="100" w:beforeAutospacing="1" w:after="100" w:afterAutospacing="1"/>
    </w:pPr>
    <w:rPr>
      <w:color w:val="000000"/>
      <w:szCs w:val="24"/>
    </w:rPr>
  </w:style>
  <w:style w:type="paragraph" w:styleId="BodyText2">
    <w:name w:val="Body Text 2"/>
    <w:basedOn w:val="Normal"/>
    <w:rsid w:val="00B50F99"/>
    <w:rPr>
      <w:i/>
      <w:iCs/>
      <w:sz w:val="20"/>
      <w:lang w:val="es-ES_tradnl"/>
    </w:rPr>
  </w:style>
  <w:style w:type="paragraph" w:styleId="BodyText3">
    <w:name w:val="Body Text 3"/>
    <w:basedOn w:val="Normal"/>
    <w:rsid w:val="00B50F99"/>
    <w:pPr>
      <w:keepNext/>
      <w:keepLines/>
      <w:jc w:val="both"/>
    </w:pPr>
    <w:rPr>
      <w:sz w:val="20"/>
      <w:lang w:val="es-ES"/>
    </w:rPr>
  </w:style>
  <w:style w:type="character" w:customStyle="1" w:styleId="BodyTextChar">
    <w:name w:val="Body Text Char"/>
    <w:rsid w:val="00B50F99"/>
    <w:rPr>
      <w:sz w:val="28"/>
      <w:lang w:val="es-ES_tradnl" w:eastAsia="en-US" w:bidi="ar-SA"/>
    </w:rPr>
  </w:style>
  <w:style w:type="paragraph" w:styleId="BodyTextIndent">
    <w:name w:val="Body Text Indent"/>
    <w:basedOn w:val="Normal"/>
    <w:rsid w:val="00B50F99"/>
    <w:pPr>
      <w:ind w:left="360"/>
    </w:pPr>
    <w:rPr>
      <w:i/>
      <w:iCs/>
      <w:lang w:val="es-ES_tradnl"/>
    </w:rPr>
  </w:style>
  <w:style w:type="paragraph" w:customStyle="1" w:styleId="Textodeglobo1">
    <w:name w:val="Texto de globo1"/>
    <w:basedOn w:val="Normal"/>
    <w:semiHidden/>
    <w:rsid w:val="00B50F99"/>
    <w:rPr>
      <w:rFonts w:ascii="Tahoma" w:hAnsi="Tahoma" w:cs="Tahoma"/>
      <w:sz w:val="16"/>
      <w:szCs w:val="16"/>
    </w:rPr>
  </w:style>
  <w:style w:type="character" w:styleId="CommentReference">
    <w:name w:val="annotation reference"/>
    <w:uiPriority w:val="99"/>
    <w:semiHidden/>
    <w:rsid w:val="00B50F99"/>
    <w:rPr>
      <w:sz w:val="16"/>
      <w:szCs w:val="16"/>
    </w:rPr>
  </w:style>
  <w:style w:type="paragraph" w:styleId="CommentText">
    <w:name w:val="annotation text"/>
    <w:basedOn w:val="Normal"/>
    <w:semiHidden/>
    <w:rsid w:val="00B50F99"/>
    <w:rPr>
      <w:sz w:val="20"/>
    </w:rPr>
  </w:style>
  <w:style w:type="paragraph" w:customStyle="1" w:styleId="Asuntodelcomentario1">
    <w:name w:val="Asunto del comentario1"/>
    <w:basedOn w:val="CommentText"/>
    <w:next w:val="CommentText"/>
    <w:semiHidden/>
    <w:rsid w:val="00B50F99"/>
    <w:rPr>
      <w:b/>
      <w:bCs/>
    </w:rPr>
  </w:style>
  <w:style w:type="paragraph" w:styleId="Header">
    <w:name w:val="header"/>
    <w:basedOn w:val="Normal"/>
    <w:rsid w:val="00B50F99"/>
    <w:pPr>
      <w:tabs>
        <w:tab w:val="center" w:pos="4320"/>
        <w:tab w:val="right" w:pos="8640"/>
      </w:tabs>
    </w:pPr>
  </w:style>
  <w:style w:type="paragraph" w:styleId="Title">
    <w:name w:val="Title"/>
    <w:basedOn w:val="Normal"/>
    <w:qFormat/>
    <w:rsid w:val="00B50F99"/>
    <w:pPr>
      <w:jc w:val="center"/>
    </w:pPr>
    <w:rPr>
      <w:b/>
      <w:lang w:val="es-ES"/>
    </w:rPr>
  </w:style>
  <w:style w:type="paragraph" w:styleId="EndnoteText">
    <w:name w:val="endnote text"/>
    <w:basedOn w:val="Normal"/>
    <w:semiHidden/>
    <w:rsid w:val="00B50F99"/>
    <w:rPr>
      <w:sz w:val="20"/>
    </w:rPr>
  </w:style>
  <w:style w:type="character" w:styleId="EndnoteReference">
    <w:name w:val="endnote reference"/>
    <w:semiHidden/>
    <w:rsid w:val="00B50F99"/>
    <w:rPr>
      <w:vertAlign w:val="superscript"/>
    </w:rPr>
  </w:style>
  <w:style w:type="table" w:styleId="TableGrid">
    <w:name w:val="Table Grid"/>
    <w:basedOn w:val="TableNormal"/>
    <w:rsid w:val="00F73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E71B0"/>
    <w:rPr>
      <w:color w:val="0000FF"/>
      <w:u w:val="single"/>
    </w:rPr>
  </w:style>
  <w:style w:type="paragraph" w:styleId="CommentSubject">
    <w:name w:val="annotation subject"/>
    <w:basedOn w:val="CommentText"/>
    <w:next w:val="CommentText"/>
    <w:semiHidden/>
    <w:rsid w:val="00135C06"/>
    <w:rPr>
      <w:b/>
      <w:bCs/>
    </w:rPr>
  </w:style>
  <w:style w:type="character" w:customStyle="1" w:styleId="apple-converted-space">
    <w:name w:val="apple-converted-space"/>
    <w:basedOn w:val="DefaultParagraphFont"/>
    <w:rsid w:val="00112753"/>
  </w:style>
  <w:style w:type="paragraph" w:styleId="ListParagraph">
    <w:name w:val="List Paragraph"/>
    <w:basedOn w:val="Normal"/>
    <w:link w:val="ListParagraphChar"/>
    <w:uiPriority w:val="34"/>
    <w:qFormat/>
    <w:rsid w:val="00CA5F1C"/>
    <w:pPr>
      <w:ind w:left="720"/>
      <w:contextualSpacing/>
    </w:pPr>
  </w:style>
  <w:style w:type="character" w:customStyle="1" w:styleId="st1">
    <w:name w:val="st1"/>
    <w:basedOn w:val="DefaultParagraphFont"/>
    <w:rsid w:val="00564521"/>
  </w:style>
  <w:style w:type="character" w:customStyle="1" w:styleId="ListParagraphChar">
    <w:name w:val="List Paragraph Char"/>
    <w:basedOn w:val="DefaultParagraphFont"/>
    <w:link w:val="ListParagraph"/>
    <w:uiPriority w:val="34"/>
    <w:rsid w:val="00BB39CB"/>
    <w:rPr>
      <w:sz w:val="24"/>
    </w:rPr>
  </w:style>
  <w:style w:type="character" w:customStyle="1" w:styleId="FootnoteTextChar">
    <w:name w:val="Footnote Text Char"/>
    <w:basedOn w:val="DefaultParagraphFont"/>
    <w:link w:val="FootnoteText"/>
    <w:uiPriority w:val="99"/>
    <w:semiHidden/>
    <w:rsid w:val="00534A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92"/>
    <w:rPr>
      <w:sz w:val="24"/>
    </w:rPr>
  </w:style>
  <w:style w:type="paragraph" w:styleId="Heading1">
    <w:name w:val="heading 1"/>
    <w:basedOn w:val="Normal"/>
    <w:next w:val="Normal"/>
    <w:qFormat/>
    <w:rsid w:val="00B50F99"/>
    <w:pPr>
      <w:keepNext/>
      <w:outlineLvl w:val="0"/>
    </w:pPr>
    <w:rPr>
      <w:b/>
      <w:bCs/>
      <w:lang w:val="es-ES"/>
    </w:rPr>
  </w:style>
  <w:style w:type="paragraph" w:styleId="Heading2">
    <w:name w:val="heading 2"/>
    <w:basedOn w:val="Normal"/>
    <w:next w:val="Normal"/>
    <w:qFormat/>
    <w:rsid w:val="00B50F99"/>
    <w:pPr>
      <w:keepNext/>
      <w:outlineLvl w:val="1"/>
    </w:pPr>
    <w:rPr>
      <w:i/>
      <w:lang w:val="es-ES"/>
    </w:rPr>
  </w:style>
  <w:style w:type="paragraph" w:styleId="Heading3">
    <w:name w:val="heading 3"/>
    <w:basedOn w:val="Normal"/>
    <w:next w:val="Normal"/>
    <w:qFormat/>
    <w:rsid w:val="00B50F99"/>
    <w:pPr>
      <w:keepNext/>
      <w:jc w:val="right"/>
      <w:outlineLvl w:val="2"/>
    </w:pPr>
    <w:rPr>
      <w:b/>
      <w:lang w:val="es-ES"/>
    </w:rPr>
  </w:style>
  <w:style w:type="paragraph" w:styleId="Heading4">
    <w:name w:val="heading 4"/>
    <w:basedOn w:val="Normal"/>
    <w:next w:val="Normal"/>
    <w:qFormat/>
    <w:rsid w:val="00B50F99"/>
    <w:pPr>
      <w:keepNext/>
      <w:jc w:val="right"/>
      <w:outlineLvl w:val="3"/>
    </w:pPr>
    <w:rPr>
      <w:rFonts w:ascii="Arial Black" w:hAnsi="Arial Black"/>
      <w:b/>
      <w:bCs/>
      <w:sz w:val="20"/>
      <w:lang w:val="es-ES_tradnl"/>
    </w:rPr>
  </w:style>
  <w:style w:type="paragraph" w:styleId="Heading5">
    <w:name w:val="heading 5"/>
    <w:basedOn w:val="Normal"/>
    <w:next w:val="Normal"/>
    <w:qFormat/>
    <w:rsid w:val="00B50F99"/>
    <w:pPr>
      <w:keepNext/>
      <w:jc w:val="center"/>
      <w:outlineLvl w:val="4"/>
    </w:pPr>
    <w:rPr>
      <w:i/>
      <w:iCs/>
      <w:sz w:val="22"/>
      <w:lang w:val="es-ES"/>
    </w:rPr>
  </w:style>
  <w:style w:type="paragraph" w:styleId="Heading6">
    <w:name w:val="heading 6"/>
    <w:basedOn w:val="Normal"/>
    <w:next w:val="Normal"/>
    <w:qFormat/>
    <w:rsid w:val="00B50F99"/>
    <w:pPr>
      <w:keepNext/>
      <w:keepLines/>
      <w:outlineLvl w:val="5"/>
    </w:pPr>
    <w:rPr>
      <w:b/>
      <w:bCs/>
      <w:color w:val="000000"/>
      <w:sz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6D3111"/>
    <w:rPr>
      <w:rFonts w:ascii="Tahoma" w:hAnsi="Tahoma" w:cs="Tahoma"/>
      <w:sz w:val="16"/>
      <w:szCs w:val="16"/>
    </w:rPr>
  </w:style>
  <w:style w:type="character" w:customStyle="1" w:styleId="BalloonTextChar">
    <w:name w:val="Balloon Text Char"/>
    <w:basedOn w:val="DefaultParagraphFont"/>
    <w:link w:val="BalloonText"/>
    <w:uiPriority w:val="99"/>
    <w:semiHidden/>
    <w:rsid w:val="002056E4"/>
    <w:rPr>
      <w:rFonts w:ascii="Lucida Grande" w:hAnsi="Lucida Grande"/>
      <w:sz w:val="18"/>
      <w:szCs w:val="18"/>
    </w:rPr>
  </w:style>
  <w:style w:type="paragraph" w:styleId="FootnoteText">
    <w:name w:val="footnote text"/>
    <w:basedOn w:val="Normal"/>
    <w:link w:val="FootnoteTextChar"/>
    <w:uiPriority w:val="99"/>
    <w:semiHidden/>
    <w:rsid w:val="00B50F99"/>
    <w:rPr>
      <w:sz w:val="20"/>
    </w:rPr>
  </w:style>
  <w:style w:type="character" w:styleId="FootnoteReference">
    <w:name w:val="footnote reference"/>
    <w:uiPriority w:val="99"/>
    <w:semiHidden/>
    <w:rsid w:val="00B50F99"/>
    <w:rPr>
      <w:vertAlign w:val="superscript"/>
    </w:rPr>
  </w:style>
  <w:style w:type="paragraph" w:styleId="Footer">
    <w:name w:val="footer"/>
    <w:basedOn w:val="Normal"/>
    <w:rsid w:val="00B50F99"/>
    <w:pPr>
      <w:tabs>
        <w:tab w:val="center" w:pos="4320"/>
        <w:tab w:val="right" w:pos="8640"/>
      </w:tabs>
    </w:pPr>
  </w:style>
  <w:style w:type="character" w:styleId="PageNumber">
    <w:name w:val="page number"/>
    <w:basedOn w:val="DefaultParagraphFont"/>
    <w:rsid w:val="00B50F99"/>
  </w:style>
  <w:style w:type="character" w:styleId="Emphasis">
    <w:name w:val="Emphasis"/>
    <w:qFormat/>
    <w:rsid w:val="00B50F99"/>
    <w:rPr>
      <w:i/>
      <w:iCs/>
    </w:rPr>
  </w:style>
  <w:style w:type="paragraph" w:styleId="BodyText">
    <w:name w:val="Body Text"/>
    <w:basedOn w:val="Normal"/>
    <w:rsid w:val="00B50F99"/>
    <w:rPr>
      <w:sz w:val="20"/>
      <w:lang w:val="es-ES_tradnl"/>
    </w:rPr>
  </w:style>
  <w:style w:type="paragraph" w:styleId="NormalWeb">
    <w:name w:val="Normal (Web)"/>
    <w:basedOn w:val="Normal"/>
    <w:rsid w:val="00B50F99"/>
    <w:pPr>
      <w:spacing w:before="100" w:beforeAutospacing="1" w:after="100" w:afterAutospacing="1"/>
    </w:pPr>
    <w:rPr>
      <w:color w:val="000000"/>
      <w:szCs w:val="24"/>
    </w:rPr>
  </w:style>
  <w:style w:type="paragraph" w:styleId="BodyText2">
    <w:name w:val="Body Text 2"/>
    <w:basedOn w:val="Normal"/>
    <w:rsid w:val="00B50F99"/>
    <w:rPr>
      <w:i/>
      <w:iCs/>
      <w:sz w:val="20"/>
      <w:lang w:val="es-ES_tradnl"/>
    </w:rPr>
  </w:style>
  <w:style w:type="paragraph" w:styleId="BodyText3">
    <w:name w:val="Body Text 3"/>
    <w:basedOn w:val="Normal"/>
    <w:rsid w:val="00B50F99"/>
    <w:pPr>
      <w:keepNext/>
      <w:keepLines/>
      <w:jc w:val="both"/>
    </w:pPr>
    <w:rPr>
      <w:sz w:val="20"/>
      <w:lang w:val="es-ES"/>
    </w:rPr>
  </w:style>
  <w:style w:type="character" w:customStyle="1" w:styleId="BodyTextChar">
    <w:name w:val="Body Text Char"/>
    <w:rsid w:val="00B50F99"/>
    <w:rPr>
      <w:sz w:val="28"/>
      <w:lang w:val="es-ES_tradnl" w:eastAsia="en-US" w:bidi="ar-SA"/>
    </w:rPr>
  </w:style>
  <w:style w:type="paragraph" w:styleId="BodyTextIndent">
    <w:name w:val="Body Text Indent"/>
    <w:basedOn w:val="Normal"/>
    <w:rsid w:val="00B50F99"/>
    <w:pPr>
      <w:ind w:left="360"/>
    </w:pPr>
    <w:rPr>
      <w:i/>
      <w:iCs/>
      <w:lang w:val="es-ES_tradnl"/>
    </w:rPr>
  </w:style>
  <w:style w:type="paragraph" w:customStyle="1" w:styleId="Textodeglobo1">
    <w:name w:val="Texto de globo1"/>
    <w:basedOn w:val="Normal"/>
    <w:semiHidden/>
    <w:rsid w:val="00B50F99"/>
    <w:rPr>
      <w:rFonts w:ascii="Tahoma" w:hAnsi="Tahoma" w:cs="Tahoma"/>
      <w:sz w:val="16"/>
      <w:szCs w:val="16"/>
    </w:rPr>
  </w:style>
  <w:style w:type="character" w:styleId="CommentReference">
    <w:name w:val="annotation reference"/>
    <w:uiPriority w:val="99"/>
    <w:semiHidden/>
    <w:rsid w:val="00B50F99"/>
    <w:rPr>
      <w:sz w:val="16"/>
      <w:szCs w:val="16"/>
    </w:rPr>
  </w:style>
  <w:style w:type="paragraph" w:styleId="CommentText">
    <w:name w:val="annotation text"/>
    <w:basedOn w:val="Normal"/>
    <w:semiHidden/>
    <w:rsid w:val="00B50F99"/>
    <w:rPr>
      <w:sz w:val="20"/>
    </w:rPr>
  </w:style>
  <w:style w:type="paragraph" w:customStyle="1" w:styleId="Asuntodelcomentario1">
    <w:name w:val="Asunto del comentario1"/>
    <w:basedOn w:val="CommentText"/>
    <w:next w:val="CommentText"/>
    <w:semiHidden/>
    <w:rsid w:val="00B50F99"/>
    <w:rPr>
      <w:b/>
      <w:bCs/>
    </w:rPr>
  </w:style>
  <w:style w:type="paragraph" w:styleId="Header">
    <w:name w:val="header"/>
    <w:basedOn w:val="Normal"/>
    <w:rsid w:val="00B50F99"/>
    <w:pPr>
      <w:tabs>
        <w:tab w:val="center" w:pos="4320"/>
        <w:tab w:val="right" w:pos="8640"/>
      </w:tabs>
    </w:pPr>
  </w:style>
  <w:style w:type="paragraph" w:styleId="Title">
    <w:name w:val="Title"/>
    <w:basedOn w:val="Normal"/>
    <w:qFormat/>
    <w:rsid w:val="00B50F99"/>
    <w:pPr>
      <w:jc w:val="center"/>
    </w:pPr>
    <w:rPr>
      <w:b/>
      <w:lang w:val="es-ES"/>
    </w:rPr>
  </w:style>
  <w:style w:type="paragraph" w:styleId="EndnoteText">
    <w:name w:val="endnote text"/>
    <w:basedOn w:val="Normal"/>
    <w:semiHidden/>
    <w:rsid w:val="00B50F99"/>
    <w:rPr>
      <w:sz w:val="20"/>
    </w:rPr>
  </w:style>
  <w:style w:type="character" w:styleId="EndnoteReference">
    <w:name w:val="endnote reference"/>
    <w:semiHidden/>
    <w:rsid w:val="00B50F99"/>
    <w:rPr>
      <w:vertAlign w:val="superscript"/>
    </w:rPr>
  </w:style>
  <w:style w:type="table" w:styleId="TableGrid">
    <w:name w:val="Table Grid"/>
    <w:basedOn w:val="TableNormal"/>
    <w:rsid w:val="00F73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E71B0"/>
    <w:rPr>
      <w:color w:val="0000FF"/>
      <w:u w:val="single"/>
    </w:rPr>
  </w:style>
  <w:style w:type="paragraph" w:styleId="CommentSubject">
    <w:name w:val="annotation subject"/>
    <w:basedOn w:val="CommentText"/>
    <w:next w:val="CommentText"/>
    <w:semiHidden/>
    <w:rsid w:val="00135C06"/>
    <w:rPr>
      <w:b/>
      <w:bCs/>
    </w:rPr>
  </w:style>
  <w:style w:type="character" w:customStyle="1" w:styleId="apple-converted-space">
    <w:name w:val="apple-converted-space"/>
    <w:basedOn w:val="DefaultParagraphFont"/>
    <w:rsid w:val="00112753"/>
  </w:style>
  <w:style w:type="paragraph" w:styleId="ListParagraph">
    <w:name w:val="List Paragraph"/>
    <w:basedOn w:val="Normal"/>
    <w:link w:val="ListParagraphChar"/>
    <w:uiPriority w:val="34"/>
    <w:qFormat/>
    <w:rsid w:val="00CA5F1C"/>
    <w:pPr>
      <w:ind w:left="720"/>
      <w:contextualSpacing/>
    </w:pPr>
  </w:style>
  <w:style w:type="character" w:customStyle="1" w:styleId="st1">
    <w:name w:val="st1"/>
    <w:basedOn w:val="DefaultParagraphFont"/>
    <w:rsid w:val="00564521"/>
  </w:style>
  <w:style w:type="character" w:customStyle="1" w:styleId="ListParagraphChar">
    <w:name w:val="List Paragraph Char"/>
    <w:basedOn w:val="DefaultParagraphFont"/>
    <w:link w:val="ListParagraph"/>
    <w:uiPriority w:val="34"/>
    <w:rsid w:val="00BB39CB"/>
    <w:rPr>
      <w:sz w:val="24"/>
    </w:rPr>
  </w:style>
  <w:style w:type="character" w:customStyle="1" w:styleId="FootnoteTextChar">
    <w:name w:val="Footnote Text Char"/>
    <w:basedOn w:val="DefaultParagraphFont"/>
    <w:link w:val="FootnoteText"/>
    <w:uiPriority w:val="99"/>
    <w:semiHidden/>
    <w:rsid w:val="00534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511889">
      <w:bodyDiv w:val="1"/>
      <w:marLeft w:val="0"/>
      <w:marRight w:val="0"/>
      <w:marTop w:val="0"/>
      <w:marBottom w:val="0"/>
      <w:divBdr>
        <w:top w:val="none" w:sz="0" w:space="0" w:color="auto"/>
        <w:left w:val="none" w:sz="0" w:space="0" w:color="auto"/>
        <w:bottom w:val="none" w:sz="0" w:space="0" w:color="auto"/>
        <w:right w:val="none" w:sz="0" w:space="0" w:color="auto"/>
      </w:divBdr>
      <w:divsChild>
        <w:div w:id="1017656876">
          <w:marLeft w:val="0"/>
          <w:marRight w:val="0"/>
          <w:marTop w:val="225"/>
          <w:marBottom w:val="0"/>
          <w:divBdr>
            <w:top w:val="none" w:sz="0" w:space="0" w:color="auto"/>
            <w:left w:val="none" w:sz="0" w:space="0" w:color="auto"/>
            <w:bottom w:val="none" w:sz="0" w:space="0" w:color="auto"/>
            <w:right w:val="none" w:sz="0" w:space="0" w:color="auto"/>
          </w:divBdr>
          <w:divsChild>
            <w:div w:id="778258652">
              <w:marLeft w:val="0"/>
              <w:marRight w:val="0"/>
              <w:marTop w:val="0"/>
              <w:marBottom w:val="0"/>
              <w:divBdr>
                <w:top w:val="none" w:sz="0" w:space="0" w:color="auto"/>
                <w:left w:val="none" w:sz="0" w:space="0" w:color="auto"/>
                <w:bottom w:val="none" w:sz="0" w:space="0" w:color="auto"/>
                <w:right w:val="none" w:sz="0" w:space="0" w:color="auto"/>
              </w:divBdr>
              <w:divsChild>
                <w:div w:id="360396785">
                  <w:marLeft w:val="0"/>
                  <w:marRight w:val="0"/>
                  <w:marTop w:val="0"/>
                  <w:marBottom w:val="0"/>
                  <w:divBdr>
                    <w:top w:val="none" w:sz="0" w:space="0" w:color="auto"/>
                    <w:left w:val="none" w:sz="0" w:space="0" w:color="auto"/>
                    <w:bottom w:val="none" w:sz="0" w:space="0" w:color="auto"/>
                    <w:right w:val="none" w:sz="0" w:space="0" w:color="auto"/>
                  </w:divBdr>
                  <w:divsChild>
                    <w:div w:id="1908413749">
                      <w:marLeft w:val="0"/>
                      <w:marRight w:val="0"/>
                      <w:marTop w:val="0"/>
                      <w:marBottom w:val="0"/>
                      <w:divBdr>
                        <w:top w:val="none" w:sz="0" w:space="0" w:color="auto"/>
                        <w:left w:val="none" w:sz="0" w:space="0" w:color="auto"/>
                        <w:bottom w:val="none" w:sz="0" w:space="0" w:color="auto"/>
                        <w:right w:val="none" w:sz="0" w:space="0" w:color="auto"/>
                      </w:divBdr>
                      <w:divsChild>
                        <w:div w:id="1775855229">
                          <w:marLeft w:val="0"/>
                          <w:marRight w:val="0"/>
                          <w:marTop w:val="0"/>
                          <w:marBottom w:val="0"/>
                          <w:divBdr>
                            <w:top w:val="none" w:sz="0" w:space="0" w:color="auto"/>
                            <w:left w:val="none" w:sz="0" w:space="0" w:color="auto"/>
                            <w:bottom w:val="none" w:sz="0" w:space="0" w:color="auto"/>
                            <w:right w:val="none" w:sz="0" w:space="0" w:color="auto"/>
                          </w:divBdr>
                          <w:divsChild>
                            <w:div w:id="72595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577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www.sefin.gob.hn/?page_id=48760" TargetMode="Externa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yperlink" Target="http://ww.sefin.gob.hn/wp-content/uploads/2015/05/Circular_CGG-013-2015.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A592268D03C29A47A7B31CF069818E23" ma:contentTypeVersion="21" ma:contentTypeDescription="The base project type from which other project content types inherit their information." ma:contentTypeScope="" ma:versionID="fffe8b52b64911b6786d9b1e81b925e9">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39838308</IDBDocs_x0020_Number>
    <Document_x0020_Author xmlns="cdc7663a-08f0-4737-9e8c-148ce897a09c">Armendariz, Edna</Document_x0020_Author>
    <Operation_x0020_Type xmlns="cdc7663a-08f0-4737-9e8c-148ce897a09c" xsi:nil="true"/>
    <TaxCatchAll xmlns="cdc7663a-08f0-4737-9e8c-148ce897a09c">
      <Value>26</Value>
      <Value>10</Value>
      <Value>1</Value>
    </TaxCatchAll>
    <Fiscal_x0020_Year_x0020_IDB xmlns="cdc7663a-08f0-4737-9e8c-148ce897a09c">2015</Fiscal_x0020_Year_x0020_IDB>
    <Project_x0020_Number xmlns="cdc7663a-08f0-4737-9e8c-148ce897a09c">HO-L1103</Project_x0020_Number>
    <Package_x0020_Code xmlns="cdc7663a-08f0-4737-9e8c-148ce897a09c" xsi:nil="true"/>
    <Migration_x0020_Info xmlns="cdc7663a-08f0-4737-9e8c-148ce897a09c">MS WORDLPLoan Proposal0N</Migration_x0020_Info>
    <Approval_x0020_Number xmlns="cdc7663a-08f0-4737-9e8c-148ce897a09c">3590/BL-HO</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EZSHARE-2089386612-50</_dlc_DocId>
    <From_x003a_ xmlns="cdc7663a-08f0-4737-9e8c-148ce897a09c" xsi:nil="true"/>
    <To_x003a_ xmlns="cdc7663a-08f0-4737-9e8c-148ce897a09c" xsi:nil="true"/>
    <_dlc_DocIdUrl xmlns="cdc7663a-08f0-4737-9e8c-148ce897a09c">
      <Url>https://idbg.sharepoint.com/teams/EZ-HO-LON/HO-L1103/_layouts/15/DocIdRedir.aspx?ID=EZSHARE-2089386612-50</Url>
      <Description>EZSHARE-2089386612-50</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C5CE11D8-79AA-46FF-BB84-2B693967328B}"/>
</file>

<file path=customXml/itemProps2.xml><?xml version="1.0" encoding="utf-8"?>
<ds:datastoreItem xmlns:ds="http://schemas.openxmlformats.org/officeDocument/2006/customXml" ds:itemID="{4C11E371-F6A4-4470-B618-B29B5776297A}"/>
</file>

<file path=customXml/itemProps3.xml><?xml version="1.0" encoding="utf-8"?>
<ds:datastoreItem xmlns:ds="http://schemas.openxmlformats.org/officeDocument/2006/customXml" ds:itemID="{6C1095BD-B7F6-41F4-BAB6-6B7A9C2C4D88}"/>
</file>

<file path=customXml/itemProps4.xml><?xml version="1.0" encoding="utf-8"?>
<ds:datastoreItem xmlns:ds="http://schemas.openxmlformats.org/officeDocument/2006/customXml" ds:itemID="{589F462D-50C4-486B-8954-47CCD2C62188}"/>
</file>

<file path=customXml/itemProps5.xml><?xml version="1.0" encoding="utf-8"?>
<ds:datastoreItem xmlns:ds="http://schemas.openxmlformats.org/officeDocument/2006/customXml" ds:itemID="{DF1C3DC9-DDF0-4A1D-9AE3-7B1BC1EDA831}"/>
</file>

<file path=customXml/itemProps6.xml><?xml version="1.0" encoding="utf-8"?>
<ds:datastoreItem xmlns:ds="http://schemas.openxmlformats.org/officeDocument/2006/customXml" ds:itemID="{758DFA01-A0B3-45EC-8C73-BC53E1E21960}"/>
</file>

<file path=customXml/itemProps7.xml><?xml version="1.0" encoding="utf-8"?>
<ds:datastoreItem xmlns:ds="http://schemas.openxmlformats.org/officeDocument/2006/customXml" ds:itemID="{0048C27A-20C6-4B80-A4A2-CB1AEAB0C9D2}"/>
</file>

<file path=customXml/itemProps8.xml><?xml version="1.0" encoding="utf-8"?>
<ds:datastoreItem xmlns:ds="http://schemas.openxmlformats.org/officeDocument/2006/customXml" ds:itemID="{30C79D2A-6030-479F-A051-31BD11001125}"/>
</file>

<file path=docProps/app.xml><?xml version="1.0" encoding="utf-8"?>
<Properties xmlns="http://schemas.openxmlformats.org/officeDocument/2006/extended-properties" xmlns:vt="http://schemas.openxmlformats.org/officeDocument/2006/docPropsVTypes">
  <Template>Normal.dotm</Template>
  <TotalTime>6</TotalTime>
  <Pages>4</Pages>
  <Words>1430</Words>
  <Characters>8155</Characters>
  <Application>Microsoft Office Word</Application>
  <DocSecurity>0</DocSecurity>
  <Lines>67</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Objectivo</vt:lpstr>
      <vt:lpstr>Objectivo</vt:lpstr>
    </vt:vector>
  </TitlesOfParts>
  <Company>Inter-American Development Bank</Company>
  <LinksUpToDate>false</LinksUpToDate>
  <CharactersWithSpaces>9566</CharactersWithSpaces>
  <SharedDoc>false</SharedDoc>
  <HLinks>
    <vt:vector size="18" baseType="variant">
      <vt:variant>
        <vt:i4>2162746</vt:i4>
      </vt:variant>
      <vt:variant>
        <vt:i4>6</vt:i4>
      </vt:variant>
      <vt:variant>
        <vt:i4>0</vt:i4>
      </vt:variant>
      <vt:variant>
        <vt:i4>5</vt:i4>
      </vt:variant>
      <vt:variant>
        <vt:lpwstr>http://www.chip.gov.co/</vt:lpwstr>
      </vt:variant>
      <vt:variant>
        <vt:lpwstr/>
      </vt:variant>
      <vt:variant>
        <vt:i4>2162746</vt:i4>
      </vt:variant>
      <vt:variant>
        <vt:i4>3</vt:i4>
      </vt:variant>
      <vt:variant>
        <vt:i4>0</vt:i4>
      </vt:variant>
      <vt:variant>
        <vt:i4>5</vt:i4>
      </vt:variant>
      <vt:variant>
        <vt:lpwstr>http://www.chip.gov.co/</vt:lpwstr>
      </vt:variant>
      <vt:variant>
        <vt:lpwstr/>
      </vt:variant>
      <vt:variant>
        <vt:i4>2162746</vt:i4>
      </vt:variant>
      <vt:variant>
        <vt:i4>0</vt:i4>
      </vt:variant>
      <vt:variant>
        <vt:i4>0</vt:i4>
      </vt:variant>
      <vt:variant>
        <vt:i4>5</vt:i4>
      </vt:variant>
      <vt:variant>
        <vt:lpwstr>http://www.chip.gov.co/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Matriz de Medios de Verificacion_</dc:title>
  <dc:creator>Hunt Howell</dc:creator>
  <cp:lastModifiedBy>IADB</cp:lastModifiedBy>
  <cp:revision>4</cp:revision>
  <cp:lastPrinted>2015-09-11T19:19:00Z</cp:lastPrinted>
  <dcterms:created xsi:type="dcterms:W3CDTF">2015-09-11T18:04:00Z</dcterms:created>
  <dcterms:modified xsi:type="dcterms:W3CDTF">2015-09-11T19:19:00Z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0x010100ACF722E9F6B0B149B0CD8BE2560A667200A592268D03C29A47A7B31CF069818E23</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26;#Honduras|0dd9f989-602d-4742-8212-5c1b8b0b74d5</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Fiscal Issues and Public Finance</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a82518ce-2087-49ec-951a-25dd9ac638ba</vt:lpwstr>
  </property>
</Properties>
</file>