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BB2" w:rsidRPr="002E1AE0" w:rsidRDefault="004C7BB2" w:rsidP="004C7BB2">
      <w:pPr>
        <w:pStyle w:val="SubSubPar"/>
        <w:numPr>
          <w:ilvl w:val="0"/>
          <w:numId w:val="0"/>
        </w:numPr>
        <w:jc w:val="center"/>
        <w:rPr>
          <w:rFonts w:ascii="Arial" w:hAnsi="Arial" w:cs="Arial"/>
          <w:b/>
          <w:smallCaps/>
          <w:sz w:val="22"/>
          <w:szCs w:val="22"/>
          <w:lang w:val="es-ES_tradnl"/>
        </w:rPr>
      </w:pPr>
      <w:r w:rsidRPr="002E1AE0">
        <w:rPr>
          <w:rFonts w:ascii="Arial" w:hAnsi="Arial" w:cs="Arial"/>
          <w:b/>
          <w:smallCaps/>
          <w:sz w:val="22"/>
          <w:szCs w:val="22"/>
          <w:lang w:val="es-ES_tradnl"/>
        </w:rPr>
        <w:t>DOCUMENTO DEL BANCO INTERAMERICANO DE DESARROLLO</w:t>
      </w:r>
    </w:p>
    <w:p w:rsidR="004C7BB2" w:rsidRPr="002E1AE0" w:rsidRDefault="004C7BB2" w:rsidP="004C7BB2">
      <w:pPr>
        <w:tabs>
          <w:tab w:val="left" w:pos="1440"/>
          <w:tab w:val="left" w:pos="3060"/>
        </w:tabs>
        <w:spacing w:before="120" w:after="120" w:line="240" w:lineRule="auto"/>
        <w:jc w:val="center"/>
        <w:rPr>
          <w:rFonts w:ascii="Arial" w:hAnsi="Arial" w:cs="Arial"/>
          <w:b/>
          <w:smallCaps/>
        </w:rPr>
      </w:pPr>
    </w:p>
    <w:p w:rsidR="004C7BB2" w:rsidRPr="002E1AE0" w:rsidRDefault="004C7BB2" w:rsidP="004C7BB2">
      <w:pPr>
        <w:tabs>
          <w:tab w:val="left" w:pos="1440"/>
          <w:tab w:val="left" w:pos="3060"/>
        </w:tabs>
        <w:spacing w:before="120" w:after="120" w:line="240" w:lineRule="auto"/>
        <w:jc w:val="center"/>
        <w:rPr>
          <w:rFonts w:ascii="Arial" w:hAnsi="Arial" w:cs="Arial"/>
          <w:b/>
          <w:smallCaps/>
        </w:rPr>
      </w:pPr>
    </w:p>
    <w:p w:rsidR="004C7BB2" w:rsidRPr="002E1AE0" w:rsidRDefault="004C7BB2" w:rsidP="004C7BB2">
      <w:pPr>
        <w:tabs>
          <w:tab w:val="left" w:pos="1440"/>
          <w:tab w:val="left" w:pos="3060"/>
        </w:tabs>
        <w:spacing w:before="120" w:after="120" w:line="240" w:lineRule="auto"/>
        <w:jc w:val="center"/>
        <w:rPr>
          <w:rFonts w:ascii="Arial" w:hAnsi="Arial" w:cs="Arial"/>
          <w:b/>
          <w:smallCaps/>
        </w:rPr>
      </w:pPr>
    </w:p>
    <w:p w:rsidR="004C7BB2" w:rsidRPr="002E1AE0" w:rsidRDefault="004C7BB2" w:rsidP="004C7BB2">
      <w:pPr>
        <w:tabs>
          <w:tab w:val="left" w:pos="1440"/>
          <w:tab w:val="left" w:pos="3060"/>
        </w:tabs>
        <w:spacing w:before="120" w:after="120" w:line="240" w:lineRule="auto"/>
        <w:jc w:val="center"/>
        <w:rPr>
          <w:rFonts w:ascii="Arial" w:hAnsi="Arial" w:cs="Arial"/>
          <w:b/>
          <w:smallCaps/>
        </w:rPr>
      </w:pPr>
    </w:p>
    <w:p w:rsidR="004C7BB2" w:rsidRPr="002E1AE0" w:rsidRDefault="004C7BB2" w:rsidP="004C7BB2">
      <w:pPr>
        <w:tabs>
          <w:tab w:val="left" w:pos="1440"/>
          <w:tab w:val="left" w:pos="3060"/>
        </w:tabs>
        <w:spacing w:before="120" w:after="120" w:line="240" w:lineRule="auto"/>
        <w:jc w:val="center"/>
        <w:rPr>
          <w:rFonts w:ascii="Arial" w:hAnsi="Arial" w:cs="Arial"/>
          <w:b/>
          <w:caps/>
        </w:rPr>
      </w:pPr>
      <w:r w:rsidRPr="002E1AE0">
        <w:rPr>
          <w:rFonts w:ascii="Arial" w:hAnsi="Arial" w:cs="Arial"/>
          <w:b/>
          <w:caps/>
        </w:rPr>
        <w:t>HONDURAS</w:t>
      </w: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DE322D" w:rsidRPr="002E1AE0" w:rsidRDefault="00DE322D" w:rsidP="00DE322D">
      <w:pPr>
        <w:tabs>
          <w:tab w:val="left" w:pos="1440"/>
          <w:tab w:val="left" w:pos="3060"/>
        </w:tabs>
        <w:spacing w:after="0"/>
        <w:jc w:val="center"/>
        <w:rPr>
          <w:rFonts w:ascii="Arial" w:hAnsi="Arial" w:cs="Arial"/>
          <w:b/>
          <w:smallCaps/>
          <w:lang w:val="es-ES"/>
        </w:rPr>
      </w:pPr>
      <w:r w:rsidRPr="002E1AE0">
        <w:rPr>
          <w:rFonts w:ascii="Arial" w:hAnsi="Arial" w:cs="Arial"/>
          <w:b/>
          <w:smallCaps/>
          <w:lang w:val="es-ES"/>
        </w:rPr>
        <w:t>Programa de Apoyo a la Consolidación Fiscal</w:t>
      </w:r>
    </w:p>
    <w:p w:rsidR="004C7BB2" w:rsidRPr="002E1AE0" w:rsidRDefault="004C7BB2" w:rsidP="004C7BB2">
      <w:pPr>
        <w:spacing w:before="120" w:after="120" w:line="240" w:lineRule="auto"/>
        <w:jc w:val="center"/>
        <w:rPr>
          <w:rFonts w:ascii="Arial" w:hAnsi="Arial" w:cs="Arial"/>
          <w:b/>
        </w:rPr>
      </w:pPr>
      <w:r w:rsidRPr="002E1AE0">
        <w:rPr>
          <w:rFonts w:ascii="Arial" w:hAnsi="Arial" w:cs="Arial"/>
          <w:b/>
        </w:rPr>
        <w:t>HO-L110</w:t>
      </w:r>
      <w:r w:rsidR="00DE322D" w:rsidRPr="002E1AE0">
        <w:rPr>
          <w:rFonts w:ascii="Arial" w:hAnsi="Arial" w:cs="Arial"/>
          <w:b/>
        </w:rPr>
        <w:t>3</w:t>
      </w:r>
    </w:p>
    <w:p w:rsidR="004C7BB2" w:rsidRPr="002E1AE0" w:rsidRDefault="004C7BB2" w:rsidP="004C7BB2">
      <w:pPr>
        <w:tabs>
          <w:tab w:val="left" w:pos="5336"/>
        </w:tabs>
        <w:spacing w:before="120" w:after="120" w:line="240" w:lineRule="auto"/>
        <w:rPr>
          <w:rFonts w:ascii="Arial" w:hAnsi="Arial" w:cs="Arial"/>
          <w:b/>
        </w:rPr>
      </w:pPr>
      <w:r w:rsidRPr="002E1AE0">
        <w:rPr>
          <w:rFonts w:ascii="Arial" w:hAnsi="Arial" w:cs="Arial"/>
          <w:b/>
        </w:rPr>
        <w:tab/>
      </w:r>
    </w:p>
    <w:p w:rsidR="004C7BB2" w:rsidRPr="002E1AE0" w:rsidRDefault="004C7BB2" w:rsidP="004C7BB2">
      <w:pPr>
        <w:tabs>
          <w:tab w:val="left" w:pos="5336"/>
        </w:tabs>
        <w:spacing w:before="120" w:after="120" w:line="240" w:lineRule="auto"/>
        <w:rPr>
          <w:rFonts w:ascii="Arial" w:hAnsi="Arial" w:cs="Arial"/>
          <w:b/>
        </w:rPr>
      </w:pPr>
    </w:p>
    <w:p w:rsidR="004C7BB2" w:rsidRPr="002E1AE0" w:rsidRDefault="004C7BB2" w:rsidP="004C7BB2">
      <w:pPr>
        <w:tabs>
          <w:tab w:val="left" w:pos="5336"/>
        </w:tabs>
        <w:spacing w:before="120" w:after="120" w:line="240" w:lineRule="auto"/>
        <w:rPr>
          <w:rFonts w:ascii="Arial" w:hAnsi="Arial" w:cs="Arial"/>
          <w:b/>
        </w:rPr>
      </w:pPr>
    </w:p>
    <w:p w:rsidR="004C7BB2" w:rsidRPr="002E1AE0" w:rsidRDefault="004C7BB2" w:rsidP="004C7BB2">
      <w:pPr>
        <w:tabs>
          <w:tab w:val="left" w:pos="1440"/>
          <w:tab w:val="left" w:pos="3060"/>
        </w:tabs>
        <w:spacing w:before="120" w:after="120" w:line="240" w:lineRule="auto"/>
        <w:jc w:val="center"/>
        <w:rPr>
          <w:rFonts w:ascii="Arial" w:hAnsi="Arial" w:cs="Arial"/>
          <w:b/>
          <w:smallCaps/>
        </w:rPr>
      </w:pPr>
      <w:r w:rsidRPr="002E1AE0">
        <w:rPr>
          <w:rFonts w:ascii="Arial" w:hAnsi="Arial" w:cs="Arial"/>
          <w:b/>
          <w:caps/>
        </w:rPr>
        <w:t>Evaluación Económica</w:t>
      </w:r>
      <w:r w:rsidR="003D6FED">
        <w:rPr>
          <w:rFonts w:ascii="Arial" w:hAnsi="Arial" w:cs="Arial"/>
          <w:b/>
          <w:caps/>
        </w:rPr>
        <w:t xml:space="preserve"> </w:t>
      </w: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Default="004C7BB2" w:rsidP="004C7BB2">
      <w:pPr>
        <w:spacing w:before="120" w:after="120" w:line="240" w:lineRule="auto"/>
        <w:rPr>
          <w:rFonts w:ascii="Arial" w:hAnsi="Arial" w:cs="Arial"/>
        </w:rPr>
      </w:pPr>
    </w:p>
    <w:p w:rsidR="00A94852" w:rsidRDefault="00A94852" w:rsidP="004C7BB2">
      <w:pPr>
        <w:spacing w:before="120" w:after="120" w:line="240" w:lineRule="auto"/>
        <w:rPr>
          <w:rFonts w:ascii="Arial" w:hAnsi="Arial" w:cs="Arial"/>
        </w:rPr>
      </w:pPr>
    </w:p>
    <w:p w:rsidR="00A94852" w:rsidRDefault="00A94852" w:rsidP="004C7BB2">
      <w:pPr>
        <w:spacing w:before="120" w:after="120" w:line="240" w:lineRule="auto"/>
        <w:rPr>
          <w:rFonts w:ascii="Arial" w:hAnsi="Arial" w:cs="Arial"/>
        </w:rPr>
      </w:pPr>
    </w:p>
    <w:p w:rsidR="00A94852" w:rsidRPr="002E1AE0" w:rsidRDefault="00A9485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p w:rsidR="004C7BB2" w:rsidRPr="002E1AE0" w:rsidRDefault="004C7BB2" w:rsidP="004C7BB2">
      <w:pPr>
        <w:spacing w:before="120" w:after="120" w:line="240" w:lineRule="auto"/>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4C7BB2" w:rsidRPr="002E1AE0" w:rsidTr="00932EEF">
        <w:tc>
          <w:tcPr>
            <w:tcW w:w="5000" w:type="pct"/>
            <w:hideMark/>
          </w:tcPr>
          <w:p w:rsidR="004C7BB2" w:rsidRPr="002E1AE0" w:rsidRDefault="004C7BB2" w:rsidP="00932EEF">
            <w:pPr>
              <w:pStyle w:val="NoSpacing"/>
              <w:spacing w:before="120" w:after="120"/>
              <w:jc w:val="both"/>
              <w:rPr>
                <w:rFonts w:ascii="Arial" w:hAnsi="Arial" w:cs="Arial"/>
                <w:color w:val="000000"/>
                <w:lang w:val="es-ES_tradnl"/>
              </w:rPr>
            </w:pPr>
            <w:r w:rsidRPr="002E1AE0">
              <w:rPr>
                <w:rFonts w:ascii="Arial" w:hAnsi="Arial" w:cs="Arial"/>
                <w:color w:val="000000"/>
                <w:lang w:val="es-ES_tradnl"/>
              </w:rPr>
              <w:br/>
            </w:r>
          </w:p>
        </w:tc>
      </w:tr>
    </w:tbl>
    <w:tbl>
      <w:tblPr>
        <w:tblStyle w:val="TableGrid"/>
        <w:tblW w:w="0" w:type="auto"/>
        <w:tblInd w:w="468" w:type="dxa"/>
        <w:tblLook w:val="04A0" w:firstRow="1" w:lastRow="0" w:firstColumn="1" w:lastColumn="0" w:noHBand="0" w:noVBand="1"/>
      </w:tblPr>
      <w:tblGrid>
        <w:gridCol w:w="8388"/>
      </w:tblGrid>
      <w:tr w:rsidR="004C7BB2" w:rsidRPr="002E1AE0" w:rsidTr="00932EEF">
        <w:tc>
          <w:tcPr>
            <w:tcW w:w="8630" w:type="dxa"/>
            <w:tcBorders>
              <w:top w:val="single" w:sz="4" w:space="0" w:color="auto"/>
              <w:left w:val="single" w:sz="4" w:space="0" w:color="auto"/>
              <w:bottom w:val="single" w:sz="4" w:space="0" w:color="auto"/>
              <w:right w:val="single" w:sz="4" w:space="0" w:color="auto"/>
            </w:tcBorders>
            <w:hideMark/>
          </w:tcPr>
          <w:p w:rsidR="004C7BB2" w:rsidRPr="002E1AE0" w:rsidRDefault="004C7BB2" w:rsidP="00B650EA">
            <w:pPr>
              <w:spacing w:before="120" w:after="120"/>
              <w:jc w:val="both"/>
              <w:rPr>
                <w:rFonts w:ascii="Arial" w:hAnsi="Arial" w:cs="Arial"/>
                <w:color w:val="000000"/>
              </w:rPr>
            </w:pPr>
            <w:r w:rsidRPr="002E1AE0">
              <w:rPr>
                <w:rFonts w:ascii="Arial" w:hAnsi="Arial" w:cs="Arial"/>
                <w:color w:val="000000"/>
              </w:rPr>
              <w:t>Este documento fue preparado por Marcio Cracel y Ana Calvo (Consultores)</w:t>
            </w:r>
            <w:r w:rsidR="00F27904" w:rsidRPr="002E1AE0">
              <w:rPr>
                <w:rFonts w:ascii="Arial" w:hAnsi="Arial" w:cs="Arial"/>
                <w:color w:val="000000"/>
              </w:rPr>
              <w:t>.</w:t>
            </w:r>
            <w:r w:rsidRPr="002E1AE0">
              <w:rPr>
                <w:rFonts w:ascii="Arial" w:hAnsi="Arial" w:cs="Arial"/>
                <w:color w:val="000000"/>
              </w:rPr>
              <w:t xml:space="preserve"> </w:t>
            </w:r>
          </w:p>
        </w:tc>
      </w:tr>
    </w:tbl>
    <w:p w:rsidR="004C7BB2" w:rsidRPr="002E1AE0" w:rsidRDefault="004C7BB2">
      <w:pPr>
        <w:rPr>
          <w:rFonts w:ascii="Arial" w:hAnsi="Arial" w:cs="Arial"/>
          <w:b/>
          <w:smallCaps/>
        </w:rPr>
      </w:pPr>
    </w:p>
    <w:p w:rsidR="004C7BB2" w:rsidRPr="00662565" w:rsidRDefault="004C7BB2" w:rsidP="002B0DD4">
      <w:pPr>
        <w:pStyle w:val="Chapter"/>
        <w:rPr>
          <w:rFonts w:ascii="Arial" w:hAnsi="Arial" w:cs="Arial"/>
        </w:rPr>
      </w:pPr>
      <w:r w:rsidRPr="00662565">
        <w:rPr>
          <w:rFonts w:ascii="Arial" w:hAnsi="Arial" w:cs="Arial"/>
        </w:rPr>
        <w:t>RESUMEN EJECUTIVO</w:t>
      </w:r>
    </w:p>
    <w:p w:rsidR="004C7BB2" w:rsidRPr="002E1AE0" w:rsidRDefault="004C7BB2" w:rsidP="007E0A7D">
      <w:pPr>
        <w:pStyle w:val="Paragraph"/>
        <w:numPr>
          <w:ilvl w:val="1"/>
          <w:numId w:val="2"/>
        </w:numPr>
        <w:tabs>
          <w:tab w:val="num" w:pos="720"/>
        </w:tabs>
        <w:ind w:left="720" w:hanging="720"/>
        <w:rPr>
          <w:rFonts w:ascii="Arial" w:hAnsi="Arial" w:cs="Arial"/>
          <w:sz w:val="22"/>
          <w:szCs w:val="22"/>
          <w:lang w:val="es-ES_tradnl"/>
        </w:rPr>
      </w:pPr>
      <w:r w:rsidRPr="002E1AE0">
        <w:rPr>
          <w:rFonts w:ascii="Arial" w:hAnsi="Arial" w:cs="Arial"/>
          <w:sz w:val="22"/>
          <w:szCs w:val="22"/>
          <w:lang w:val="es-ES_tradnl"/>
        </w:rPr>
        <w:t xml:space="preserve">El objetivo de este estudio es demonstrar el beneficio económico/financiero generado a partir de un conjunto de acciones </w:t>
      </w:r>
      <w:r w:rsidR="00DE322D" w:rsidRPr="002E1AE0">
        <w:rPr>
          <w:rFonts w:ascii="Arial" w:hAnsi="Arial" w:cs="Arial"/>
          <w:sz w:val="22"/>
          <w:szCs w:val="22"/>
          <w:lang w:val="es-ES_tradnl"/>
        </w:rPr>
        <w:t xml:space="preserve">de política </w:t>
      </w:r>
      <w:r w:rsidRPr="002E1AE0">
        <w:rPr>
          <w:rFonts w:ascii="Arial" w:hAnsi="Arial" w:cs="Arial"/>
          <w:sz w:val="22"/>
          <w:szCs w:val="22"/>
          <w:lang w:val="es-ES_tradnl"/>
        </w:rPr>
        <w:t xml:space="preserve">que promuevan </w:t>
      </w:r>
      <w:r w:rsidR="00DE322D" w:rsidRPr="002E1AE0">
        <w:rPr>
          <w:rFonts w:ascii="Arial" w:hAnsi="Arial" w:cs="Arial"/>
          <w:sz w:val="22"/>
          <w:szCs w:val="22"/>
          <w:lang w:val="es-ES_tradnl"/>
        </w:rPr>
        <w:t>el equilibrio y sostenibilidad de la</w:t>
      </w:r>
      <w:r w:rsidR="00996BE0" w:rsidRPr="002E1AE0">
        <w:rPr>
          <w:rFonts w:ascii="Arial" w:hAnsi="Arial" w:cs="Arial"/>
          <w:sz w:val="22"/>
          <w:szCs w:val="22"/>
          <w:lang w:val="es-ES_tradnl"/>
        </w:rPr>
        <w:t>s</w:t>
      </w:r>
      <w:r w:rsidR="00DE322D" w:rsidRPr="002E1AE0">
        <w:rPr>
          <w:rFonts w:ascii="Arial" w:hAnsi="Arial" w:cs="Arial"/>
          <w:sz w:val="22"/>
          <w:szCs w:val="22"/>
          <w:lang w:val="es-ES_tradnl"/>
        </w:rPr>
        <w:t xml:space="preserve"> finanzas públicas del </w:t>
      </w:r>
      <w:r w:rsidR="00996BE0" w:rsidRPr="002E1AE0">
        <w:rPr>
          <w:rFonts w:ascii="Arial" w:hAnsi="Arial" w:cs="Arial"/>
          <w:sz w:val="22"/>
          <w:szCs w:val="22"/>
          <w:lang w:val="es-ES_tradnl"/>
        </w:rPr>
        <w:t>G</w:t>
      </w:r>
      <w:r w:rsidRPr="002E1AE0">
        <w:rPr>
          <w:rFonts w:ascii="Arial" w:hAnsi="Arial" w:cs="Arial"/>
          <w:sz w:val="22"/>
          <w:szCs w:val="22"/>
          <w:lang w:val="es-ES_tradnl"/>
        </w:rPr>
        <w:t xml:space="preserve">obierno de Honduras. </w:t>
      </w:r>
    </w:p>
    <w:tbl>
      <w:tblPr>
        <w:tblStyle w:val="TableGrid"/>
        <w:tblW w:w="0" w:type="auto"/>
        <w:tblInd w:w="720" w:type="dxa"/>
        <w:tblLook w:val="04A0" w:firstRow="1" w:lastRow="0" w:firstColumn="1" w:lastColumn="0" w:noHBand="0" w:noVBand="1"/>
      </w:tblPr>
      <w:tblGrid>
        <w:gridCol w:w="8136"/>
      </w:tblGrid>
      <w:tr w:rsidR="00DE322D" w:rsidRPr="002E1AE0" w:rsidTr="00996BE0">
        <w:tc>
          <w:tcPr>
            <w:tcW w:w="8630" w:type="dxa"/>
          </w:tcPr>
          <w:p w:rsidR="00DE322D" w:rsidRPr="002E1AE0" w:rsidRDefault="00DE322D" w:rsidP="0056268B">
            <w:pPr>
              <w:pStyle w:val="Paragraph"/>
              <w:numPr>
                <w:ilvl w:val="0"/>
                <w:numId w:val="0"/>
              </w:numPr>
              <w:tabs>
                <w:tab w:val="num" w:pos="1800"/>
              </w:tabs>
              <w:rPr>
                <w:rFonts w:ascii="Arial" w:hAnsi="Arial" w:cs="Arial"/>
                <w:sz w:val="22"/>
                <w:szCs w:val="22"/>
                <w:lang w:val="es-ES_tradnl"/>
              </w:rPr>
            </w:pPr>
            <w:r w:rsidRPr="002E1AE0">
              <w:rPr>
                <w:rFonts w:ascii="Arial" w:hAnsi="Arial" w:cs="Arial"/>
                <w:b/>
                <w:sz w:val="22"/>
                <w:szCs w:val="22"/>
                <w:lang w:val="es-ES_tradnl"/>
              </w:rPr>
              <w:t>Supuesto 1 Implantación de la Factura Electrónica</w:t>
            </w:r>
            <w:bookmarkStart w:id="0" w:name="_GoBack"/>
            <w:bookmarkEnd w:id="0"/>
            <w:r w:rsidRPr="002E1AE0">
              <w:rPr>
                <w:rFonts w:ascii="Arial" w:hAnsi="Arial" w:cs="Arial"/>
                <w:b/>
                <w:sz w:val="22"/>
                <w:szCs w:val="22"/>
                <w:lang w:val="es-ES_tradnl"/>
              </w:rPr>
              <w:t xml:space="preserve"> -</w:t>
            </w:r>
            <w:r w:rsidRPr="002E1AE0">
              <w:rPr>
                <w:rFonts w:ascii="Arial" w:hAnsi="Arial" w:cs="Arial"/>
                <w:sz w:val="22"/>
                <w:szCs w:val="22"/>
                <w:lang w:val="es-ES_tradnl"/>
              </w:rPr>
              <w:t xml:space="preserve"> Por medio del establecimiento de las bases normativas para la implementación del uso de la factura electrónica se genera un control más efectivo del Impuesto sobre las Ventas (ISV), reduciendo la evasión fiscal y generando un beneficio financiero al Estado Hondureño </w:t>
            </w:r>
            <w:r w:rsidR="0056268B" w:rsidRPr="002E1AE0">
              <w:rPr>
                <w:rFonts w:ascii="Arial" w:hAnsi="Arial" w:cs="Arial"/>
                <w:sz w:val="22"/>
                <w:szCs w:val="22"/>
                <w:lang w:val="es-ES_tradnl"/>
              </w:rPr>
              <w:t xml:space="preserve">consecuencia del </w:t>
            </w:r>
            <w:r w:rsidRPr="002E1AE0">
              <w:rPr>
                <w:rFonts w:ascii="Arial" w:hAnsi="Arial" w:cs="Arial"/>
                <w:sz w:val="22"/>
                <w:szCs w:val="22"/>
                <w:lang w:val="es-ES_tradnl"/>
              </w:rPr>
              <w:t>aumento de la recaudación del ISV.</w:t>
            </w:r>
          </w:p>
        </w:tc>
      </w:tr>
      <w:tr w:rsidR="00DE322D" w:rsidRPr="002E1AE0" w:rsidTr="00996BE0">
        <w:tc>
          <w:tcPr>
            <w:tcW w:w="8630" w:type="dxa"/>
          </w:tcPr>
          <w:p w:rsidR="00DE322D" w:rsidRPr="002E1AE0" w:rsidRDefault="00DE322D" w:rsidP="00A94852">
            <w:pPr>
              <w:pStyle w:val="Paragraph"/>
              <w:numPr>
                <w:ilvl w:val="0"/>
                <w:numId w:val="0"/>
              </w:numPr>
              <w:tabs>
                <w:tab w:val="num" w:pos="1800"/>
              </w:tabs>
              <w:rPr>
                <w:rFonts w:ascii="Arial" w:hAnsi="Arial" w:cs="Arial"/>
                <w:sz w:val="22"/>
                <w:szCs w:val="22"/>
                <w:lang w:val="es-ES_tradnl"/>
              </w:rPr>
            </w:pPr>
            <w:r w:rsidRPr="002E1AE0">
              <w:rPr>
                <w:rFonts w:ascii="Arial" w:hAnsi="Arial" w:cs="Arial"/>
                <w:b/>
                <w:sz w:val="22"/>
                <w:szCs w:val="22"/>
                <w:lang w:val="es-ES_tradnl"/>
              </w:rPr>
              <w:t>Supuesto 2  Modernización de las Compras Pública</w:t>
            </w:r>
            <w:r w:rsidR="00EA40F8" w:rsidRPr="002E1AE0">
              <w:rPr>
                <w:rFonts w:ascii="Arial" w:hAnsi="Arial" w:cs="Arial"/>
                <w:b/>
                <w:sz w:val="22"/>
                <w:szCs w:val="22"/>
                <w:lang w:val="es-ES_tradnl"/>
              </w:rPr>
              <w:t>s</w:t>
            </w:r>
            <w:r w:rsidRPr="002E1AE0">
              <w:rPr>
                <w:rFonts w:ascii="Arial" w:hAnsi="Arial" w:cs="Arial"/>
                <w:sz w:val="22"/>
                <w:szCs w:val="22"/>
                <w:lang w:val="es-ES_tradnl"/>
              </w:rPr>
              <w:t xml:space="preserve"> - </w:t>
            </w:r>
            <w:r w:rsidR="00600631" w:rsidRPr="002E1AE0">
              <w:rPr>
                <w:rFonts w:ascii="Arial" w:hAnsi="Arial" w:cs="Arial"/>
                <w:sz w:val="22"/>
                <w:szCs w:val="22"/>
              </w:rPr>
              <w:t>Con la expansión del uso de Convenios Marco y de Catálogos Electrónicos para la realización de las compras del Gobierno de Honduras, se genera un</w:t>
            </w:r>
            <w:r w:rsidR="00A94852">
              <w:rPr>
                <w:rFonts w:ascii="Arial" w:hAnsi="Arial" w:cs="Arial"/>
                <w:sz w:val="22"/>
                <w:szCs w:val="22"/>
              </w:rPr>
              <w:t xml:space="preserve"> ahorro en</w:t>
            </w:r>
            <w:r w:rsidR="00600631" w:rsidRPr="002E1AE0">
              <w:rPr>
                <w:rFonts w:ascii="Arial" w:hAnsi="Arial" w:cs="Arial"/>
                <w:sz w:val="22"/>
                <w:szCs w:val="22"/>
              </w:rPr>
              <w:t xml:space="preserve"> recursos, resultado de la estandarización de los precios de los ítems del presupuesto de suministros (bienes y servicios), el cual garantiza que todas las instituciones del Gobierno Central realicen adquisiciones de productos y servicios cuyos precios de mercado </w:t>
            </w:r>
            <w:r w:rsidR="00A94852">
              <w:rPr>
                <w:rFonts w:ascii="Arial" w:hAnsi="Arial" w:cs="Arial"/>
                <w:sz w:val="22"/>
                <w:szCs w:val="22"/>
              </w:rPr>
              <w:t>hayan sido</w:t>
            </w:r>
            <w:r w:rsidR="00600631" w:rsidRPr="002E1AE0">
              <w:rPr>
                <w:rFonts w:ascii="Arial" w:hAnsi="Arial" w:cs="Arial"/>
                <w:sz w:val="22"/>
                <w:szCs w:val="22"/>
              </w:rPr>
              <w:t xml:space="preserve"> previamente identificados por la Oficina Normativa de Contratación y Adquisiciones del Estado (ONCAE).</w:t>
            </w:r>
          </w:p>
        </w:tc>
      </w:tr>
      <w:tr w:rsidR="00DE322D" w:rsidRPr="002E1AE0" w:rsidTr="00996BE0">
        <w:tc>
          <w:tcPr>
            <w:tcW w:w="8630" w:type="dxa"/>
          </w:tcPr>
          <w:p w:rsidR="00DE322D" w:rsidRPr="002E1AE0" w:rsidRDefault="00DE322D" w:rsidP="00600631">
            <w:pPr>
              <w:pStyle w:val="Paragraph"/>
              <w:numPr>
                <w:ilvl w:val="0"/>
                <w:numId w:val="0"/>
              </w:numPr>
              <w:tabs>
                <w:tab w:val="num" w:pos="1800"/>
              </w:tabs>
              <w:rPr>
                <w:rFonts w:ascii="Arial" w:hAnsi="Arial" w:cs="Arial"/>
                <w:sz w:val="22"/>
                <w:szCs w:val="22"/>
                <w:lang w:val="es-ES_tradnl"/>
              </w:rPr>
            </w:pPr>
            <w:r w:rsidRPr="002E1AE0">
              <w:rPr>
                <w:rFonts w:ascii="Arial" w:hAnsi="Arial" w:cs="Arial"/>
                <w:b/>
                <w:sz w:val="22"/>
                <w:szCs w:val="22"/>
                <w:lang w:val="es-ES_tradnl"/>
              </w:rPr>
              <w:t>Supuesto 3 Optimiza</w:t>
            </w:r>
            <w:r w:rsidR="00FD683F" w:rsidRPr="002E1AE0">
              <w:rPr>
                <w:rFonts w:ascii="Arial" w:hAnsi="Arial" w:cs="Arial"/>
                <w:b/>
                <w:sz w:val="22"/>
                <w:szCs w:val="22"/>
                <w:lang w:val="es-ES_tradnl"/>
              </w:rPr>
              <w:t>ción de la Nómina del Gobierno C</w:t>
            </w:r>
            <w:r w:rsidRPr="002E1AE0">
              <w:rPr>
                <w:rFonts w:ascii="Arial" w:hAnsi="Arial" w:cs="Arial"/>
                <w:b/>
                <w:sz w:val="22"/>
                <w:szCs w:val="22"/>
                <w:lang w:val="es-ES_tradnl"/>
              </w:rPr>
              <w:t>entral</w:t>
            </w:r>
            <w:r w:rsidRPr="002E1AE0">
              <w:rPr>
                <w:rFonts w:ascii="Arial" w:hAnsi="Arial" w:cs="Arial"/>
                <w:sz w:val="22"/>
                <w:szCs w:val="22"/>
                <w:lang w:val="es-ES_tradnl"/>
              </w:rPr>
              <w:t xml:space="preserve"> - Con la implementación del plan de acción de las auditorias de nómina realizada</w:t>
            </w:r>
            <w:r w:rsidR="00921B05" w:rsidRPr="002E1AE0">
              <w:rPr>
                <w:rFonts w:ascii="Arial" w:hAnsi="Arial" w:cs="Arial"/>
                <w:sz w:val="22"/>
                <w:szCs w:val="22"/>
                <w:lang w:val="es-ES_tradnl"/>
              </w:rPr>
              <w:t>s</w:t>
            </w:r>
            <w:r w:rsidRPr="002E1AE0">
              <w:rPr>
                <w:rFonts w:ascii="Arial" w:hAnsi="Arial" w:cs="Arial"/>
                <w:sz w:val="22"/>
                <w:szCs w:val="22"/>
                <w:lang w:val="es-ES_tradnl"/>
              </w:rPr>
              <w:t xml:space="preserve"> a las cinco instituciones que abarcan el mayor presupuesto de sueldos y salarios del estado de Honduras se generar</w:t>
            </w:r>
            <w:r w:rsidR="00921B05" w:rsidRPr="002E1AE0">
              <w:rPr>
                <w:rFonts w:ascii="Arial" w:hAnsi="Arial" w:cs="Arial"/>
                <w:sz w:val="22"/>
                <w:szCs w:val="22"/>
                <w:lang w:val="es-ES_tradnl"/>
              </w:rPr>
              <w:t>á</w:t>
            </w:r>
            <w:r w:rsidR="00600631" w:rsidRPr="002E1AE0">
              <w:rPr>
                <w:rFonts w:ascii="Arial" w:hAnsi="Arial" w:cs="Arial"/>
                <w:sz w:val="22"/>
                <w:szCs w:val="22"/>
                <w:lang w:val="es-ES_tradnl"/>
              </w:rPr>
              <w:t xml:space="preserve"> un beneficio financiero, </w:t>
            </w:r>
            <w:r w:rsidRPr="002E1AE0">
              <w:rPr>
                <w:rFonts w:ascii="Arial" w:hAnsi="Arial" w:cs="Arial"/>
                <w:sz w:val="22"/>
                <w:szCs w:val="22"/>
                <w:lang w:val="es-ES_tradnl"/>
              </w:rPr>
              <w:t>resulta</w:t>
            </w:r>
            <w:r w:rsidR="00600631" w:rsidRPr="002E1AE0">
              <w:rPr>
                <w:rFonts w:ascii="Arial" w:hAnsi="Arial" w:cs="Arial"/>
                <w:sz w:val="22"/>
                <w:szCs w:val="22"/>
                <w:lang w:val="es-ES_tradnl"/>
              </w:rPr>
              <w:t xml:space="preserve">nte </w:t>
            </w:r>
            <w:r w:rsidRPr="002E1AE0">
              <w:rPr>
                <w:rFonts w:ascii="Arial" w:hAnsi="Arial" w:cs="Arial"/>
                <w:sz w:val="22"/>
                <w:szCs w:val="22"/>
                <w:lang w:val="es-ES_tradnl"/>
              </w:rPr>
              <w:t xml:space="preserve">de la disminución de la masa salarial proveniente de la eliminación de </w:t>
            </w:r>
            <w:r w:rsidR="005B5441" w:rsidRPr="002E1AE0">
              <w:rPr>
                <w:rFonts w:ascii="Arial" w:hAnsi="Arial" w:cs="Arial"/>
                <w:sz w:val="22"/>
                <w:szCs w:val="22"/>
                <w:lang w:val="es-ES_tradnl"/>
              </w:rPr>
              <w:t>funcionarios</w:t>
            </w:r>
            <w:r w:rsidR="00921B05" w:rsidRPr="002E1AE0">
              <w:rPr>
                <w:rFonts w:ascii="Arial" w:hAnsi="Arial" w:cs="Arial"/>
                <w:sz w:val="22"/>
                <w:szCs w:val="22"/>
                <w:lang w:val="es-ES_tradnl"/>
              </w:rPr>
              <w:t xml:space="preserve"> </w:t>
            </w:r>
            <w:r w:rsidRPr="002E1AE0">
              <w:rPr>
                <w:rFonts w:ascii="Arial" w:hAnsi="Arial" w:cs="Arial"/>
                <w:sz w:val="22"/>
                <w:szCs w:val="22"/>
                <w:lang w:val="es-ES_tradnl"/>
              </w:rPr>
              <w:t>fantasma y funcionarios sin asignación específica</w:t>
            </w:r>
            <w:r w:rsidR="00921B05" w:rsidRPr="002E1AE0">
              <w:rPr>
                <w:rFonts w:ascii="Arial" w:hAnsi="Arial" w:cs="Arial"/>
                <w:sz w:val="22"/>
                <w:szCs w:val="22"/>
                <w:lang w:val="es-ES_tradnl"/>
              </w:rPr>
              <w:t>.</w:t>
            </w:r>
          </w:p>
        </w:tc>
      </w:tr>
    </w:tbl>
    <w:p w:rsidR="002B0DD4" w:rsidRPr="002E1AE0" w:rsidRDefault="00996BE0" w:rsidP="007E0A7D">
      <w:pPr>
        <w:pStyle w:val="Paragraph"/>
        <w:numPr>
          <w:ilvl w:val="1"/>
          <w:numId w:val="2"/>
        </w:numPr>
        <w:tabs>
          <w:tab w:val="num" w:pos="720"/>
        </w:tabs>
        <w:ind w:left="720" w:hanging="720"/>
        <w:rPr>
          <w:rFonts w:ascii="Arial" w:hAnsi="Arial" w:cs="Arial"/>
          <w:sz w:val="22"/>
          <w:szCs w:val="22"/>
          <w:lang w:val="es-ES_tradnl"/>
        </w:rPr>
      </w:pPr>
      <w:r w:rsidRPr="002E1AE0">
        <w:rPr>
          <w:rFonts w:ascii="Arial" w:hAnsi="Arial" w:cs="Arial"/>
          <w:sz w:val="22"/>
          <w:szCs w:val="22"/>
          <w:lang w:val="es-ES_tradnl"/>
        </w:rPr>
        <w:t>Se realizó un análisis comparativo entre los costos y beneficios económicos/financieros del programa. El análisis consideró: (i) el aumento real de la recaudación del ISV como resultado de la implantación grad</w:t>
      </w:r>
      <w:r w:rsidR="00070AC8" w:rsidRPr="002E1AE0">
        <w:rPr>
          <w:rFonts w:ascii="Arial" w:hAnsi="Arial" w:cs="Arial"/>
          <w:sz w:val="22"/>
          <w:szCs w:val="22"/>
          <w:lang w:val="es-ES_tradnl"/>
        </w:rPr>
        <w:t xml:space="preserve">ual de la factura electrónica, </w:t>
      </w:r>
      <w:r w:rsidRPr="002E1AE0">
        <w:rPr>
          <w:rFonts w:ascii="Arial" w:hAnsi="Arial" w:cs="Arial"/>
          <w:sz w:val="22"/>
          <w:szCs w:val="22"/>
          <w:lang w:val="es-ES_tradnl"/>
        </w:rPr>
        <w:t>l</w:t>
      </w:r>
      <w:r w:rsidR="00070AC8" w:rsidRPr="002E1AE0">
        <w:rPr>
          <w:rFonts w:ascii="Arial" w:hAnsi="Arial" w:cs="Arial"/>
          <w:sz w:val="22"/>
          <w:szCs w:val="22"/>
          <w:lang w:val="es-ES_tradnl"/>
        </w:rPr>
        <w:t>a</w:t>
      </w:r>
      <w:r w:rsidRPr="002E1AE0">
        <w:rPr>
          <w:rFonts w:ascii="Arial" w:hAnsi="Arial" w:cs="Arial"/>
          <w:sz w:val="22"/>
          <w:szCs w:val="22"/>
          <w:lang w:val="es-ES_tradnl"/>
        </w:rPr>
        <w:t xml:space="preserve"> cual disminuirá las irregularidades en el uso de facturas;  (ii) la economía de recursos proveniente de la auditoría y optimización del registro de la nómina del Gobierno Central, con la eliminación definitiva de funcionarios fantasma y sin funciones específicas; y (iii) la economía de recursos como resultado de la utilización de la modalidad de convenios marco y catálogos electrónicos para la realización de la compras públicas, l</w:t>
      </w:r>
      <w:r w:rsidR="005B5441" w:rsidRPr="002E1AE0">
        <w:rPr>
          <w:rFonts w:ascii="Arial" w:hAnsi="Arial" w:cs="Arial"/>
          <w:sz w:val="22"/>
          <w:szCs w:val="22"/>
          <w:lang w:val="es-ES_tradnl"/>
        </w:rPr>
        <w:t>a</w:t>
      </w:r>
      <w:r w:rsidRPr="002E1AE0">
        <w:rPr>
          <w:rFonts w:ascii="Arial" w:hAnsi="Arial" w:cs="Arial"/>
          <w:sz w:val="22"/>
          <w:szCs w:val="22"/>
          <w:lang w:val="es-ES_tradnl"/>
        </w:rPr>
        <w:t xml:space="preserve"> cual posibilitará </w:t>
      </w:r>
      <w:r w:rsidR="005B5441" w:rsidRPr="002E1AE0">
        <w:rPr>
          <w:rFonts w:ascii="Arial" w:hAnsi="Arial" w:cs="Arial"/>
          <w:sz w:val="22"/>
          <w:szCs w:val="22"/>
          <w:lang w:val="es-ES_tradnl"/>
        </w:rPr>
        <w:t xml:space="preserve">una </w:t>
      </w:r>
      <w:r w:rsidRPr="002E1AE0">
        <w:rPr>
          <w:rFonts w:ascii="Arial" w:hAnsi="Arial" w:cs="Arial"/>
          <w:sz w:val="22"/>
          <w:szCs w:val="22"/>
          <w:lang w:val="es-ES_tradnl"/>
        </w:rPr>
        <w:t>mejor planificación y estandarización de precios para las entidades del Gobierno Central</w:t>
      </w:r>
      <w:r w:rsidR="002B0DD4" w:rsidRPr="002E1AE0">
        <w:rPr>
          <w:rFonts w:ascii="Arial" w:hAnsi="Arial" w:cs="Arial"/>
          <w:sz w:val="22"/>
          <w:szCs w:val="22"/>
          <w:lang w:val="es-ES_tradnl"/>
        </w:rPr>
        <w:t xml:space="preserve">. </w:t>
      </w:r>
    </w:p>
    <w:p w:rsidR="002B0DD4" w:rsidRPr="002E1AE0" w:rsidRDefault="00996BE0" w:rsidP="007E0A7D">
      <w:pPr>
        <w:pStyle w:val="Paragraph"/>
        <w:numPr>
          <w:ilvl w:val="1"/>
          <w:numId w:val="2"/>
        </w:numPr>
        <w:tabs>
          <w:tab w:val="num" w:pos="720"/>
        </w:tabs>
        <w:ind w:left="720" w:hanging="720"/>
        <w:rPr>
          <w:rFonts w:ascii="Arial" w:hAnsi="Arial" w:cs="Arial"/>
          <w:sz w:val="22"/>
          <w:szCs w:val="22"/>
        </w:rPr>
      </w:pPr>
      <w:r w:rsidRPr="002E1AE0">
        <w:rPr>
          <w:rFonts w:ascii="Arial" w:hAnsi="Arial" w:cs="Arial"/>
          <w:sz w:val="22"/>
          <w:szCs w:val="22"/>
        </w:rPr>
        <w:t xml:space="preserve">Como se trata de un programa de políticas, para efecto de cálculo del beneficio, se consideraron </w:t>
      </w:r>
      <w:r w:rsidRPr="002E1AE0">
        <w:rPr>
          <w:rFonts w:ascii="Arial" w:hAnsi="Arial" w:cs="Arial"/>
          <w:sz w:val="22"/>
          <w:szCs w:val="22"/>
          <w:lang w:val="es-ES_tradnl"/>
        </w:rPr>
        <w:t>inversiones</w:t>
      </w:r>
      <w:r w:rsidRPr="002E1AE0">
        <w:rPr>
          <w:rFonts w:ascii="Arial" w:hAnsi="Arial" w:cs="Arial"/>
          <w:sz w:val="22"/>
          <w:szCs w:val="22"/>
        </w:rPr>
        <w:t xml:space="preserve"> realizadas por el Gobierno de Hon</w:t>
      </w:r>
      <w:r w:rsidR="00070AC8" w:rsidRPr="002E1AE0">
        <w:rPr>
          <w:rFonts w:ascii="Arial" w:hAnsi="Arial" w:cs="Arial"/>
          <w:sz w:val="22"/>
          <w:szCs w:val="22"/>
        </w:rPr>
        <w:t>duras con recursos propios y pré</w:t>
      </w:r>
      <w:r w:rsidRPr="002E1AE0">
        <w:rPr>
          <w:rFonts w:ascii="Arial" w:hAnsi="Arial" w:cs="Arial"/>
          <w:sz w:val="22"/>
          <w:szCs w:val="22"/>
        </w:rPr>
        <w:t xml:space="preserve">stamos de inversión, relacionados con las tres medidas, los cuales </w:t>
      </w:r>
      <w:r w:rsidR="005B5441" w:rsidRPr="002E1AE0">
        <w:rPr>
          <w:rFonts w:ascii="Arial" w:hAnsi="Arial" w:cs="Arial"/>
          <w:sz w:val="22"/>
          <w:szCs w:val="22"/>
        </w:rPr>
        <w:t xml:space="preserve">ascendieron </w:t>
      </w:r>
      <w:r w:rsidR="00411B9F" w:rsidRPr="002E1AE0">
        <w:rPr>
          <w:rFonts w:ascii="Arial" w:hAnsi="Arial" w:cs="Arial"/>
          <w:sz w:val="22"/>
          <w:szCs w:val="22"/>
        </w:rPr>
        <w:t>a US</w:t>
      </w:r>
      <w:r w:rsidRPr="002E1AE0">
        <w:rPr>
          <w:rFonts w:ascii="Arial" w:hAnsi="Arial" w:cs="Arial"/>
          <w:sz w:val="22"/>
          <w:szCs w:val="22"/>
        </w:rPr>
        <w:t>$33,7 millones. Utilizando una tasa de descuento de 12%, en un periodo de 10 años, se estima que el proyecto generará una Tasa Interna de Retorno (TIR) de</w:t>
      </w:r>
      <w:r w:rsidR="001B4DB5" w:rsidRPr="002E1AE0">
        <w:rPr>
          <w:rFonts w:ascii="Arial" w:hAnsi="Arial" w:cs="Arial"/>
          <w:sz w:val="22"/>
          <w:szCs w:val="22"/>
        </w:rPr>
        <w:t>l</w:t>
      </w:r>
      <w:r w:rsidRPr="002E1AE0">
        <w:rPr>
          <w:rFonts w:ascii="Arial" w:hAnsi="Arial" w:cs="Arial"/>
          <w:sz w:val="22"/>
          <w:szCs w:val="22"/>
        </w:rPr>
        <w:t xml:space="preserve"> 51% al final de 2025, con un Valor Presente Neto (VPN) de US$44,6 millones. Las medidas consideradas son compatible con las metas acordadas entre el Gobierno de Honduras y el Fondo Monetario Internacional bajo el programa Stand-By.</w:t>
      </w:r>
    </w:p>
    <w:p w:rsidR="004C7BB2" w:rsidRPr="002E1AE0" w:rsidRDefault="004C7BB2" w:rsidP="007E0A7D">
      <w:pPr>
        <w:pStyle w:val="Paragraph"/>
        <w:numPr>
          <w:ilvl w:val="1"/>
          <w:numId w:val="2"/>
        </w:numPr>
        <w:tabs>
          <w:tab w:val="num" w:pos="720"/>
        </w:tabs>
        <w:ind w:left="720" w:hanging="720"/>
        <w:rPr>
          <w:rFonts w:ascii="Arial" w:hAnsi="Arial" w:cs="Arial"/>
          <w:sz w:val="22"/>
          <w:szCs w:val="22"/>
          <w:lang w:val="es-ES_tradnl"/>
        </w:rPr>
      </w:pPr>
      <w:r w:rsidRPr="002E1AE0">
        <w:rPr>
          <w:rFonts w:ascii="Arial" w:hAnsi="Arial" w:cs="Arial"/>
          <w:sz w:val="22"/>
          <w:szCs w:val="22"/>
          <w:lang w:val="es-ES_tradnl"/>
        </w:rPr>
        <w:lastRenderedPageBreak/>
        <w:t>En vista de l</w:t>
      </w:r>
      <w:r w:rsidR="009F5A35" w:rsidRPr="002E1AE0">
        <w:rPr>
          <w:rFonts w:ascii="Arial" w:hAnsi="Arial" w:cs="Arial"/>
          <w:sz w:val="22"/>
          <w:szCs w:val="22"/>
          <w:lang w:val="es-ES_tradnl"/>
        </w:rPr>
        <w:t>os resultados de la</w:t>
      </w:r>
      <w:r w:rsidRPr="002E1AE0">
        <w:rPr>
          <w:rFonts w:ascii="Arial" w:hAnsi="Arial" w:cs="Arial"/>
          <w:sz w:val="22"/>
          <w:szCs w:val="22"/>
          <w:lang w:val="es-ES_tradnl"/>
        </w:rPr>
        <w:t xml:space="preserve"> evaluación financiera realizada, se recomienda el apoyo financiero y técnico del B</w:t>
      </w:r>
      <w:r w:rsidR="00070AC8" w:rsidRPr="002E1AE0">
        <w:rPr>
          <w:rFonts w:ascii="Arial" w:hAnsi="Arial" w:cs="Arial"/>
          <w:sz w:val="22"/>
          <w:szCs w:val="22"/>
          <w:lang w:val="es-ES_tradnl"/>
        </w:rPr>
        <w:t>anco</w:t>
      </w:r>
      <w:r w:rsidRPr="002E1AE0">
        <w:rPr>
          <w:rFonts w:ascii="Arial" w:hAnsi="Arial" w:cs="Arial"/>
          <w:sz w:val="22"/>
          <w:szCs w:val="22"/>
          <w:lang w:val="es-ES_tradnl"/>
        </w:rPr>
        <w:t xml:space="preserve"> mediante </w:t>
      </w:r>
      <w:r w:rsidR="002B0DD4" w:rsidRPr="002E1AE0">
        <w:rPr>
          <w:rFonts w:ascii="Arial" w:hAnsi="Arial" w:cs="Arial"/>
          <w:sz w:val="22"/>
          <w:szCs w:val="22"/>
          <w:lang w:val="es-ES_tradnl"/>
        </w:rPr>
        <w:t xml:space="preserve">el </w:t>
      </w:r>
      <w:r w:rsidRPr="002E1AE0">
        <w:rPr>
          <w:rFonts w:ascii="Arial" w:hAnsi="Arial" w:cs="Arial"/>
          <w:sz w:val="22"/>
          <w:szCs w:val="22"/>
          <w:lang w:val="es-ES_tradnl"/>
        </w:rPr>
        <w:t xml:space="preserve">Programa </w:t>
      </w:r>
      <w:r w:rsidR="00337C51" w:rsidRPr="002E1AE0">
        <w:rPr>
          <w:rFonts w:ascii="Arial" w:hAnsi="Arial" w:cs="Arial"/>
          <w:sz w:val="22"/>
          <w:szCs w:val="22"/>
          <w:lang w:val="es-ES_tradnl"/>
        </w:rPr>
        <w:t>de Apoyo a la Consolidación Fiscal</w:t>
      </w:r>
      <w:r w:rsidR="002B0DD4" w:rsidRPr="002E1AE0">
        <w:rPr>
          <w:rFonts w:ascii="Arial" w:hAnsi="Arial" w:cs="Arial"/>
          <w:sz w:val="22"/>
          <w:szCs w:val="22"/>
          <w:lang w:val="es-ES_tradnl"/>
        </w:rPr>
        <w:t xml:space="preserve"> (</w:t>
      </w:r>
      <w:r w:rsidR="00337C51" w:rsidRPr="002E1AE0">
        <w:rPr>
          <w:rFonts w:ascii="Arial" w:hAnsi="Arial" w:cs="Arial"/>
          <w:sz w:val="22"/>
          <w:szCs w:val="22"/>
          <w:lang w:val="es-ES_tradnl"/>
        </w:rPr>
        <w:t>HO-L1103</w:t>
      </w:r>
      <w:r w:rsidR="002B0DD4" w:rsidRPr="002E1AE0">
        <w:rPr>
          <w:rFonts w:ascii="Arial" w:hAnsi="Arial" w:cs="Arial"/>
          <w:sz w:val="22"/>
          <w:szCs w:val="22"/>
          <w:lang w:val="es-ES_tradnl"/>
        </w:rPr>
        <w:t>).</w:t>
      </w:r>
    </w:p>
    <w:p w:rsidR="00837656" w:rsidRPr="00662565" w:rsidRDefault="00837656" w:rsidP="00837656">
      <w:pPr>
        <w:pStyle w:val="Chapter"/>
        <w:rPr>
          <w:rFonts w:ascii="Arial" w:hAnsi="Arial" w:cs="Arial"/>
        </w:rPr>
      </w:pPr>
      <w:r w:rsidRPr="00662565">
        <w:rPr>
          <w:rFonts w:ascii="Arial" w:hAnsi="Arial" w:cs="Arial"/>
        </w:rPr>
        <w:t>Contexto Macroeconómico y Fiscal</w:t>
      </w:r>
      <w:r w:rsidR="00337C51" w:rsidRPr="00662565">
        <w:rPr>
          <w:rFonts w:ascii="Arial" w:hAnsi="Arial" w:cs="Arial"/>
        </w:rPr>
        <w:t xml:space="preserve"> de Honduras</w:t>
      </w:r>
    </w:p>
    <w:p w:rsidR="00FD683F" w:rsidRPr="002E1AE0" w:rsidRDefault="00FD683F" w:rsidP="00FD683F">
      <w:pPr>
        <w:pStyle w:val="Paragraph"/>
        <w:tabs>
          <w:tab w:val="clear" w:pos="1296"/>
          <w:tab w:val="num" w:pos="720"/>
        </w:tabs>
        <w:ind w:left="720" w:hanging="630"/>
        <w:rPr>
          <w:rFonts w:ascii="Arial" w:hAnsi="Arial" w:cs="Arial"/>
          <w:sz w:val="22"/>
          <w:szCs w:val="22"/>
        </w:rPr>
      </w:pPr>
      <w:r w:rsidRPr="002E1AE0">
        <w:rPr>
          <w:rFonts w:ascii="Arial" w:hAnsi="Arial" w:cs="Arial"/>
          <w:sz w:val="22"/>
          <w:szCs w:val="22"/>
        </w:rPr>
        <w:t>Honduras finalizó el año 2014 con un crecimiento real del Producto Interno Bruto (PIB) de 3,1%, comparado con 2,8% en 2013. La inversión bruta privada y el consumo privado fueron los principales motores de la actividad económica, con tasas de crecimiento de 2,7% y 2,9% respectivamente. En el corto y mediano plazo se prevé un crecimiento real del PIB en el orden de 3,0-3,5%, debido a un entorno externo más favorable asociado a la recuperación de la economía de los Estados Unidos y a la mejora en los términos del intercambio (i.e. el menor precio del petróleo y el incremento del precio del café). Al primer semestre de 2015 la economía hondureña presenta un crecimiento interanual de 3,6%, por encima del 2,7% registrado en el mismo período de 2014.</w:t>
      </w:r>
    </w:p>
    <w:p w:rsidR="00FD683F" w:rsidRPr="002E1AE0" w:rsidRDefault="00FD683F" w:rsidP="00FD683F">
      <w:pPr>
        <w:pStyle w:val="Paragraph"/>
        <w:tabs>
          <w:tab w:val="clear" w:pos="1296"/>
          <w:tab w:val="num" w:pos="720"/>
        </w:tabs>
        <w:ind w:left="720" w:hanging="630"/>
        <w:rPr>
          <w:rFonts w:ascii="Arial" w:hAnsi="Arial" w:cs="Arial"/>
          <w:color w:val="000000"/>
          <w:sz w:val="22"/>
          <w:szCs w:val="22"/>
          <w:lang w:val="es-ES_tradnl"/>
        </w:rPr>
      </w:pPr>
      <w:r w:rsidRPr="002E1AE0">
        <w:rPr>
          <w:rFonts w:ascii="Arial" w:hAnsi="Arial" w:cs="Arial"/>
          <w:color w:val="000000"/>
          <w:sz w:val="22"/>
          <w:szCs w:val="22"/>
          <w:lang w:val="es-ES_tradnl"/>
        </w:rPr>
        <w:t>El sector externo presenta una evolución favorable. Por un lado, el déficit de la cuenta corriente disminuyó de 9,5% en 2013 a 7,4% del PIB en 2014. Este déficit se explica principalmente por el desequilibrio observado en la cuenta comercial, el cual es compensado por importantes flujos de remesas que derivan en un superávit de la cuenta de transferencias. Por otro lado, el superávit de la cuenta capital y financiera se ha mantenido, alcanzando el 9% del PIB en 2014, explicado principalmente por la inversión extranjera directa (5,9% del PIB).</w:t>
      </w:r>
    </w:p>
    <w:p w:rsidR="00FD683F" w:rsidRPr="002E1AE0" w:rsidRDefault="00FD683F" w:rsidP="00FD683F">
      <w:pPr>
        <w:pStyle w:val="Paragraph"/>
        <w:tabs>
          <w:tab w:val="clear" w:pos="1296"/>
          <w:tab w:val="num" w:pos="720"/>
        </w:tabs>
        <w:ind w:left="720" w:hanging="630"/>
        <w:rPr>
          <w:rFonts w:ascii="Arial" w:hAnsi="Arial" w:cs="Arial"/>
          <w:color w:val="000000"/>
          <w:sz w:val="22"/>
          <w:szCs w:val="22"/>
          <w:lang w:val="es-ES_tradnl"/>
        </w:rPr>
      </w:pPr>
      <w:r w:rsidRPr="002E1AE0">
        <w:rPr>
          <w:rFonts w:ascii="Arial" w:hAnsi="Arial" w:cs="Arial"/>
          <w:color w:val="000000"/>
          <w:sz w:val="22"/>
          <w:szCs w:val="22"/>
          <w:lang w:val="es-ES_tradnl"/>
        </w:rPr>
        <w:t>A junio 2015, las reservas internacionales netas se sitúan en US$3.873 millones, equivalente a una cobertura de 4,1 meses de importaciones. Respecto al tipo de cambio, este presenta durante el mismo período, una depreciación interanual de 4,8%, superior al 2,7% registrado en junio 2014. En 2014 la inflación fue 5,8%, dentro del rango establecido por el Banco Central (5,5-7,5%), y cerca de 1,0 punto por encima de la inflación observada en 2013 (4,9%) . A corto y mediano plazo se anticipa una inflación por el orden de 4% a 5% por año.</w:t>
      </w:r>
    </w:p>
    <w:p w:rsidR="00FD683F" w:rsidRPr="002E1AE0" w:rsidRDefault="00FD683F" w:rsidP="00FD683F">
      <w:pPr>
        <w:pStyle w:val="Paragraph"/>
        <w:tabs>
          <w:tab w:val="clear" w:pos="1296"/>
          <w:tab w:val="num" w:pos="720"/>
        </w:tabs>
        <w:ind w:left="720" w:hanging="630"/>
        <w:rPr>
          <w:rFonts w:ascii="Arial" w:hAnsi="Arial" w:cs="Arial"/>
          <w:color w:val="000000"/>
          <w:sz w:val="22"/>
          <w:szCs w:val="22"/>
          <w:lang w:val="es-ES_tradnl"/>
        </w:rPr>
      </w:pPr>
      <w:r w:rsidRPr="002E1AE0">
        <w:rPr>
          <w:rFonts w:ascii="Arial" w:hAnsi="Arial" w:cs="Arial"/>
          <w:color w:val="000000"/>
          <w:sz w:val="22"/>
          <w:szCs w:val="22"/>
          <w:lang w:val="es-ES_tradnl"/>
        </w:rPr>
        <w:t>El desempeño fiscal ha mejorado tras el deterioro en las finanzas públicas entre 2007 y 2013. El déficit fiscal del gobierno central (GC) disminuyó de 7,9% del PIB en 2013 a 4,4% en 2014. La deuda GC aumentó de 42,6% del PIB a 45,7% en el mismo periodo. Asimismo, la tendencia creciente del gasto público se revirtió, pasando de 24,9% del PIB en 2013 a 23,2% en 2014, especialmente por la reducción en el gasto corriente. La presión tributaria aumentó de 15,3% del PIB en 2013 a 16,3% en 2014. Para 2015 las necesidades de financiamiento neto alcanzarían 2,4% del PIB. El Gobierno prevé recurrir a fuentes de financiamiento externas por US$260 millones y a fuentes de financiamiento en el mercado interno por US$320 millones.</w:t>
      </w:r>
    </w:p>
    <w:p w:rsidR="00D842D4" w:rsidRPr="002E1AE0" w:rsidRDefault="00FD683F" w:rsidP="00FD683F">
      <w:pPr>
        <w:pStyle w:val="Paragraph"/>
        <w:tabs>
          <w:tab w:val="clear" w:pos="1296"/>
          <w:tab w:val="num" w:pos="720"/>
        </w:tabs>
        <w:ind w:left="720" w:hanging="630"/>
        <w:rPr>
          <w:rFonts w:ascii="Arial" w:hAnsi="Arial" w:cs="Arial"/>
          <w:sz w:val="22"/>
          <w:szCs w:val="22"/>
        </w:rPr>
      </w:pPr>
      <w:r w:rsidRPr="002E1AE0">
        <w:rPr>
          <w:rFonts w:ascii="Arial" w:hAnsi="Arial" w:cs="Arial"/>
          <w:color w:val="000000"/>
          <w:sz w:val="22"/>
          <w:szCs w:val="22"/>
          <w:lang w:val="es-ES_tradnl"/>
        </w:rPr>
        <w:t>Por otro lado, el balance de las empresas públicas no financieras está agravado principalmente por el resultado deficitario de la Empresa Nacional de Electricidad (1,8% del PIB en 2013), lo que ha tenido un impacto negativo en el balance del sector público combinado. Una serie de medidas para mejorar la situación financiera de la ENEE con apoyo del Banco fueron levadas a cabo a fines del 2014 , incluyendo la disminución de las pérdidas de energía, la reestructuración administrativa, el ajuste tarifario, y el nuevo marco legal y regulatorio del sector eléctrico generando una reducción del déficit de esta empresa (1,3% del PIB en 2014) .</w:t>
      </w:r>
      <w:r w:rsidR="009F5A35" w:rsidRPr="002E1AE0">
        <w:rPr>
          <w:rFonts w:ascii="Arial" w:hAnsi="Arial" w:cs="Arial"/>
          <w:sz w:val="22"/>
          <w:szCs w:val="22"/>
        </w:rPr>
        <w:t xml:space="preserve">Bajo el Acuerdo </w:t>
      </w:r>
      <w:r w:rsidR="009F5A35" w:rsidRPr="002E1AE0">
        <w:rPr>
          <w:rFonts w:ascii="Arial" w:hAnsi="Arial" w:cs="Arial"/>
          <w:sz w:val="22"/>
          <w:szCs w:val="22"/>
          <w:lang w:val="es-ES_tradnl"/>
        </w:rPr>
        <w:t xml:space="preserve">Stand-by con el </w:t>
      </w:r>
      <w:r w:rsidR="009F5A35" w:rsidRPr="002E1AE0">
        <w:rPr>
          <w:rFonts w:ascii="Arial" w:hAnsi="Arial" w:cs="Arial"/>
          <w:sz w:val="22"/>
          <w:szCs w:val="22"/>
        </w:rPr>
        <w:t xml:space="preserve">Fondo Monetario Internacional (FMI), </w:t>
      </w:r>
      <w:r w:rsidR="001F49D6" w:rsidRPr="002E1AE0">
        <w:rPr>
          <w:rFonts w:ascii="Arial" w:hAnsi="Arial" w:cs="Arial"/>
          <w:sz w:val="22"/>
          <w:szCs w:val="22"/>
        </w:rPr>
        <w:t>e</w:t>
      </w:r>
      <w:r w:rsidR="009022DD" w:rsidRPr="002E1AE0">
        <w:rPr>
          <w:rFonts w:ascii="Arial" w:hAnsi="Arial" w:cs="Arial"/>
          <w:sz w:val="22"/>
          <w:szCs w:val="22"/>
        </w:rPr>
        <w:t xml:space="preserve">l </w:t>
      </w:r>
      <w:r w:rsidR="009022DD" w:rsidRPr="002E1AE0">
        <w:rPr>
          <w:rFonts w:ascii="Arial" w:hAnsi="Arial" w:cs="Arial"/>
          <w:sz w:val="22"/>
          <w:szCs w:val="22"/>
        </w:rPr>
        <w:lastRenderedPageBreak/>
        <w:t xml:space="preserve">Gobierno </w:t>
      </w:r>
      <w:r w:rsidR="00EE36AC" w:rsidRPr="002E1AE0">
        <w:rPr>
          <w:rFonts w:ascii="Arial" w:hAnsi="Arial" w:cs="Arial"/>
          <w:sz w:val="22"/>
          <w:szCs w:val="22"/>
        </w:rPr>
        <w:t xml:space="preserve">de </w:t>
      </w:r>
      <w:r w:rsidR="009022DD" w:rsidRPr="002E1AE0">
        <w:rPr>
          <w:rFonts w:ascii="Arial" w:hAnsi="Arial" w:cs="Arial"/>
          <w:sz w:val="22"/>
          <w:szCs w:val="22"/>
        </w:rPr>
        <w:t>Hondu</w:t>
      </w:r>
      <w:r w:rsidR="00EE36AC" w:rsidRPr="002E1AE0">
        <w:rPr>
          <w:rFonts w:ascii="Arial" w:hAnsi="Arial" w:cs="Arial"/>
          <w:sz w:val="22"/>
          <w:szCs w:val="22"/>
        </w:rPr>
        <w:t>ras</w:t>
      </w:r>
      <w:r w:rsidR="00424570" w:rsidRPr="002E1AE0">
        <w:rPr>
          <w:rFonts w:ascii="Arial" w:hAnsi="Arial" w:cs="Arial"/>
          <w:sz w:val="22"/>
          <w:szCs w:val="22"/>
        </w:rPr>
        <w:t xml:space="preserve"> </w:t>
      </w:r>
      <w:r w:rsidR="001016AF" w:rsidRPr="002E1AE0">
        <w:rPr>
          <w:rFonts w:ascii="Arial" w:hAnsi="Arial" w:cs="Arial"/>
          <w:sz w:val="22"/>
          <w:szCs w:val="22"/>
        </w:rPr>
        <w:t>se compromet</w:t>
      </w:r>
      <w:r w:rsidR="00EE36AC" w:rsidRPr="002E1AE0">
        <w:rPr>
          <w:rFonts w:ascii="Arial" w:hAnsi="Arial" w:cs="Arial"/>
          <w:sz w:val="22"/>
          <w:szCs w:val="22"/>
        </w:rPr>
        <w:t>e</w:t>
      </w:r>
      <w:r w:rsidR="001016AF" w:rsidRPr="002E1AE0">
        <w:rPr>
          <w:rFonts w:ascii="Arial" w:hAnsi="Arial" w:cs="Arial"/>
          <w:sz w:val="22"/>
          <w:szCs w:val="22"/>
        </w:rPr>
        <w:t xml:space="preserve"> a implementar </w:t>
      </w:r>
      <w:r w:rsidR="004142B7" w:rsidRPr="002E1AE0">
        <w:rPr>
          <w:rFonts w:ascii="Arial" w:hAnsi="Arial" w:cs="Arial"/>
          <w:sz w:val="22"/>
          <w:szCs w:val="22"/>
        </w:rPr>
        <w:t>medidas dirigidas</w:t>
      </w:r>
      <w:r w:rsidR="00D9535F" w:rsidRPr="002E1AE0">
        <w:rPr>
          <w:rFonts w:ascii="Arial" w:hAnsi="Arial" w:cs="Arial"/>
          <w:sz w:val="22"/>
          <w:szCs w:val="22"/>
        </w:rPr>
        <w:t xml:space="preserve"> </w:t>
      </w:r>
      <w:r w:rsidR="001016AF" w:rsidRPr="002E1AE0">
        <w:rPr>
          <w:rFonts w:ascii="Arial" w:hAnsi="Arial" w:cs="Arial"/>
          <w:sz w:val="22"/>
          <w:szCs w:val="22"/>
        </w:rPr>
        <w:t xml:space="preserve">a incrementar la presión </w:t>
      </w:r>
      <w:r w:rsidR="00D9535F" w:rsidRPr="002E1AE0">
        <w:rPr>
          <w:rFonts w:ascii="Arial" w:hAnsi="Arial" w:cs="Arial"/>
          <w:sz w:val="22"/>
          <w:szCs w:val="22"/>
        </w:rPr>
        <w:t xml:space="preserve">fiscal a unos 17,1 % del PIB, </w:t>
      </w:r>
      <w:r w:rsidR="001016AF" w:rsidRPr="002E1AE0">
        <w:rPr>
          <w:rFonts w:ascii="Arial" w:hAnsi="Arial" w:cs="Arial"/>
          <w:sz w:val="22"/>
          <w:szCs w:val="22"/>
        </w:rPr>
        <w:t xml:space="preserve">así como </w:t>
      </w:r>
      <w:r w:rsidR="009F5A35" w:rsidRPr="002E1AE0">
        <w:rPr>
          <w:rFonts w:ascii="Arial" w:hAnsi="Arial" w:cs="Arial"/>
          <w:sz w:val="22"/>
          <w:szCs w:val="22"/>
        </w:rPr>
        <w:t>a</w:t>
      </w:r>
      <w:r w:rsidR="001016AF" w:rsidRPr="002E1AE0">
        <w:rPr>
          <w:rFonts w:ascii="Arial" w:hAnsi="Arial" w:cs="Arial"/>
          <w:sz w:val="22"/>
          <w:szCs w:val="22"/>
        </w:rPr>
        <w:t xml:space="preserve"> </w:t>
      </w:r>
      <w:r w:rsidR="00D9684F" w:rsidRPr="002E1AE0">
        <w:rPr>
          <w:rFonts w:ascii="Arial" w:hAnsi="Arial" w:cs="Arial"/>
          <w:sz w:val="22"/>
          <w:szCs w:val="22"/>
        </w:rPr>
        <w:t>mejor</w:t>
      </w:r>
      <w:r w:rsidR="00D9535F" w:rsidRPr="002E1AE0">
        <w:rPr>
          <w:rFonts w:ascii="Arial" w:hAnsi="Arial" w:cs="Arial"/>
          <w:sz w:val="22"/>
          <w:szCs w:val="22"/>
        </w:rPr>
        <w:t xml:space="preserve"> </w:t>
      </w:r>
      <w:r w:rsidR="00D9684F" w:rsidRPr="002E1AE0">
        <w:rPr>
          <w:rFonts w:ascii="Arial" w:hAnsi="Arial" w:cs="Arial"/>
          <w:sz w:val="22"/>
          <w:szCs w:val="22"/>
        </w:rPr>
        <w:t>la calidad del</w:t>
      </w:r>
      <w:r w:rsidR="001016AF" w:rsidRPr="002E1AE0">
        <w:rPr>
          <w:rFonts w:ascii="Arial" w:hAnsi="Arial" w:cs="Arial"/>
          <w:sz w:val="22"/>
          <w:szCs w:val="22"/>
        </w:rPr>
        <w:t xml:space="preserve"> gasto público. Esto posibilitaría </w:t>
      </w:r>
      <w:r w:rsidR="00D9684F" w:rsidRPr="002E1AE0">
        <w:rPr>
          <w:rFonts w:ascii="Arial" w:hAnsi="Arial" w:cs="Arial"/>
          <w:sz w:val="22"/>
          <w:szCs w:val="22"/>
        </w:rPr>
        <w:t>la apertura de espacio fiscal para una</w:t>
      </w:r>
      <w:r w:rsidR="001016AF" w:rsidRPr="002E1AE0">
        <w:rPr>
          <w:rFonts w:ascii="Arial" w:hAnsi="Arial" w:cs="Arial"/>
          <w:sz w:val="22"/>
          <w:szCs w:val="22"/>
        </w:rPr>
        <w:t xml:space="preserve"> mayor </w:t>
      </w:r>
      <w:r w:rsidR="00D842D4" w:rsidRPr="002E1AE0">
        <w:rPr>
          <w:rFonts w:ascii="Arial" w:hAnsi="Arial" w:cs="Arial"/>
          <w:color w:val="000000"/>
          <w:sz w:val="22"/>
          <w:szCs w:val="22"/>
        </w:rPr>
        <w:t>inversión en programas sociales dirigidos a la población vulnerable.</w:t>
      </w:r>
    </w:p>
    <w:p w:rsidR="00FD683F" w:rsidRPr="002E1AE0" w:rsidRDefault="00FD683F" w:rsidP="00FD683F">
      <w:pPr>
        <w:pStyle w:val="Paragraph"/>
        <w:tabs>
          <w:tab w:val="clear" w:pos="1296"/>
          <w:tab w:val="num" w:pos="720"/>
        </w:tabs>
        <w:ind w:left="720" w:hanging="630"/>
        <w:rPr>
          <w:rFonts w:ascii="Arial" w:hAnsi="Arial" w:cs="Arial"/>
          <w:color w:val="000000"/>
          <w:sz w:val="22"/>
          <w:szCs w:val="22"/>
          <w:lang w:val="es-ES_tradnl"/>
        </w:rPr>
      </w:pPr>
      <w:r w:rsidRPr="002E1AE0">
        <w:rPr>
          <w:rFonts w:ascii="Arial" w:hAnsi="Arial" w:cs="Arial"/>
          <w:color w:val="000000"/>
          <w:sz w:val="22"/>
          <w:szCs w:val="22"/>
          <w:lang w:val="es-ES_tradnl"/>
        </w:rPr>
        <w:t>En este contexto, e</w:t>
      </w:r>
      <w:r w:rsidR="00D842D4" w:rsidRPr="002E1AE0">
        <w:rPr>
          <w:rFonts w:ascii="Arial" w:hAnsi="Arial" w:cs="Arial"/>
          <w:color w:val="000000"/>
          <w:sz w:val="22"/>
          <w:szCs w:val="22"/>
          <w:lang w:val="es-ES_tradnl"/>
        </w:rPr>
        <w:t xml:space="preserve">l </w:t>
      </w:r>
      <w:r w:rsidR="009F5A35" w:rsidRPr="002E1AE0">
        <w:rPr>
          <w:rFonts w:ascii="Arial" w:hAnsi="Arial" w:cs="Arial"/>
          <w:color w:val="000000"/>
          <w:sz w:val="22"/>
          <w:szCs w:val="22"/>
          <w:lang w:val="es-ES_tradnl"/>
        </w:rPr>
        <w:t>G</w:t>
      </w:r>
      <w:r w:rsidR="00D842D4" w:rsidRPr="002E1AE0">
        <w:rPr>
          <w:rFonts w:ascii="Arial" w:hAnsi="Arial" w:cs="Arial"/>
          <w:color w:val="000000"/>
          <w:sz w:val="22"/>
          <w:szCs w:val="22"/>
          <w:lang w:val="es-ES_tradnl"/>
        </w:rPr>
        <w:t xml:space="preserve">obierno de Honduras solicitó al Banco </w:t>
      </w:r>
      <w:r w:rsidRPr="002E1AE0">
        <w:rPr>
          <w:rFonts w:ascii="Arial" w:hAnsi="Arial" w:cs="Arial"/>
          <w:color w:val="000000"/>
          <w:sz w:val="22"/>
          <w:szCs w:val="22"/>
          <w:lang w:val="es-ES_tradnl"/>
        </w:rPr>
        <w:t xml:space="preserve">apoyo con vistas a incrementar los ingresos tributarios a 17,5% del PIB, así como reducir progresivamente el gasto corriente a 22,7% del PIB al final del 2017. Se espera que las medidas permitan reducir el déficit del sector público consolidado a 1,8% del PIB. </w:t>
      </w:r>
    </w:p>
    <w:p w:rsidR="00FD683F" w:rsidRPr="002E1AE0" w:rsidRDefault="00FD683F" w:rsidP="00FD683F">
      <w:pPr>
        <w:pStyle w:val="Chapter"/>
        <w:rPr>
          <w:rFonts w:ascii="Arial" w:hAnsi="Arial" w:cs="Arial"/>
          <w:sz w:val="22"/>
          <w:szCs w:val="22"/>
        </w:rPr>
      </w:pPr>
      <w:r w:rsidRPr="002E1AE0">
        <w:rPr>
          <w:rFonts w:ascii="Arial" w:hAnsi="Arial" w:cs="Arial"/>
          <w:sz w:val="22"/>
          <w:szCs w:val="22"/>
        </w:rPr>
        <w:t>Supuesto 1</w:t>
      </w:r>
      <w:r w:rsidR="00837656" w:rsidRPr="002E1AE0">
        <w:rPr>
          <w:rFonts w:ascii="Arial" w:hAnsi="Arial" w:cs="Arial"/>
          <w:sz w:val="22"/>
          <w:szCs w:val="22"/>
        </w:rPr>
        <w:t xml:space="preserve"> -  Implantación de la Factura electrónica</w:t>
      </w:r>
    </w:p>
    <w:tbl>
      <w:tblPr>
        <w:tblStyle w:val="TableGrid"/>
        <w:tblW w:w="0" w:type="auto"/>
        <w:tblInd w:w="1080" w:type="dxa"/>
        <w:tblLook w:val="04A0" w:firstRow="1" w:lastRow="0" w:firstColumn="1" w:lastColumn="0" w:noHBand="0" w:noVBand="1"/>
      </w:tblPr>
      <w:tblGrid>
        <w:gridCol w:w="7776"/>
      </w:tblGrid>
      <w:tr w:rsidR="00FD683F" w:rsidRPr="002E1AE0" w:rsidTr="00EA40F8">
        <w:tc>
          <w:tcPr>
            <w:tcW w:w="9350" w:type="dxa"/>
          </w:tcPr>
          <w:p w:rsidR="00FD683F" w:rsidRPr="002E1AE0" w:rsidRDefault="00FD683F" w:rsidP="00EA40F8">
            <w:pPr>
              <w:pStyle w:val="ListParagraph"/>
              <w:spacing w:before="120" w:after="120"/>
              <w:ind w:left="0"/>
              <w:contextualSpacing w:val="0"/>
              <w:jc w:val="both"/>
              <w:rPr>
                <w:rFonts w:ascii="Arial" w:hAnsi="Arial" w:cs="Arial"/>
                <w:b/>
              </w:rPr>
            </w:pPr>
            <w:r w:rsidRPr="002E1AE0">
              <w:rPr>
                <w:rFonts w:ascii="Arial" w:hAnsi="Arial" w:cs="Arial"/>
                <w:b/>
              </w:rPr>
              <w:t>Por medio del establecimiento de las bases normativas para la implementación del uso de la factura electrónica se genera un control más efectivo del Impuesto sobre las Ventas (ISV), reduciendo la evasión fiscal y generando un beneficio financiero al Estado Hondureño con el aumento de la recaudación del ISV.</w:t>
            </w:r>
          </w:p>
        </w:tc>
      </w:tr>
    </w:tbl>
    <w:p w:rsidR="00FD683F" w:rsidRPr="002E1AE0" w:rsidRDefault="00FD683F" w:rsidP="00FD683F">
      <w:pPr>
        <w:pStyle w:val="Paragraph"/>
        <w:tabs>
          <w:tab w:val="clear" w:pos="1296"/>
          <w:tab w:val="num" w:pos="720"/>
        </w:tabs>
        <w:ind w:hanging="1206"/>
        <w:rPr>
          <w:rFonts w:ascii="Arial" w:hAnsi="Arial" w:cs="Arial"/>
          <w:b/>
          <w:sz w:val="22"/>
          <w:szCs w:val="22"/>
        </w:rPr>
      </w:pPr>
      <w:r w:rsidRPr="002E1AE0">
        <w:rPr>
          <w:rFonts w:ascii="Arial" w:hAnsi="Arial" w:cs="Arial"/>
          <w:b/>
          <w:sz w:val="22"/>
          <w:szCs w:val="22"/>
        </w:rPr>
        <w:t xml:space="preserve">Contexto </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La Administración Tributaria (AT) Hondureña está en proceso de modernización de su infraestructura administrativa, personal, tecnológica y física, teniendo como objetivo último mejorar los niveles de recaudación. El B</w:t>
      </w:r>
      <w:r w:rsidR="004B74B0" w:rsidRPr="002E1AE0">
        <w:rPr>
          <w:rFonts w:ascii="Arial" w:hAnsi="Arial" w:cs="Arial"/>
        </w:rPr>
        <w:t>anco</w:t>
      </w:r>
      <w:r w:rsidRPr="002E1AE0">
        <w:rPr>
          <w:rFonts w:ascii="Arial" w:hAnsi="Arial" w:cs="Arial"/>
        </w:rPr>
        <w:t xml:space="preserve"> viene apoyando esta modernización a través de un proyecto de inversión el cual está previsto comenzar en enero de 2016 con un periodo de 5 años de ejecución. Adicionalmente, el B</w:t>
      </w:r>
      <w:r w:rsidR="004B74B0" w:rsidRPr="002E1AE0">
        <w:rPr>
          <w:rFonts w:ascii="Arial" w:hAnsi="Arial" w:cs="Arial"/>
        </w:rPr>
        <w:t>anco</w:t>
      </w:r>
      <w:r w:rsidRPr="002E1AE0">
        <w:rPr>
          <w:rFonts w:ascii="Arial" w:hAnsi="Arial" w:cs="Arial"/>
        </w:rPr>
        <w:t xml:space="preserve"> está apoyando al Gobierno de Honduras a través de una operación de políticas, con el objetivo de mejorar el déficit fiscal del gobierno, el cual contempla diversas acciones de política entre las cuales se destaca el apoyo al establecimiento de las bases normativas para la implementación del uso de la factura electrónica.</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La </w:t>
      </w:r>
      <w:r w:rsidR="006C7D88" w:rsidRPr="002E1AE0">
        <w:rPr>
          <w:rFonts w:ascii="Arial" w:hAnsi="Arial" w:cs="Arial"/>
        </w:rPr>
        <w:t>mencionada</w:t>
      </w:r>
      <w:r w:rsidRPr="002E1AE0">
        <w:rPr>
          <w:rFonts w:ascii="Arial" w:hAnsi="Arial" w:cs="Arial"/>
        </w:rPr>
        <w:t xml:space="preserve"> norma tributaria tiene como principal objetivo regular la emisión de los documentos fiscales</w:t>
      </w:r>
      <w:r w:rsidR="006C7D88" w:rsidRPr="002E1AE0">
        <w:rPr>
          <w:rFonts w:ascii="Arial" w:hAnsi="Arial" w:cs="Arial"/>
        </w:rPr>
        <w:t>, incluyendo</w:t>
      </w:r>
      <w:r w:rsidRPr="002E1AE0">
        <w:rPr>
          <w:rFonts w:ascii="Arial" w:hAnsi="Arial" w:cs="Arial"/>
        </w:rPr>
        <w:t xml:space="preserve"> la </w:t>
      </w:r>
      <w:r w:rsidR="006C7D88" w:rsidRPr="002E1AE0">
        <w:rPr>
          <w:rFonts w:ascii="Arial" w:hAnsi="Arial" w:cs="Arial"/>
        </w:rPr>
        <w:t xml:space="preserve">provisión </w:t>
      </w:r>
      <w:r w:rsidRPr="002E1AE0">
        <w:rPr>
          <w:rFonts w:ascii="Arial" w:hAnsi="Arial" w:cs="Arial"/>
        </w:rPr>
        <w:t xml:space="preserve"> a los contribuyentes </w:t>
      </w:r>
      <w:r w:rsidR="006C7D88" w:rsidRPr="002E1AE0">
        <w:rPr>
          <w:rFonts w:ascii="Arial" w:hAnsi="Arial" w:cs="Arial"/>
        </w:rPr>
        <w:t>d</w:t>
      </w:r>
      <w:r w:rsidRPr="002E1AE0">
        <w:rPr>
          <w:rFonts w:ascii="Arial" w:hAnsi="Arial" w:cs="Arial"/>
        </w:rPr>
        <w:t>el rango de numeración de las facturas del ISV a ser emitidas</w:t>
      </w:r>
      <w:r w:rsidR="006C7D88" w:rsidRPr="002E1AE0">
        <w:rPr>
          <w:rFonts w:ascii="Arial" w:hAnsi="Arial" w:cs="Arial"/>
        </w:rPr>
        <w:t xml:space="preserve"> por parte de la </w:t>
      </w:r>
      <w:r w:rsidR="009152FD" w:rsidRPr="002E1AE0">
        <w:rPr>
          <w:rFonts w:ascii="Arial" w:hAnsi="Arial" w:cs="Arial"/>
        </w:rPr>
        <w:t>Dirección Ejecutiva de Ingresos (</w:t>
      </w:r>
      <w:r w:rsidR="006C7D88" w:rsidRPr="002E1AE0">
        <w:rPr>
          <w:rFonts w:ascii="Arial" w:hAnsi="Arial" w:cs="Arial"/>
        </w:rPr>
        <w:t>DEI</w:t>
      </w:r>
      <w:r w:rsidR="009152FD" w:rsidRPr="002E1AE0">
        <w:rPr>
          <w:rFonts w:ascii="Arial" w:hAnsi="Arial" w:cs="Arial"/>
        </w:rPr>
        <w:t>)</w:t>
      </w:r>
      <w:r w:rsidRPr="002E1AE0">
        <w:rPr>
          <w:rFonts w:ascii="Arial" w:hAnsi="Arial" w:cs="Arial"/>
        </w:rPr>
        <w:t>, así como las reglas de utilización de las facturas, incluyendo las generadas de forma electrónica. La factura electrónica es una modalidad de emisión de documento fiscal dentro del régimen de facturación por la cual el fisco conoc</w:t>
      </w:r>
      <w:r w:rsidR="006C7D88" w:rsidRPr="002E1AE0">
        <w:rPr>
          <w:rFonts w:ascii="Arial" w:hAnsi="Arial" w:cs="Arial"/>
        </w:rPr>
        <w:t>e</w:t>
      </w:r>
      <w:r w:rsidRPr="002E1AE0">
        <w:rPr>
          <w:rFonts w:ascii="Arial" w:hAnsi="Arial" w:cs="Arial"/>
        </w:rPr>
        <w:t xml:space="preserve"> de la transacción al momento que esta ocurre, permitiendo el registro y validaciones online, eliminando así los diversos errores que ocurren en un control ex-post </w:t>
      </w:r>
      <w:r w:rsidR="006C7D88" w:rsidRPr="002E1AE0">
        <w:rPr>
          <w:rFonts w:ascii="Arial" w:hAnsi="Arial" w:cs="Arial"/>
        </w:rPr>
        <w:t>basada</w:t>
      </w:r>
      <w:r w:rsidRPr="002E1AE0">
        <w:rPr>
          <w:rFonts w:ascii="Arial" w:hAnsi="Arial" w:cs="Arial"/>
        </w:rPr>
        <w:t xml:space="preserve"> en documentos en papel.</w:t>
      </w:r>
      <w:r w:rsidR="000612EF" w:rsidRPr="002E1AE0">
        <w:rPr>
          <w:rFonts w:ascii="Arial" w:hAnsi="Arial" w:cs="Arial"/>
        </w:rPr>
        <w:t xml:space="preserve"> La facturación electrónica es un instrumento fundamental para d</w:t>
      </w:r>
      <w:r w:rsidR="0032471A" w:rsidRPr="002E1AE0">
        <w:rPr>
          <w:rFonts w:ascii="Arial" w:hAnsi="Arial" w:cs="Arial"/>
        </w:rPr>
        <w:t>isminuir la evasión del ISV</w:t>
      </w:r>
      <w:r w:rsidR="000612EF" w:rsidRPr="002E1AE0">
        <w:rPr>
          <w:rFonts w:ascii="Arial" w:hAnsi="Arial" w:cs="Arial"/>
        </w:rPr>
        <w:t xml:space="preserve"> y obtener el control integral de este impuesto. La factura electrónica se convierte en la base central de información para los sistemas tributarios, generando aumentos de productividad y eficiencia, mayor capacidad de control fiscal y mayor alcance en la auditoría fiscal</w:t>
      </w:r>
      <w:r w:rsidR="00E50D53" w:rsidRPr="002E1AE0">
        <w:rPr>
          <w:rFonts w:ascii="Arial" w:hAnsi="Arial" w:cs="Arial"/>
        </w:rPr>
        <w:t xml:space="preserve"> (CAPTAC-DR, 2015)</w:t>
      </w:r>
      <w:r w:rsidR="000612EF" w:rsidRPr="002E1AE0">
        <w:rPr>
          <w:rFonts w:ascii="Arial" w:hAnsi="Arial" w:cs="Arial"/>
        </w:rPr>
        <w:t xml:space="preserve">. </w:t>
      </w:r>
    </w:p>
    <w:p w:rsidR="00FD683F" w:rsidRPr="002E1AE0" w:rsidRDefault="00FD683F" w:rsidP="00FD683F">
      <w:pPr>
        <w:pStyle w:val="Paragraph"/>
        <w:tabs>
          <w:tab w:val="clear" w:pos="1296"/>
          <w:tab w:val="num" w:pos="720"/>
        </w:tabs>
        <w:ind w:hanging="1206"/>
        <w:rPr>
          <w:rFonts w:ascii="Arial" w:hAnsi="Arial" w:cs="Arial"/>
          <w:b/>
          <w:sz w:val="22"/>
          <w:szCs w:val="22"/>
        </w:rPr>
      </w:pPr>
      <w:r w:rsidRPr="002E1AE0">
        <w:rPr>
          <w:rFonts w:ascii="Arial" w:hAnsi="Arial" w:cs="Arial"/>
          <w:b/>
          <w:sz w:val="22"/>
          <w:szCs w:val="22"/>
        </w:rPr>
        <w:t>La Problemática</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A partir de estudios llevados a cabo por la AT se identificó que un grupo considerable de contribuyentes solicita la emisión de facturas, recibe autorización de un rango de numeración específico, pero al final del año </w:t>
      </w:r>
      <w:r w:rsidRPr="002E1AE0">
        <w:rPr>
          <w:rFonts w:ascii="Arial" w:hAnsi="Arial" w:cs="Arial"/>
        </w:rPr>
        <w:lastRenderedPageBreak/>
        <w:t>excede el número de facturas emitidas en relación al que fue autorizado. Adicionalmente, en muchos de los casos, estos contribuyentes solamente declaran los montos referentes a los rangos de numeración de facturas oficialmente autorizadas generando un considerable pe</w:t>
      </w:r>
      <w:r w:rsidR="006C7D88" w:rsidRPr="002E1AE0">
        <w:rPr>
          <w:rFonts w:ascii="Arial" w:hAnsi="Arial" w:cs="Arial"/>
        </w:rPr>
        <w:t>r</w:t>
      </w:r>
      <w:r w:rsidRPr="002E1AE0">
        <w:rPr>
          <w:rFonts w:ascii="Arial" w:hAnsi="Arial" w:cs="Arial"/>
        </w:rPr>
        <w:t>juicio para el fisco.</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Otro problema detectado </w:t>
      </w:r>
      <w:r w:rsidR="006C7D88" w:rsidRPr="002E1AE0">
        <w:rPr>
          <w:rFonts w:ascii="Arial" w:hAnsi="Arial" w:cs="Arial"/>
        </w:rPr>
        <w:t>es</w:t>
      </w:r>
      <w:r w:rsidRPr="002E1AE0">
        <w:rPr>
          <w:rFonts w:ascii="Arial" w:hAnsi="Arial" w:cs="Arial"/>
        </w:rPr>
        <w:t xml:space="preserve"> el hecho de que las imprentas que emiten </w:t>
      </w:r>
      <w:r w:rsidR="005916A0" w:rsidRPr="002E1AE0">
        <w:rPr>
          <w:rFonts w:ascii="Arial" w:hAnsi="Arial" w:cs="Arial"/>
        </w:rPr>
        <w:t xml:space="preserve">los </w:t>
      </w:r>
      <w:r w:rsidRPr="002E1AE0">
        <w:rPr>
          <w:rFonts w:ascii="Arial" w:hAnsi="Arial" w:cs="Arial"/>
        </w:rPr>
        <w:t>pre</w:t>
      </w:r>
      <w:r w:rsidR="00585D89" w:rsidRPr="002E1AE0">
        <w:rPr>
          <w:rFonts w:ascii="Arial" w:hAnsi="Arial" w:cs="Arial"/>
        </w:rPr>
        <w:t>-</w:t>
      </w:r>
      <w:r w:rsidRPr="002E1AE0">
        <w:rPr>
          <w:rFonts w:ascii="Arial" w:hAnsi="Arial" w:cs="Arial"/>
        </w:rPr>
        <w:t>impresos no están activando en los controles de la DEI los rangos de facturas autorizados</w:t>
      </w:r>
      <w:r w:rsidR="00AD4713" w:rsidRPr="002E1AE0">
        <w:rPr>
          <w:rFonts w:ascii="Arial" w:hAnsi="Arial" w:cs="Arial"/>
        </w:rPr>
        <w:t>. Las</w:t>
      </w:r>
      <w:r w:rsidRPr="002E1AE0">
        <w:rPr>
          <w:rFonts w:ascii="Arial" w:hAnsi="Arial" w:cs="Arial"/>
        </w:rPr>
        <w:t xml:space="preserve"> facturas se dan al contribuyente pero la imprenta no l</w:t>
      </w:r>
      <w:r w:rsidR="00585D89" w:rsidRPr="002E1AE0">
        <w:rPr>
          <w:rFonts w:ascii="Arial" w:hAnsi="Arial" w:cs="Arial"/>
        </w:rPr>
        <w:t>as</w:t>
      </w:r>
      <w:r w:rsidRPr="002E1AE0">
        <w:rPr>
          <w:rFonts w:ascii="Arial" w:hAnsi="Arial" w:cs="Arial"/>
        </w:rPr>
        <w:t xml:space="preserve"> activa</w:t>
      </w:r>
      <w:r w:rsidR="00585D89" w:rsidRPr="002E1AE0">
        <w:rPr>
          <w:rFonts w:ascii="Arial" w:hAnsi="Arial" w:cs="Arial"/>
        </w:rPr>
        <w:t xml:space="preserve"> al no </w:t>
      </w:r>
      <w:r w:rsidRPr="002E1AE0">
        <w:rPr>
          <w:rFonts w:ascii="Arial" w:hAnsi="Arial" w:cs="Arial"/>
        </w:rPr>
        <w:t xml:space="preserve"> comunica</w:t>
      </w:r>
      <w:r w:rsidR="00585D89" w:rsidRPr="002E1AE0">
        <w:rPr>
          <w:rFonts w:ascii="Arial" w:hAnsi="Arial" w:cs="Arial"/>
        </w:rPr>
        <w:t>r</w:t>
      </w:r>
      <w:r w:rsidRPr="002E1AE0">
        <w:rPr>
          <w:rFonts w:ascii="Arial" w:hAnsi="Arial" w:cs="Arial"/>
        </w:rPr>
        <w:t xml:space="preserve"> </w:t>
      </w:r>
      <w:r w:rsidR="00AD4713" w:rsidRPr="002E1AE0">
        <w:rPr>
          <w:rFonts w:ascii="Arial" w:hAnsi="Arial" w:cs="Arial"/>
        </w:rPr>
        <w:t xml:space="preserve">a la DEI </w:t>
      </w:r>
      <w:r w:rsidR="00585D89" w:rsidRPr="002E1AE0">
        <w:rPr>
          <w:rFonts w:ascii="Arial" w:hAnsi="Arial" w:cs="Arial"/>
        </w:rPr>
        <w:t xml:space="preserve">la </w:t>
      </w:r>
      <w:r w:rsidRPr="002E1AE0">
        <w:rPr>
          <w:rFonts w:ascii="Arial" w:hAnsi="Arial" w:cs="Arial"/>
        </w:rPr>
        <w:t>entreg</w:t>
      </w:r>
      <w:r w:rsidR="00585D89" w:rsidRPr="002E1AE0">
        <w:rPr>
          <w:rFonts w:ascii="Arial" w:hAnsi="Arial" w:cs="Arial"/>
        </w:rPr>
        <w:t>a de</w:t>
      </w:r>
      <w:r w:rsidRPr="002E1AE0">
        <w:rPr>
          <w:rFonts w:ascii="Arial" w:hAnsi="Arial" w:cs="Arial"/>
        </w:rPr>
        <w:t xml:space="preserve"> esas facturas. Esto afecta a 17</w:t>
      </w:r>
      <w:r w:rsidR="00AD4713" w:rsidRPr="002E1AE0">
        <w:rPr>
          <w:rFonts w:ascii="Arial" w:hAnsi="Arial" w:cs="Arial"/>
        </w:rPr>
        <w:t>.</w:t>
      </w:r>
      <w:r w:rsidRPr="002E1AE0">
        <w:rPr>
          <w:rFonts w:ascii="Arial" w:hAnsi="Arial" w:cs="Arial"/>
        </w:rPr>
        <w:t>955 solicitudes que equivalen a 15</w:t>
      </w:r>
      <w:r w:rsidR="005916A0" w:rsidRPr="002E1AE0">
        <w:rPr>
          <w:rFonts w:ascii="Arial" w:hAnsi="Arial" w:cs="Arial"/>
        </w:rPr>
        <w:t>.</w:t>
      </w:r>
      <w:r w:rsidRPr="002E1AE0">
        <w:rPr>
          <w:rFonts w:ascii="Arial" w:hAnsi="Arial" w:cs="Arial"/>
        </w:rPr>
        <w:t>583</w:t>
      </w:r>
      <w:r w:rsidR="00AD4713" w:rsidRPr="002E1AE0">
        <w:rPr>
          <w:rFonts w:ascii="Arial" w:hAnsi="Arial" w:cs="Arial"/>
        </w:rPr>
        <w:t>.</w:t>
      </w:r>
      <w:r w:rsidRPr="002E1AE0">
        <w:rPr>
          <w:rFonts w:ascii="Arial" w:hAnsi="Arial" w:cs="Arial"/>
        </w:rPr>
        <w:t>283 facturas que están siendo utilizadas pero que no están activas en los sistemas</w:t>
      </w:r>
      <w:r w:rsidR="00AD4713" w:rsidRPr="002E1AE0">
        <w:rPr>
          <w:rFonts w:ascii="Arial" w:hAnsi="Arial" w:cs="Arial"/>
        </w:rPr>
        <w:t xml:space="preserve"> de la DEI</w:t>
      </w:r>
      <w:r w:rsidRPr="002E1AE0">
        <w:rPr>
          <w:rFonts w:ascii="Arial" w:hAnsi="Arial" w:cs="Arial"/>
        </w:rPr>
        <w:t>. Adicionalmente, también se ha</w:t>
      </w:r>
      <w:r w:rsidR="00AD4713" w:rsidRPr="002E1AE0">
        <w:rPr>
          <w:rFonts w:ascii="Arial" w:hAnsi="Arial" w:cs="Arial"/>
        </w:rPr>
        <w:t>n</w:t>
      </w:r>
      <w:r w:rsidRPr="002E1AE0">
        <w:rPr>
          <w:rFonts w:ascii="Arial" w:hAnsi="Arial" w:cs="Arial"/>
        </w:rPr>
        <w:t xml:space="preserve"> detectado métodos de evasión </w:t>
      </w:r>
      <w:r w:rsidR="00AD4713" w:rsidRPr="002E1AE0">
        <w:rPr>
          <w:rFonts w:ascii="Arial" w:hAnsi="Arial" w:cs="Arial"/>
        </w:rPr>
        <w:t>a través de</w:t>
      </w:r>
      <w:r w:rsidRPr="002E1AE0">
        <w:rPr>
          <w:rFonts w:ascii="Arial" w:hAnsi="Arial" w:cs="Arial"/>
        </w:rPr>
        <w:t xml:space="preserve"> falsificaciones de facturas, incongruencias en</w:t>
      </w:r>
      <w:r w:rsidR="00585D89" w:rsidRPr="002E1AE0">
        <w:rPr>
          <w:rFonts w:ascii="Arial" w:hAnsi="Arial" w:cs="Arial"/>
        </w:rPr>
        <w:t>tre</w:t>
      </w:r>
      <w:r w:rsidRPr="002E1AE0">
        <w:rPr>
          <w:rFonts w:ascii="Arial" w:hAnsi="Arial" w:cs="Arial"/>
        </w:rPr>
        <w:t xml:space="preserve"> el documento físico y </w:t>
      </w:r>
      <w:r w:rsidR="00585D89" w:rsidRPr="002E1AE0">
        <w:rPr>
          <w:rFonts w:ascii="Arial" w:hAnsi="Arial" w:cs="Arial"/>
        </w:rPr>
        <w:t>la base de datos, la</w:t>
      </w:r>
      <w:r w:rsidRPr="002E1AE0">
        <w:rPr>
          <w:rFonts w:ascii="Arial" w:hAnsi="Arial" w:cs="Arial"/>
        </w:rPr>
        <w:t>s cuales están en fase de investigación por la DEI.</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La tabla a continuación presenta una muestra realizada por el estudio mencionado, tomando en consideración un universo de 65</w:t>
      </w:r>
      <w:r w:rsidR="00AD4713" w:rsidRPr="002E1AE0">
        <w:rPr>
          <w:rFonts w:ascii="Arial" w:hAnsi="Arial" w:cs="Arial"/>
        </w:rPr>
        <w:t>.</w:t>
      </w:r>
      <w:r w:rsidRPr="002E1AE0">
        <w:rPr>
          <w:rFonts w:ascii="Arial" w:hAnsi="Arial" w:cs="Arial"/>
        </w:rPr>
        <w:t>535 contribuyentes (484 grandes, 648 medianos, 64</w:t>
      </w:r>
      <w:r w:rsidR="00AD4713" w:rsidRPr="002E1AE0">
        <w:rPr>
          <w:rFonts w:ascii="Arial" w:hAnsi="Arial" w:cs="Arial"/>
        </w:rPr>
        <w:t>.</w:t>
      </w:r>
      <w:r w:rsidRPr="002E1AE0">
        <w:rPr>
          <w:rFonts w:ascii="Arial" w:hAnsi="Arial" w:cs="Arial"/>
        </w:rPr>
        <w:t>403 pequeños).</w:t>
      </w:r>
    </w:p>
    <w:p w:rsidR="00FD683F" w:rsidRPr="002E1AE0" w:rsidRDefault="00FD683F" w:rsidP="00FD683F">
      <w:pPr>
        <w:pStyle w:val="ListParagraph"/>
        <w:ind w:left="1080"/>
        <w:jc w:val="both"/>
        <w:rPr>
          <w:rFonts w:ascii="Arial" w:hAnsi="Arial" w:cs="Arial"/>
        </w:rPr>
      </w:pPr>
    </w:p>
    <w:tbl>
      <w:tblPr>
        <w:tblStyle w:val="TableGrid"/>
        <w:tblW w:w="6743" w:type="dxa"/>
        <w:tblInd w:w="1795" w:type="dxa"/>
        <w:tblLayout w:type="fixed"/>
        <w:tblLook w:val="04A0" w:firstRow="1" w:lastRow="0" w:firstColumn="1" w:lastColumn="0" w:noHBand="0" w:noVBand="1"/>
      </w:tblPr>
      <w:tblGrid>
        <w:gridCol w:w="1539"/>
        <w:gridCol w:w="1597"/>
        <w:gridCol w:w="1330"/>
        <w:gridCol w:w="1564"/>
        <w:gridCol w:w="713"/>
      </w:tblGrid>
      <w:tr w:rsidR="00FD683F" w:rsidRPr="000F0025" w:rsidTr="00EA40F8">
        <w:tc>
          <w:tcPr>
            <w:tcW w:w="6743" w:type="dxa"/>
            <w:gridSpan w:val="5"/>
            <w:shd w:val="clear" w:color="auto" w:fill="BDD6EE" w:themeFill="accent1" w:themeFillTint="66"/>
          </w:tcPr>
          <w:p w:rsidR="00FD683F" w:rsidRPr="000F0025" w:rsidRDefault="00FD683F" w:rsidP="00EA40F8">
            <w:pPr>
              <w:pStyle w:val="ListParagraph"/>
              <w:ind w:left="0"/>
              <w:jc w:val="center"/>
              <w:rPr>
                <w:rFonts w:ascii="Arial" w:hAnsi="Arial" w:cs="Arial"/>
                <w:b/>
                <w:sz w:val="18"/>
                <w:szCs w:val="18"/>
              </w:rPr>
            </w:pPr>
            <w:r w:rsidRPr="000F0025">
              <w:rPr>
                <w:rFonts w:ascii="Arial" w:hAnsi="Arial" w:cs="Arial"/>
                <w:b/>
                <w:sz w:val="18"/>
                <w:szCs w:val="18"/>
              </w:rPr>
              <w:t>Cuadro 1. Evidencia de las Irregularidades en el uso de facturas</w:t>
            </w:r>
          </w:p>
          <w:p w:rsidR="00FD683F" w:rsidRPr="000F0025" w:rsidRDefault="00FD683F" w:rsidP="00EA40F8">
            <w:pPr>
              <w:pStyle w:val="ListParagraph"/>
              <w:ind w:left="0"/>
              <w:jc w:val="center"/>
              <w:rPr>
                <w:rFonts w:ascii="Arial" w:hAnsi="Arial" w:cs="Arial"/>
                <w:b/>
                <w:sz w:val="18"/>
                <w:szCs w:val="18"/>
              </w:rPr>
            </w:pPr>
            <w:r w:rsidRPr="000F0025">
              <w:rPr>
                <w:rFonts w:ascii="Arial" w:hAnsi="Arial" w:cs="Arial"/>
                <w:b/>
                <w:sz w:val="18"/>
                <w:szCs w:val="18"/>
              </w:rPr>
              <w:t>Fuente DEI</w:t>
            </w:r>
          </w:p>
        </w:tc>
      </w:tr>
      <w:tr w:rsidR="00FD683F" w:rsidRPr="000F0025" w:rsidTr="00EA40F8">
        <w:tc>
          <w:tcPr>
            <w:tcW w:w="1539"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szCs w:val="18"/>
              </w:rPr>
            </w:pPr>
            <w:r w:rsidRPr="000F0025">
              <w:rPr>
                <w:rFonts w:ascii="Arial" w:hAnsi="Arial" w:cs="Arial"/>
                <w:b/>
                <w:sz w:val="18"/>
                <w:szCs w:val="18"/>
              </w:rPr>
              <w:t>Contribuyente</w:t>
            </w:r>
          </w:p>
        </w:tc>
        <w:tc>
          <w:tcPr>
            <w:tcW w:w="1597" w:type="dxa"/>
            <w:shd w:val="clear" w:color="auto" w:fill="BDD6EE" w:themeFill="accent1" w:themeFillTint="66"/>
          </w:tcPr>
          <w:p w:rsidR="00FD683F" w:rsidRPr="000F0025" w:rsidRDefault="00FD683F" w:rsidP="00AD4713">
            <w:pPr>
              <w:pStyle w:val="ListParagraph"/>
              <w:ind w:left="0"/>
              <w:jc w:val="center"/>
              <w:rPr>
                <w:rFonts w:ascii="Arial" w:hAnsi="Arial" w:cs="Arial"/>
                <w:b/>
                <w:sz w:val="18"/>
                <w:szCs w:val="18"/>
              </w:rPr>
            </w:pPr>
            <w:r w:rsidRPr="000F0025">
              <w:rPr>
                <w:rFonts w:ascii="Arial" w:hAnsi="Arial" w:cs="Arial"/>
                <w:b/>
                <w:sz w:val="18"/>
                <w:szCs w:val="18"/>
              </w:rPr>
              <w:t xml:space="preserve">Cantidad de contribuyentes inscritos </w:t>
            </w:r>
            <w:r w:rsidR="00AD4713" w:rsidRPr="000F0025">
              <w:rPr>
                <w:rFonts w:ascii="Arial" w:hAnsi="Arial" w:cs="Arial"/>
                <w:b/>
                <w:sz w:val="18"/>
                <w:szCs w:val="18"/>
              </w:rPr>
              <w:t>en el</w:t>
            </w:r>
            <w:r w:rsidRPr="000F0025">
              <w:rPr>
                <w:rFonts w:ascii="Arial" w:hAnsi="Arial" w:cs="Arial"/>
                <w:b/>
                <w:sz w:val="18"/>
                <w:szCs w:val="18"/>
              </w:rPr>
              <w:t xml:space="preserve"> régimen de facturación (agosto 2015)</w:t>
            </w:r>
          </w:p>
        </w:tc>
        <w:tc>
          <w:tcPr>
            <w:tcW w:w="1330"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szCs w:val="18"/>
              </w:rPr>
            </w:pPr>
            <w:r w:rsidRPr="000F0025">
              <w:rPr>
                <w:rFonts w:ascii="Arial" w:hAnsi="Arial" w:cs="Arial"/>
                <w:b/>
                <w:sz w:val="18"/>
                <w:szCs w:val="18"/>
              </w:rPr>
              <w:t>Cantidad facturas autorizadas  para 2015</w:t>
            </w:r>
          </w:p>
        </w:tc>
        <w:tc>
          <w:tcPr>
            <w:tcW w:w="1564"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szCs w:val="18"/>
              </w:rPr>
            </w:pPr>
            <w:r w:rsidRPr="000F0025">
              <w:rPr>
                <w:rFonts w:ascii="Arial" w:hAnsi="Arial" w:cs="Arial"/>
                <w:b/>
                <w:sz w:val="18"/>
                <w:szCs w:val="18"/>
              </w:rPr>
              <w:t xml:space="preserve">Cantidad de </w:t>
            </w:r>
            <w:r w:rsidR="00AD4713" w:rsidRPr="000F0025">
              <w:rPr>
                <w:rFonts w:ascii="Arial" w:hAnsi="Arial" w:cs="Arial"/>
                <w:b/>
                <w:sz w:val="18"/>
                <w:szCs w:val="18"/>
              </w:rPr>
              <w:t>f</w:t>
            </w:r>
            <w:r w:rsidRPr="000F0025">
              <w:rPr>
                <w:rFonts w:ascii="Arial" w:hAnsi="Arial" w:cs="Arial"/>
                <w:b/>
                <w:sz w:val="18"/>
                <w:szCs w:val="18"/>
              </w:rPr>
              <w:t xml:space="preserve">acturas con problemas encontrados </w:t>
            </w:r>
          </w:p>
        </w:tc>
        <w:tc>
          <w:tcPr>
            <w:tcW w:w="713"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szCs w:val="18"/>
              </w:rPr>
            </w:pPr>
            <w:r w:rsidRPr="000F0025">
              <w:rPr>
                <w:rFonts w:ascii="Arial" w:hAnsi="Arial" w:cs="Arial"/>
                <w:b/>
                <w:sz w:val="18"/>
                <w:szCs w:val="18"/>
              </w:rPr>
              <w:t>%</w:t>
            </w:r>
          </w:p>
        </w:tc>
      </w:tr>
      <w:tr w:rsidR="00FD683F" w:rsidRPr="000F0025" w:rsidTr="00EA40F8">
        <w:tc>
          <w:tcPr>
            <w:tcW w:w="1539" w:type="dxa"/>
          </w:tcPr>
          <w:p w:rsidR="00FD683F" w:rsidRPr="000F0025" w:rsidRDefault="00FD683F" w:rsidP="00EA40F8">
            <w:pPr>
              <w:pStyle w:val="ListParagraph"/>
              <w:ind w:left="0"/>
              <w:jc w:val="both"/>
              <w:rPr>
                <w:rFonts w:ascii="Arial" w:hAnsi="Arial" w:cs="Arial"/>
                <w:sz w:val="18"/>
                <w:szCs w:val="18"/>
              </w:rPr>
            </w:pPr>
            <w:r w:rsidRPr="000F0025">
              <w:rPr>
                <w:rFonts w:ascii="Arial" w:hAnsi="Arial" w:cs="Arial"/>
                <w:sz w:val="18"/>
                <w:szCs w:val="18"/>
              </w:rPr>
              <w:t>Grandes</w:t>
            </w:r>
          </w:p>
        </w:tc>
        <w:tc>
          <w:tcPr>
            <w:tcW w:w="1597"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484</w:t>
            </w:r>
          </w:p>
        </w:tc>
        <w:tc>
          <w:tcPr>
            <w:tcW w:w="1330"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201</w:t>
            </w:r>
            <w:r w:rsidR="00AD4713" w:rsidRPr="000F0025">
              <w:rPr>
                <w:rFonts w:ascii="Arial" w:hAnsi="Arial" w:cs="Arial"/>
                <w:sz w:val="18"/>
                <w:szCs w:val="18"/>
              </w:rPr>
              <w:t>.</w:t>
            </w:r>
            <w:r w:rsidRPr="000F0025">
              <w:rPr>
                <w:rFonts w:ascii="Arial" w:hAnsi="Arial" w:cs="Arial"/>
                <w:sz w:val="18"/>
                <w:szCs w:val="18"/>
              </w:rPr>
              <w:t>142</w:t>
            </w:r>
            <w:r w:rsidR="00AD4713" w:rsidRPr="000F0025">
              <w:rPr>
                <w:rFonts w:ascii="Arial" w:hAnsi="Arial" w:cs="Arial"/>
                <w:sz w:val="18"/>
                <w:szCs w:val="18"/>
              </w:rPr>
              <w:t>.</w:t>
            </w:r>
            <w:r w:rsidRPr="000F0025">
              <w:rPr>
                <w:rFonts w:ascii="Arial" w:hAnsi="Arial" w:cs="Arial"/>
                <w:sz w:val="18"/>
                <w:szCs w:val="18"/>
              </w:rPr>
              <w:t>070</w:t>
            </w:r>
          </w:p>
        </w:tc>
        <w:tc>
          <w:tcPr>
            <w:tcW w:w="1564"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3</w:t>
            </w:r>
            <w:r w:rsidR="00AD4713" w:rsidRPr="000F0025">
              <w:rPr>
                <w:rFonts w:ascii="Arial" w:hAnsi="Arial" w:cs="Arial"/>
                <w:sz w:val="18"/>
                <w:szCs w:val="18"/>
              </w:rPr>
              <w:t>.</w:t>
            </w:r>
            <w:r w:rsidRPr="000F0025">
              <w:rPr>
                <w:rFonts w:ascii="Arial" w:hAnsi="Arial" w:cs="Arial"/>
                <w:sz w:val="18"/>
                <w:szCs w:val="18"/>
              </w:rPr>
              <w:t>327</w:t>
            </w:r>
            <w:r w:rsidR="00AD4713" w:rsidRPr="000F0025">
              <w:rPr>
                <w:rFonts w:ascii="Arial" w:hAnsi="Arial" w:cs="Arial"/>
                <w:sz w:val="18"/>
                <w:szCs w:val="18"/>
              </w:rPr>
              <w:t>.</w:t>
            </w:r>
            <w:r w:rsidRPr="000F0025">
              <w:rPr>
                <w:rFonts w:ascii="Arial" w:hAnsi="Arial" w:cs="Arial"/>
                <w:sz w:val="18"/>
                <w:szCs w:val="18"/>
              </w:rPr>
              <w:t>750</w:t>
            </w:r>
          </w:p>
        </w:tc>
        <w:tc>
          <w:tcPr>
            <w:tcW w:w="713"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1</w:t>
            </w:r>
            <w:r w:rsidR="008A2B4C" w:rsidRPr="000F0025">
              <w:rPr>
                <w:rFonts w:ascii="Arial" w:hAnsi="Arial" w:cs="Arial"/>
                <w:sz w:val="18"/>
                <w:szCs w:val="18"/>
              </w:rPr>
              <w:t>,</w:t>
            </w:r>
            <w:r w:rsidRPr="000F0025">
              <w:rPr>
                <w:rFonts w:ascii="Arial" w:hAnsi="Arial" w:cs="Arial"/>
                <w:sz w:val="18"/>
                <w:szCs w:val="18"/>
              </w:rPr>
              <w:t>6</w:t>
            </w:r>
          </w:p>
        </w:tc>
      </w:tr>
      <w:tr w:rsidR="00FD683F" w:rsidRPr="000F0025" w:rsidTr="00EA40F8">
        <w:tc>
          <w:tcPr>
            <w:tcW w:w="1539" w:type="dxa"/>
          </w:tcPr>
          <w:p w:rsidR="00FD683F" w:rsidRPr="000F0025" w:rsidRDefault="00FD683F" w:rsidP="00EA40F8">
            <w:pPr>
              <w:pStyle w:val="ListParagraph"/>
              <w:ind w:left="0"/>
              <w:jc w:val="both"/>
              <w:rPr>
                <w:rFonts w:ascii="Arial" w:hAnsi="Arial" w:cs="Arial"/>
                <w:sz w:val="18"/>
                <w:szCs w:val="18"/>
              </w:rPr>
            </w:pPr>
            <w:r w:rsidRPr="000F0025">
              <w:rPr>
                <w:rFonts w:ascii="Arial" w:hAnsi="Arial" w:cs="Arial"/>
                <w:sz w:val="18"/>
                <w:szCs w:val="18"/>
              </w:rPr>
              <w:t>Medianos</w:t>
            </w:r>
          </w:p>
        </w:tc>
        <w:tc>
          <w:tcPr>
            <w:tcW w:w="1597"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648</w:t>
            </w:r>
          </w:p>
        </w:tc>
        <w:tc>
          <w:tcPr>
            <w:tcW w:w="1330"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130</w:t>
            </w:r>
            <w:r w:rsidR="00AD4713" w:rsidRPr="000F0025">
              <w:rPr>
                <w:rFonts w:ascii="Arial" w:hAnsi="Arial" w:cs="Arial"/>
                <w:sz w:val="18"/>
                <w:szCs w:val="18"/>
              </w:rPr>
              <w:t>.</w:t>
            </w:r>
            <w:r w:rsidRPr="000F0025">
              <w:rPr>
                <w:rFonts w:ascii="Arial" w:hAnsi="Arial" w:cs="Arial"/>
                <w:sz w:val="18"/>
                <w:szCs w:val="18"/>
              </w:rPr>
              <w:t>368</w:t>
            </w:r>
            <w:r w:rsidR="00AD4713" w:rsidRPr="000F0025">
              <w:rPr>
                <w:rFonts w:ascii="Arial" w:hAnsi="Arial" w:cs="Arial"/>
                <w:sz w:val="18"/>
                <w:szCs w:val="18"/>
              </w:rPr>
              <w:t>.</w:t>
            </w:r>
            <w:r w:rsidRPr="000F0025">
              <w:rPr>
                <w:rFonts w:ascii="Arial" w:hAnsi="Arial" w:cs="Arial"/>
                <w:sz w:val="18"/>
                <w:szCs w:val="18"/>
              </w:rPr>
              <w:t>039</w:t>
            </w:r>
          </w:p>
        </w:tc>
        <w:tc>
          <w:tcPr>
            <w:tcW w:w="1564"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2</w:t>
            </w:r>
            <w:r w:rsidR="00AD4713" w:rsidRPr="000F0025">
              <w:rPr>
                <w:rFonts w:ascii="Arial" w:hAnsi="Arial" w:cs="Arial"/>
                <w:sz w:val="18"/>
                <w:szCs w:val="18"/>
              </w:rPr>
              <w:t>.</w:t>
            </w:r>
            <w:r w:rsidRPr="000F0025">
              <w:rPr>
                <w:rFonts w:ascii="Arial" w:hAnsi="Arial" w:cs="Arial"/>
                <w:sz w:val="18"/>
                <w:szCs w:val="18"/>
              </w:rPr>
              <w:t>212</w:t>
            </w:r>
            <w:r w:rsidR="00AD4713" w:rsidRPr="000F0025">
              <w:rPr>
                <w:rFonts w:ascii="Arial" w:hAnsi="Arial" w:cs="Arial"/>
                <w:sz w:val="18"/>
                <w:szCs w:val="18"/>
              </w:rPr>
              <w:t>.</w:t>
            </w:r>
            <w:r w:rsidRPr="000F0025">
              <w:rPr>
                <w:rFonts w:ascii="Arial" w:hAnsi="Arial" w:cs="Arial"/>
                <w:sz w:val="18"/>
                <w:szCs w:val="18"/>
              </w:rPr>
              <w:t>890</w:t>
            </w:r>
          </w:p>
        </w:tc>
        <w:tc>
          <w:tcPr>
            <w:tcW w:w="713"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1</w:t>
            </w:r>
            <w:r w:rsidR="008A2B4C" w:rsidRPr="000F0025">
              <w:rPr>
                <w:rFonts w:ascii="Arial" w:hAnsi="Arial" w:cs="Arial"/>
                <w:sz w:val="18"/>
                <w:szCs w:val="18"/>
              </w:rPr>
              <w:t>,</w:t>
            </w:r>
            <w:r w:rsidRPr="000F0025">
              <w:rPr>
                <w:rFonts w:ascii="Arial" w:hAnsi="Arial" w:cs="Arial"/>
                <w:sz w:val="18"/>
                <w:szCs w:val="18"/>
              </w:rPr>
              <w:t>6</w:t>
            </w:r>
          </w:p>
        </w:tc>
      </w:tr>
      <w:tr w:rsidR="00FD683F" w:rsidRPr="000F0025" w:rsidTr="00EA40F8">
        <w:tc>
          <w:tcPr>
            <w:tcW w:w="1539" w:type="dxa"/>
          </w:tcPr>
          <w:p w:rsidR="00FD683F" w:rsidRPr="000F0025" w:rsidRDefault="00FD683F" w:rsidP="00EA40F8">
            <w:pPr>
              <w:pStyle w:val="ListParagraph"/>
              <w:ind w:left="0"/>
              <w:jc w:val="both"/>
              <w:rPr>
                <w:rFonts w:ascii="Arial" w:hAnsi="Arial" w:cs="Arial"/>
                <w:sz w:val="18"/>
                <w:szCs w:val="18"/>
              </w:rPr>
            </w:pPr>
            <w:r w:rsidRPr="000F0025">
              <w:rPr>
                <w:rFonts w:ascii="Arial" w:hAnsi="Arial" w:cs="Arial"/>
                <w:sz w:val="18"/>
                <w:szCs w:val="18"/>
              </w:rPr>
              <w:t>Pequeños</w:t>
            </w:r>
          </w:p>
        </w:tc>
        <w:tc>
          <w:tcPr>
            <w:tcW w:w="1597"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64</w:t>
            </w:r>
            <w:r w:rsidR="00AD4713" w:rsidRPr="000F0025">
              <w:rPr>
                <w:rFonts w:ascii="Arial" w:hAnsi="Arial" w:cs="Arial"/>
                <w:sz w:val="18"/>
                <w:szCs w:val="18"/>
              </w:rPr>
              <w:t>.</w:t>
            </w:r>
            <w:r w:rsidRPr="000F0025">
              <w:rPr>
                <w:rFonts w:ascii="Arial" w:hAnsi="Arial" w:cs="Arial"/>
                <w:sz w:val="18"/>
                <w:szCs w:val="18"/>
              </w:rPr>
              <w:t>403</w:t>
            </w:r>
          </w:p>
        </w:tc>
        <w:tc>
          <w:tcPr>
            <w:tcW w:w="1330"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129</w:t>
            </w:r>
            <w:r w:rsidR="00AD4713" w:rsidRPr="000F0025">
              <w:rPr>
                <w:rFonts w:ascii="Arial" w:hAnsi="Arial" w:cs="Arial"/>
                <w:sz w:val="18"/>
                <w:szCs w:val="18"/>
              </w:rPr>
              <w:t>.</w:t>
            </w:r>
            <w:r w:rsidRPr="000F0025">
              <w:rPr>
                <w:rFonts w:ascii="Arial" w:hAnsi="Arial" w:cs="Arial"/>
                <w:sz w:val="18"/>
                <w:szCs w:val="18"/>
              </w:rPr>
              <w:t>546</w:t>
            </w:r>
            <w:r w:rsidR="00AD4713" w:rsidRPr="000F0025">
              <w:rPr>
                <w:rFonts w:ascii="Arial" w:hAnsi="Arial" w:cs="Arial"/>
                <w:sz w:val="18"/>
                <w:szCs w:val="18"/>
              </w:rPr>
              <w:t>.</w:t>
            </w:r>
            <w:r w:rsidRPr="000F0025">
              <w:rPr>
                <w:rFonts w:ascii="Arial" w:hAnsi="Arial" w:cs="Arial"/>
                <w:sz w:val="18"/>
                <w:szCs w:val="18"/>
              </w:rPr>
              <w:t>039</w:t>
            </w:r>
          </w:p>
        </w:tc>
        <w:tc>
          <w:tcPr>
            <w:tcW w:w="1564"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10</w:t>
            </w:r>
            <w:r w:rsidR="00AD4713" w:rsidRPr="000F0025">
              <w:rPr>
                <w:rFonts w:ascii="Arial" w:hAnsi="Arial" w:cs="Arial"/>
                <w:sz w:val="18"/>
                <w:szCs w:val="18"/>
              </w:rPr>
              <w:t>.</w:t>
            </w:r>
            <w:r w:rsidRPr="000F0025">
              <w:rPr>
                <w:rFonts w:ascii="Arial" w:hAnsi="Arial" w:cs="Arial"/>
                <w:sz w:val="18"/>
                <w:szCs w:val="18"/>
              </w:rPr>
              <w:t>615</w:t>
            </w:r>
            <w:r w:rsidR="00AD4713" w:rsidRPr="000F0025">
              <w:rPr>
                <w:rFonts w:ascii="Arial" w:hAnsi="Arial" w:cs="Arial"/>
                <w:sz w:val="18"/>
                <w:szCs w:val="18"/>
              </w:rPr>
              <w:t>.</w:t>
            </w:r>
            <w:r w:rsidRPr="000F0025">
              <w:rPr>
                <w:rFonts w:ascii="Arial" w:hAnsi="Arial" w:cs="Arial"/>
                <w:sz w:val="18"/>
                <w:szCs w:val="18"/>
              </w:rPr>
              <w:t>443</w:t>
            </w:r>
          </w:p>
        </w:tc>
        <w:tc>
          <w:tcPr>
            <w:tcW w:w="713"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8</w:t>
            </w:r>
            <w:r w:rsidR="008A2B4C" w:rsidRPr="000F0025">
              <w:rPr>
                <w:rFonts w:ascii="Arial" w:hAnsi="Arial" w:cs="Arial"/>
                <w:sz w:val="18"/>
                <w:szCs w:val="18"/>
              </w:rPr>
              <w:t>,</w:t>
            </w:r>
            <w:r w:rsidRPr="000F0025">
              <w:rPr>
                <w:rFonts w:ascii="Arial" w:hAnsi="Arial" w:cs="Arial"/>
                <w:sz w:val="18"/>
                <w:szCs w:val="18"/>
              </w:rPr>
              <w:t>0</w:t>
            </w:r>
          </w:p>
        </w:tc>
      </w:tr>
      <w:tr w:rsidR="00FD683F" w:rsidRPr="000F0025" w:rsidTr="00EA40F8">
        <w:tc>
          <w:tcPr>
            <w:tcW w:w="1539" w:type="dxa"/>
          </w:tcPr>
          <w:p w:rsidR="00FD683F" w:rsidRPr="000F0025" w:rsidRDefault="00FD683F" w:rsidP="00EA40F8">
            <w:pPr>
              <w:pStyle w:val="ListParagraph"/>
              <w:ind w:left="0"/>
              <w:jc w:val="both"/>
              <w:rPr>
                <w:rFonts w:ascii="Arial" w:hAnsi="Arial" w:cs="Arial"/>
                <w:sz w:val="18"/>
                <w:szCs w:val="18"/>
              </w:rPr>
            </w:pPr>
            <w:r w:rsidRPr="000F0025">
              <w:rPr>
                <w:rFonts w:ascii="Arial" w:hAnsi="Arial" w:cs="Arial"/>
                <w:sz w:val="18"/>
                <w:szCs w:val="18"/>
              </w:rPr>
              <w:t>Total</w:t>
            </w:r>
          </w:p>
        </w:tc>
        <w:tc>
          <w:tcPr>
            <w:tcW w:w="1597" w:type="dxa"/>
          </w:tcPr>
          <w:p w:rsidR="00FD683F" w:rsidRPr="000F0025" w:rsidRDefault="00FD683F" w:rsidP="00EA40F8">
            <w:pPr>
              <w:pStyle w:val="ListParagraph"/>
              <w:ind w:left="0"/>
              <w:jc w:val="center"/>
              <w:rPr>
                <w:rFonts w:ascii="Arial" w:hAnsi="Arial" w:cs="Arial"/>
                <w:sz w:val="18"/>
                <w:szCs w:val="18"/>
              </w:rPr>
            </w:pPr>
            <w:r w:rsidRPr="000F0025">
              <w:rPr>
                <w:rFonts w:ascii="Arial" w:hAnsi="Arial" w:cs="Arial"/>
                <w:sz w:val="18"/>
                <w:szCs w:val="18"/>
              </w:rPr>
              <w:t>65</w:t>
            </w:r>
            <w:r w:rsidR="00AD4713" w:rsidRPr="000F0025">
              <w:rPr>
                <w:rFonts w:ascii="Arial" w:hAnsi="Arial" w:cs="Arial"/>
                <w:sz w:val="18"/>
                <w:szCs w:val="18"/>
              </w:rPr>
              <w:t>.</w:t>
            </w:r>
            <w:r w:rsidRPr="000F0025">
              <w:rPr>
                <w:rFonts w:ascii="Arial" w:hAnsi="Arial" w:cs="Arial"/>
                <w:sz w:val="18"/>
                <w:szCs w:val="18"/>
              </w:rPr>
              <w:t>535</w:t>
            </w:r>
          </w:p>
        </w:tc>
        <w:tc>
          <w:tcPr>
            <w:tcW w:w="1330"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461</w:t>
            </w:r>
            <w:r w:rsidR="00AD4713" w:rsidRPr="000F0025">
              <w:rPr>
                <w:rFonts w:ascii="Arial" w:hAnsi="Arial" w:cs="Arial"/>
                <w:sz w:val="18"/>
                <w:szCs w:val="18"/>
              </w:rPr>
              <w:t>.</w:t>
            </w:r>
            <w:r w:rsidRPr="000F0025">
              <w:rPr>
                <w:rFonts w:ascii="Arial" w:hAnsi="Arial" w:cs="Arial"/>
                <w:sz w:val="18"/>
                <w:szCs w:val="18"/>
              </w:rPr>
              <w:t>056</w:t>
            </w:r>
            <w:r w:rsidR="00AD4713" w:rsidRPr="000F0025">
              <w:rPr>
                <w:rFonts w:ascii="Arial" w:hAnsi="Arial" w:cs="Arial"/>
                <w:sz w:val="18"/>
                <w:szCs w:val="18"/>
              </w:rPr>
              <w:t>.</w:t>
            </w:r>
            <w:r w:rsidRPr="000F0025">
              <w:rPr>
                <w:rFonts w:ascii="Arial" w:hAnsi="Arial" w:cs="Arial"/>
                <w:sz w:val="18"/>
                <w:szCs w:val="18"/>
              </w:rPr>
              <w:t>148</w:t>
            </w:r>
          </w:p>
        </w:tc>
        <w:tc>
          <w:tcPr>
            <w:tcW w:w="1564" w:type="dxa"/>
          </w:tcPr>
          <w:p w:rsidR="00FD683F" w:rsidRPr="000F0025" w:rsidRDefault="00FD683F" w:rsidP="00AD4713">
            <w:pPr>
              <w:pStyle w:val="ListParagraph"/>
              <w:ind w:left="0"/>
              <w:jc w:val="center"/>
              <w:rPr>
                <w:rFonts w:ascii="Arial" w:hAnsi="Arial" w:cs="Arial"/>
                <w:sz w:val="18"/>
                <w:szCs w:val="18"/>
              </w:rPr>
            </w:pPr>
            <w:r w:rsidRPr="000F0025">
              <w:rPr>
                <w:rFonts w:ascii="Arial" w:hAnsi="Arial" w:cs="Arial"/>
                <w:sz w:val="18"/>
                <w:szCs w:val="18"/>
              </w:rPr>
              <w:t>16</w:t>
            </w:r>
            <w:r w:rsidR="00AD4713" w:rsidRPr="000F0025">
              <w:rPr>
                <w:rFonts w:ascii="Arial" w:hAnsi="Arial" w:cs="Arial"/>
                <w:sz w:val="18"/>
                <w:szCs w:val="18"/>
              </w:rPr>
              <w:t>.</w:t>
            </w:r>
            <w:r w:rsidRPr="000F0025">
              <w:rPr>
                <w:rFonts w:ascii="Arial" w:hAnsi="Arial" w:cs="Arial"/>
                <w:sz w:val="18"/>
                <w:szCs w:val="18"/>
              </w:rPr>
              <w:t>156</w:t>
            </w:r>
            <w:r w:rsidR="00AD4713" w:rsidRPr="000F0025">
              <w:rPr>
                <w:rFonts w:ascii="Arial" w:hAnsi="Arial" w:cs="Arial"/>
                <w:sz w:val="18"/>
                <w:szCs w:val="18"/>
              </w:rPr>
              <w:t>.</w:t>
            </w:r>
            <w:r w:rsidRPr="000F0025">
              <w:rPr>
                <w:rFonts w:ascii="Arial" w:hAnsi="Arial" w:cs="Arial"/>
                <w:sz w:val="18"/>
                <w:szCs w:val="18"/>
              </w:rPr>
              <w:t>083</w:t>
            </w:r>
          </w:p>
        </w:tc>
        <w:tc>
          <w:tcPr>
            <w:tcW w:w="713" w:type="dxa"/>
          </w:tcPr>
          <w:p w:rsidR="00FD683F" w:rsidRPr="000F0025" w:rsidRDefault="00FD683F" w:rsidP="00EA40F8">
            <w:pPr>
              <w:pStyle w:val="ListParagraph"/>
              <w:ind w:left="0"/>
              <w:jc w:val="center"/>
              <w:rPr>
                <w:rFonts w:ascii="Arial" w:hAnsi="Arial" w:cs="Arial"/>
                <w:sz w:val="18"/>
                <w:szCs w:val="18"/>
              </w:rPr>
            </w:pPr>
          </w:p>
        </w:tc>
      </w:tr>
    </w:tbl>
    <w:p w:rsidR="00FD683F" w:rsidRPr="002E1AE0" w:rsidRDefault="00FD683F" w:rsidP="00FD683F">
      <w:pPr>
        <w:pStyle w:val="ListParagraph"/>
        <w:ind w:left="1080"/>
        <w:jc w:val="both"/>
        <w:rPr>
          <w:rFonts w:ascii="Arial" w:hAnsi="Arial" w:cs="Arial"/>
        </w:rPr>
      </w:pPr>
    </w:p>
    <w:p w:rsidR="00FD683F" w:rsidRPr="002E1AE0" w:rsidRDefault="00FD683F" w:rsidP="00FD683F">
      <w:pPr>
        <w:pStyle w:val="ListParagraph"/>
        <w:ind w:left="1080"/>
        <w:jc w:val="both"/>
        <w:rPr>
          <w:rFonts w:ascii="Arial" w:hAnsi="Arial" w:cs="Arial"/>
        </w:rPr>
      </w:pPr>
      <w:r w:rsidRPr="002E1AE0">
        <w:rPr>
          <w:rFonts w:ascii="Arial" w:hAnsi="Arial" w:cs="Arial"/>
        </w:rPr>
        <w:t xml:space="preserve">Es importante mencionar que el estudio de irregularidades fue realizado de forma simplificada no contando con instrumentos efectivos para el cruce de información. Básicamente se trató de verificar las facturas emitidas sin autorización del fisco. Con </w:t>
      </w:r>
      <w:r w:rsidR="000612EF" w:rsidRPr="002E1AE0">
        <w:rPr>
          <w:rFonts w:ascii="Arial" w:hAnsi="Arial" w:cs="Arial"/>
        </w:rPr>
        <w:t>una</w:t>
      </w:r>
      <w:r w:rsidRPr="002E1AE0">
        <w:rPr>
          <w:rFonts w:ascii="Arial" w:hAnsi="Arial" w:cs="Arial"/>
        </w:rPr>
        <w:t xml:space="preserve"> probabilidad </w:t>
      </w:r>
      <w:r w:rsidR="000612EF" w:rsidRPr="002E1AE0">
        <w:rPr>
          <w:rFonts w:ascii="Arial" w:hAnsi="Arial" w:cs="Arial"/>
        </w:rPr>
        <w:t xml:space="preserve">alta </w:t>
      </w:r>
      <w:r w:rsidRPr="002E1AE0">
        <w:rPr>
          <w:rFonts w:ascii="Arial" w:hAnsi="Arial" w:cs="Arial"/>
        </w:rPr>
        <w:t>se pu</w:t>
      </w:r>
      <w:r w:rsidR="000612EF" w:rsidRPr="002E1AE0">
        <w:rPr>
          <w:rFonts w:ascii="Arial" w:hAnsi="Arial" w:cs="Arial"/>
        </w:rPr>
        <w:t>e</w:t>
      </w:r>
      <w:r w:rsidRPr="002E1AE0">
        <w:rPr>
          <w:rFonts w:ascii="Arial" w:hAnsi="Arial" w:cs="Arial"/>
        </w:rPr>
        <w:t>de afirmar que los porcentajes de irregularidades existente hoy son substancialmente superiores a los identificados. Por lo tanto, para efectos de</w:t>
      </w:r>
      <w:r w:rsidR="000612EF" w:rsidRPr="002E1AE0">
        <w:rPr>
          <w:rFonts w:ascii="Arial" w:hAnsi="Arial" w:cs="Arial"/>
        </w:rPr>
        <w:t>l</w:t>
      </w:r>
      <w:r w:rsidRPr="002E1AE0">
        <w:rPr>
          <w:rFonts w:ascii="Arial" w:hAnsi="Arial" w:cs="Arial"/>
        </w:rPr>
        <w:t xml:space="preserve"> cálculo de ganancias se optó de forma conservadora </w:t>
      </w:r>
      <w:r w:rsidR="000612EF" w:rsidRPr="002E1AE0">
        <w:rPr>
          <w:rFonts w:ascii="Arial" w:hAnsi="Arial" w:cs="Arial"/>
        </w:rPr>
        <w:t xml:space="preserve">por </w:t>
      </w:r>
      <w:r w:rsidRPr="002E1AE0">
        <w:rPr>
          <w:rFonts w:ascii="Arial" w:hAnsi="Arial" w:cs="Arial"/>
        </w:rPr>
        <w:t xml:space="preserve">utilizar los porcentajes identificados.   </w:t>
      </w:r>
    </w:p>
    <w:p w:rsidR="00FD683F" w:rsidRPr="002E1AE0" w:rsidRDefault="00FD683F" w:rsidP="00FD683F">
      <w:pPr>
        <w:pStyle w:val="Paragraph"/>
        <w:tabs>
          <w:tab w:val="clear" w:pos="1296"/>
          <w:tab w:val="num" w:pos="720"/>
        </w:tabs>
        <w:ind w:hanging="1206"/>
        <w:rPr>
          <w:rFonts w:ascii="Arial" w:hAnsi="Arial" w:cs="Arial"/>
          <w:b/>
          <w:sz w:val="22"/>
          <w:szCs w:val="22"/>
        </w:rPr>
      </w:pPr>
      <w:r w:rsidRPr="002E1AE0">
        <w:rPr>
          <w:rFonts w:ascii="Arial" w:hAnsi="Arial" w:cs="Arial"/>
          <w:b/>
          <w:sz w:val="22"/>
          <w:szCs w:val="22"/>
        </w:rPr>
        <w:t>La solución</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La solución contemplada es la implantación de la factura electrónica que consiste en una comunicación de las transacciones comerciales en tiempo real que permitirá aplicar controles masivos más detallados y reducir las brechas de evasión. </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Para </w:t>
      </w:r>
      <w:r w:rsidR="00632FBB" w:rsidRPr="002E1AE0">
        <w:rPr>
          <w:rFonts w:ascii="Arial" w:hAnsi="Arial" w:cs="Arial"/>
        </w:rPr>
        <w:t>el uso</w:t>
      </w:r>
      <w:r w:rsidRPr="002E1AE0">
        <w:rPr>
          <w:rFonts w:ascii="Arial" w:hAnsi="Arial" w:cs="Arial"/>
        </w:rPr>
        <w:t xml:space="preserve"> de</w:t>
      </w:r>
      <w:r w:rsidR="00376F94" w:rsidRPr="002E1AE0">
        <w:rPr>
          <w:rFonts w:ascii="Arial" w:hAnsi="Arial" w:cs="Arial"/>
        </w:rPr>
        <w:t xml:space="preserve"> la</w:t>
      </w:r>
      <w:r w:rsidRPr="002E1AE0">
        <w:rPr>
          <w:rFonts w:ascii="Arial" w:hAnsi="Arial" w:cs="Arial"/>
        </w:rPr>
        <w:t xml:space="preserve"> factura electrónica</w:t>
      </w:r>
      <w:r w:rsidR="00376F94" w:rsidRPr="002E1AE0">
        <w:rPr>
          <w:rFonts w:ascii="Arial" w:hAnsi="Arial" w:cs="Arial"/>
        </w:rPr>
        <w:t>,</w:t>
      </w:r>
      <w:r w:rsidRPr="002E1AE0">
        <w:rPr>
          <w:rFonts w:ascii="Arial" w:hAnsi="Arial" w:cs="Arial"/>
        </w:rPr>
        <w:t xml:space="preserve"> la DEI está desarrollando una solución informática</w:t>
      </w:r>
      <w:r w:rsidR="00632FBB" w:rsidRPr="002E1AE0">
        <w:rPr>
          <w:rFonts w:ascii="Arial" w:hAnsi="Arial" w:cs="Arial"/>
        </w:rPr>
        <w:t xml:space="preserve"> e</w:t>
      </w:r>
      <w:r w:rsidR="00E32B46" w:rsidRPr="002E1AE0">
        <w:rPr>
          <w:rFonts w:ascii="Arial" w:hAnsi="Arial" w:cs="Arial"/>
        </w:rPr>
        <w:t xml:space="preserve"> </w:t>
      </w:r>
      <w:r w:rsidRPr="002E1AE0">
        <w:rPr>
          <w:rFonts w:ascii="Arial" w:hAnsi="Arial" w:cs="Arial"/>
        </w:rPr>
        <w:t>implementa</w:t>
      </w:r>
      <w:r w:rsidR="00632FBB" w:rsidRPr="002E1AE0">
        <w:rPr>
          <w:rFonts w:ascii="Arial" w:hAnsi="Arial" w:cs="Arial"/>
        </w:rPr>
        <w:t>ndo</w:t>
      </w:r>
      <w:r w:rsidRPr="002E1AE0">
        <w:rPr>
          <w:rFonts w:ascii="Arial" w:hAnsi="Arial" w:cs="Arial"/>
        </w:rPr>
        <w:t xml:space="preserve"> una estructura tecnológica que permitirá que </w:t>
      </w:r>
      <w:r w:rsidR="00157158" w:rsidRPr="002E1AE0">
        <w:rPr>
          <w:rFonts w:ascii="Arial" w:hAnsi="Arial" w:cs="Arial"/>
        </w:rPr>
        <w:t xml:space="preserve">los establecimientos, </w:t>
      </w:r>
      <w:r w:rsidR="006E68E1" w:rsidRPr="002E1AE0">
        <w:rPr>
          <w:rFonts w:ascii="Arial" w:hAnsi="Arial" w:cs="Arial"/>
        </w:rPr>
        <w:t xml:space="preserve">en el momento de la transacción y emisión </w:t>
      </w:r>
      <w:r w:rsidR="00157158" w:rsidRPr="002E1AE0">
        <w:rPr>
          <w:rFonts w:ascii="Arial" w:hAnsi="Arial" w:cs="Arial"/>
        </w:rPr>
        <w:t xml:space="preserve">de la factura, </w:t>
      </w:r>
      <w:r w:rsidR="006E68E1" w:rsidRPr="002E1AE0">
        <w:rPr>
          <w:rFonts w:ascii="Arial" w:hAnsi="Arial" w:cs="Arial"/>
        </w:rPr>
        <w:t xml:space="preserve">la </w:t>
      </w:r>
      <w:r w:rsidR="00157158" w:rsidRPr="002E1AE0">
        <w:rPr>
          <w:rFonts w:ascii="Arial" w:hAnsi="Arial" w:cs="Arial"/>
        </w:rPr>
        <w:t xml:space="preserve">puedan </w:t>
      </w:r>
      <w:r w:rsidRPr="002E1AE0">
        <w:rPr>
          <w:rFonts w:ascii="Arial" w:hAnsi="Arial" w:cs="Arial"/>
        </w:rPr>
        <w:t>valid</w:t>
      </w:r>
      <w:r w:rsidR="00157158" w:rsidRPr="002E1AE0">
        <w:rPr>
          <w:rFonts w:ascii="Arial" w:hAnsi="Arial" w:cs="Arial"/>
        </w:rPr>
        <w:t>ar</w:t>
      </w:r>
      <w:r w:rsidRPr="002E1AE0">
        <w:rPr>
          <w:rFonts w:ascii="Arial" w:hAnsi="Arial" w:cs="Arial"/>
        </w:rPr>
        <w:t xml:space="preserve"> y registr</w:t>
      </w:r>
      <w:r w:rsidR="00157158" w:rsidRPr="002E1AE0">
        <w:rPr>
          <w:rFonts w:ascii="Arial" w:hAnsi="Arial" w:cs="Arial"/>
        </w:rPr>
        <w:t>ar</w:t>
      </w:r>
      <w:r w:rsidRPr="002E1AE0">
        <w:rPr>
          <w:rFonts w:ascii="Arial" w:hAnsi="Arial" w:cs="Arial"/>
        </w:rPr>
        <w:t xml:space="preserve"> de forma inmediata en las bases de datos de</w:t>
      </w:r>
      <w:r w:rsidR="00632FBB" w:rsidRPr="002E1AE0">
        <w:rPr>
          <w:rFonts w:ascii="Arial" w:hAnsi="Arial" w:cs="Arial"/>
        </w:rPr>
        <w:t xml:space="preserve"> </w:t>
      </w:r>
      <w:r w:rsidRPr="002E1AE0">
        <w:rPr>
          <w:rFonts w:ascii="Arial" w:hAnsi="Arial" w:cs="Arial"/>
        </w:rPr>
        <w:t xml:space="preserve">la DEI. Para </w:t>
      </w:r>
      <w:r w:rsidR="00497392" w:rsidRPr="002E1AE0">
        <w:rPr>
          <w:rFonts w:ascii="Arial" w:hAnsi="Arial" w:cs="Arial"/>
        </w:rPr>
        <w:t>ello</w:t>
      </w:r>
      <w:r w:rsidRPr="002E1AE0">
        <w:rPr>
          <w:rFonts w:ascii="Arial" w:hAnsi="Arial" w:cs="Arial"/>
        </w:rPr>
        <w:t xml:space="preserve">, la DEI hará disponible un canal de comunicación con sus servidores de datos que posibilitará la validación y registro de la </w:t>
      </w:r>
      <w:r w:rsidRPr="002E1AE0">
        <w:rPr>
          <w:rFonts w:ascii="Arial" w:hAnsi="Arial" w:cs="Arial"/>
        </w:rPr>
        <w:lastRenderedPageBreak/>
        <w:t xml:space="preserve">transacción. Los contribuyentes que emiten facturas tendrán que instalar en sus sistemas una aplicación que posibilite esta comunicación con los servidores de datos de la DEI. Los </w:t>
      </w:r>
      <w:r w:rsidR="00497392" w:rsidRPr="002E1AE0">
        <w:rPr>
          <w:rFonts w:ascii="Arial" w:hAnsi="Arial" w:cs="Arial"/>
        </w:rPr>
        <w:t>dispositivos</w:t>
      </w:r>
      <w:r w:rsidRPr="002E1AE0">
        <w:rPr>
          <w:rFonts w:ascii="Arial" w:hAnsi="Arial" w:cs="Arial"/>
        </w:rPr>
        <w:t xml:space="preserve"> a ser </w:t>
      </w:r>
      <w:r w:rsidR="00E32B46" w:rsidRPr="002E1AE0">
        <w:rPr>
          <w:rFonts w:ascii="Arial" w:hAnsi="Arial" w:cs="Arial"/>
        </w:rPr>
        <w:t>instalados serán</w:t>
      </w:r>
      <w:r w:rsidRPr="002E1AE0">
        <w:rPr>
          <w:rFonts w:ascii="Arial" w:hAnsi="Arial" w:cs="Arial"/>
        </w:rPr>
        <w:t xml:space="preserve"> prov</w:t>
      </w:r>
      <w:r w:rsidR="00246B7F" w:rsidRPr="002E1AE0">
        <w:rPr>
          <w:rFonts w:ascii="Arial" w:hAnsi="Arial" w:cs="Arial"/>
        </w:rPr>
        <w:t>istos a</w:t>
      </w:r>
      <w:r w:rsidRPr="002E1AE0">
        <w:rPr>
          <w:rFonts w:ascii="Arial" w:hAnsi="Arial" w:cs="Arial"/>
        </w:rPr>
        <w:t xml:space="preserve"> </w:t>
      </w:r>
      <w:r w:rsidR="00246B7F" w:rsidRPr="002E1AE0">
        <w:rPr>
          <w:rFonts w:ascii="Arial" w:hAnsi="Arial" w:cs="Arial"/>
        </w:rPr>
        <w:t xml:space="preserve">los contribuyentes </w:t>
      </w:r>
      <w:r w:rsidRPr="002E1AE0">
        <w:rPr>
          <w:rFonts w:ascii="Arial" w:hAnsi="Arial" w:cs="Arial"/>
        </w:rPr>
        <w:t xml:space="preserve">por empresas de tecnología del sector privado o desarrollados por los propios usuarios, bajo especificaciones técnicas </w:t>
      </w:r>
      <w:r w:rsidR="00DA21D1" w:rsidRPr="002E1AE0">
        <w:rPr>
          <w:rFonts w:ascii="Arial" w:hAnsi="Arial" w:cs="Arial"/>
        </w:rPr>
        <w:t xml:space="preserve">de la </w:t>
      </w:r>
      <w:r w:rsidRPr="002E1AE0">
        <w:rPr>
          <w:rFonts w:ascii="Arial" w:hAnsi="Arial" w:cs="Arial"/>
        </w:rPr>
        <w:t>DEI.</w:t>
      </w:r>
      <w:r w:rsidR="00E32B46" w:rsidRPr="002E1AE0">
        <w:rPr>
          <w:rFonts w:ascii="Arial" w:hAnsi="Arial" w:cs="Arial"/>
        </w:rPr>
        <w:t xml:space="preserve"> Esto tendrá un costo para los contribuyentes el cual está detallado en el Cuadro.  </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El sistema de registro y validación de las facturas, así como la infraestructura tecnológica de soporte de este sistema, está en fase de desarrollo e implantación por la DEI, con recursos propios y recursos provenientes de una </w:t>
      </w:r>
      <w:r w:rsidR="00246B7F" w:rsidRPr="002E1AE0">
        <w:rPr>
          <w:rFonts w:ascii="Arial" w:hAnsi="Arial" w:cs="Arial"/>
        </w:rPr>
        <w:t>C</w:t>
      </w:r>
      <w:r w:rsidR="00157158" w:rsidRPr="002E1AE0">
        <w:rPr>
          <w:rFonts w:ascii="Arial" w:hAnsi="Arial" w:cs="Arial"/>
        </w:rPr>
        <w:t>ooperación Técnica del Banco</w:t>
      </w:r>
      <w:r w:rsidRPr="002E1AE0">
        <w:rPr>
          <w:rFonts w:ascii="Arial" w:hAnsi="Arial" w:cs="Arial"/>
        </w:rPr>
        <w:t xml:space="preserve">. Adicionalmente, la DEI </w:t>
      </w:r>
      <w:r w:rsidR="00FE0052" w:rsidRPr="002E1AE0">
        <w:rPr>
          <w:rFonts w:ascii="Arial" w:hAnsi="Arial" w:cs="Arial"/>
        </w:rPr>
        <w:t>comenzará</w:t>
      </w:r>
      <w:r w:rsidRPr="002E1AE0">
        <w:rPr>
          <w:rFonts w:ascii="Arial" w:hAnsi="Arial" w:cs="Arial"/>
        </w:rPr>
        <w:t xml:space="preserve"> campañas de comunicación con el objetivo de incentivar a la población a solicitar sus facturas electrónicas, </w:t>
      </w:r>
      <w:r w:rsidR="00FE0052" w:rsidRPr="002E1AE0">
        <w:rPr>
          <w:rFonts w:ascii="Arial" w:hAnsi="Arial" w:cs="Arial"/>
        </w:rPr>
        <w:t>las</w:t>
      </w:r>
      <w:r w:rsidRPr="002E1AE0">
        <w:rPr>
          <w:rFonts w:ascii="Arial" w:hAnsi="Arial" w:cs="Arial"/>
        </w:rPr>
        <w:t xml:space="preserve"> cual</w:t>
      </w:r>
      <w:r w:rsidR="006E68E1" w:rsidRPr="002E1AE0">
        <w:rPr>
          <w:rFonts w:ascii="Arial" w:hAnsi="Arial" w:cs="Arial"/>
        </w:rPr>
        <w:t>es</w:t>
      </w:r>
      <w:r w:rsidRPr="002E1AE0">
        <w:rPr>
          <w:rFonts w:ascii="Arial" w:hAnsi="Arial" w:cs="Arial"/>
        </w:rPr>
        <w:t xml:space="preserve"> contará</w:t>
      </w:r>
      <w:r w:rsidR="00AF08C5" w:rsidRPr="002E1AE0">
        <w:rPr>
          <w:rFonts w:ascii="Arial" w:hAnsi="Arial" w:cs="Arial"/>
        </w:rPr>
        <w:t>n</w:t>
      </w:r>
      <w:r w:rsidRPr="002E1AE0">
        <w:rPr>
          <w:rFonts w:ascii="Arial" w:hAnsi="Arial" w:cs="Arial"/>
        </w:rPr>
        <w:t xml:space="preserve"> con insumos de experiencias exitosas ya implementadas en diversos países de América Latina.</w:t>
      </w:r>
    </w:p>
    <w:p w:rsidR="00FD683F" w:rsidRPr="002E1AE0" w:rsidRDefault="00FD683F" w:rsidP="00FD683F">
      <w:pPr>
        <w:pStyle w:val="Paragraph"/>
        <w:tabs>
          <w:tab w:val="clear" w:pos="1296"/>
          <w:tab w:val="num" w:pos="720"/>
        </w:tabs>
        <w:ind w:hanging="1206"/>
        <w:rPr>
          <w:rFonts w:ascii="Arial" w:hAnsi="Arial" w:cs="Arial"/>
          <w:b/>
          <w:sz w:val="22"/>
          <w:szCs w:val="22"/>
        </w:rPr>
      </w:pPr>
      <w:r w:rsidRPr="002E1AE0">
        <w:rPr>
          <w:rFonts w:ascii="Arial" w:hAnsi="Arial" w:cs="Arial"/>
          <w:b/>
          <w:sz w:val="22"/>
          <w:szCs w:val="22"/>
        </w:rPr>
        <w:t>El cálculo del Beneficio</w:t>
      </w:r>
    </w:p>
    <w:p w:rsidR="00FD683F" w:rsidRPr="002E1AE0" w:rsidRDefault="00AF08C5"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En </w:t>
      </w:r>
      <w:r w:rsidR="00FD683F" w:rsidRPr="002E1AE0">
        <w:rPr>
          <w:rFonts w:ascii="Arial" w:hAnsi="Arial" w:cs="Arial"/>
        </w:rPr>
        <w:t xml:space="preserve">base </w:t>
      </w:r>
      <w:r w:rsidRPr="002E1AE0">
        <w:rPr>
          <w:rFonts w:ascii="Arial" w:hAnsi="Arial" w:cs="Arial"/>
        </w:rPr>
        <w:t>a</w:t>
      </w:r>
      <w:r w:rsidR="00FD683F" w:rsidRPr="002E1AE0">
        <w:rPr>
          <w:rFonts w:ascii="Arial" w:hAnsi="Arial" w:cs="Arial"/>
        </w:rPr>
        <w:t xml:space="preserve"> los porcentajes de irregularidades presentados en el Cuadro 1, se estimó de forma conservadora que la eliminación de estas irregularidades tendrá un impacto en la recaudación directamente proporcional al porcentaje de irregularidades presentadas en la facturas con problemas encontrados. En este sentido</w:t>
      </w:r>
      <w:r w:rsidRPr="002E1AE0">
        <w:rPr>
          <w:rFonts w:ascii="Arial" w:hAnsi="Arial" w:cs="Arial"/>
        </w:rPr>
        <w:t>,</w:t>
      </w:r>
      <w:r w:rsidR="00FD683F" w:rsidRPr="002E1AE0">
        <w:rPr>
          <w:rFonts w:ascii="Arial" w:hAnsi="Arial" w:cs="Arial"/>
        </w:rPr>
        <w:t xml:space="preserve"> se aplicó al impuesto pagado </w:t>
      </w:r>
      <w:r w:rsidRPr="002E1AE0">
        <w:rPr>
          <w:rFonts w:ascii="Arial" w:hAnsi="Arial" w:cs="Arial"/>
        </w:rPr>
        <w:t xml:space="preserve">en 2014 </w:t>
      </w:r>
      <w:r w:rsidR="00FD683F" w:rsidRPr="002E1AE0">
        <w:rPr>
          <w:rFonts w:ascii="Arial" w:hAnsi="Arial" w:cs="Arial"/>
        </w:rPr>
        <w:t>por clase de contribuyente (Grande, Mediano y Pequeño) los porcentajes de irregularidades correspondientes del Cuadro 1.</w:t>
      </w:r>
    </w:p>
    <w:p w:rsidR="00FD683F" w:rsidRPr="002E1AE0" w:rsidRDefault="00FD683F" w:rsidP="00FD683F">
      <w:pPr>
        <w:pStyle w:val="ListParagraph"/>
        <w:spacing w:before="120" w:after="120" w:line="240" w:lineRule="auto"/>
        <w:ind w:left="1080"/>
        <w:contextualSpacing w:val="0"/>
        <w:jc w:val="both"/>
        <w:rPr>
          <w:rFonts w:ascii="Arial" w:hAnsi="Arial" w:cs="Arial"/>
          <w:b/>
        </w:rPr>
      </w:pPr>
      <w:r w:rsidRPr="002E1AE0">
        <w:rPr>
          <w:rFonts w:ascii="Arial" w:hAnsi="Arial" w:cs="Arial"/>
          <w:b/>
        </w:rPr>
        <w:t xml:space="preserve">Aumento </w:t>
      </w:r>
      <w:r w:rsidR="00627A58" w:rsidRPr="002E1AE0">
        <w:rPr>
          <w:rFonts w:ascii="Arial" w:hAnsi="Arial" w:cs="Arial"/>
          <w:b/>
        </w:rPr>
        <w:t xml:space="preserve">de la </w:t>
      </w:r>
      <w:r w:rsidRPr="002E1AE0">
        <w:rPr>
          <w:rFonts w:ascii="Arial" w:hAnsi="Arial" w:cs="Arial"/>
          <w:b/>
        </w:rPr>
        <w:t>recaudación en valores reales para 2015</w:t>
      </w:r>
      <w:r w:rsidRPr="002E1AE0">
        <w:rPr>
          <w:rStyle w:val="FootnoteReference"/>
          <w:rFonts w:ascii="Arial" w:hAnsi="Arial" w:cs="Arial"/>
          <w:b/>
        </w:rPr>
        <w:footnoteReference w:id="1"/>
      </w:r>
      <w:r w:rsidRPr="002E1AE0">
        <w:rPr>
          <w:rFonts w:ascii="Arial" w:hAnsi="Arial" w:cs="Arial"/>
          <w:b/>
        </w:rPr>
        <w:t xml:space="preserve">. </w:t>
      </w:r>
      <w:r w:rsidRPr="002E1AE0">
        <w:rPr>
          <w:rFonts w:ascii="Arial" w:hAnsi="Arial" w:cs="Arial"/>
        </w:rPr>
        <w:t xml:space="preserve">Las estimaciones presentadas en el Cuadro 2. </w:t>
      </w:r>
      <w:r w:rsidR="00627A58" w:rsidRPr="002E1AE0">
        <w:rPr>
          <w:rFonts w:ascii="Arial" w:hAnsi="Arial" w:cs="Arial"/>
        </w:rPr>
        <w:t>Se</w:t>
      </w:r>
      <w:r w:rsidRPr="002E1AE0">
        <w:rPr>
          <w:rFonts w:ascii="Arial" w:hAnsi="Arial" w:cs="Arial"/>
        </w:rPr>
        <w:t xml:space="preserve"> considera</w:t>
      </w:r>
      <w:r w:rsidR="00627A58" w:rsidRPr="002E1AE0">
        <w:rPr>
          <w:rFonts w:ascii="Arial" w:hAnsi="Arial" w:cs="Arial"/>
        </w:rPr>
        <w:t>ron</w:t>
      </w:r>
      <w:r w:rsidRPr="002E1AE0">
        <w:rPr>
          <w:rFonts w:ascii="Arial" w:hAnsi="Arial" w:cs="Arial"/>
        </w:rPr>
        <w:t xml:space="preserve"> los siguientes parámetros</w:t>
      </w:r>
      <w:r w:rsidR="00F16282" w:rsidRPr="002E1AE0">
        <w:rPr>
          <w:rFonts w:ascii="Arial" w:hAnsi="Arial" w:cs="Arial"/>
        </w:rPr>
        <w:t>:</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Grandes contribuyentes = impuesto pagado en 2014 – inflación estimada para el periodo * porcentaje de irregularidades presenta</w:t>
      </w:r>
      <w:r w:rsidR="007E1F52" w:rsidRPr="002E1AE0">
        <w:rPr>
          <w:rFonts w:ascii="Arial" w:hAnsi="Arial" w:cs="Arial"/>
        </w:rPr>
        <w:t>da</w:t>
      </w:r>
      <w:r w:rsidRPr="002E1AE0">
        <w:rPr>
          <w:rFonts w:ascii="Arial" w:hAnsi="Arial" w:cs="Arial"/>
        </w:rPr>
        <w:t>s en el Cuadro 1 =   LP$ 5</w:t>
      </w:r>
      <w:r w:rsidR="00F82147" w:rsidRPr="002E1AE0">
        <w:rPr>
          <w:rFonts w:ascii="Arial" w:hAnsi="Arial" w:cs="Arial"/>
        </w:rPr>
        <w:t>.</w:t>
      </w:r>
      <w:r w:rsidRPr="002E1AE0">
        <w:rPr>
          <w:rFonts w:ascii="Arial" w:hAnsi="Arial" w:cs="Arial"/>
        </w:rPr>
        <w:t>933</w:t>
      </w:r>
      <w:r w:rsidR="00F82147" w:rsidRPr="002E1AE0">
        <w:rPr>
          <w:rFonts w:ascii="Arial" w:hAnsi="Arial" w:cs="Arial"/>
        </w:rPr>
        <w:t>.</w:t>
      </w:r>
      <w:r w:rsidRPr="002E1AE0">
        <w:rPr>
          <w:rFonts w:ascii="Arial" w:hAnsi="Arial" w:cs="Arial"/>
        </w:rPr>
        <w:t>364</w:t>
      </w:r>
      <w:r w:rsidR="00F82147" w:rsidRPr="002E1AE0">
        <w:rPr>
          <w:rFonts w:ascii="Arial" w:hAnsi="Arial" w:cs="Arial"/>
        </w:rPr>
        <w:t>.</w:t>
      </w:r>
      <w:r w:rsidRPr="002E1AE0">
        <w:rPr>
          <w:rFonts w:ascii="Arial" w:hAnsi="Arial" w:cs="Arial"/>
        </w:rPr>
        <w:t>304 * 0.93% (descontado 7% de inflación) * 1.6% = LP$ 88</w:t>
      </w:r>
      <w:r w:rsidR="00F82147" w:rsidRPr="002E1AE0">
        <w:rPr>
          <w:rFonts w:ascii="Arial" w:hAnsi="Arial" w:cs="Arial"/>
        </w:rPr>
        <w:t>.</w:t>
      </w:r>
      <w:r w:rsidRPr="002E1AE0">
        <w:rPr>
          <w:rFonts w:ascii="Arial" w:hAnsi="Arial" w:cs="Arial"/>
        </w:rPr>
        <w:t>288</w:t>
      </w:r>
      <w:r w:rsidR="00F82147" w:rsidRPr="002E1AE0">
        <w:rPr>
          <w:rFonts w:ascii="Arial" w:hAnsi="Arial" w:cs="Arial"/>
        </w:rPr>
        <w:t>.</w:t>
      </w:r>
      <w:r w:rsidRPr="002E1AE0">
        <w:rPr>
          <w:rFonts w:ascii="Arial" w:hAnsi="Arial" w:cs="Arial"/>
        </w:rPr>
        <w:t>460 = US$ 4</w:t>
      </w:r>
      <w:r w:rsidR="00F82147" w:rsidRPr="002E1AE0">
        <w:rPr>
          <w:rFonts w:ascii="Arial" w:hAnsi="Arial" w:cs="Arial"/>
        </w:rPr>
        <w:t>.</w:t>
      </w:r>
      <w:r w:rsidRPr="002E1AE0">
        <w:rPr>
          <w:rFonts w:ascii="Arial" w:hAnsi="Arial" w:cs="Arial"/>
        </w:rPr>
        <w:t>013</w:t>
      </w:r>
      <w:r w:rsidR="00F82147" w:rsidRPr="002E1AE0">
        <w:rPr>
          <w:rFonts w:ascii="Arial" w:hAnsi="Arial" w:cs="Arial"/>
        </w:rPr>
        <w:t>.</w:t>
      </w:r>
      <w:r w:rsidRPr="002E1AE0">
        <w:rPr>
          <w:rFonts w:ascii="Arial" w:hAnsi="Arial" w:cs="Arial"/>
        </w:rPr>
        <w:t>111</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Medianos contribuyentes = impuesto pagado en 2014 – inflación estimada para el periodo * porcentaje de irregularidades presenta</w:t>
      </w:r>
      <w:r w:rsidR="007E1F52" w:rsidRPr="002E1AE0">
        <w:rPr>
          <w:rFonts w:ascii="Arial" w:hAnsi="Arial" w:cs="Arial"/>
        </w:rPr>
        <w:t>da</w:t>
      </w:r>
      <w:r w:rsidRPr="002E1AE0">
        <w:rPr>
          <w:rFonts w:ascii="Arial" w:hAnsi="Arial" w:cs="Arial"/>
        </w:rPr>
        <w:t>s en el Cuadro 1 =   LP$ 1</w:t>
      </w:r>
      <w:r w:rsidR="00F82147" w:rsidRPr="002E1AE0">
        <w:rPr>
          <w:rFonts w:ascii="Arial" w:hAnsi="Arial" w:cs="Arial"/>
        </w:rPr>
        <w:t>.</w:t>
      </w:r>
      <w:r w:rsidRPr="002E1AE0">
        <w:rPr>
          <w:rFonts w:ascii="Arial" w:hAnsi="Arial" w:cs="Arial"/>
        </w:rPr>
        <w:t>088</w:t>
      </w:r>
      <w:r w:rsidR="00F82147" w:rsidRPr="002E1AE0">
        <w:rPr>
          <w:rFonts w:ascii="Arial" w:hAnsi="Arial" w:cs="Arial"/>
        </w:rPr>
        <w:t>.</w:t>
      </w:r>
      <w:r w:rsidRPr="002E1AE0">
        <w:rPr>
          <w:rFonts w:ascii="Arial" w:hAnsi="Arial" w:cs="Arial"/>
        </w:rPr>
        <w:t>158</w:t>
      </w:r>
      <w:r w:rsidR="00F82147" w:rsidRPr="002E1AE0">
        <w:rPr>
          <w:rFonts w:ascii="Arial" w:hAnsi="Arial" w:cs="Arial"/>
        </w:rPr>
        <w:t>.</w:t>
      </w:r>
      <w:r w:rsidRPr="002E1AE0">
        <w:rPr>
          <w:rFonts w:ascii="Arial" w:hAnsi="Arial" w:cs="Arial"/>
        </w:rPr>
        <w:t>923* 0.93% (descontado 7% de inflación) * 1.6% = LP$ 16</w:t>
      </w:r>
      <w:r w:rsidR="00F82147" w:rsidRPr="002E1AE0">
        <w:rPr>
          <w:rFonts w:ascii="Arial" w:hAnsi="Arial" w:cs="Arial"/>
        </w:rPr>
        <w:t>.</w:t>
      </w:r>
      <w:r w:rsidRPr="002E1AE0">
        <w:rPr>
          <w:rFonts w:ascii="Arial" w:hAnsi="Arial" w:cs="Arial"/>
        </w:rPr>
        <w:t>251</w:t>
      </w:r>
      <w:r w:rsidR="00F82147" w:rsidRPr="002E1AE0">
        <w:rPr>
          <w:rFonts w:ascii="Arial" w:hAnsi="Arial" w:cs="Arial"/>
        </w:rPr>
        <w:t>.</w:t>
      </w:r>
      <w:r w:rsidRPr="002E1AE0">
        <w:rPr>
          <w:rFonts w:ascii="Arial" w:hAnsi="Arial" w:cs="Arial"/>
        </w:rPr>
        <w:t>519= US$ 735</w:t>
      </w:r>
      <w:r w:rsidR="00F82147" w:rsidRPr="002E1AE0">
        <w:rPr>
          <w:rFonts w:ascii="Arial" w:hAnsi="Arial" w:cs="Arial"/>
        </w:rPr>
        <w:t>.</w:t>
      </w:r>
      <w:r w:rsidRPr="002E1AE0">
        <w:rPr>
          <w:rFonts w:ascii="Arial" w:hAnsi="Arial" w:cs="Arial"/>
        </w:rPr>
        <w:t>991</w:t>
      </w:r>
    </w:p>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t>Pequeños contribuyentes = impuesto pagado en 2014 – inflación estimada para el periodo * porcentaje de irregularidades presenta</w:t>
      </w:r>
      <w:r w:rsidR="007E1F52" w:rsidRPr="002E1AE0">
        <w:rPr>
          <w:rFonts w:ascii="Arial" w:hAnsi="Arial" w:cs="Arial"/>
        </w:rPr>
        <w:t>da</w:t>
      </w:r>
      <w:r w:rsidRPr="002E1AE0">
        <w:rPr>
          <w:rFonts w:ascii="Arial" w:hAnsi="Arial" w:cs="Arial"/>
        </w:rPr>
        <w:t>s en el Cuadro 1 =   LP$ 2</w:t>
      </w:r>
      <w:r w:rsidR="00F82147" w:rsidRPr="002E1AE0">
        <w:rPr>
          <w:rFonts w:ascii="Arial" w:hAnsi="Arial" w:cs="Arial"/>
        </w:rPr>
        <w:t>.</w:t>
      </w:r>
      <w:r w:rsidRPr="002E1AE0">
        <w:rPr>
          <w:rFonts w:ascii="Arial" w:hAnsi="Arial" w:cs="Arial"/>
        </w:rPr>
        <w:t>825</w:t>
      </w:r>
      <w:r w:rsidR="00F82147" w:rsidRPr="002E1AE0">
        <w:rPr>
          <w:rFonts w:ascii="Arial" w:hAnsi="Arial" w:cs="Arial"/>
        </w:rPr>
        <w:t>.</w:t>
      </w:r>
      <w:r w:rsidRPr="002E1AE0">
        <w:rPr>
          <w:rFonts w:ascii="Arial" w:hAnsi="Arial" w:cs="Arial"/>
        </w:rPr>
        <w:t>603</w:t>
      </w:r>
      <w:r w:rsidR="00F82147" w:rsidRPr="002E1AE0">
        <w:rPr>
          <w:rFonts w:ascii="Arial" w:hAnsi="Arial" w:cs="Arial"/>
        </w:rPr>
        <w:t>.</w:t>
      </w:r>
      <w:r w:rsidRPr="002E1AE0">
        <w:rPr>
          <w:rFonts w:ascii="Arial" w:hAnsi="Arial" w:cs="Arial"/>
        </w:rPr>
        <w:t>605 * 0.93% (descontado 7% de inflación) * 8.0% = LP$ 210</w:t>
      </w:r>
      <w:r w:rsidR="00F82147" w:rsidRPr="002E1AE0">
        <w:rPr>
          <w:rFonts w:ascii="Arial" w:hAnsi="Arial" w:cs="Arial"/>
        </w:rPr>
        <w:t>.</w:t>
      </w:r>
      <w:r w:rsidRPr="002E1AE0">
        <w:rPr>
          <w:rFonts w:ascii="Arial" w:hAnsi="Arial" w:cs="Arial"/>
        </w:rPr>
        <w:t>279</w:t>
      </w:r>
      <w:r w:rsidR="00F82147" w:rsidRPr="002E1AE0">
        <w:rPr>
          <w:rFonts w:ascii="Arial" w:hAnsi="Arial" w:cs="Arial"/>
        </w:rPr>
        <w:t>.</w:t>
      </w:r>
      <w:r w:rsidRPr="002E1AE0">
        <w:rPr>
          <w:rFonts w:ascii="Arial" w:hAnsi="Arial" w:cs="Arial"/>
        </w:rPr>
        <w:t>867 = US$ 9</w:t>
      </w:r>
      <w:r w:rsidR="007E1F52" w:rsidRPr="002E1AE0">
        <w:rPr>
          <w:rFonts w:ascii="Arial" w:hAnsi="Arial" w:cs="Arial"/>
        </w:rPr>
        <w:t>.</w:t>
      </w:r>
      <w:r w:rsidRPr="002E1AE0">
        <w:rPr>
          <w:rFonts w:ascii="Arial" w:hAnsi="Arial" w:cs="Arial"/>
        </w:rPr>
        <w:t>555</w:t>
      </w:r>
      <w:r w:rsidR="007E1F52" w:rsidRPr="002E1AE0">
        <w:rPr>
          <w:rFonts w:ascii="Arial" w:hAnsi="Arial" w:cs="Arial"/>
        </w:rPr>
        <w:t>.</w:t>
      </w:r>
      <w:r w:rsidRPr="002E1AE0">
        <w:rPr>
          <w:rFonts w:ascii="Arial" w:hAnsi="Arial" w:cs="Arial"/>
        </w:rPr>
        <w:t xml:space="preserve">678 </w:t>
      </w:r>
    </w:p>
    <w:p w:rsidR="00933955" w:rsidRPr="002E1AE0" w:rsidRDefault="00FD683F" w:rsidP="00FD683F">
      <w:pPr>
        <w:pStyle w:val="ListParagraph"/>
        <w:spacing w:before="120" w:after="120" w:line="240" w:lineRule="auto"/>
        <w:ind w:left="1080"/>
        <w:contextualSpacing w:val="0"/>
        <w:jc w:val="both"/>
        <w:rPr>
          <w:rFonts w:ascii="Arial" w:hAnsi="Arial" w:cs="Arial"/>
          <w:lang w:val="es-ES"/>
        </w:rPr>
      </w:pPr>
      <w:r w:rsidRPr="002E1AE0">
        <w:rPr>
          <w:rFonts w:ascii="Arial" w:hAnsi="Arial" w:cs="Arial"/>
        </w:rPr>
        <w:fldChar w:fldCharType="begin"/>
      </w:r>
      <w:r w:rsidRPr="002E1AE0">
        <w:rPr>
          <w:rFonts w:ascii="Arial" w:hAnsi="Arial" w:cs="Arial"/>
        </w:rPr>
        <w:instrText xml:space="preserve"> LINK </w:instrText>
      </w:r>
      <w:r w:rsidR="00933955" w:rsidRPr="002E1AE0">
        <w:rPr>
          <w:rFonts w:ascii="Arial" w:hAnsi="Arial" w:cs="Arial"/>
        </w:rPr>
        <w:instrText xml:space="preserve">Excel.Sheet.12 "C:\\Users\\Marcio\\Desktop\\Desktop 3\\Honduras PBL Fiscal\\Analisis Económica\\Costos Factura Electrónica.xlsx" Sheet1!R2C2:R11C7 </w:instrText>
      </w:r>
      <w:r w:rsidRPr="002E1AE0">
        <w:rPr>
          <w:rFonts w:ascii="Arial" w:hAnsi="Arial" w:cs="Arial"/>
        </w:rPr>
        <w:instrText xml:space="preserve">\a \f 4 \h  \* MERGEFORMAT </w:instrText>
      </w:r>
      <w:r w:rsidRPr="002E1AE0">
        <w:rPr>
          <w:rFonts w:ascii="Arial" w:hAnsi="Arial" w:cs="Arial"/>
        </w:rPr>
        <w:fldChar w:fldCharType="separate"/>
      </w:r>
    </w:p>
    <w:tbl>
      <w:tblPr>
        <w:tblW w:w="7720" w:type="dxa"/>
        <w:tblInd w:w="1430" w:type="dxa"/>
        <w:tblCellMar>
          <w:left w:w="70" w:type="dxa"/>
          <w:right w:w="70" w:type="dxa"/>
        </w:tblCellMar>
        <w:tblLook w:val="04A0" w:firstRow="1" w:lastRow="0" w:firstColumn="1" w:lastColumn="0" w:noHBand="0" w:noVBand="1"/>
      </w:tblPr>
      <w:tblGrid>
        <w:gridCol w:w="1461"/>
        <w:gridCol w:w="1292"/>
        <w:gridCol w:w="1292"/>
        <w:gridCol w:w="1501"/>
        <w:gridCol w:w="1141"/>
        <w:gridCol w:w="1051"/>
      </w:tblGrid>
      <w:tr w:rsidR="00933955" w:rsidRPr="000F0025" w:rsidTr="00933955">
        <w:trPr>
          <w:divId w:val="1004163460"/>
          <w:trHeight w:val="290"/>
        </w:trPr>
        <w:tc>
          <w:tcPr>
            <w:tcW w:w="7720" w:type="dxa"/>
            <w:gridSpan w:val="6"/>
            <w:tcBorders>
              <w:top w:val="single" w:sz="8" w:space="0" w:color="auto"/>
              <w:left w:val="single" w:sz="8" w:space="0" w:color="auto"/>
              <w:bottom w:val="nil"/>
              <w:right w:val="single" w:sz="8" w:space="0" w:color="000000"/>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 xml:space="preserve">Cuadro 2. Cálculo del Beneficio </w:t>
            </w:r>
          </w:p>
        </w:tc>
      </w:tr>
      <w:tr w:rsidR="00933955" w:rsidRPr="000F0025" w:rsidTr="00933955">
        <w:trPr>
          <w:divId w:val="1004163460"/>
          <w:trHeight w:val="290"/>
        </w:trPr>
        <w:tc>
          <w:tcPr>
            <w:tcW w:w="7720" w:type="dxa"/>
            <w:gridSpan w:val="6"/>
            <w:tcBorders>
              <w:top w:val="nil"/>
              <w:left w:val="single" w:sz="8" w:space="0" w:color="auto"/>
              <w:bottom w:val="nil"/>
              <w:right w:val="single" w:sz="8" w:space="0" w:color="000000"/>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color w:val="000000"/>
                <w:sz w:val="18"/>
                <w:szCs w:val="18"/>
                <w:lang w:eastAsia="pt-BR"/>
              </w:rPr>
            </w:pPr>
            <w:r w:rsidRPr="000F0025">
              <w:rPr>
                <w:rFonts w:ascii="Arial" w:eastAsia="Times New Roman" w:hAnsi="Arial" w:cs="Arial"/>
                <w:color w:val="000000"/>
                <w:sz w:val="18"/>
                <w:szCs w:val="18"/>
                <w:lang w:eastAsia="pt-BR"/>
              </w:rPr>
              <w:t xml:space="preserve">En caso </w:t>
            </w:r>
            <w:r w:rsidR="00E500FA" w:rsidRPr="000F0025">
              <w:rPr>
                <w:rFonts w:ascii="Arial" w:eastAsia="Times New Roman" w:hAnsi="Arial" w:cs="Arial"/>
                <w:color w:val="000000"/>
                <w:sz w:val="18"/>
                <w:szCs w:val="18"/>
                <w:lang w:eastAsia="pt-BR"/>
              </w:rPr>
              <w:t xml:space="preserve">de </w:t>
            </w:r>
            <w:r w:rsidRPr="000F0025">
              <w:rPr>
                <w:rFonts w:ascii="Arial" w:eastAsia="Times New Roman" w:hAnsi="Arial" w:cs="Arial"/>
                <w:color w:val="000000"/>
                <w:sz w:val="18"/>
                <w:szCs w:val="18"/>
                <w:lang w:eastAsia="pt-BR"/>
              </w:rPr>
              <w:t xml:space="preserve">que la factura electrónica fuera implementada en </w:t>
            </w:r>
            <w:r w:rsidR="00E500FA" w:rsidRPr="000F0025">
              <w:rPr>
                <w:rFonts w:ascii="Arial" w:eastAsia="Times New Roman" w:hAnsi="Arial" w:cs="Arial"/>
                <w:color w:val="000000"/>
                <w:sz w:val="18"/>
                <w:szCs w:val="18"/>
                <w:lang w:eastAsia="pt-BR"/>
              </w:rPr>
              <w:t xml:space="preserve">el </w:t>
            </w:r>
            <w:r w:rsidRPr="000F0025">
              <w:rPr>
                <w:rFonts w:ascii="Arial" w:eastAsia="Times New Roman" w:hAnsi="Arial" w:cs="Arial"/>
                <w:color w:val="000000"/>
                <w:sz w:val="18"/>
                <w:szCs w:val="18"/>
                <w:lang w:eastAsia="pt-BR"/>
              </w:rPr>
              <w:t xml:space="preserve">100% </w:t>
            </w:r>
            <w:r w:rsidR="00E500FA" w:rsidRPr="000F0025">
              <w:rPr>
                <w:rFonts w:ascii="Arial" w:eastAsia="Times New Roman" w:hAnsi="Arial" w:cs="Arial"/>
                <w:color w:val="000000"/>
                <w:sz w:val="18"/>
                <w:szCs w:val="18"/>
                <w:lang w:eastAsia="pt-BR"/>
              </w:rPr>
              <w:t xml:space="preserve">de </w:t>
            </w:r>
            <w:r w:rsidRPr="000F0025">
              <w:rPr>
                <w:rFonts w:ascii="Arial" w:eastAsia="Times New Roman" w:hAnsi="Arial" w:cs="Arial"/>
                <w:color w:val="000000"/>
                <w:sz w:val="18"/>
                <w:szCs w:val="18"/>
                <w:lang w:eastAsia="pt-BR"/>
              </w:rPr>
              <w:t>los contribuyentes</w:t>
            </w:r>
          </w:p>
        </w:tc>
      </w:tr>
      <w:tr w:rsidR="00933955" w:rsidRPr="000F0025" w:rsidTr="00933955">
        <w:trPr>
          <w:divId w:val="1004163460"/>
          <w:trHeight w:val="300"/>
        </w:trPr>
        <w:tc>
          <w:tcPr>
            <w:tcW w:w="7720" w:type="dxa"/>
            <w:gridSpan w:val="6"/>
            <w:tcBorders>
              <w:top w:val="nil"/>
              <w:left w:val="single" w:sz="8" w:space="0" w:color="auto"/>
              <w:bottom w:val="single" w:sz="8" w:space="0" w:color="auto"/>
              <w:right w:val="single" w:sz="8" w:space="0" w:color="000000"/>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 xml:space="preserve"> (LP$ valor real)</w:t>
            </w:r>
          </w:p>
        </w:tc>
      </w:tr>
      <w:tr w:rsidR="00933955" w:rsidRPr="000F0025" w:rsidTr="00933955">
        <w:trPr>
          <w:divId w:val="1004163460"/>
          <w:trHeight w:val="295"/>
        </w:trPr>
        <w:tc>
          <w:tcPr>
            <w:tcW w:w="1471" w:type="dxa"/>
            <w:vMerge w:val="restart"/>
            <w:tcBorders>
              <w:top w:val="nil"/>
              <w:left w:val="single" w:sz="8" w:space="0" w:color="auto"/>
              <w:bottom w:val="single" w:sz="8" w:space="0" w:color="000000"/>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Contribuyentes</w:t>
            </w:r>
          </w:p>
        </w:tc>
        <w:tc>
          <w:tcPr>
            <w:tcW w:w="1402" w:type="dxa"/>
            <w:tcBorders>
              <w:top w:val="nil"/>
              <w:left w:val="nil"/>
              <w:bottom w:val="nil"/>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 xml:space="preserve">Impuesto </w:t>
            </w:r>
            <w:r w:rsidRPr="000F0025">
              <w:rPr>
                <w:rFonts w:ascii="Arial" w:eastAsia="Times New Roman" w:hAnsi="Arial" w:cs="Arial"/>
                <w:b/>
                <w:bCs/>
                <w:color w:val="000000"/>
                <w:sz w:val="18"/>
                <w:szCs w:val="18"/>
                <w:lang w:eastAsia="pt-BR"/>
              </w:rPr>
              <w:lastRenderedPageBreak/>
              <w:t>pagado en ISV en</w:t>
            </w:r>
          </w:p>
        </w:tc>
        <w:tc>
          <w:tcPr>
            <w:tcW w:w="4847" w:type="dxa"/>
            <w:gridSpan w:val="4"/>
            <w:tcBorders>
              <w:top w:val="single" w:sz="8" w:space="0" w:color="auto"/>
              <w:left w:val="nil"/>
              <w:bottom w:val="single" w:sz="8" w:space="0" w:color="auto"/>
              <w:right w:val="single" w:sz="8" w:space="0" w:color="000000"/>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lastRenderedPageBreak/>
              <w:t>Aumento de la recaudación para 2015</w:t>
            </w:r>
          </w:p>
        </w:tc>
      </w:tr>
      <w:tr w:rsidR="00933955" w:rsidRPr="000F0025" w:rsidTr="00933955">
        <w:trPr>
          <w:divId w:val="1004163460"/>
          <w:trHeight w:val="480"/>
        </w:trPr>
        <w:tc>
          <w:tcPr>
            <w:tcW w:w="1471" w:type="dxa"/>
            <w:vMerge/>
            <w:tcBorders>
              <w:top w:val="nil"/>
              <w:left w:val="single" w:sz="8" w:space="0" w:color="auto"/>
              <w:bottom w:val="single" w:sz="8" w:space="0" w:color="000000"/>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rPr>
                <w:rFonts w:ascii="Arial" w:eastAsia="Times New Roman" w:hAnsi="Arial" w:cs="Arial"/>
                <w:b/>
                <w:bCs/>
                <w:color w:val="000000"/>
                <w:sz w:val="18"/>
                <w:szCs w:val="18"/>
                <w:lang w:val="es-ES" w:eastAsia="pt-BR"/>
              </w:rPr>
            </w:pPr>
          </w:p>
        </w:tc>
        <w:tc>
          <w:tcPr>
            <w:tcW w:w="1402" w:type="dxa"/>
            <w:tcBorders>
              <w:top w:val="nil"/>
              <w:left w:val="nil"/>
              <w:bottom w:val="nil"/>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2014</w:t>
            </w:r>
          </w:p>
        </w:tc>
        <w:tc>
          <w:tcPr>
            <w:tcW w:w="1272" w:type="dxa"/>
            <w:vMerge w:val="restart"/>
            <w:tcBorders>
              <w:top w:val="nil"/>
              <w:left w:val="single" w:sz="8" w:space="0" w:color="auto"/>
              <w:bottom w:val="single" w:sz="8" w:space="0" w:color="000000"/>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Descuento de la Inflación (7%)</w:t>
            </w:r>
          </w:p>
        </w:tc>
        <w:tc>
          <w:tcPr>
            <w:tcW w:w="1327" w:type="dxa"/>
            <w:vMerge w:val="restart"/>
            <w:tcBorders>
              <w:top w:val="nil"/>
              <w:left w:val="single" w:sz="8" w:space="0" w:color="auto"/>
              <w:bottom w:val="single" w:sz="8" w:space="0" w:color="000000"/>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 aumento (irregularidades eliminadas)</w:t>
            </w:r>
          </w:p>
        </w:tc>
        <w:tc>
          <w:tcPr>
            <w:tcW w:w="1100" w:type="dxa"/>
            <w:vMerge w:val="restart"/>
            <w:tcBorders>
              <w:top w:val="nil"/>
              <w:left w:val="single" w:sz="8" w:space="0" w:color="auto"/>
              <w:bottom w:val="single" w:sz="8" w:space="0" w:color="000000"/>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Beneficio Financiero (LP$)</w:t>
            </w:r>
          </w:p>
        </w:tc>
        <w:tc>
          <w:tcPr>
            <w:tcW w:w="1148" w:type="dxa"/>
            <w:tcBorders>
              <w:top w:val="nil"/>
              <w:left w:val="nil"/>
              <w:bottom w:val="nil"/>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Beneficio Financiero</w:t>
            </w:r>
          </w:p>
        </w:tc>
      </w:tr>
      <w:tr w:rsidR="00933955" w:rsidRPr="000F0025" w:rsidTr="00933955">
        <w:trPr>
          <w:divId w:val="1004163460"/>
          <w:trHeight w:val="196"/>
        </w:trPr>
        <w:tc>
          <w:tcPr>
            <w:tcW w:w="1471" w:type="dxa"/>
            <w:vMerge/>
            <w:tcBorders>
              <w:top w:val="nil"/>
              <w:left w:val="single" w:sz="8" w:space="0" w:color="auto"/>
              <w:bottom w:val="single" w:sz="8" w:space="0" w:color="000000"/>
              <w:right w:val="single" w:sz="8" w:space="0" w:color="auto"/>
            </w:tcBorders>
            <w:vAlign w:val="center"/>
            <w:hideMark/>
          </w:tcPr>
          <w:p w:rsidR="00933955" w:rsidRPr="000F0025" w:rsidRDefault="00933955" w:rsidP="00933955">
            <w:pPr>
              <w:spacing w:after="0" w:line="240" w:lineRule="auto"/>
              <w:rPr>
                <w:rFonts w:ascii="Arial" w:eastAsia="Times New Roman" w:hAnsi="Arial" w:cs="Arial"/>
                <w:b/>
                <w:bCs/>
                <w:color w:val="000000"/>
                <w:sz w:val="18"/>
                <w:szCs w:val="18"/>
                <w:lang w:val="pt-BR" w:eastAsia="pt-BR"/>
              </w:rPr>
            </w:pPr>
          </w:p>
        </w:tc>
        <w:tc>
          <w:tcPr>
            <w:tcW w:w="1402" w:type="dxa"/>
            <w:tcBorders>
              <w:top w:val="nil"/>
              <w:left w:val="nil"/>
              <w:bottom w:val="single" w:sz="8" w:space="0" w:color="auto"/>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val="pt-BR" w:eastAsia="pt-BR"/>
              </w:rPr>
              <w:t> </w:t>
            </w:r>
          </w:p>
        </w:tc>
        <w:tc>
          <w:tcPr>
            <w:tcW w:w="1272" w:type="dxa"/>
            <w:vMerge/>
            <w:tcBorders>
              <w:top w:val="nil"/>
              <w:left w:val="single" w:sz="8" w:space="0" w:color="auto"/>
              <w:bottom w:val="single" w:sz="8" w:space="0" w:color="000000"/>
              <w:right w:val="single" w:sz="8" w:space="0" w:color="auto"/>
            </w:tcBorders>
            <w:vAlign w:val="center"/>
            <w:hideMark/>
          </w:tcPr>
          <w:p w:rsidR="00933955" w:rsidRPr="000F0025" w:rsidRDefault="00933955" w:rsidP="00933955">
            <w:pPr>
              <w:spacing w:after="0" w:line="240" w:lineRule="auto"/>
              <w:rPr>
                <w:rFonts w:ascii="Arial" w:eastAsia="Times New Roman" w:hAnsi="Arial" w:cs="Arial"/>
                <w:b/>
                <w:bCs/>
                <w:color w:val="000000"/>
                <w:sz w:val="18"/>
                <w:szCs w:val="18"/>
                <w:lang w:val="pt-BR" w:eastAsia="pt-BR"/>
              </w:rPr>
            </w:pPr>
          </w:p>
        </w:tc>
        <w:tc>
          <w:tcPr>
            <w:tcW w:w="1327" w:type="dxa"/>
            <w:vMerge/>
            <w:tcBorders>
              <w:top w:val="nil"/>
              <w:left w:val="single" w:sz="8" w:space="0" w:color="auto"/>
              <w:bottom w:val="single" w:sz="8" w:space="0" w:color="000000"/>
              <w:right w:val="single" w:sz="8" w:space="0" w:color="auto"/>
            </w:tcBorders>
            <w:vAlign w:val="center"/>
            <w:hideMark/>
          </w:tcPr>
          <w:p w:rsidR="00933955" w:rsidRPr="000F0025" w:rsidRDefault="00933955" w:rsidP="00933955">
            <w:pPr>
              <w:spacing w:after="0" w:line="240" w:lineRule="auto"/>
              <w:rPr>
                <w:rFonts w:ascii="Arial" w:eastAsia="Times New Roman" w:hAnsi="Arial" w:cs="Arial"/>
                <w:b/>
                <w:bCs/>
                <w:color w:val="000000"/>
                <w:sz w:val="18"/>
                <w:szCs w:val="18"/>
                <w:lang w:val="pt-BR" w:eastAsia="pt-BR"/>
              </w:rPr>
            </w:pPr>
          </w:p>
        </w:tc>
        <w:tc>
          <w:tcPr>
            <w:tcW w:w="1100" w:type="dxa"/>
            <w:vMerge/>
            <w:tcBorders>
              <w:top w:val="nil"/>
              <w:left w:val="single" w:sz="8" w:space="0" w:color="auto"/>
              <w:bottom w:val="single" w:sz="8" w:space="0" w:color="000000"/>
              <w:right w:val="single" w:sz="8" w:space="0" w:color="auto"/>
            </w:tcBorders>
            <w:vAlign w:val="center"/>
            <w:hideMark/>
          </w:tcPr>
          <w:p w:rsidR="00933955" w:rsidRPr="000F0025" w:rsidRDefault="00933955" w:rsidP="00933955">
            <w:pPr>
              <w:spacing w:after="0" w:line="240" w:lineRule="auto"/>
              <w:rPr>
                <w:rFonts w:ascii="Arial" w:eastAsia="Times New Roman" w:hAnsi="Arial" w:cs="Arial"/>
                <w:b/>
                <w:bCs/>
                <w:color w:val="000000"/>
                <w:sz w:val="18"/>
                <w:szCs w:val="18"/>
                <w:lang w:val="pt-BR" w:eastAsia="pt-BR"/>
              </w:rPr>
            </w:pPr>
          </w:p>
        </w:tc>
        <w:tc>
          <w:tcPr>
            <w:tcW w:w="1148" w:type="dxa"/>
            <w:tcBorders>
              <w:top w:val="nil"/>
              <w:left w:val="nil"/>
              <w:bottom w:val="single" w:sz="8" w:space="0" w:color="auto"/>
              <w:right w:val="single" w:sz="8" w:space="0" w:color="auto"/>
            </w:tcBorders>
            <w:shd w:val="clear" w:color="auto" w:fill="BDD6EE" w:themeFill="accent1" w:themeFillTint="66"/>
            <w:vAlign w:val="center"/>
            <w:hideMark/>
          </w:tcPr>
          <w:p w:rsidR="00933955" w:rsidRPr="000F0025" w:rsidRDefault="00933955" w:rsidP="00933955">
            <w:pPr>
              <w:spacing w:after="0" w:line="240" w:lineRule="auto"/>
              <w:jc w:val="center"/>
              <w:rPr>
                <w:rFonts w:ascii="Arial" w:eastAsia="Times New Roman" w:hAnsi="Arial" w:cs="Arial"/>
                <w:b/>
                <w:bCs/>
                <w:color w:val="000000"/>
                <w:sz w:val="18"/>
                <w:szCs w:val="18"/>
                <w:lang w:val="pt-BR" w:eastAsia="pt-BR"/>
              </w:rPr>
            </w:pPr>
            <w:r w:rsidRPr="000F0025">
              <w:rPr>
                <w:rFonts w:ascii="Arial" w:eastAsia="Times New Roman" w:hAnsi="Arial" w:cs="Arial"/>
                <w:b/>
                <w:bCs/>
                <w:color w:val="000000"/>
                <w:sz w:val="18"/>
                <w:szCs w:val="18"/>
                <w:lang w:eastAsia="pt-BR"/>
              </w:rPr>
              <w:t xml:space="preserve"> </w:t>
            </w:r>
            <w:r w:rsidRPr="000F0025">
              <w:rPr>
                <w:rFonts w:ascii="Arial" w:eastAsia="Times New Roman" w:hAnsi="Arial" w:cs="Arial"/>
                <w:color w:val="000000"/>
                <w:sz w:val="18"/>
                <w:szCs w:val="18"/>
                <w:lang w:eastAsia="pt-BR"/>
              </w:rPr>
              <w:t xml:space="preserve">1 US$ =22 LP$ </w:t>
            </w:r>
          </w:p>
        </w:tc>
      </w:tr>
      <w:tr w:rsidR="00933955" w:rsidRPr="000F0025" w:rsidTr="00933955">
        <w:trPr>
          <w:divId w:val="1004163460"/>
          <w:trHeight w:val="300"/>
        </w:trPr>
        <w:tc>
          <w:tcPr>
            <w:tcW w:w="1471" w:type="dxa"/>
            <w:tcBorders>
              <w:top w:val="nil"/>
              <w:left w:val="single" w:sz="8" w:space="0" w:color="auto"/>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Grandes</w:t>
            </w:r>
          </w:p>
        </w:tc>
        <w:tc>
          <w:tcPr>
            <w:tcW w:w="140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5</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933</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364</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304</w:t>
            </w:r>
          </w:p>
        </w:tc>
        <w:tc>
          <w:tcPr>
            <w:tcW w:w="127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5</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518</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028</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803</w:t>
            </w:r>
          </w:p>
        </w:tc>
        <w:tc>
          <w:tcPr>
            <w:tcW w:w="1327"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center"/>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1</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6</w:t>
            </w:r>
          </w:p>
        </w:tc>
        <w:tc>
          <w:tcPr>
            <w:tcW w:w="1100"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88</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288</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461</w:t>
            </w:r>
          </w:p>
        </w:tc>
        <w:tc>
          <w:tcPr>
            <w:tcW w:w="1148"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4</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013</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112</w:t>
            </w:r>
          </w:p>
        </w:tc>
      </w:tr>
      <w:tr w:rsidR="00933955" w:rsidRPr="000F0025" w:rsidTr="00933955">
        <w:trPr>
          <w:divId w:val="1004163460"/>
          <w:trHeight w:val="300"/>
        </w:trPr>
        <w:tc>
          <w:tcPr>
            <w:tcW w:w="1471" w:type="dxa"/>
            <w:tcBorders>
              <w:top w:val="nil"/>
              <w:left w:val="single" w:sz="8" w:space="0" w:color="auto"/>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Medianos</w:t>
            </w:r>
          </w:p>
        </w:tc>
        <w:tc>
          <w:tcPr>
            <w:tcW w:w="140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1</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088</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158</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923</w:t>
            </w:r>
          </w:p>
        </w:tc>
        <w:tc>
          <w:tcPr>
            <w:tcW w:w="127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val="pt-BR" w:eastAsia="pt-BR"/>
              </w:rPr>
              <w:t>1</w:t>
            </w:r>
            <w:r w:rsidR="00157158" w:rsidRPr="000F0025">
              <w:rPr>
                <w:rFonts w:ascii="Arial" w:eastAsia="Times New Roman" w:hAnsi="Arial" w:cs="Arial"/>
                <w:color w:val="000000"/>
                <w:sz w:val="18"/>
                <w:szCs w:val="18"/>
                <w:lang w:val="pt-BR" w:eastAsia="pt-BR"/>
              </w:rPr>
              <w:t>.</w:t>
            </w:r>
            <w:r w:rsidRPr="000F0025">
              <w:rPr>
                <w:rFonts w:ascii="Arial" w:eastAsia="Times New Roman" w:hAnsi="Arial" w:cs="Arial"/>
                <w:color w:val="000000"/>
                <w:sz w:val="18"/>
                <w:szCs w:val="18"/>
                <w:lang w:val="pt-BR" w:eastAsia="pt-BR"/>
              </w:rPr>
              <w:t>011</w:t>
            </w:r>
            <w:r w:rsidR="00157158" w:rsidRPr="000F0025">
              <w:rPr>
                <w:rFonts w:ascii="Arial" w:eastAsia="Times New Roman" w:hAnsi="Arial" w:cs="Arial"/>
                <w:color w:val="000000"/>
                <w:sz w:val="18"/>
                <w:szCs w:val="18"/>
                <w:lang w:val="pt-BR" w:eastAsia="pt-BR"/>
              </w:rPr>
              <w:t>.</w:t>
            </w:r>
            <w:r w:rsidRPr="000F0025">
              <w:rPr>
                <w:rFonts w:ascii="Arial" w:eastAsia="Times New Roman" w:hAnsi="Arial" w:cs="Arial"/>
                <w:color w:val="000000"/>
                <w:sz w:val="18"/>
                <w:szCs w:val="18"/>
                <w:lang w:val="pt-BR" w:eastAsia="pt-BR"/>
              </w:rPr>
              <w:t>987</w:t>
            </w:r>
            <w:r w:rsidR="00157158" w:rsidRPr="000F0025">
              <w:rPr>
                <w:rFonts w:ascii="Arial" w:eastAsia="Times New Roman" w:hAnsi="Arial" w:cs="Arial"/>
                <w:color w:val="000000"/>
                <w:sz w:val="18"/>
                <w:szCs w:val="18"/>
                <w:lang w:val="pt-BR" w:eastAsia="pt-BR"/>
              </w:rPr>
              <w:t>.</w:t>
            </w:r>
            <w:r w:rsidRPr="000F0025">
              <w:rPr>
                <w:rFonts w:ascii="Arial" w:eastAsia="Times New Roman" w:hAnsi="Arial" w:cs="Arial"/>
                <w:color w:val="000000"/>
                <w:sz w:val="18"/>
                <w:szCs w:val="18"/>
                <w:lang w:val="pt-BR" w:eastAsia="pt-BR"/>
              </w:rPr>
              <w:t>798</w:t>
            </w:r>
          </w:p>
        </w:tc>
        <w:tc>
          <w:tcPr>
            <w:tcW w:w="1327"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center"/>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1</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6</w:t>
            </w:r>
          </w:p>
        </w:tc>
        <w:tc>
          <w:tcPr>
            <w:tcW w:w="1100"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val="pt-BR" w:eastAsia="pt-BR"/>
              </w:rPr>
              <w:t>16</w:t>
            </w:r>
            <w:r w:rsidR="00157158" w:rsidRPr="000F0025">
              <w:rPr>
                <w:rFonts w:ascii="Arial" w:eastAsia="Times New Roman" w:hAnsi="Arial" w:cs="Arial"/>
                <w:color w:val="000000"/>
                <w:sz w:val="18"/>
                <w:szCs w:val="18"/>
                <w:lang w:val="pt-BR" w:eastAsia="pt-BR"/>
              </w:rPr>
              <w:t>.</w:t>
            </w:r>
            <w:r w:rsidRPr="000F0025">
              <w:rPr>
                <w:rFonts w:ascii="Arial" w:eastAsia="Times New Roman" w:hAnsi="Arial" w:cs="Arial"/>
                <w:color w:val="000000"/>
                <w:sz w:val="18"/>
                <w:szCs w:val="18"/>
                <w:lang w:val="pt-BR" w:eastAsia="pt-BR"/>
              </w:rPr>
              <w:t>191</w:t>
            </w:r>
            <w:r w:rsidR="00157158" w:rsidRPr="000F0025">
              <w:rPr>
                <w:rFonts w:ascii="Arial" w:eastAsia="Times New Roman" w:hAnsi="Arial" w:cs="Arial"/>
                <w:color w:val="000000"/>
                <w:sz w:val="18"/>
                <w:szCs w:val="18"/>
                <w:lang w:val="pt-BR" w:eastAsia="pt-BR"/>
              </w:rPr>
              <w:t>.</w:t>
            </w:r>
            <w:r w:rsidRPr="000F0025">
              <w:rPr>
                <w:rFonts w:ascii="Arial" w:eastAsia="Times New Roman" w:hAnsi="Arial" w:cs="Arial"/>
                <w:color w:val="000000"/>
                <w:sz w:val="18"/>
                <w:szCs w:val="18"/>
                <w:lang w:val="pt-BR" w:eastAsia="pt-BR"/>
              </w:rPr>
              <w:t>805</w:t>
            </w:r>
          </w:p>
        </w:tc>
        <w:tc>
          <w:tcPr>
            <w:tcW w:w="1148"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val="pt-BR" w:eastAsia="pt-BR"/>
              </w:rPr>
              <w:t>735</w:t>
            </w:r>
            <w:r w:rsidR="00157158" w:rsidRPr="000F0025">
              <w:rPr>
                <w:rFonts w:ascii="Arial" w:eastAsia="Times New Roman" w:hAnsi="Arial" w:cs="Arial"/>
                <w:color w:val="000000"/>
                <w:sz w:val="18"/>
                <w:szCs w:val="18"/>
                <w:lang w:val="pt-BR" w:eastAsia="pt-BR"/>
              </w:rPr>
              <w:t>.</w:t>
            </w:r>
            <w:r w:rsidRPr="000F0025">
              <w:rPr>
                <w:rFonts w:ascii="Arial" w:eastAsia="Times New Roman" w:hAnsi="Arial" w:cs="Arial"/>
                <w:color w:val="000000"/>
                <w:sz w:val="18"/>
                <w:szCs w:val="18"/>
                <w:lang w:val="pt-BR" w:eastAsia="pt-BR"/>
              </w:rPr>
              <w:t>991</w:t>
            </w:r>
          </w:p>
        </w:tc>
      </w:tr>
      <w:tr w:rsidR="00933955" w:rsidRPr="000F0025" w:rsidTr="00933955">
        <w:trPr>
          <w:divId w:val="1004163460"/>
          <w:trHeight w:val="300"/>
        </w:trPr>
        <w:tc>
          <w:tcPr>
            <w:tcW w:w="1471" w:type="dxa"/>
            <w:tcBorders>
              <w:top w:val="nil"/>
              <w:left w:val="single" w:sz="8" w:space="0" w:color="auto"/>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color w:val="000000"/>
                <w:sz w:val="18"/>
                <w:szCs w:val="18"/>
                <w:lang w:val="pt-BR" w:eastAsia="pt-BR"/>
              </w:rPr>
            </w:pPr>
            <w:r w:rsidRPr="000F0025">
              <w:rPr>
                <w:rFonts w:ascii="Arial" w:eastAsia="Times New Roman" w:hAnsi="Arial" w:cs="Arial"/>
                <w:color w:val="000000"/>
                <w:sz w:val="18"/>
                <w:szCs w:val="18"/>
                <w:lang w:eastAsia="pt-BR"/>
              </w:rPr>
              <w:t>Pequeños</w:t>
            </w:r>
          </w:p>
        </w:tc>
        <w:tc>
          <w:tcPr>
            <w:tcW w:w="140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es-ES" w:eastAsia="pt-BR"/>
              </w:rPr>
            </w:pPr>
            <w:r w:rsidRPr="000F0025">
              <w:rPr>
                <w:rFonts w:ascii="Arial" w:eastAsia="Times New Roman" w:hAnsi="Arial" w:cs="Arial"/>
                <w:color w:val="000000"/>
                <w:sz w:val="18"/>
                <w:szCs w:val="18"/>
                <w:lang w:eastAsia="pt-BR"/>
              </w:rPr>
              <w:t>2</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825</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603</w:t>
            </w:r>
            <w:r w:rsidR="00157158" w:rsidRPr="000F0025">
              <w:rPr>
                <w:rFonts w:ascii="Arial" w:eastAsia="Times New Roman" w:hAnsi="Arial" w:cs="Arial"/>
                <w:color w:val="000000"/>
                <w:sz w:val="18"/>
                <w:szCs w:val="18"/>
                <w:lang w:eastAsia="pt-BR"/>
              </w:rPr>
              <w:t>.</w:t>
            </w:r>
            <w:r w:rsidRPr="000F0025">
              <w:rPr>
                <w:rFonts w:ascii="Arial" w:eastAsia="Times New Roman" w:hAnsi="Arial" w:cs="Arial"/>
                <w:color w:val="000000"/>
                <w:sz w:val="18"/>
                <w:szCs w:val="18"/>
                <w:lang w:eastAsia="pt-BR"/>
              </w:rPr>
              <w:t>605</w:t>
            </w:r>
          </w:p>
        </w:tc>
        <w:tc>
          <w:tcPr>
            <w:tcW w:w="127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es-ES" w:eastAsia="pt-BR"/>
              </w:rPr>
            </w:pPr>
            <w:r w:rsidRPr="000F0025">
              <w:rPr>
                <w:rFonts w:ascii="Arial" w:eastAsia="Times New Roman" w:hAnsi="Arial" w:cs="Arial"/>
                <w:color w:val="000000"/>
                <w:sz w:val="18"/>
                <w:szCs w:val="18"/>
                <w:lang w:val="es-ES" w:eastAsia="pt-BR"/>
              </w:rPr>
              <w:t>2</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627</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811</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353</w:t>
            </w:r>
          </w:p>
        </w:tc>
        <w:tc>
          <w:tcPr>
            <w:tcW w:w="1327"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center"/>
              <w:rPr>
                <w:rFonts w:ascii="Arial" w:eastAsia="Times New Roman" w:hAnsi="Arial" w:cs="Arial"/>
                <w:color w:val="000000"/>
                <w:sz w:val="18"/>
                <w:szCs w:val="18"/>
                <w:lang w:val="es-ES" w:eastAsia="pt-BR"/>
              </w:rPr>
            </w:pPr>
            <w:r w:rsidRPr="000F0025">
              <w:rPr>
                <w:rFonts w:ascii="Arial" w:eastAsia="Times New Roman" w:hAnsi="Arial" w:cs="Arial"/>
                <w:color w:val="000000"/>
                <w:sz w:val="18"/>
                <w:szCs w:val="18"/>
                <w:lang w:eastAsia="pt-BR"/>
              </w:rPr>
              <w:t>8</w:t>
            </w:r>
          </w:p>
        </w:tc>
        <w:tc>
          <w:tcPr>
            <w:tcW w:w="1100"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es-ES" w:eastAsia="pt-BR"/>
              </w:rPr>
            </w:pPr>
            <w:r w:rsidRPr="000F0025">
              <w:rPr>
                <w:rFonts w:ascii="Arial" w:eastAsia="Times New Roman" w:hAnsi="Arial" w:cs="Arial"/>
                <w:color w:val="000000"/>
                <w:sz w:val="18"/>
                <w:szCs w:val="18"/>
                <w:lang w:val="es-ES" w:eastAsia="pt-BR"/>
              </w:rPr>
              <w:t>210</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224</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908</w:t>
            </w:r>
          </w:p>
        </w:tc>
        <w:tc>
          <w:tcPr>
            <w:tcW w:w="1148"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color w:val="000000"/>
                <w:sz w:val="18"/>
                <w:szCs w:val="18"/>
                <w:lang w:val="es-ES" w:eastAsia="pt-BR"/>
              </w:rPr>
            </w:pPr>
            <w:r w:rsidRPr="000F0025">
              <w:rPr>
                <w:rFonts w:ascii="Arial" w:eastAsia="Times New Roman" w:hAnsi="Arial" w:cs="Arial"/>
                <w:color w:val="000000"/>
                <w:sz w:val="18"/>
                <w:szCs w:val="18"/>
                <w:lang w:val="es-ES" w:eastAsia="pt-BR"/>
              </w:rPr>
              <w:t>9</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555</w:t>
            </w:r>
            <w:r w:rsidR="00157158" w:rsidRPr="000F0025">
              <w:rPr>
                <w:rFonts w:ascii="Arial" w:eastAsia="Times New Roman" w:hAnsi="Arial" w:cs="Arial"/>
                <w:color w:val="000000"/>
                <w:sz w:val="18"/>
                <w:szCs w:val="18"/>
                <w:lang w:val="es-ES" w:eastAsia="pt-BR"/>
              </w:rPr>
              <w:t>.</w:t>
            </w:r>
            <w:r w:rsidRPr="000F0025">
              <w:rPr>
                <w:rFonts w:ascii="Arial" w:eastAsia="Times New Roman" w:hAnsi="Arial" w:cs="Arial"/>
                <w:color w:val="000000"/>
                <w:sz w:val="18"/>
                <w:szCs w:val="18"/>
                <w:lang w:val="es-ES" w:eastAsia="pt-BR"/>
              </w:rPr>
              <w:t>678</w:t>
            </w:r>
          </w:p>
        </w:tc>
      </w:tr>
      <w:tr w:rsidR="00933955" w:rsidRPr="000F0025" w:rsidTr="00933955">
        <w:trPr>
          <w:divId w:val="1004163460"/>
          <w:trHeight w:val="300"/>
        </w:trPr>
        <w:tc>
          <w:tcPr>
            <w:tcW w:w="1471" w:type="dxa"/>
            <w:tcBorders>
              <w:top w:val="nil"/>
              <w:left w:val="single" w:sz="8" w:space="0" w:color="auto"/>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Total</w:t>
            </w:r>
          </w:p>
        </w:tc>
        <w:tc>
          <w:tcPr>
            <w:tcW w:w="140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9</w:t>
            </w:r>
            <w:r w:rsidR="00157158" w:rsidRPr="000F0025">
              <w:rPr>
                <w:rFonts w:ascii="Arial" w:eastAsia="Times New Roman" w:hAnsi="Arial" w:cs="Arial"/>
                <w:b/>
                <w:bCs/>
                <w:color w:val="000000"/>
                <w:sz w:val="18"/>
                <w:szCs w:val="18"/>
                <w:lang w:eastAsia="pt-BR"/>
              </w:rPr>
              <w:t>.</w:t>
            </w:r>
            <w:r w:rsidRPr="000F0025">
              <w:rPr>
                <w:rFonts w:ascii="Arial" w:eastAsia="Times New Roman" w:hAnsi="Arial" w:cs="Arial"/>
                <w:b/>
                <w:bCs/>
                <w:color w:val="000000"/>
                <w:sz w:val="18"/>
                <w:szCs w:val="18"/>
                <w:lang w:eastAsia="pt-BR"/>
              </w:rPr>
              <w:t>847</w:t>
            </w:r>
            <w:r w:rsidR="00157158" w:rsidRPr="000F0025">
              <w:rPr>
                <w:rFonts w:ascii="Arial" w:eastAsia="Times New Roman" w:hAnsi="Arial" w:cs="Arial"/>
                <w:b/>
                <w:bCs/>
                <w:color w:val="000000"/>
                <w:sz w:val="18"/>
                <w:szCs w:val="18"/>
                <w:lang w:eastAsia="pt-BR"/>
              </w:rPr>
              <w:t>.</w:t>
            </w:r>
            <w:r w:rsidRPr="000F0025">
              <w:rPr>
                <w:rFonts w:ascii="Arial" w:eastAsia="Times New Roman" w:hAnsi="Arial" w:cs="Arial"/>
                <w:b/>
                <w:bCs/>
                <w:color w:val="000000"/>
                <w:sz w:val="18"/>
                <w:szCs w:val="18"/>
                <w:lang w:eastAsia="pt-BR"/>
              </w:rPr>
              <w:t>126</w:t>
            </w:r>
            <w:r w:rsidR="00157158" w:rsidRPr="000F0025">
              <w:rPr>
                <w:rFonts w:ascii="Arial" w:eastAsia="Times New Roman" w:hAnsi="Arial" w:cs="Arial"/>
                <w:b/>
                <w:bCs/>
                <w:color w:val="000000"/>
                <w:sz w:val="18"/>
                <w:szCs w:val="18"/>
                <w:lang w:eastAsia="pt-BR"/>
              </w:rPr>
              <w:t>.</w:t>
            </w:r>
            <w:r w:rsidRPr="000F0025">
              <w:rPr>
                <w:rFonts w:ascii="Arial" w:eastAsia="Times New Roman" w:hAnsi="Arial" w:cs="Arial"/>
                <w:b/>
                <w:bCs/>
                <w:color w:val="000000"/>
                <w:sz w:val="18"/>
                <w:szCs w:val="18"/>
                <w:lang w:eastAsia="pt-BR"/>
              </w:rPr>
              <w:t>832</w:t>
            </w:r>
          </w:p>
        </w:tc>
        <w:tc>
          <w:tcPr>
            <w:tcW w:w="1272"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 </w:t>
            </w:r>
          </w:p>
        </w:tc>
        <w:tc>
          <w:tcPr>
            <w:tcW w:w="1327"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 </w:t>
            </w:r>
          </w:p>
        </w:tc>
        <w:tc>
          <w:tcPr>
            <w:tcW w:w="1100"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933955">
            <w:pPr>
              <w:spacing w:after="0" w:line="240" w:lineRule="auto"/>
              <w:jc w:val="both"/>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 </w:t>
            </w:r>
          </w:p>
        </w:tc>
        <w:tc>
          <w:tcPr>
            <w:tcW w:w="1148" w:type="dxa"/>
            <w:tcBorders>
              <w:top w:val="nil"/>
              <w:left w:val="nil"/>
              <w:bottom w:val="single" w:sz="8" w:space="0" w:color="auto"/>
              <w:right w:val="single" w:sz="8" w:space="0" w:color="auto"/>
            </w:tcBorders>
            <w:shd w:val="clear" w:color="auto" w:fill="auto"/>
            <w:vAlign w:val="center"/>
            <w:hideMark/>
          </w:tcPr>
          <w:p w:rsidR="00933955" w:rsidRPr="000F0025" w:rsidRDefault="00933955" w:rsidP="00157158">
            <w:pPr>
              <w:spacing w:after="0" w:line="240" w:lineRule="auto"/>
              <w:jc w:val="right"/>
              <w:rPr>
                <w:rFonts w:ascii="Arial" w:eastAsia="Times New Roman" w:hAnsi="Arial" w:cs="Arial"/>
                <w:b/>
                <w:bCs/>
                <w:color w:val="000000"/>
                <w:sz w:val="18"/>
                <w:szCs w:val="18"/>
                <w:lang w:val="es-ES" w:eastAsia="pt-BR"/>
              </w:rPr>
            </w:pPr>
            <w:r w:rsidRPr="000F0025">
              <w:rPr>
                <w:rFonts w:ascii="Arial" w:eastAsia="Times New Roman" w:hAnsi="Arial" w:cs="Arial"/>
                <w:b/>
                <w:bCs/>
                <w:color w:val="000000"/>
                <w:sz w:val="18"/>
                <w:szCs w:val="18"/>
                <w:lang w:eastAsia="pt-BR"/>
              </w:rPr>
              <w:t>14</w:t>
            </w:r>
            <w:r w:rsidR="00157158" w:rsidRPr="000F0025">
              <w:rPr>
                <w:rFonts w:ascii="Arial" w:eastAsia="Times New Roman" w:hAnsi="Arial" w:cs="Arial"/>
                <w:b/>
                <w:bCs/>
                <w:color w:val="000000"/>
                <w:sz w:val="18"/>
                <w:szCs w:val="18"/>
                <w:lang w:eastAsia="pt-BR"/>
              </w:rPr>
              <w:t>.</w:t>
            </w:r>
            <w:r w:rsidRPr="000F0025">
              <w:rPr>
                <w:rFonts w:ascii="Arial" w:eastAsia="Times New Roman" w:hAnsi="Arial" w:cs="Arial"/>
                <w:b/>
                <w:bCs/>
                <w:color w:val="000000"/>
                <w:sz w:val="18"/>
                <w:szCs w:val="18"/>
                <w:lang w:eastAsia="pt-BR"/>
              </w:rPr>
              <w:t>304</w:t>
            </w:r>
            <w:r w:rsidR="00157158" w:rsidRPr="000F0025">
              <w:rPr>
                <w:rFonts w:ascii="Arial" w:eastAsia="Times New Roman" w:hAnsi="Arial" w:cs="Arial"/>
                <w:b/>
                <w:bCs/>
                <w:color w:val="000000"/>
                <w:sz w:val="18"/>
                <w:szCs w:val="18"/>
                <w:lang w:eastAsia="pt-BR"/>
              </w:rPr>
              <w:t>.</w:t>
            </w:r>
            <w:r w:rsidRPr="000F0025">
              <w:rPr>
                <w:rFonts w:ascii="Arial" w:eastAsia="Times New Roman" w:hAnsi="Arial" w:cs="Arial"/>
                <w:b/>
                <w:bCs/>
                <w:color w:val="000000"/>
                <w:sz w:val="18"/>
                <w:szCs w:val="18"/>
                <w:lang w:eastAsia="pt-BR"/>
              </w:rPr>
              <w:t>781</w:t>
            </w:r>
          </w:p>
        </w:tc>
      </w:tr>
    </w:tbl>
    <w:p w:rsidR="00FD683F" w:rsidRPr="002E1AE0" w:rsidRDefault="00FD683F" w:rsidP="00FD683F">
      <w:pPr>
        <w:pStyle w:val="ListParagraph"/>
        <w:spacing w:before="120" w:after="120" w:line="240" w:lineRule="auto"/>
        <w:ind w:left="1080"/>
        <w:contextualSpacing w:val="0"/>
        <w:jc w:val="both"/>
        <w:rPr>
          <w:rFonts w:ascii="Arial" w:hAnsi="Arial" w:cs="Arial"/>
        </w:rPr>
      </w:pPr>
      <w:r w:rsidRPr="002E1AE0">
        <w:rPr>
          <w:rFonts w:ascii="Arial" w:hAnsi="Arial" w:cs="Arial"/>
        </w:rPr>
        <w:fldChar w:fldCharType="end"/>
      </w:r>
      <w:r w:rsidRPr="002E1AE0">
        <w:rPr>
          <w:rFonts w:ascii="Arial" w:hAnsi="Arial" w:cs="Arial"/>
        </w:rPr>
        <w:t>El Cuadro 3</w:t>
      </w:r>
      <w:r w:rsidR="004C777A" w:rsidRPr="002E1AE0">
        <w:rPr>
          <w:rFonts w:ascii="Arial" w:hAnsi="Arial" w:cs="Arial"/>
        </w:rPr>
        <w:t xml:space="preserve"> p</w:t>
      </w:r>
      <w:r w:rsidRPr="002E1AE0">
        <w:rPr>
          <w:rFonts w:ascii="Arial" w:hAnsi="Arial" w:cs="Arial"/>
        </w:rPr>
        <w:t>resenta una estimación de la estrategia de implementación de la factur</w:t>
      </w:r>
      <w:r w:rsidR="00E32B46" w:rsidRPr="002E1AE0">
        <w:rPr>
          <w:rFonts w:ascii="Arial" w:hAnsi="Arial" w:cs="Arial"/>
        </w:rPr>
        <w:t>a electrónica, empezando en 2017</w:t>
      </w:r>
      <w:r w:rsidRPr="002E1AE0">
        <w:rPr>
          <w:rFonts w:ascii="Arial" w:hAnsi="Arial" w:cs="Arial"/>
        </w:rPr>
        <w:t xml:space="preserve"> con la implantación en </w:t>
      </w:r>
      <w:r w:rsidR="004C777A" w:rsidRPr="002E1AE0">
        <w:rPr>
          <w:rFonts w:ascii="Arial" w:hAnsi="Arial" w:cs="Arial"/>
        </w:rPr>
        <w:t xml:space="preserve">el </w:t>
      </w:r>
      <w:r w:rsidRPr="002E1AE0">
        <w:rPr>
          <w:rFonts w:ascii="Arial" w:hAnsi="Arial" w:cs="Arial"/>
        </w:rPr>
        <w:t xml:space="preserve">20% de los contribuyentes y culminando en 2020 con </w:t>
      </w:r>
      <w:r w:rsidR="00E500FA" w:rsidRPr="002E1AE0">
        <w:rPr>
          <w:rFonts w:ascii="Arial" w:hAnsi="Arial" w:cs="Arial"/>
        </w:rPr>
        <w:t xml:space="preserve">el </w:t>
      </w:r>
      <w:r w:rsidRPr="002E1AE0">
        <w:rPr>
          <w:rFonts w:ascii="Arial" w:hAnsi="Arial" w:cs="Arial"/>
        </w:rPr>
        <w:t xml:space="preserve">60% de </w:t>
      </w:r>
      <w:r w:rsidR="00E500FA" w:rsidRPr="002E1AE0">
        <w:rPr>
          <w:rFonts w:ascii="Arial" w:hAnsi="Arial" w:cs="Arial"/>
        </w:rPr>
        <w:t xml:space="preserve">la </w:t>
      </w:r>
      <w:r w:rsidRPr="002E1AE0">
        <w:rPr>
          <w:rFonts w:ascii="Arial" w:hAnsi="Arial" w:cs="Arial"/>
        </w:rPr>
        <w:t>implantación en los 3 tipos de contribuyentes.</w:t>
      </w:r>
    </w:p>
    <w:p w:rsidR="00337C51" w:rsidRPr="002E1AE0" w:rsidRDefault="00337C51" w:rsidP="00FD683F">
      <w:pPr>
        <w:pStyle w:val="ListParagraph"/>
        <w:spacing w:before="120" w:after="120" w:line="240" w:lineRule="auto"/>
        <w:ind w:left="1080"/>
        <w:contextualSpacing w:val="0"/>
        <w:jc w:val="both"/>
        <w:rPr>
          <w:rFonts w:ascii="Arial" w:hAnsi="Arial" w:cs="Arial"/>
        </w:rPr>
      </w:pPr>
    </w:p>
    <w:tbl>
      <w:tblPr>
        <w:tblW w:w="1098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50"/>
        <w:gridCol w:w="950"/>
        <w:gridCol w:w="860"/>
        <w:gridCol w:w="860"/>
        <w:gridCol w:w="860"/>
        <w:gridCol w:w="860"/>
        <w:gridCol w:w="881"/>
        <w:gridCol w:w="860"/>
        <w:gridCol w:w="889"/>
        <w:gridCol w:w="890"/>
        <w:gridCol w:w="860"/>
        <w:gridCol w:w="860"/>
      </w:tblGrid>
      <w:tr w:rsidR="00FD683F" w:rsidRPr="000F0025" w:rsidTr="00EA40F8">
        <w:trPr>
          <w:trHeight w:val="260"/>
        </w:trPr>
        <w:tc>
          <w:tcPr>
            <w:tcW w:w="10980" w:type="dxa"/>
            <w:gridSpan w:val="12"/>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Cuadro 3.  Aumento Progresivo del Beneficio Facturas Electrónicas</w:t>
            </w:r>
          </w:p>
        </w:tc>
      </w:tr>
      <w:tr w:rsidR="00FD683F" w:rsidRPr="000F0025" w:rsidTr="00EA40F8">
        <w:trPr>
          <w:trHeight w:val="260"/>
        </w:trPr>
        <w:tc>
          <w:tcPr>
            <w:tcW w:w="1350" w:type="dxa"/>
            <w:vMerge w:val="restart"/>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Contribuyentes</w:t>
            </w:r>
          </w:p>
        </w:tc>
        <w:tc>
          <w:tcPr>
            <w:tcW w:w="950" w:type="dxa"/>
            <w:vMerge w:val="restart"/>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Beneficio Total</w:t>
            </w:r>
            <w:r w:rsidRPr="000F0025">
              <w:rPr>
                <w:rFonts w:ascii="Arial" w:eastAsia="Times New Roman" w:hAnsi="Arial" w:cs="Arial"/>
                <w:b/>
                <w:bCs/>
                <w:color w:val="000000"/>
                <w:sz w:val="16"/>
                <w:szCs w:val="18"/>
                <w:lang w:eastAsia="pt-BR"/>
              </w:rPr>
              <w:br/>
              <w:t>100%</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2017</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2018</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2019</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2020</w:t>
            </w:r>
          </w:p>
        </w:tc>
        <w:tc>
          <w:tcPr>
            <w:tcW w:w="881"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2021</w:t>
            </w:r>
          </w:p>
        </w:tc>
        <w:tc>
          <w:tcPr>
            <w:tcW w:w="860" w:type="dxa"/>
            <w:vMerge w:val="restart"/>
            <w:shd w:val="clear" w:color="000000" w:fill="C5D9F1"/>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2022</w:t>
            </w:r>
          </w:p>
        </w:tc>
        <w:tc>
          <w:tcPr>
            <w:tcW w:w="889" w:type="dxa"/>
            <w:vMerge w:val="restart"/>
            <w:shd w:val="clear" w:color="000000" w:fill="C5D9F1"/>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2023</w:t>
            </w:r>
          </w:p>
        </w:tc>
        <w:tc>
          <w:tcPr>
            <w:tcW w:w="890" w:type="dxa"/>
            <w:vMerge w:val="restart"/>
            <w:shd w:val="clear" w:color="000000" w:fill="C5D9F1"/>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2024</w:t>
            </w:r>
          </w:p>
        </w:tc>
        <w:tc>
          <w:tcPr>
            <w:tcW w:w="860" w:type="dxa"/>
            <w:vMerge w:val="restart"/>
            <w:shd w:val="clear" w:color="000000" w:fill="C5D9F1"/>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2025</w:t>
            </w:r>
          </w:p>
        </w:tc>
        <w:tc>
          <w:tcPr>
            <w:tcW w:w="860" w:type="dxa"/>
            <w:vMerge w:val="restart"/>
            <w:shd w:val="clear" w:color="000000" w:fill="C5D9F1"/>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2026</w:t>
            </w:r>
          </w:p>
        </w:tc>
      </w:tr>
      <w:tr w:rsidR="00FD683F" w:rsidRPr="000F0025" w:rsidTr="00EA40F8">
        <w:trPr>
          <w:trHeight w:val="270"/>
        </w:trPr>
        <w:tc>
          <w:tcPr>
            <w:tcW w:w="1350"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c>
          <w:tcPr>
            <w:tcW w:w="950"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20%</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30%</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40%</w:t>
            </w:r>
          </w:p>
        </w:tc>
        <w:tc>
          <w:tcPr>
            <w:tcW w:w="860"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50%</w:t>
            </w:r>
          </w:p>
        </w:tc>
        <w:tc>
          <w:tcPr>
            <w:tcW w:w="881" w:type="dxa"/>
            <w:shd w:val="clear" w:color="000000" w:fill="C5D9F1"/>
            <w:vAlign w:val="center"/>
            <w:hideMark/>
          </w:tcPr>
          <w:p w:rsidR="00FD683F" w:rsidRPr="000F0025" w:rsidRDefault="00FD683F" w:rsidP="00EA40F8">
            <w:pPr>
              <w:spacing w:after="0" w:line="240" w:lineRule="auto"/>
              <w:jc w:val="center"/>
              <w:rPr>
                <w:rFonts w:ascii="Arial" w:eastAsia="Times New Roman" w:hAnsi="Arial" w:cs="Arial"/>
                <w:b/>
                <w:bCs/>
                <w:color w:val="000000"/>
                <w:sz w:val="16"/>
                <w:szCs w:val="18"/>
                <w:lang w:eastAsia="pt-BR"/>
              </w:rPr>
            </w:pPr>
            <w:r w:rsidRPr="000F0025">
              <w:rPr>
                <w:rFonts w:ascii="Arial" w:eastAsia="Times New Roman" w:hAnsi="Arial" w:cs="Arial"/>
                <w:b/>
                <w:bCs/>
                <w:color w:val="000000"/>
                <w:sz w:val="16"/>
                <w:szCs w:val="18"/>
                <w:lang w:eastAsia="pt-BR"/>
              </w:rPr>
              <w:t> </w:t>
            </w:r>
          </w:p>
        </w:tc>
        <w:tc>
          <w:tcPr>
            <w:tcW w:w="860"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c>
          <w:tcPr>
            <w:tcW w:w="889"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c>
          <w:tcPr>
            <w:tcW w:w="890"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c>
          <w:tcPr>
            <w:tcW w:w="860"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c>
          <w:tcPr>
            <w:tcW w:w="860" w:type="dxa"/>
            <w:vMerge/>
            <w:vAlign w:val="center"/>
            <w:hideMark/>
          </w:tcPr>
          <w:p w:rsidR="00FD683F" w:rsidRPr="000F0025" w:rsidRDefault="00FD683F" w:rsidP="00EA40F8">
            <w:pPr>
              <w:spacing w:after="0" w:line="240" w:lineRule="auto"/>
              <w:rPr>
                <w:rFonts w:ascii="Arial" w:eastAsia="Times New Roman" w:hAnsi="Arial" w:cs="Arial"/>
                <w:b/>
                <w:bCs/>
                <w:color w:val="000000"/>
                <w:sz w:val="16"/>
                <w:szCs w:val="18"/>
                <w:lang w:eastAsia="pt-BR"/>
              </w:rPr>
            </w:pPr>
          </w:p>
        </w:tc>
      </w:tr>
      <w:tr w:rsidR="00FD683F" w:rsidRPr="000F0025" w:rsidTr="00EA40F8">
        <w:trPr>
          <w:trHeight w:val="270"/>
        </w:trPr>
        <w:tc>
          <w:tcPr>
            <w:tcW w:w="1350" w:type="dxa"/>
            <w:shd w:val="clear" w:color="auto" w:fill="auto"/>
            <w:vAlign w:val="center"/>
            <w:hideMark/>
          </w:tcPr>
          <w:p w:rsidR="00FD683F" w:rsidRPr="000F0025" w:rsidRDefault="00FD683F" w:rsidP="00EA40F8">
            <w:pPr>
              <w:spacing w:after="0" w:line="240" w:lineRule="auto"/>
              <w:jc w:val="both"/>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Grandes</w:t>
            </w:r>
          </w:p>
        </w:tc>
        <w:tc>
          <w:tcPr>
            <w:tcW w:w="95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,013</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112</w:t>
            </w:r>
          </w:p>
        </w:tc>
        <w:tc>
          <w:tcPr>
            <w:tcW w:w="860" w:type="dxa"/>
            <w:shd w:val="clear" w:color="auto" w:fill="auto"/>
            <w:vAlign w:val="center"/>
            <w:hideMark/>
          </w:tcPr>
          <w:p w:rsidR="00FD683F" w:rsidRPr="000F0025" w:rsidRDefault="00FD683F" w:rsidP="00EA40F8">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802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622</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1</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203</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934</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1</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605</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245</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c>
          <w:tcPr>
            <w:tcW w:w="881"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c>
          <w:tcPr>
            <w:tcW w:w="889"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c>
          <w:tcPr>
            <w:tcW w:w="89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006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556</w:t>
            </w:r>
          </w:p>
        </w:tc>
      </w:tr>
      <w:tr w:rsidR="00FD683F" w:rsidRPr="000F0025" w:rsidTr="00EA40F8">
        <w:trPr>
          <w:trHeight w:val="270"/>
        </w:trPr>
        <w:tc>
          <w:tcPr>
            <w:tcW w:w="1350" w:type="dxa"/>
            <w:shd w:val="clear" w:color="auto" w:fill="auto"/>
            <w:vAlign w:val="center"/>
            <w:hideMark/>
          </w:tcPr>
          <w:p w:rsidR="00FD683F" w:rsidRPr="000F0025" w:rsidRDefault="00FD683F" w:rsidP="00EA40F8">
            <w:pPr>
              <w:spacing w:after="0" w:line="240" w:lineRule="auto"/>
              <w:jc w:val="both"/>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Medianos</w:t>
            </w:r>
          </w:p>
        </w:tc>
        <w:tc>
          <w:tcPr>
            <w:tcW w:w="95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735</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991</w:t>
            </w:r>
          </w:p>
        </w:tc>
        <w:tc>
          <w:tcPr>
            <w:tcW w:w="860" w:type="dxa"/>
            <w:shd w:val="clear" w:color="auto" w:fill="auto"/>
            <w:vAlign w:val="center"/>
            <w:hideMark/>
          </w:tcPr>
          <w:p w:rsidR="00FD683F" w:rsidRPr="000F0025" w:rsidRDefault="00E500FA" w:rsidP="00EA40F8">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147.</w:t>
            </w:r>
            <w:r w:rsidR="00FD683F" w:rsidRPr="000F0025">
              <w:rPr>
                <w:rFonts w:ascii="Arial" w:eastAsia="Times New Roman" w:hAnsi="Arial" w:cs="Arial"/>
                <w:color w:val="000000"/>
                <w:sz w:val="16"/>
                <w:szCs w:val="18"/>
                <w:lang w:eastAsia="pt-BR"/>
              </w:rPr>
              <w:t>198</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220</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797</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294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c>
          <w:tcPr>
            <w:tcW w:w="881"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c>
          <w:tcPr>
            <w:tcW w:w="889"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c>
          <w:tcPr>
            <w:tcW w:w="89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367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996</w:t>
            </w:r>
          </w:p>
        </w:tc>
      </w:tr>
      <w:tr w:rsidR="00FD683F" w:rsidRPr="000F0025" w:rsidTr="00EA40F8">
        <w:trPr>
          <w:trHeight w:val="270"/>
        </w:trPr>
        <w:tc>
          <w:tcPr>
            <w:tcW w:w="1350" w:type="dxa"/>
            <w:shd w:val="clear" w:color="auto" w:fill="auto"/>
            <w:vAlign w:val="center"/>
            <w:hideMark/>
          </w:tcPr>
          <w:p w:rsidR="00FD683F" w:rsidRPr="000F0025" w:rsidRDefault="00FD683F" w:rsidP="00EA40F8">
            <w:pPr>
              <w:spacing w:after="0" w:line="240" w:lineRule="auto"/>
              <w:jc w:val="both"/>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Pequeños</w:t>
            </w:r>
          </w:p>
        </w:tc>
        <w:tc>
          <w:tcPr>
            <w:tcW w:w="95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9</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555</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678</w:t>
            </w:r>
          </w:p>
        </w:tc>
        <w:tc>
          <w:tcPr>
            <w:tcW w:w="860" w:type="dxa"/>
            <w:shd w:val="clear" w:color="auto" w:fill="auto"/>
            <w:vAlign w:val="center"/>
            <w:hideMark/>
          </w:tcPr>
          <w:p w:rsidR="00FD683F" w:rsidRPr="000F0025" w:rsidRDefault="00E500FA" w:rsidP="00EA40F8">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1.911.</w:t>
            </w:r>
            <w:r w:rsidR="00FD683F" w:rsidRPr="000F0025">
              <w:rPr>
                <w:rFonts w:ascii="Arial" w:eastAsia="Times New Roman" w:hAnsi="Arial" w:cs="Arial"/>
                <w:color w:val="000000"/>
                <w:sz w:val="16"/>
                <w:szCs w:val="18"/>
                <w:lang w:eastAsia="pt-BR"/>
              </w:rPr>
              <w:t>136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866</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703</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3</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822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271</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c>
          <w:tcPr>
            <w:tcW w:w="881"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c>
          <w:tcPr>
            <w:tcW w:w="889"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c>
          <w:tcPr>
            <w:tcW w:w="89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777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839</w:t>
            </w:r>
          </w:p>
        </w:tc>
      </w:tr>
      <w:tr w:rsidR="00FD683F" w:rsidRPr="000F0025" w:rsidTr="00EA40F8">
        <w:trPr>
          <w:trHeight w:val="260"/>
        </w:trPr>
        <w:tc>
          <w:tcPr>
            <w:tcW w:w="1350" w:type="dxa"/>
            <w:shd w:val="clear" w:color="auto" w:fill="auto"/>
            <w:vAlign w:val="center"/>
            <w:hideMark/>
          </w:tcPr>
          <w:p w:rsidR="00FD683F" w:rsidRPr="000F0025" w:rsidRDefault="00FD683F" w:rsidP="00EA40F8">
            <w:pPr>
              <w:spacing w:after="0" w:line="240" w:lineRule="auto"/>
              <w:jc w:val="both"/>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Total</w:t>
            </w:r>
          </w:p>
        </w:tc>
        <w:tc>
          <w:tcPr>
            <w:tcW w:w="95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14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304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781</w:t>
            </w:r>
          </w:p>
        </w:tc>
        <w:tc>
          <w:tcPr>
            <w:tcW w:w="860" w:type="dxa"/>
            <w:shd w:val="clear" w:color="auto" w:fill="auto"/>
            <w:vAlign w:val="center"/>
            <w:hideMark/>
          </w:tcPr>
          <w:p w:rsidR="00FD683F" w:rsidRPr="000F0025" w:rsidRDefault="00E500FA" w:rsidP="00EA40F8">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2.860.</w:t>
            </w:r>
            <w:r w:rsidR="00FD683F" w:rsidRPr="000F0025">
              <w:rPr>
                <w:rFonts w:ascii="Arial" w:eastAsia="Times New Roman" w:hAnsi="Arial" w:cs="Arial"/>
                <w:color w:val="000000"/>
                <w:sz w:val="16"/>
                <w:szCs w:val="18"/>
                <w:lang w:eastAsia="pt-BR"/>
              </w:rPr>
              <w:t>956</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4</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291</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434</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5</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721</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912</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c>
          <w:tcPr>
            <w:tcW w:w="881"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c>
          <w:tcPr>
            <w:tcW w:w="889"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c>
          <w:tcPr>
            <w:tcW w:w="89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color w:val="000000"/>
                <w:sz w:val="16"/>
                <w:szCs w:val="18"/>
                <w:lang w:eastAsia="pt-BR"/>
              </w:rPr>
            </w:pPr>
            <w:r w:rsidRPr="000F0025">
              <w:rPr>
                <w:rFonts w:ascii="Arial" w:eastAsia="Times New Roman" w:hAnsi="Arial" w:cs="Arial"/>
                <w:color w:val="000000"/>
                <w:sz w:val="16"/>
                <w:szCs w:val="18"/>
                <w:lang w:eastAsia="pt-BR"/>
              </w:rPr>
              <w:t>7</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152</w:t>
            </w:r>
            <w:r w:rsidR="00E500FA" w:rsidRPr="000F0025">
              <w:rPr>
                <w:rFonts w:ascii="Arial" w:eastAsia="Times New Roman" w:hAnsi="Arial" w:cs="Arial"/>
                <w:color w:val="000000"/>
                <w:sz w:val="16"/>
                <w:szCs w:val="18"/>
                <w:lang w:eastAsia="pt-BR"/>
              </w:rPr>
              <w:t>.</w:t>
            </w:r>
            <w:r w:rsidRPr="000F0025">
              <w:rPr>
                <w:rFonts w:ascii="Arial" w:eastAsia="Times New Roman" w:hAnsi="Arial" w:cs="Arial"/>
                <w:color w:val="000000"/>
                <w:sz w:val="16"/>
                <w:szCs w:val="18"/>
                <w:lang w:eastAsia="pt-BR"/>
              </w:rPr>
              <w:t>391</w:t>
            </w:r>
          </w:p>
        </w:tc>
      </w:tr>
      <w:tr w:rsidR="00FD683F" w:rsidRPr="000F0025" w:rsidTr="00EA40F8">
        <w:trPr>
          <w:trHeight w:val="260"/>
        </w:trPr>
        <w:tc>
          <w:tcPr>
            <w:tcW w:w="1350" w:type="dxa"/>
            <w:shd w:val="clear" w:color="auto" w:fill="auto"/>
            <w:noWrap/>
            <w:vAlign w:val="bottom"/>
            <w:hideMark/>
          </w:tcPr>
          <w:p w:rsidR="00FD683F" w:rsidRPr="000F0025" w:rsidRDefault="00FD683F" w:rsidP="00EA40F8">
            <w:pPr>
              <w:spacing w:after="0" w:line="240" w:lineRule="auto"/>
              <w:rPr>
                <w:rFonts w:ascii="Arial" w:eastAsia="Times New Roman" w:hAnsi="Arial" w:cs="Arial"/>
                <w:b/>
                <w:sz w:val="16"/>
                <w:szCs w:val="18"/>
                <w:lang w:eastAsia="pt-BR"/>
              </w:rPr>
            </w:pPr>
            <w:r w:rsidRPr="000F0025">
              <w:rPr>
                <w:rFonts w:ascii="Arial" w:eastAsia="Times New Roman" w:hAnsi="Arial" w:cs="Arial"/>
                <w:b/>
                <w:sz w:val="16"/>
                <w:szCs w:val="18"/>
                <w:lang w:eastAsia="pt-BR"/>
              </w:rPr>
              <w:t>Valor Real</w:t>
            </w:r>
          </w:p>
        </w:tc>
        <w:tc>
          <w:tcPr>
            <w:tcW w:w="950" w:type="dxa"/>
            <w:shd w:val="clear" w:color="auto" w:fill="auto"/>
            <w:noWrap/>
            <w:vAlign w:val="bottom"/>
            <w:hideMark/>
          </w:tcPr>
          <w:p w:rsidR="00FD683F" w:rsidRPr="000F0025" w:rsidRDefault="00FD683F" w:rsidP="00EA40F8">
            <w:pPr>
              <w:spacing w:after="0" w:line="240" w:lineRule="auto"/>
              <w:rPr>
                <w:rFonts w:ascii="Arial" w:eastAsia="Times New Roman" w:hAnsi="Arial" w:cs="Arial"/>
                <w:b/>
                <w:sz w:val="16"/>
                <w:szCs w:val="18"/>
                <w:lang w:eastAsia="pt-BR"/>
              </w:rPr>
            </w:pPr>
            <w:r w:rsidRPr="000F0025">
              <w:rPr>
                <w:rFonts w:ascii="Arial" w:eastAsia="Times New Roman" w:hAnsi="Arial" w:cs="Arial"/>
                <w:b/>
                <w:sz w:val="16"/>
                <w:szCs w:val="18"/>
                <w:lang w:eastAsia="pt-BR"/>
              </w:rPr>
              <w:t> </w:t>
            </w:r>
          </w:p>
        </w:tc>
        <w:tc>
          <w:tcPr>
            <w:tcW w:w="860" w:type="dxa"/>
            <w:shd w:val="clear" w:color="auto" w:fill="auto"/>
            <w:vAlign w:val="center"/>
            <w:hideMark/>
          </w:tcPr>
          <w:p w:rsidR="00FD683F" w:rsidRPr="000F0025" w:rsidRDefault="00E500FA" w:rsidP="00EA40F8">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2.660.</w:t>
            </w:r>
            <w:r w:rsidR="00FD683F" w:rsidRPr="000F0025">
              <w:rPr>
                <w:rFonts w:ascii="Arial" w:eastAsia="Times New Roman" w:hAnsi="Arial" w:cs="Arial"/>
                <w:b/>
                <w:color w:val="000000"/>
                <w:sz w:val="16"/>
                <w:szCs w:val="18"/>
                <w:lang w:eastAsia="pt-BR"/>
              </w:rPr>
              <w:t>689</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3</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991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034</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5</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321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378</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c>
          <w:tcPr>
            <w:tcW w:w="881"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c>
          <w:tcPr>
            <w:tcW w:w="889"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c>
          <w:tcPr>
            <w:tcW w:w="89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c>
          <w:tcPr>
            <w:tcW w:w="860" w:type="dxa"/>
            <w:shd w:val="clear" w:color="auto" w:fill="auto"/>
            <w:vAlign w:val="center"/>
            <w:hideMark/>
          </w:tcPr>
          <w:p w:rsidR="00FD683F" w:rsidRPr="000F0025" w:rsidRDefault="00FD683F" w:rsidP="00E500FA">
            <w:pPr>
              <w:spacing w:after="0" w:line="240" w:lineRule="auto"/>
              <w:jc w:val="right"/>
              <w:rPr>
                <w:rFonts w:ascii="Arial" w:eastAsia="Times New Roman" w:hAnsi="Arial" w:cs="Arial"/>
                <w:b/>
                <w:color w:val="000000"/>
                <w:sz w:val="16"/>
                <w:szCs w:val="18"/>
                <w:lang w:eastAsia="pt-BR"/>
              </w:rPr>
            </w:pPr>
            <w:r w:rsidRPr="000F0025">
              <w:rPr>
                <w:rFonts w:ascii="Arial" w:eastAsia="Times New Roman" w:hAnsi="Arial" w:cs="Arial"/>
                <w:b/>
                <w:color w:val="000000"/>
                <w:sz w:val="16"/>
                <w:szCs w:val="18"/>
                <w:lang w:eastAsia="pt-BR"/>
              </w:rPr>
              <w:t>6</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651</w:t>
            </w:r>
            <w:r w:rsidR="00E500FA" w:rsidRPr="000F0025">
              <w:rPr>
                <w:rFonts w:ascii="Arial" w:eastAsia="Times New Roman" w:hAnsi="Arial" w:cs="Arial"/>
                <w:b/>
                <w:color w:val="000000"/>
                <w:sz w:val="16"/>
                <w:szCs w:val="18"/>
                <w:lang w:eastAsia="pt-BR"/>
              </w:rPr>
              <w:t>.</w:t>
            </w:r>
            <w:r w:rsidRPr="000F0025">
              <w:rPr>
                <w:rFonts w:ascii="Arial" w:eastAsia="Times New Roman" w:hAnsi="Arial" w:cs="Arial"/>
                <w:b/>
                <w:color w:val="000000"/>
                <w:sz w:val="16"/>
                <w:szCs w:val="18"/>
                <w:lang w:eastAsia="pt-BR"/>
              </w:rPr>
              <w:t>724</w:t>
            </w:r>
          </w:p>
        </w:tc>
      </w:tr>
    </w:tbl>
    <w:p w:rsidR="00FD683F" w:rsidRPr="002E1AE0" w:rsidRDefault="00FD683F" w:rsidP="00FD683F">
      <w:pPr>
        <w:rPr>
          <w:rFonts w:ascii="Arial" w:hAnsi="Arial" w:cs="Arial"/>
        </w:rPr>
      </w:pPr>
    </w:p>
    <w:p w:rsidR="00FD683F" w:rsidRPr="002E1AE0" w:rsidRDefault="00FD683F" w:rsidP="00FD683F">
      <w:pPr>
        <w:pStyle w:val="Paragraph"/>
        <w:tabs>
          <w:tab w:val="clear" w:pos="1296"/>
          <w:tab w:val="num" w:pos="720"/>
        </w:tabs>
        <w:ind w:hanging="1206"/>
        <w:rPr>
          <w:rFonts w:ascii="Arial" w:hAnsi="Arial" w:cs="Arial"/>
          <w:b/>
          <w:sz w:val="22"/>
          <w:szCs w:val="22"/>
        </w:rPr>
      </w:pPr>
      <w:r w:rsidRPr="002E1AE0">
        <w:rPr>
          <w:rFonts w:ascii="Arial" w:hAnsi="Arial" w:cs="Arial"/>
          <w:b/>
          <w:sz w:val="22"/>
          <w:szCs w:val="22"/>
        </w:rPr>
        <w:t>Conclusión</w:t>
      </w:r>
    </w:p>
    <w:p w:rsidR="00FD683F" w:rsidRPr="002E1AE0" w:rsidRDefault="00FD683F" w:rsidP="00FD683F">
      <w:pPr>
        <w:pStyle w:val="ListParagraph"/>
        <w:ind w:left="1080"/>
        <w:jc w:val="both"/>
        <w:rPr>
          <w:rFonts w:ascii="Arial" w:hAnsi="Arial" w:cs="Arial"/>
        </w:rPr>
      </w:pPr>
      <w:r w:rsidRPr="002E1AE0">
        <w:rPr>
          <w:rFonts w:ascii="Arial" w:hAnsi="Arial" w:cs="Arial"/>
        </w:rPr>
        <w:t>Por medio del establecimiento de las bases normat</w:t>
      </w:r>
      <w:r w:rsidR="00DD07CA" w:rsidRPr="002E1AE0">
        <w:rPr>
          <w:rFonts w:ascii="Arial" w:hAnsi="Arial" w:cs="Arial"/>
        </w:rPr>
        <w:t>ivas para la implementación de</w:t>
      </w:r>
      <w:r w:rsidRPr="002E1AE0">
        <w:rPr>
          <w:rFonts w:ascii="Arial" w:hAnsi="Arial" w:cs="Arial"/>
        </w:rPr>
        <w:t xml:space="preserve"> la factura electrónica se genera un control más efectivo del ISV, reduciendo la evasión fiscal</w:t>
      </w:r>
      <w:r w:rsidR="00DD07CA" w:rsidRPr="002E1AE0">
        <w:rPr>
          <w:rFonts w:ascii="Arial" w:hAnsi="Arial" w:cs="Arial"/>
        </w:rPr>
        <w:t>. Esto</w:t>
      </w:r>
      <w:r w:rsidRPr="002E1AE0">
        <w:rPr>
          <w:rFonts w:ascii="Arial" w:hAnsi="Arial" w:cs="Arial"/>
        </w:rPr>
        <w:t xml:space="preserve"> genera un beneficio financiero al Estado Hondureño </w:t>
      </w:r>
      <w:r w:rsidR="004C777A" w:rsidRPr="002E1AE0">
        <w:rPr>
          <w:rFonts w:ascii="Arial" w:hAnsi="Arial" w:cs="Arial"/>
        </w:rPr>
        <w:t>derivado d</w:t>
      </w:r>
      <w:r w:rsidRPr="002E1AE0">
        <w:rPr>
          <w:rFonts w:ascii="Arial" w:hAnsi="Arial" w:cs="Arial"/>
        </w:rPr>
        <w:t>el aumento de la recaudación del impuesto de US$ 2</w:t>
      </w:r>
      <w:r w:rsidR="004C777A" w:rsidRPr="002E1AE0">
        <w:rPr>
          <w:rFonts w:ascii="Arial" w:hAnsi="Arial" w:cs="Arial"/>
        </w:rPr>
        <w:t>.</w:t>
      </w:r>
      <w:r w:rsidRPr="002E1AE0">
        <w:rPr>
          <w:rFonts w:ascii="Arial" w:hAnsi="Arial" w:cs="Arial"/>
        </w:rPr>
        <w:t>660</w:t>
      </w:r>
      <w:r w:rsidR="004C777A" w:rsidRPr="002E1AE0">
        <w:rPr>
          <w:rFonts w:ascii="Arial" w:hAnsi="Arial" w:cs="Arial"/>
        </w:rPr>
        <w:t>.</w:t>
      </w:r>
      <w:r w:rsidRPr="002E1AE0">
        <w:rPr>
          <w:rFonts w:ascii="Arial" w:hAnsi="Arial" w:cs="Arial"/>
        </w:rPr>
        <w:t xml:space="preserve">689 (en valores reales) a partir del año 2017 considerando que </w:t>
      </w:r>
      <w:r w:rsidR="004C777A" w:rsidRPr="002E1AE0">
        <w:rPr>
          <w:rFonts w:ascii="Arial" w:hAnsi="Arial" w:cs="Arial"/>
        </w:rPr>
        <w:t xml:space="preserve">el </w:t>
      </w:r>
      <w:r w:rsidR="00DD07CA" w:rsidRPr="002E1AE0">
        <w:rPr>
          <w:rFonts w:ascii="Arial" w:hAnsi="Arial" w:cs="Arial"/>
        </w:rPr>
        <w:t xml:space="preserve">20% de los contribuyentes usen </w:t>
      </w:r>
      <w:r w:rsidRPr="002E1AE0">
        <w:rPr>
          <w:rFonts w:ascii="Arial" w:hAnsi="Arial" w:cs="Arial"/>
        </w:rPr>
        <w:t>la factura electrónica</w:t>
      </w:r>
      <w:r w:rsidR="004C777A" w:rsidRPr="002E1AE0">
        <w:rPr>
          <w:rFonts w:ascii="Arial" w:hAnsi="Arial" w:cs="Arial"/>
        </w:rPr>
        <w:t>. El proceso culminaría</w:t>
      </w:r>
      <w:r w:rsidRPr="002E1AE0">
        <w:rPr>
          <w:rFonts w:ascii="Arial" w:hAnsi="Arial" w:cs="Arial"/>
        </w:rPr>
        <w:t xml:space="preserve"> en 2026 con un beneficio de US$ 4</w:t>
      </w:r>
      <w:r w:rsidR="004C777A" w:rsidRPr="002E1AE0">
        <w:rPr>
          <w:rFonts w:ascii="Arial" w:hAnsi="Arial" w:cs="Arial"/>
        </w:rPr>
        <w:t>.</w:t>
      </w:r>
      <w:r w:rsidRPr="002E1AE0">
        <w:rPr>
          <w:rFonts w:ascii="Arial" w:hAnsi="Arial" w:cs="Arial"/>
        </w:rPr>
        <w:t>777</w:t>
      </w:r>
      <w:r w:rsidR="004C777A" w:rsidRPr="002E1AE0">
        <w:rPr>
          <w:rFonts w:ascii="Arial" w:hAnsi="Arial" w:cs="Arial"/>
        </w:rPr>
        <w:t>.</w:t>
      </w:r>
      <w:r w:rsidRPr="002E1AE0">
        <w:rPr>
          <w:rFonts w:ascii="Arial" w:hAnsi="Arial" w:cs="Arial"/>
        </w:rPr>
        <w:t xml:space="preserve">839 (en valores reales) considerando que </w:t>
      </w:r>
      <w:r w:rsidR="000E0E59" w:rsidRPr="002E1AE0">
        <w:rPr>
          <w:rFonts w:ascii="Arial" w:hAnsi="Arial" w:cs="Arial"/>
        </w:rPr>
        <w:t xml:space="preserve">el </w:t>
      </w:r>
      <w:r w:rsidRPr="002E1AE0">
        <w:rPr>
          <w:rFonts w:ascii="Arial" w:hAnsi="Arial" w:cs="Arial"/>
        </w:rPr>
        <w:t xml:space="preserve">50% de los contribuyentes </w:t>
      </w:r>
      <w:r w:rsidR="00DD07CA" w:rsidRPr="002E1AE0">
        <w:rPr>
          <w:rFonts w:ascii="Arial" w:hAnsi="Arial" w:cs="Arial"/>
        </w:rPr>
        <w:t>usen</w:t>
      </w:r>
      <w:r w:rsidRPr="002E1AE0">
        <w:rPr>
          <w:rFonts w:ascii="Arial" w:hAnsi="Arial" w:cs="Arial"/>
        </w:rPr>
        <w:t xml:space="preserve"> la factura electrónica.</w:t>
      </w:r>
    </w:p>
    <w:p w:rsidR="00FD683F" w:rsidRPr="002E1AE0" w:rsidRDefault="001B5D90" w:rsidP="00837656">
      <w:pPr>
        <w:pStyle w:val="Paragraph"/>
        <w:tabs>
          <w:tab w:val="clear" w:pos="1296"/>
          <w:tab w:val="num" w:pos="720"/>
        </w:tabs>
        <w:ind w:hanging="1206"/>
        <w:rPr>
          <w:rFonts w:ascii="Arial" w:hAnsi="Arial" w:cs="Arial"/>
          <w:b/>
          <w:sz w:val="22"/>
          <w:szCs w:val="22"/>
        </w:rPr>
      </w:pPr>
      <w:r w:rsidRPr="002E1AE0">
        <w:rPr>
          <w:rFonts w:ascii="Arial" w:hAnsi="Arial" w:cs="Arial"/>
          <w:b/>
          <w:sz w:val="22"/>
          <w:szCs w:val="22"/>
        </w:rPr>
        <w:t>Costos</w:t>
      </w:r>
      <w:r w:rsidR="00FD683F" w:rsidRPr="002E1AE0">
        <w:rPr>
          <w:rFonts w:ascii="Arial" w:hAnsi="Arial" w:cs="Arial"/>
          <w:b/>
          <w:sz w:val="22"/>
          <w:szCs w:val="22"/>
        </w:rPr>
        <w:t xml:space="preserve"> Asociados </w:t>
      </w:r>
      <w:r w:rsidR="008D168E" w:rsidRPr="002E1AE0">
        <w:rPr>
          <w:rFonts w:ascii="Arial" w:hAnsi="Arial" w:cs="Arial"/>
          <w:b/>
          <w:sz w:val="22"/>
          <w:szCs w:val="22"/>
        </w:rPr>
        <w:t>a</w:t>
      </w:r>
      <w:r w:rsidR="00FD683F" w:rsidRPr="002E1AE0">
        <w:rPr>
          <w:rFonts w:ascii="Arial" w:hAnsi="Arial" w:cs="Arial"/>
          <w:b/>
          <w:sz w:val="22"/>
          <w:szCs w:val="22"/>
        </w:rPr>
        <w:t xml:space="preserve"> la implementación de la factura electrónica</w:t>
      </w:r>
    </w:p>
    <w:tbl>
      <w:tblPr>
        <w:tblStyle w:val="TableGrid"/>
        <w:tblW w:w="8185" w:type="dxa"/>
        <w:tblInd w:w="1080" w:type="dxa"/>
        <w:tblLook w:val="04A0" w:firstRow="1" w:lastRow="0" w:firstColumn="1" w:lastColumn="0" w:noHBand="0" w:noVBand="1"/>
      </w:tblPr>
      <w:tblGrid>
        <w:gridCol w:w="4320"/>
        <w:gridCol w:w="1634"/>
        <w:gridCol w:w="1075"/>
        <w:gridCol w:w="1156"/>
      </w:tblGrid>
      <w:tr w:rsidR="00E32B46" w:rsidRPr="000F0025" w:rsidTr="00E500FA">
        <w:tc>
          <w:tcPr>
            <w:tcW w:w="8185" w:type="dxa"/>
            <w:gridSpan w:val="4"/>
            <w:shd w:val="clear" w:color="auto" w:fill="BDD6EE" w:themeFill="accent1" w:themeFillTint="66"/>
            <w:vAlign w:val="center"/>
          </w:tcPr>
          <w:p w:rsidR="00E32B46" w:rsidRPr="000F0025" w:rsidRDefault="00E32B46" w:rsidP="00EA40F8">
            <w:pPr>
              <w:pStyle w:val="ListParagraph"/>
              <w:ind w:left="0"/>
              <w:jc w:val="center"/>
              <w:rPr>
                <w:rFonts w:ascii="Arial" w:hAnsi="Arial" w:cs="Arial"/>
                <w:b/>
                <w:sz w:val="18"/>
              </w:rPr>
            </w:pPr>
            <w:r w:rsidRPr="000F0025">
              <w:rPr>
                <w:rFonts w:ascii="Arial" w:hAnsi="Arial" w:cs="Arial"/>
                <w:b/>
                <w:sz w:val="18"/>
              </w:rPr>
              <w:t>Cuadro 4 – Detalle delos costos</w:t>
            </w:r>
          </w:p>
        </w:tc>
      </w:tr>
      <w:tr w:rsidR="00FD683F" w:rsidRPr="000F0025" w:rsidTr="00EA40F8">
        <w:tc>
          <w:tcPr>
            <w:tcW w:w="4320" w:type="dxa"/>
            <w:vMerge w:val="restart"/>
            <w:shd w:val="clear" w:color="auto" w:fill="BDD6EE" w:themeFill="accent1" w:themeFillTint="66"/>
            <w:vAlign w:val="center"/>
          </w:tcPr>
          <w:p w:rsidR="00FD683F" w:rsidRPr="000F0025" w:rsidRDefault="00FD683F" w:rsidP="00EA40F8">
            <w:pPr>
              <w:pStyle w:val="ListParagraph"/>
              <w:ind w:left="0"/>
              <w:jc w:val="center"/>
              <w:rPr>
                <w:rFonts w:ascii="Arial" w:hAnsi="Arial" w:cs="Arial"/>
                <w:b/>
                <w:sz w:val="18"/>
              </w:rPr>
            </w:pPr>
            <w:r w:rsidRPr="000F0025">
              <w:rPr>
                <w:rFonts w:ascii="Arial" w:hAnsi="Arial" w:cs="Arial"/>
                <w:b/>
                <w:sz w:val="18"/>
              </w:rPr>
              <w:t>Descripción</w:t>
            </w:r>
          </w:p>
        </w:tc>
        <w:tc>
          <w:tcPr>
            <w:tcW w:w="3865" w:type="dxa"/>
            <w:gridSpan w:val="3"/>
            <w:shd w:val="clear" w:color="auto" w:fill="BDD6EE" w:themeFill="accent1" w:themeFillTint="66"/>
            <w:vAlign w:val="center"/>
          </w:tcPr>
          <w:p w:rsidR="00FD683F" w:rsidRPr="000F0025" w:rsidRDefault="00FD683F" w:rsidP="00EA40F8">
            <w:pPr>
              <w:pStyle w:val="ListParagraph"/>
              <w:ind w:left="0"/>
              <w:jc w:val="center"/>
              <w:rPr>
                <w:rFonts w:ascii="Arial" w:hAnsi="Arial" w:cs="Arial"/>
                <w:b/>
                <w:sz w:val="18"/>
              </w:rPr>
            </w:pPr>
            <w:r w:rsidRPr="000F0025">
              <w:rPr>
                <w:rFonts w:ascii="Arial" w:hAnsi="Arial" w:cs="Arial"/>
                <w:b/>
                <w:sz w:val="18"/>
              </w:rPr>
              <w:t>Calculo del Costo US$</w:t>
            </w:r>
          </w:p>
        </w:tc>
      </w:tr>
      <w:tr w:rsidR="00FD683F" w:rsidRPr="000F0025" w:rsidTr="00EA40F8">
        <w:tc>
          <w:tcPr>
            <w:tcW w:w="4320" w:type="dxa"/>
            <w:vMerge/>
            <w:shd w:val="clear" w:color="auto" w:fill="BDD6EE" w:themeFill="accent1" w:themeFillTint="66"/>
          </w:tcPr>
          <w:p w:rsidR="00FD683F" w:rsidRPr="000F0025" w:rsidRDefault="00FD683F" w:rsidP="00EA40F8">
            <w:pPr>
              <w:jc w:val="both"/>
              <w:rPr>
                <w:rFonts w:ascii="Arial" w:hAnsi="Arial" w:cs="Arial"/>
                <w:sz w:val="18"/>
              </w:rPr>
            </w:pPr>
          </w:p>
        </w:tc>
        <w:tc>
          <w:tcPr>
            <w:tcW w:w="1634"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rPr>
            </w:pPr>
            <w:r w:rsidRPr="000F0025">
              <w:rPr>
                <w:rFonts w:ascii="Arial" w:hAnsi="Arial" w:cs="Arial"/>
                <w:b/>
                <w:sz w:val="18"/>
              </w:rPr>
              <w:t>Cantidad</w:t>
            </w:r>
          </w:p>
        </w:tc>
        <w:tc>
          <w:tcPr>
            <w:tcW w:w="1075"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rPr>
            </w:pPr>
            <w:r w:rsidRPr="000F0025">
              <w:rPr>
                <w:rFonts w:ascii="Arial" w:hAnsi="Arial" w:cs="Arial"/>
                <w:b/>
                <w:sz w:val="18"/>
              </w:rPr>
              <w:t>Valor Unitario</w:t>
            </w:r>
          </w:p>
        </w:tc>
        <w:tc>
          <w:tcPr>
            <w:tcW w:w="1156" w:type="dxa"/>
            <w:shd w:val="clear" w:color="auto" w:fill="BDD6EE" w:themeFill="accent1" w:themeFillTint="66"/>
          </w:tcPr>
          <w:p w:rsidR="00FD683F" w:rsidRPr="000F0025" w:rsidRDefault="00FD683F" w:rsidP="00EA40F8">
            <w:pPr>
              <w:pStyle w:val="ListParagraph"/>
              <w:ind w:left="0"/>
              <w:jc w:val="center"/>
              <w:rPr>
                <w:rFonts w:ascii="Arial" w:hAnsi="Arial" w:cs="Arial"/>
                <w:b/>
                <w:sz w:val="18"/>
              </w:rPr>
            </w:pPr>
            <w:r w:rsidRPr="000F0025">
              <w:rPr>
                <w:rFonts w:ascii="Arial" w:hAnsi="Arial" w:cs="Arial"/>
                <w:b/>
                <w:sz w:val="18"/>
              </w:rPr>
              <w:t>Total</w:t>
            </w:r>
          </w:p>
        </w:tc>
      </w:tr>
      <w:tr w:rsidR="00FD683F" w:rsidRPr="000F0025" w:rsidTr="00EA40F8">
        <w:tc>
          <w:tcPr>
            <w:tcW w:w="4320" w:type="dxa"/>
          </w:tcPr>
          <w:p w:rsidR="00FD683F" w:rsidRPr="000F0025" w:rsidRDefault="00FD683F" w:rsidP="008D168E">
            <w:pPr>
              <w:pStyle w:val="ListParagraph"/>
              <w:numPr>
                <w:ilvl w:val="0"/>
                <w:numId w:val="3"/>
              </w:numPr>
              <w:ind w:left="247" w:hanging="247"/>
              <w:jc w:val="both"/>
              <w:rPr>
                <w:rFonts w:ascii="Arial" w:hAnsi="Arial" w:cs="Arial"/>
                <w:sz w:val="18"/>
              </w:rPr>
            </w:pPr>
            <w:r w:rsidRPr="000F0025">
              <w:rPr>
                <w:rFonts w:ascii="Arial" w:hAnsi="Arial" w:cs="Arial"/>
                <w:sz w:val="18"/>
              </w:rPr>
              <w:t xml:space="preserve">Implementación de la aplicación factura electrónica en </w:t>
            </w:r>
            <w:r w:rsidR="00E32B46" w:rsidRPr="000F0025">
              <w:rPr>
                <w:rFonts w:ascii="Arial" w:hAnsi="Arial" w:cs="Arial"/>
                <w:sz w:val="18"/>
              </w:rPr>
              <w:t>5</w:t>
            </w:r>
            <w:r w:rsidRPr="000F0025">
              <w:rPr>
                <w:rFonts w:ascii="Arial" w:hAnsi="Arial" w:cs="Arial"/>
                <w:sz w:val="18"/>
              </w:rPr>
              <w:t xml:space="preserve">0% de los contribuyentes (1 computador, contratación del </w:t>
            </w:r>
            <w:r w:rsidR="008D168E" w:rsidRPr="000F0025">
              <w:rPr>
                <w:rFonts w:ascii="Arial" w:hAnsi="Arial" w:cs="Arial"/>
                <w:sz w:val="18"/>
              </w:rPr>
              <w:t xml:space="preserve">dispositivo </w:t>
            </w:r>
            <w:r w:rsidRPr="000F0025">
              <w:rPr>
                <w:rFonts w:ascii="Arial" w:hAnsi="Arial" w:cs="Arial"/>
                <w:sz w:val="18"/>
              </w:rPr>
              <w:t>de emisión de facturas y conexión internet US$ 300 cada)</w:t>
            </w:r>
          </w:p>
        </w:tc>
        <w:tc>
          <w:tcPr>
            <w:tcW w:w="1634" w:type="dxa"/>
          </w:tcPr>
          <w:p w:rsidR="00FD683F" w:rsidRPr="000F0025" w:rsidRDefault="00FD683F" w:rsidP="00EA40F8">
            <w:pPr>
              <w:pStyle w:val="ListParagraph"/>
              <w:ind w:left="0"/>
              <w:jc w:val="center"/>
              <w:rPr>
                <w:rFonts w:ascii="Arial" w:hAnsi="Arial" w:cs="Arial"/>
                <w:sz w:val="18"/>
              </w:rPr>
            </w:pPr>
            <w:r w:rsidRPr="000F0025">
              <w:rPr>
                <w:rFonts w:ascii="Arial" w:hAnsi="Arial" w:cs="Arial"/>
                <w:sz w:val="18"/>
              </w:rPr>
              <w:t>39</w:t>
            </w:r>
            <w:r w:rsidR="008D168E" w:rsidRPr="000F0025">
              <w:rPr>
                <w:rFonts w:ascii="Arial" w:hAnsi="Arial" w:cs="Arial"/>
                <w:sz w:val="18"/>
              </w:rPr>
              <w:t>.</w:t>
            </w:r>
            <w:r w:rsidRPr="000F0025">
              <w:rPr>
                <w:rFonts w:ascii="Arial" w:hAnsi="Arial" w:cs="Arial"/>
                <w:sz w:val="18"/>
              </w:rPr>
              <w:t>321</w:t>
            </w:r>
          </w:p>
          <w:p w:rsidR="00FD683F" w:rsidRPr="000F0025" w:rsidRDefault="00FD683F" w:rsidP="00EA40F8">
            <w:pPr>
              <w:pStyle w:val="ListParagraph"/>
              <w:ind w:left="0"/>
              <w:jc w:val="center"/>
              <w:rPr>
                <w:rFonts w:ascii="Arial" w:hAnsi="Arial" w:cs="Arial"/>
                <w:sz w:val="18"/>
              </w:rPr>
            </w:pPr>
          </w:p>
        </w:tc>
        <w:tc>
          <w:tcPr>
            <w:tcW w:w="1075" w:type="dxa"/>
          </w:tcPr>
          <w:p w:rsidR="00FD683F" w:rsidRPr="000F0025" w:rsidRDefault="00FD683F" w:rsidP="00EA40F8">
            <w:pPr>
              <w:pStyle w:val="ListParagraph"/>
              <w:ind w:left="0"/>
              <w:jc w:val="center"/>
              <w:rPr>
                <w:rFonts w:ascii="Arial" w:hAnsi="Arial" w:cs="Arial"/>
                <w:sz w:val="18"/>
              </w:rPr>
            </w:pPr>
            <w:r w:rsidRPr="000F0025">
              <w:rPr>
                <w:rFonts w:ascii="Arial" w:hAnsi="Arial" w:cs="Arial"/>
                <w:sz w:val="18"/>
              </w:rPr>
              <w:t>300</w:t>
            </w:r>
          </w:p>
        </w:tc>
        <w:tc>
          <w:tcPr>
            <w:tcW w:w="1156" w:type="dxa"/>
          </w:tcPr>
          <w:p w:rsidR="00FD683F" w:rsidRPr="000F0025" w:rsidRDefault="00FD683F" w:rsidP="008D168E">
            <w:pPr>
              <w:pStyle w:val="ListParagraph"/>
              <w:ind w:left="0"/>
              <w:jc w:val="right"/>
              <w:rPr>
                <w:rFonts w:ascii="Arial" w:hAnsi="Arial" w:cs="Arial"/>
                <w:sz w:val="18"/>
              </w:rPr>
            </w:pPr>
            <w:r w:rsidRPr="000F0025">
              <w:rPr>
                <w:rFonts w:ascii="Arial" w:hAnsi="Arial" w:cs="Arial"/>
                <w:sz w:val="18"/>
              </w:rPr>
              <w:t>11</w:t>
            </w:r>
            <w:r w:rsidR="008D168E" w:rsidRPr="000F0025">
              <w:rPr>
                <w:rFonts w:ascii="Arial" w:hAnsi="Arial" w:cs="Arial"/>
                <w:sz w:val="18"/>
              </w:rPr>
              <w:t>.</w:t>
            </w:r>
            <w:r w:rsidRPr="000F0025">
              <w:rPr>
                <w:rFonts w:ascii="Arial" w:hAnsi="Arial" w:cs="Arial"/>
                <w:sz w:val="18"/>
              </w:rPr>
              <w:t>796</w:t>
            </w:r>
            <w:r w:rsidR="008D168E" w:rsidRPr="000F0025">
              <w:rPr>
                <w:rFonts w:ascii="Arial" w:hAnsi="Arial" w:cs="Arial"/>
                <w:sz w:val="18"/>
              </w:rPr>
              <w:t>.</w:t>
            </w:r>
            <w:r w:rsidRPr="000F0025">
              <w:rPr>
                <w:rFonts w:ascii="Arial" w:hAnsi="Arial" w:cs="Arial"/>
                <w:sz w:val="18"/>
              </w:rPr>
              <w:t>300</w:t>
            </w:r>
          </w:p>
        </w:tc>
      </w:tr>
      <w:tr w:rsidR="00FD683F" w:rsidRPr="000F0025" w:rsidTr="00EA40F8">
        <w:tc>
          <w:tcPr>
            <w:tcW w:w="4320" w:type="dxa"/>
          </w:tcPr>
          <w:p w:rsidR="00FD683F" w:rsidRPr="000F0025" w:rsidRDefault="00DD07CA" w:rsidP="008D168E">
            <w:pPr>
              <w:pStyle w:val="ListParagraph"/>
              <w:ind w:left="0"/>
              <w:jc w:val="both"/>
              <w:rPr>
                <w:rFonts w:ascii="Arial" w:hAnsi="Arial" w:cs="Arial"/>
                <w:sz w:val="18"/>
              </w:rPr>
            </w:pPr>
            <w:r w:rsidRPr="000F0025">
              <w:rPr>
                <w:rFonts w:ascii="Arial" w:hAnsi="Arial" w:cs="Arial"/>
                <w:sz w:val="18"/>
              </w:rPr>
              <w:t xml:space="preserve">2. </w:t>
            </w:r>
            <w:r w:rsidR="00FD683F" w:rsidRPr="000F0025">
              <w:rPr>
                <w:rFonts w:ascii="Arial" w:hAnsi="Arial" w:cs="Arial"/>
                <w:sz w:val="18"/>
              </w:rPr>
              <w:t xml:space="preserve">Implementación del sistema </w:t>
            </w:r>
            <w:r w:rsidR="008D168E" w:rsidRPr="000F0025">
              <w:rPr>
                <w:rFonts w:ascii="Arial" w:hAnsi="Arial" w:cs="Arial"/>
                <w:sz w:val="18"/>
              </w:rPr>
              <w:t>de validación</w:t>
            </w:r>
            <w:r w:rsidR="00FD683F" w:rsidRPr="000F0025">
              <w:rPr>
                <w:rFonts w:ascii="Arial" w:hAnsi="Arial" w:cs="Arial"/>
                <w:sz w:val="18"/>
              </w:rPr>
              <w:t xml:space="preserve"> de facturas </w:t>
            </w:r>
          </w:p>
        </w:tc>
        <w:tc>
          <w:tcPr>
            <w:tcW w:w="1634" w:type="dxa"/>
          </w:tcPr>
          <w:p w:rsidR="00FD683F" w:rsidRPr="000F0025" w:rsidRDefault="00FD683F" w:rsidP="00EA40F8">
            <w:pPr>
              <w:pStyle w:val="ListParagraph"/>
              <w:ind w:left="0"/>
              <w:jc w:val="center"/>
              <w:rPr>
                <w:rFonts w:ascii="Arial" w:hAnsi="Arial" w:cs="Arial"/>
                <w:sz w:val="18"/>
              </w:rPr>
            </w:pPr>
            <w:r w:rsidRPr="000F0025">
              <w:rPr>
                <w:rFonts w:ascii="Arial" w:hAnsi="Arial" w:cs="Arial"/>
                <w:sz w:val="18"/>
              </w:rPr>
              <w:t>1</w:t>
            </w:r>
          </w:p>
        </w:tc>
        <w:tc>
          <w:tcPr>
            <w:tcW w:w="1075" w:type="dxa"/>
          </w:tcPr>
          <w:p w:rsidR="00FD683F" w:rsidRPr="000F0025" w:rsidRDefault="00FD683F" w:rsidP="008D168E">
            <w:pPr>
              <w:pStyle w:val="ListParagraph"/>
              <w:ind w:left="0"/>
              <w:jc w:val="center"/>
              <w:rPr>
                <w:rFonts w:ascii="Arial" w:hAnsi="Arial" w:cs="Arial"/>
                <w:sz w:val="18"/>
              </w:rPr>
            </w:pPr>
            <w:r w:rsidRPr="000F0025">
              <w:rPr>
                <w:rFonts w:ascii="Arial" w:hAnsi="Arial" w:cs="Arial"/>
                <w:sz w:val="18"/>
              </w:rPr>
              <w:t>5</w:t>
            </w:r>
            <w:r w:rsidR="008D168E" w:rsidRPr="000F0025">
              <w:rPr>
                <w:rFonts w:ascii="Arial" w:hAnsi="Arial" w:cs="Arial"/>
                <w:sz w:val="18"/>
              </w:rPr>
              <w:t>.</w:t>
            </w:r>
            <w:r w:rsidRPr="000F0025">
              <w:rPr>
                <w:rFonts w:ascii="Arial" w:hAnsi="Arial" w:cs="Arial"/>
                <w:sz w:val="18"/>
              </w:rPr>
              <w:t>000</w:t>
            </w:r>
            <w:r w:rsidR="008D168E" w:rsidRPr="000F0025">
              <w:rPr>
                <w:rFonts w:ascii="Arial" w:hAnsi="Arial" w:cs="Arial"/>
                <w:sz w:val="18"/>
              </w:rPr>
              <w:t>.</w:t>
            </w:r>
            <w:r w:rsidRPr="000F0025">
              <w:rPr>
                <w:rFonts w:ascii="Arial" w:hAnsi="Arial" w:cs="Arial"/>
                <w:sz w:val="18"/>
              </w:rPr>
              <w:t>000</w:t>
            </w:r>
          </w:p>
        </w:tc>
        <w:tc>
          <w:tcPr>
            <w:tcW w:w="1156" w:type="dxa"/>
          </w:tcPr>
          <w:p w:rsidR="00FD683F" w:rsidRPr="000F0025" w:rsidRDefault="00FD683F" w:rsidP="008D168E">
            <w:pPr>
              <w:pStyle w:val="ListParagraph"/>
              <w:ind w:left="0"/>
              <w:jc w:val="right"/>
              <w:rPr>
                <w:rFonts w:ascii="Arial" w:hAnsi="Arial" w:cs="Arial"/>
                <w:sz w:val="18"/>
              </w:rPr>
            </w:pPr>
            <w:r w:rsidRPr="000F0025">
              <w:rPr>
                <w:rFonts w:ascii="Arial" w:hAnsi="Arial" w:cs="Arial"/>
                <w:sz w:val="18"/>
              </w:rPr>
              <w:t>5</w:t>
            </w:r>
            <w:r w:rsidR="008D168E" w:rsidRPr="000F0025">
              <w:rPr>
                <w:rFonts w:ascii="Arial" w:hAnsi="Arial" w:cs="Arial"/>
                <w:sz w:val="18"/>
              </w:rPr>
              <w:t>.</w:t>
            </w:r>
            <w:r w:rsidRPr="000F0025">
              <w:rPr>
                <w:rFonts w:ascii="Arial" w:hAnsi="Arial" w:cs="Arial"/>
                <w:sz w:val="18"/>
              </w:rPr>
              <w:t>000</w:t>
            </w:r>
            <w:r w:rsidR="008D168E" w:rsidRPr="000F0025">
              <w:rPr>
                <w:rFonts w:ascii="Arial" w:hAnsi="Arial" w:cs="Arial"/>
                <w:sz w:val="18"/>
              </w:rPr>
              <w:t>.</w:t>
            </w:r>
            <w:r w:rsidRPr="000F0025">
              <w:rPr>
                <w:rFonts w:ascii="Arial" w:hAnsi="Arial" w:cs="Arial"/>
                <w:sz w:val="18"/>
              </w:rPr>
              <w:t>000</w:t>
            </w:r>
          </w:p>
        </w:tc>
      </w:tr>
      <w:tr w:rsidR="00FD683F" w:rsidRPr="000F0025" w:rsidTr="00EA40F8">
        <w:tc>
          <w:tcPr>
            <w:tcW w:w="4320" w:type="dxa"/>
          </w:tcPr>
          <w:p w:rsidR="00FD683F" w:rsidRPr="000F0025" w:rsidRDefault="00FD683F" w:rsidP="00EA40F8">
            <w:pPr>
              <w:pStyle w:val="ListParagraph"/>
              <w:ind w:left="0"/>
              <w:jc w:val="both"/>
              <w:rPr>
                <w:rFonts w:ascii="Arial" w:hAnsi="Arial" w:cs="Arial"/>
                <w:sz w:val="18"/>
              </w:rPr>
            </w:pPr>
            <w:r w:rsidRPr="000F0025">
              <w:rPr>
                <w:rFonts w:ascii="Arial" w:hAnsi="Arial" w:cs="Arial"/>
                <w:sz w:val="18"/>
              </w:rPr>
              <w:t>3.</w:t>
            </w:r>
            <w:r w:rsidR="00DD07CA" w:rsidRPr="000F0025">
              <w:rPr>
                <w:rFonts w:ascii="Arial" w:hAnsi="Arial" w:cs="Arial"/>
                <w:sz w:val="18"/>
              </w:rPr>
              <w:t xml:space="preserve"> </w:t>
            </w:r>
            <w:r w:rsidR="00E32B46" w:rsidRPr="000F0025">
              <w:rPr>
                <w:rFonts w:ascii="Arial" w:hAnsi="Arial" w:cs="Arial"/>
                <w:sz w:val="18"/>
              </w:rPr>
              <w:t xml:space="preserve">Adaptación de la </w:t>
            </w:r>
            <w:r w:rsidRPr="000F0025">
              <w:rPr>
                <w:rFonts w:ascii="Arial" w:hAnsi="Arial" w:cs="Arial"/>
                <w:sz w:val="18"/>
              </w:rPr>
              <w:t xml:space="preserve">Infraestructura tecnológica para procesar y almacenar las facturas </w:t>
            </w:r>
            <w:r w:rsidRPr="000F0025">
              <w:rPr>
                <w:rFonts w:ascii="Arial" w:hAnsi="Arial" w:cs="Arial"/>
                <w:sz w:val="18"/>
              </w:rPr>
              <w:lastRenderedPageBreak/>
              <w:t>electrónicas</w:t>
            </w:r>
          </w:p>
        </w:tc>
        <w:tc>
          <w:tcPr>
            <w:tcW w:w="1634" w:type="dxa"/>
          </w:tcPr>
          <w:p w:rsidR="00FD683F" w:rsidRPr="000F0025" w:rsidRDefault="00FD683F" w:rsidP="00EA40F8">
            <w:pPr>
              <w:pStyle w:val="ListParagraph"/>
              <w:ind w:left="0"/>
              <w:jc w:val="center"/>
              <w:rPr>
                <w:rFonts w:ascii="Arial" w:hAnsi="Arial" w:cs="Arial"/>
                <w:sz w:val="18"/>
              </w:rPr>
            </w:pPr>
            <w:r w:rsidRPr="000F0025">
              <w:rPr>
                <w:rFonts w:ascii="Arial" w:hAnsi="Arial" w:cs="Arial"/>
                <w:sz w:val="18"/>
              </w:rPr>
              <w:lastRenderedPageBreak/>
              <w:t>1</w:t>
            </w:r>
          </w:p>
        </w:tc>
        <w:tc>
          <w:tcPr>
            <w:tcW w:w="1075" w:type="dxa"/>
          </w:tcPr>
          <w:p w:rsidR="00FD683F" w:rsidRPr="000F0025" w:rsidRDefault="00FD683F" w:rsidP="008D168E">
            <w:pPr>
              <w:pStyle w:val="ListParagraph"/>
              <w:ind w:left="0"/>
              <w:jc w:val="center"/>
              <w:rPr>
                <w:rFonts w:ascii="Arial" w:hAnsi="Arial" w:cs="Arial"/>
                <w:sz w:val="18"/>
              </w:rPr>
            </w:pPr>
            <w:r w:rsidRPr="000F0025">
              <w:rPr>
                <w:rFonts w:ascii="Arial" w:hAnsi="Arial" w:cs="Arial"/>
                <w:sz w:val="18"/>
              </w:rPr>
              <w:t>3</w:t>
            </w:r>
            <w:r w:rsidR="008D168E" w:rsidRPr="000F0025">
              <w:rPr>
                <w:rFonts w:ascii="Arial" w:hAnsi="Arial" w:cs="Arial"/>
                <w:sz w:val="18"/>
              </w:rPr>
              <w:t>.</w:t>
            </w:r>
            <w:r w:rsidRPr="000F0025">
              <w:rPr>
                <w:rFonts w:ascii="Arial" w:hAnsi="Arial" w:cs="Arial"/>
                <w:sz w:val="18"/>
              </w:rPr>
              <w:t>000</w:t>
            </w:r>
            <w:r w:rsidR="008D168E" w:rsidRPr="000F0025">
              <w:rPr>
                <w:rFonts w:ascii="Arial" w:hAnsi="Arial" w:cs="Arial"/>
                <w:sz w:val="18"/>
              </w:rPr>
              <w:t>.</w:t>
            </w:r>
            <w:r w:rsidRPr="000F0025">
              <w:rPr>
                <w:rFonts w:ascii="Arial" w:hAnsi="Arial" w:cs="Arial"/>
                <w:sz w:val="18"/>
              </w:rPr>
              <w:t>000</w:t>
            </w:r>
          </w:p>
        </w:tc>
        <w:tc>
          <w:tcPr>
            <w:tcW w:w="1156" w:type="dxa"/>
          </w:tcPr>
          <w:p w:rsidR="00FD683F" w:rsidRPr="000F0025" w:rsidRDefault="00FD683F" w:rsidP="008D168E">
            <w:pPr>
              <w:pStyle w:val="ListParagraph"/>
              <w:ind w:left="0"/>
              <w:jc w:val="right"/>
              <w:rPr>
                <w:rFonts w:ascii="Arial" w:hAnsi="Arial" w:cs="Arial"/>
                <w:sz w:val="18"/>
              </w:rPr>
            </w:pPr>
            <w:r w:rsidRPr="000F0025">
              <w:rPr>
                <w:rFonts w:ascii="Arial" w:hAnsi="Arial" w:cs="Arial"/>
                <w:sz w:val="18"/>
              </w:rPr>
              <w:t>3</w:t>
            </w:r>
            <w:r w:rsidR="008D168E" w:rsidRPr="000F0025">
              <w:rPr>
                <w:rFonts w:ascii="Arial" w:hAnsi="Arial" w:cs="Arial"/>
                <w:sz w:val="18"/>
              </w:rPr>
              <w:t>.</w:t>
            </w:r>
            <w:r w:rsidRPr="000F0025">
              <w:rPr>
                <w:rFonts w:ascii="Arial" w:hAnsi="Arial" w:cs="Arial"/>
                <w:sz w:val="18"/>
              </w:rPr>
              <w:t>000</w:t>
            </w:r>
            <w:r w:rsidR="008D168E" w:rsidRPr="000F0025">
              <w:rPr>
                <w:rFonts w:ascii="Arial" w:hAnsi="Arial" w:cs="Arial"/>
                <w:sz w:val="18"/>
              </w:rPr>
              <w:t>.</w:t>
            </w:r>
            <w:r w:rsidRPr="000F0025">
              <w:rPr>
                <w:rFonts w:ascii="Arial" w:hAnsi="Arial" w:cs="Arial"/>
                <w:sz w:val="18"/>
              </w:rPr>
              <w:t>000</w:t>
            </w:r>
          </w:p>
        </w:tc>
      </w:tr>
      <w:tr w:rsidR="00FD683F" w:rsidRPr="000F0025" w:rsidTr="00EA40F8">
        <w:tc>
          <w:tcPr>
            <w:tcW w:w="4320" w:type="dxa"/>
          </w:tcPr>
          <w:p w:rsidR="00FD683F" w:rsidRPr="000F0025" w:rsidRDefault="00FD683F" w:rsidP="00E32B46">
            <w:pPr>
              <w:pStyle w:val="ListParagraph"/>
              <w:ind w:left="0"/>
              <w:jc w:val="both"/>
              <w:rPr>
                <w:rFonts w:ascii="Arial" w:hAnsi="Arial" w:cs="Arial"/>
                <w:sz w:val="18"/>
              </w:rPr>
            </w:pPr>
            <w:r w:rsidRPr="000F0025">
              <w:rPr>
                <w:rFonts w:ascii="Arial" w:hAnsi="Arial" w:cs="Arial"/>
                <w:sz w:val="18"/>
              </w:rPr>
              <w:lastRenderedPageBreak/>
              <w:t xml:space="preserve">4. </w:t>
            </w:r>
            <w:r w:rsidR="00E32B46" w:rsidRPr="000F0025">
              <w:rPr>
                <w:rFonts w:ascii="Arial" w:hAnsi="Arial" w:cs="Arial"/>
                <w:sz w:val="18"/>
              </w:rPr>
              <w:t>Contratación de e</w:t>
            </w:r>
            <w:r w:rsidRPr="000F0025">
              <w:rPr>
                <w:rFonts w:ascii="Arial" w:hAnsi="Arial" w:cs="Arial"/>
                <w:sz w:val="18"/>
              </w:rPr>
              <w:t>quipo de 10 especialistas para la modernización de Administración Tributaria por 5 años (salario medio US$ 2</w:t>
            </w:r>
            <w:r w:rsidR="008D168E" w:rsidRPr="000F0025">
              <w:rPr>
                <w:rFonts w:ascii="Arial" w:hAnsi="Arial" w:cs="Arial"/>
                <w:sz w:val="18"/>
              </w:rPr>
              <w:t>.</w:t>
            </w:r>
            <w:r w:rsidRPr="000F0025">
              <w:rPr>
                <w:rFonts w:ascii="Arial" w:hAnsi="Arial" w:cs="Arial"/>
                <w:sz w:val="18"/>
              </w:rPr>
              <w:t>000)</w:t>
            </w:r>
          </w:p>
        </w:tc>
        <w:tc>
          <w:tcPr>
            <w:tcW w:w="1634" w:type="dxa"/>
          </w:tcPr>
          <w:p w:rsidR="00FD683F" w:rsidRPr="000F0025" w:rsidRDefault="00FD683F" w:rsidP="00EA40F8">
            <w:pPr>
              <w:pStyle w:val="ListParagraph"/>
              <w:ind w:left="0"/>
              <w:jc w:val="center"/>
              <w:rPr>
                <w:rFonts w:ascii="Arial" w:hAnsi="Arial" w:cs="Arial"/>
                <w:sz w:val="18"/>
              </w:rPr>
            </w:pPr>
            <w:r w:rsidRPr="000F0025">
              <w:rPr>
                <w:rFonts w:ascii="Arial" w:hAnsi="Arial" w:cs="Arial"/>
                <w:sz w:val="18"/>
              </w:rPr>
              <w:t>5 años</w:t>
            </w:r>
          </w:p>
        </w:tc>
        <w:tc>
          <w:tcPr>
            <w:tcW w:w="1075" w:type="dxa"/>
          </w:tcPr>
          <w:p w:rsidR="00FD683F" w:rsidRPr="000F0025" w:rsidRDefault="00FD683F" w:rsidP="00EA40F8">
            <w:pPr>
              <w:pStyle w:val="ListParagraph"/>
              <w:ind w:left="0"/>
              <w:jc w:val="center"/>
              <w:rPr>
                <w:rFonts w:ascii="Arial" w:hAnsi="Arial" w:cs="Arial"/>
                <w:sz w:val="18"/>
              </w:rPr>
            </w:pPr>
            <w:r w:rsidRPr="000F0025">
              <w:rPr>
                <w:rFonts w:ascii="Arial" w:hAnsi="Arial" w:cs="Arial"/>
                <w:sz w:val="18"/>
              </w:rPr>
              <w:t>240</w:t>
            </w:r>
            <w:r w:rsidR="008D168E" w:rsidRPr="000F0025">
              <w:rPr>
                <w:rFonts w:ascii="Arial" w:hAnsi="Arial" w:cs="Arial"/>
                <w:sz w:val="18"/>
              </w:rPr>
              <w:t>.</w:t>
            </w:r>
            <w:r w:rsidRPr="000F0025">
              <w:rPr>
                <w:rFonts w:ascii="Arial" w:hAnsi="Arial" w:cs="Arial"/>
                <w:sz w:val="18"/>
              </w:rPr>
              <w:t>000</w:t>
            </w:r>
          </w:p>
        </w:tc>
        <w:tc>
          <w:tcPr>
            <w:tcW w:w="1156" w:type="dxa"/>
          </w:tcPr>
          <w:p w:rsidR="00FD683F" w:rsidRPr="000F0025" w:rsidRDefault="00FD683F" w:rsidP="008D168E">
            <w:pPr>
              <w:pStyle w:val="ListParagraph"/>
              <w:ind w:left="0"/>
              <w:jc w:val="right"/>
              <w:rPr>
                <w:rFonts w:ascii="Arial" w:hAnsi="Arial" w:cs="Arial"/>
                <w:sz w:val="18"/>
              </w:rPr>
            </w:pPr>
            <w:r w:rsidRPr="000F0025">
              <w:rPr>
                <w:rFonts w:ascii="Arial" w:hAnsi="Arial" w:cs="Arial"/>
                <w:sz w:val="18"/>
              </w:rPr>
              <w:t>1.200</w:t>
            </w:r>
            <w:r w:rsidR="008D168E" w:rsidRPr="000F0025">
              <w:rPr>
                <w:rFonts w:ascii="Arial" w:hAnsi="Arial" w:cs="Arial"/>
                <w:sz w:val="18"/>
              </w:rPr>
              <w:t>.</w:t>
            </w:r>
            <w:r w:rsidRPr="000F0025">
              <w:rPr>
                <w:rFonts w:ascii="Arial" w:hAnsi="Arial" w:cs="Arial"/>
                <w:sz w:val="18"/>
              </w:rPr>
              <w:t>000</w:t>
            </w:r>
          </w:p>
        </w:tc>
      </w:tr>
      <w:tr w:rsidR="00FD683F" w:rsidRPr="000F0025" w:rsidTr="00EA40F8">
        <w:tc>
          <w:tcPr>
            <w:tcW w:w="4320" w:type="dxa"/>
          </w:tcPr>
          <w:p w:rsidR="00FD683F" w:rsidRPr="000F0025" w:rsidRDefault="00FD683F" w:rsidP="00EA40F8">
            <w:pPr>
              <w:pStyle w:val="ListParagraph"/>
              <w:ind w:left="0"/>
              <w:jc w:val="both"/>
              <w:rPr>
                <w:rFonts w:ascii="Arial" w:hAnsi="Arial" w:cs="Arial"/>
                <w:b/>
                <w:sz w:val="18"/>
              </w:rPr>
            </w:pPr>
            <w:r w:rsidRPr="000F0025">
              <w:rPr>
                <w:rFonts w:ascii="Arial" w:hAnsi="Arial" w:cs="Arial"/>
                <w:b/>
                <w:sz w:val="18"/>
              </w:rPr>
              <w:t>Total</w:t>
            </w:r>
          </w:p>
        </w:tc>
        <w:tc>
          <w:tcPr>
            <w:tcW w:w="1634" w:type="dxa"/>
          </w:tcPr>
          <w:p w:rsidR="00FD683F" w:rsidRPr="000F0025" w:rsidRDefault="00FD683F" w:rsidP="00EA40F8">
            <w:pPr>
              <w:pStyle w:val="ListParagraph"/>
              <w:ind w:left="0"/>
              <w:jc w:val="center"/>
              <w:rPr>
                <w:rFonts w:ascii="Arial" w:hAnsi="Arial" w:cs="Arial"/>
                <w:b/>
                <w:sz w:val="18"/>
              </w:rPr>
            </w:pPr>
          </w:p>
        </w:tc>
        <w:tc>
          <w:tcPr>
            <w:tcW w:w="1075" w:type="dxa"/>
          </w:tcPr>
          <w:p w:rsidR="00FD683F" w:rsidRPr="000F0025" w:rsidRDefault="00FD683F" w:rsidP="00EA40F8">
            <w:pPr>
              <w:pStyle w:val="ListParagraph"/>
              <w:ind w:left="0"/>
              <w:jc w:val="center"/>
              <w:rPr>
                <w:rFonts w:ascii="Arial" w:hAnsi="Arial" w:cs="Arial"/>
                <w:b/>
                <w:sz w:val="18"/>
              </w:rPr>
            </w:pPr>
          </w:p>
        </w:tc>
        <w:tc>
          <w:tcPr>
            <w:tcW w:w="1156" w:type="dxa"/>
          </w:tcPr>
          <w:p w:rsidR="00FD683F" w:rsidRPr="000F0025" w:rsidRDefault="00FD683F" w:rsidP="008D168E">
            <w:pPr>
              <w:pStyle w:val="ListParagraph"/>
              <w:ind w:left="0"/>
              <w:jc w:val="right"/>
              <w:rPr>
                <w:rFonts w:ascii="Arial" w:hAnsi="Arial" w:cs="Arial"/>
                <w:b/>
                <w:sz w:val="18"/>
              </w:rPr>
            </w:pPr>
            <w:r w:rsidRPr="000F0025">
              <w:rPr>
                <w:rFonts w:ascii="Arial" w:hAnsi="Arial" w:cs="Arial"/>
                <w:b/>
                <w:sz w:val="18"/>
              </w:rPr>
              <w:t>20</w:t>
            </w:r>
            <w:r w:rsidR="008D168E" w:rsidRPr="000F0025">
              <w:rPr>
                <w:rFonts w:ascii="Arial" w:hAnsi="Arial" w:cs="Arial"/>
                <w:b/>
                <w:sz w:val="18"/>
              </w:rPr>
              <w:t>.</w:t>
            </w:r>
            <w:r w:rsidRPr="000F0025">
              <w:rPr>
                <w:rFonts w:ascii="Arial" w:hAnsi="Arial" w:cs="Arial"/>
                <w:b/>
                <w:sz w:val="18"/>
              </w:rPr>
              <w:t>996</w:t>
            </w:r>
            <w:r w:rsidR="008D168E" w:rsidRPr="000F0025">
              <w:rPr>
                <w:rFonts w:ascii="Arial" w:hAnsi="Arial" w:cs="Arial"/>
                <w:b/>
                <w:sz w:val="18"/>
              </w:rPr>
              <w:t>.</w:t>
            </w:r>
            <w:r w:rsidRPr="000F0025">
              <w:rPr>
                <w:rFonts w:ascii="Arial" w:hAnsi="Arial" w:cs="Arial"/>
                <w:b/>
                <w:sz w:val="18"/>
              </w:rPr>
              <w:t>300</w:t>
            </w:r>
          </w:p>
        </w:tc>
      </w:tr>
    </w:tbl>
    <w:p w:rsidR="00FD683F" w:rsidRPr="002E1AE0" w:rsidRDefault="00FD683F" w:rsidP="00FD683F">
      <w:pPr>
        <w:pStyle w:val="ListParagraph"/>
        <w:ind w:left="1080"/>
        <w:jc w:val="both"/>
        <w:rPr>
          <w:rFonts w:ascii="Arial" w:hAnsi="Arial" w:cs="Arial"/>
        </w:rPr>
      </w:pPr>
    </w:p>
    <w:p w:rsidR="00E32B46" w:rsidRPr="002E1AE0" w:rsidRDefault="00E32B46">
      <w:pPr>
        <w:rPr>
          <w:rFonts w:ascii="Arial" w:hAnsi="Arial" w:cs="Arial"/>
          <w:b/>
          <w:smallCaps/>
          <w:lang w:val="es-ES"/>
        </w:rPr>
      </w:pPr>
      <w:r w:rsidRPr="002E1AE0">
        <w:rPr>
          <w:rFonts w:ascii="Arial" w:hAnsi="Arial" w:cs="Arial"/>
        </w:rPr>
        <w:br w:type="page"/>
      </w:r>
    </w:p>
    <w:p w:rsidR="00837656" w:rsidRPr="002E1AE0" w:rsidRDefault="00837656" w:rsidP="00837656">
      <w:pPr>
        <w:pStyle w:val="Chapter"/>
        <w:rPr>
          <w:rFonts w:ascii="Arial" w:hAnsi="Arial" w:cs="Arial"/>
          <w:sz w:val="22"/>
          <w:szCs w:val="22"/>
        </w:rPr>
      </w:pPr>
      <w:r w:rsidRPr="002E1AE0">
        <w:rPr>
          <w:rFonts w:ascii="Arial" w:hAnsi="Arial" w:cs="Arial"/>
          <w:sz w:val="22"/>
          <w:szCs w:val="22"/>
        </w:rPr>
        <w:lastRenderedPageBreak/>
        <w:t>Supuesto 2  -  modernización de las compras públicas</w:t>
      </w:r>
    </w:p>
    <w:tbl>
      <w:tblPr>
        <w:tblStyle w:val="TableGrid"/>
        <w:tblW w:w="0" w:type="auto"/>
        <w:tblInd w:w="1080" w:type="dxa"/>
        <w:tblLook w:val="04A0" w:firstRow="1" w:lastRow="0" w:firstColumn="1" w:lastColumn="0" w:noHBand="0" w:noVBand="1"/>
      </w:tblPr>
      <w:tblGrid>
        <w:gridCol w:w="7776"/>
      </w:tblGrid>
      <w:tr w:rsidR="00837656" w:rsidRPr="002E1AE0" w:rsidTr="00837656">
        <w:tc>
          <w:tcPr>
            <w:tcW w:w="8270" w:type="dxa"/>
          </w:tcPr>
          <w:p w:rsidR="00837656" w:rsidRPr="002E1AE0" w:rsidRDefault="00837656" w:rsidP="00600631">
            <w:pPr>
              <w:pStyle w:val="ListParagraph"/>
              <w:spacing w:before="120" w:after="120"/>
              <w:ind w:left="0"/>
              <w:contextualSpacing w:val="0"/>
              <w:jc w:val="both"/>
              <w:rPr>
                <w:rFonts w:ascii="Arial" w:hAnsi="Arial" w:cs="Arial"/>
                <w:b/>
              </w:rPr>
            </w:pPr>
            <w:r w:rsidRPr="002E1AE0">
              <w:rPr>
                <w:rFonts w:ascii="Arial" w:hAnsi="Arial" w:cs="Arial"/>
              </w:rPr>
              <w:br w:type="page"/>
            </w:r>
            <w:r w:rsidR="00A94852" w:rsidRPr="00A94852">
              <w:rPr>
                <w:rFonts w:ascii="Arial" w:hAnsi="Arial" w:cs="Arial"/>
                <w:b/>
              </w:rPr>
              <w:t>Con la expansión del uso de Convenios Marco y de Catálogos Electrónicos para la realización de las compras del Gobierno de Honduras, se genera un ahorro en recursos, resultado de la estandarización de los precios de los ítems del presupuesto de suministros (bienes y servicios), el cual garantiza que todas las instituciones del Gobierno Central realicen adquisiciones de productos y servicios cuyos precios de mercado hayan sido previamente identificados por la Oficina Normativa de Contratación y Adquisiciones del Estado (ONCAE).</w:t>
            </w:r>
          </w:p>
        </w:tc>
      </w:tr>
    </w:tbl>
    <w:p w:rsidR="00837656" w:rsidRPr="002E1AE0" w:rsidRDefault="00837656" w:rsidP="00337C51">
      <w:pPr>
        <w:pStyle w:val="Paragraph"/>
        <w:keepNext/>
        <w:tabs>
          <w:tab w:val="clear" w:pos="1296"/>
          <w:tab w:val="num" w:pos="1080"/>
        </w:tabs>
        <w:ind w:hanging="1116"/>
        <w:rPr>
          <w:rFonts w:ascii="Arial" w:hAnsi="Arial" w:cs="Arial"/>
          <w:b/>
          <w:sz w:val="22"/>
          <w:szCs w:val="22"/>
        </w:rPr>
      </w:pPr>
      <w:r w:rsidRPr="002E1AE0">
        <w:rPr>
          <w:rFonts w:ascii="Arial" w:hAnsi="Arial" w:cs="Arial"/>
          <w:b/>
          <w:sz w:val="22"/>
          <w:szCs w:val="22"/>
        </w:rPr>
        <w:t>Contexto</w:t>
      </w:r>
    </w:p>
    <w:p w:rsidR="00837656" w:rsidRPr="002E1AE0" w:rsidRDefault="00837656" w:rsidP="00337C51">
      <w:pPr>
        <w:pStyle w:val="ListParagraph"/>
        <w:keepNext/>
        <w:spacing w:before="120" w:after="120" w:line="240" w:lineRule="auto"/>
        <w:ind w:left="1080"/>
        <w:contextualSpacing w:val="0"/>
        <w:jc w:val="both"/>
        <w:rPr>
          <w:rFonts w:ascii="Arial" w:hAnsi="Arial" w:cs="Arial"/>
        </w:rPr>
      </w:pPr>
      <w:r w:rsidRPr="002E1AE0">
        <w:rPr>
          <w:rFonts w:ascii="Arial" w:hAnsi="Arial" w:cs="Arial"/>
        </w:rPr>
        <w:t xml:space="preserve">La implementación del Catálogo Electrónico a todos los entes obligados arrancó en enero del año 2013, con un proceso de capacitación a las 44 unidades </w:t>
      </w:r>
      <w:r w:rsidR="00600631" w:rsidRPr="002E1AE0">
        <w:rPr>
          <w:rFonts w:ascii="Arial" w:hAnsi="Arial" w:cs="Arial"/>
        </w:rPr>
        <w:t>compradoras de las i</w:t>
      </w:r>
      <w:r w:rsidRPr="002E1AE0">
        <w:rPr>
          <w:rFonts w:ascii="Arial" w:hAnsi="Arial" w:cs="Arial"/>
        </w:rPr>
        <w:t xml:space="preserve">nstituciones </w:t>
      </w:r>
      <w:r w:rsidR="00600631" w:rsidRPr="002E1AE0">
        <w:rPr>
          <w:rFonts w:ascii="Arial" w:hAnsi="Arial" w:cs="Arial"/>
        </w:rPr>
        <w:t>o</w:t>
      </w:r>
      <w:r w:rsidRPr="002E1AE0">
        <w:rPr>
          <w:rFonts w:ascii="Arial" w:hAnsi="Arial" w:cs="Arial"/>
        </w:rPr>
        <w:t xml:space="preserve">bligadas; de igual manera la agregación al uso del catálogo electrónico fue gradual, lográndose </w:t>
      </w:r>
      <w:r w:rsidR="008D168E" w:rsidRPr="002E1AE0">
        <w:rPr>
          <w:rFonts w:ascii="Arial" w:hAnsi="Arial" w:cs="Arial"/>
        </w:rPr>
        <w:t>en</w:t>
      </w:r>
      <w:r w:rsidRPr="002E1AE0">
        <w:rPr>
          <w:rFonts w:ascii="Arial" w:hAnsi="Arial" w:cs="Arial"/>
        </w:rPr>
        <w:t xml:space="preserve"> octubre del 2013 </w:t>
      </w:r>
      <w:r w:rsidR="008D168E" w:rsidRPr="002E1AE0">
        <w:rPr>
          <w:rFonts w:ascii="Arial" w:hAnsi="Arial" w:cs="Arial"/>
        </w:rPr>
        <w:t>el</w:t>
      </w:r>
      <w:r w:rsidRPr="002E1AE0">
        <w:rPr>
          <w:rFonts w:ascii="Arial" w:hAnsi="Arial" w:cs="Arial"/>
        </w:rPr>
        <w:t xml:space="preserve"> 100% de cumplimiento en el uso del mismo.</w:t>
      </w:r>
    </w:p>
    <w:p w:rsidR="00837656" w:rsidRPr="002E1AE0" w:rsidRDefault="00837656" w:rsidP="00337C51">
      <w:pPr>
        <w:pStyle w:val="ListParagraph"/>
        <w:keepNext/>
        <w:spacing w:before="120" w:after="120" w:line="240" w:lineRule="auto"/>
        <w:ind w:left="1080"/>
        <w:contextualSpacing w:val="0"/>
        <w:jc w:val="both"/>
        <w:rPr>
          <w:rFonts w:ascii="Arial" w:hAnsi="Arial" w:cs="Arial"/>
        </w:rPr>
      </w:pPr>
      <w:r w:rsidRPr="002E1AE0">
        <w:rPr>
          <w:rFonts w:ascii="Arial" w:hAnsi="Arial" w:cs="Arial"/>
        </w:rPr>
        <w:t xml:space="preserve">Los resultados iniciales del Catálogo Electrónico se presentan </w:t>
      </w:r>
      <w:r w:rsidR="008D168E" w:rsidRPr="002E1AE0">
        <w:rPr>
          <w:rFonts w:ascii="Arial" w:hAnsi="Arial" w:cs="Arial"/>
        </w:rPr>
        <w:t xml:space="preserve">de forma </w:t>
      </w:r>
      <w:r w:rsidRPr="002E1AE0">
        <w:rPr>
          <w:rFonts w:ascii="Arial" w:hAnsi="Arial" w:cs="Arial"/>
        </w:rPr>
        <w:t>diferenciad</w:t>
      </w:r>
      <w:r w:rsidR="008D168E" w:rsidRPr="002E1AE0">
        <w:rPr>
          <w:rFonts w:ascii="Arial" w:hAnsi="Arial" w:cs="Arial"/>
        </w:rPr>
        <w:t>a</w:t>
      </w:r>
      <w:r w:rsidRPr="002E1AE0">
        <w:rPr>
          <w:rFonts w:ascii="Arial" w:hAnsi="Arial" w:cs="Arial"/>
        </w:rPr>
        <w:t xml:space="preserve"> de las transacciones del piloto y la implementación </w:t>
      </w:r>
      <w:r w:rsidR="00D90144" w:rsidRPr="002E1AE0">
        <w:rPr>
          <w:rFonts w:ascii="Arial" w:hAnsi="Arial" w:cs="Arial"/>
        </w:rPr>
        <w:t xml:space="preserve">en </w:t>
      </w:r>
      <w:r w:rsidRPr="002E1AE0">
        <w:rPr>
          <w:rFonts w:ascii="Arial" w:hAnsi="Arial" w:cs="Arial"/>
        </w:rPr>
        <w:t>2013</w:t>
      </w:r>
      <w:r w:rsidR="00600631" w:rsidRPr="002E1AE0">
        <w:rPr>
          <w:rFonts w:ascii="Arial" w:hAnsi="Arial" w:cs="Arial"/>
        </w:rPr>
        <w:t>. Según se muestra en el cuadro 1, especificando el monto comprado en Lempiras en el año 2012 y el comprado de enero a noviembre del 2013.</w:t>
      </w:r>
    </w:p>
    <w:p w:rsidR="00837656" w:rsidRPr="002E1AE0" w:rsidRDefault="00837656" w:rsidP="00837656">
      <w:pPr>
        <w:pStyle w:val="ListParagraph"/>
        <w:spacing w:before="120" w:after="120" w:line="240" w:lineRule="auto"/>
        <w:ind w:left="1080"/>
        <w:contextualSpacing w:val="0"/>
        <w:jc w:val="both"/>
        <w:rPr>
          <w:rFonts w:ascii="Arial" w:hAnsi="Arial" w:cs="Arial"/>
          <w:b/>
        </w:rPr>
      </w:pPr>
      <w:r w:rsidRPr="002E1AE0">
        <w:rPr>
          <w:rFonts w:ascii="Arial" w:hAnsi="Arial" w:cs="Arial"/>
          <w:b/>
        </w:rPr>
        <w:t>Cuadro N° 1: Comparación de la ejecución del II Trimestre del 2012 versus el II Trimestre del 2013.</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noProof/>
          <w:lang w:val="en-US"/>
        </w:rPr>
        <w:drawing>
          <wp:inline distT="0" distB="0" distL="0" distR="0" wp14:anchorId="523CC817" wp14:editId="00D4EF41">
            <wp:extent cx="5162550" cy="3274817"/>
            <wp:effectExtent l="0" t="0" r="0" b="190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5462" cy="3276664"/>
                    </a:xfrm>
                    <a:prstGeom prst="rect">
                      <a:avLst/>
                    </a:prstGeom>
                    <a:noFill/>
                  </pic:spPr>
                </pic:pic>
              </a:graphicData>
            </a:graphic>
          </wp:inline>
        </w:drawing>
      </w:r>
    </w:p>
    <w:p w:rsidR="00837656" w:rsidRPr="002E1AE0" w:rsidRDefault="00837656" w:rsidP="00A83590">
      <w:pPr>
        <w:pStyle w:val="Paragraph"/>
        <w:keepNext/>
        <w:tabs>
          <w:tab w:val="clear" w:pos="1296"/>
          <w:tab w:val="num" w:pos="1080"/>
        </w:tabs>
        <w:ind w:hanging="1116"/>
        <w:rPr>
          <w:rFonts w:ascii="Arial" w:hAnsi="Arial" w:cs="Arial"/>
          <w:b/>
          <w:sz w:val="22"/>
          <w:szCs w:val="22"/>
        </w:rPr>
      </w:pPr>
      <w:r w:rsidRPr="002E1AE0">
        <w:rPr>
          <w:rFonts w:ascii="Arial" w:hAnsi="Arial" w:cs="Arial"/>
          <w:b/>
          <w:sz w:val="22"/>
          <w:szCs w:val="22"/>
        </w:rPr>
        <w:t>La Problemática</w:t>
      </w:r>
    </w:p>
    <w:p w:rsidR="00837656" w:rsidRPr="002E1AE0" w:rsidRDefault="00837656" w:rsidP="00A83590">
      <w:pPr>
        <w:keepNext/>
        <w:spacing w:before="120" w:after="120" w:line="240" w:lineRule="auto"/>
        <w:ind w:left="1080"/>
        <w:jc w:val="both"/>
        <w:rPr>
          <w:rFonts w:ascii="Arial" w:hAnsi="Arial" w:cs="Arial"/>
        </w:rPr>
      </w:pPr>
      <w:r w:rsidRPr="002E1AE0">
        <w:rPr>
          <w:rFonts w:ascii="Arial" w:hAnsi="Arial" w:cs="Arial"/>
        </w:rPr>
        <w:t xml:space="preserve">El Banco Mundial a solicitud del Gobierno de la República de Honduras, desarrolló una Evaluación de Alto Nivel de las Compras Gubernamentales; </w:t>
      </w:r>
      <w:r w:rsidRPr="002E1AE0">
        <w:rPr>
          <w:rFonts w:ascii="Arial" w:hAnsi="Arial" w:cs="Arial"/>
        </w:rPr>
        <w:lastRenderedPageBreak/>
        <w:t xml:space="preserve">en él se identifica que las adquisiciones de </w:t>
      </w:r>
      <w:r w:rsidR="00D90144" w:rsidRPr="002E1AE0">
        <w:rPr>
          <w:rFonts w:ascii="Arial" w:hAnsi="Arial" w:cs="Arial"/>
        </w:rPr>
        <w:t>s</w:t>
      </w:r>
      <w:r w:rsidRPr="002E1AE0">
        <w:rPr>
          <w:rFonts w:ascii="Arial" w:hAnsi="Arial" w:cs="Arial"/>
        </w:rPr>
        <w:t>uministros (bienes y servicios) representan el 40% del Presupuesto General de la República.</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Estas compras</w:t>
      </w:r>
      <w:r w:rsidR="00D90144" w:rsidRPr="002E1AE0">
        <w:rPr>
          <w:rFonts w:ascii="Arial" w:hAnsi="Arial" w:cs="Arial"/>
        </w:rPr>
        <w:t>,</w:t>
      </w:r>
      <w:r w:rsidRPr="002E1AE0">
        <w:rPr>
          <w:rFonts w:ascii="Arial" w:hAnsi="Arial" w:cs="Arial"/>
        </w:rPr>
        <w:t xml:space="preserve"> en su mayoría</w:t>
      </w:r>
      <w:r w:rsidR="00D90144" w:rsidRPr="002E1AE0">
        <w:rPr>
          <w:rFonts w:ascii="Arial" w:hAnsi="Arial" w:cs="Arial"/>
        </w:rPr>
        <w:t>,</w:t>
      </w:r>
      <w:r w:rsidRPr="002E1AE0">
        <w:rPr>
          <w:rFonts w:ascii="Arial" w:hAnsi="Arial" w:cs="Arial"/>
        </w:rPr>
        <w:t xml:space="preserve"> muestran patrones que se repiten en todas las Instituciones del Estado, y que inciden sobre manera en el gasto público como:</w:t>
      </w:r>
    </w:p>
    <w:p w:rsidR="00837656" w:rsidRPr="002E1AE0" w:rsidRDefault="00837656" w:rsidP="00837656">
      <w:pPr>
        <w:ind w:left="1080"/>
        <w:contextualSpacing/>
        <w:jc w:val="both"/>
        <w:rPr>
          <w:rFonts w:ascii="Arial" w:hAnsi="Arial" w:cs="Arial"/>
        </w:rPr>
      </w:pPr>
      <w:r w:rsidRPr="002E1AE0">
        <w:rPr>
          <w:rFonts w:ascii="Arial" w:hAnsi="Arial" w:cs="Arial"/>
        </w:rPr>
        <w:t>•</w:t>
      </w:r>
      <w:r w:rsidRPr="002E1AE0">
        <w:rPr>
          <w:rFonts w:ascii="Arial" w:hAnsi="Arial" w:cs="Arial"/>
        </w:rPr>
        <w:tab/>
        <w:t>Falta de consolidación de volúmenes</w:t>
      </w:r>
    </w:p>
    <w:p w:rsidR="00837656" w:rsidRPr="002E1AE0" w:rsidRDefault="00837656" w:rsidP="00837656">
      <w:pPr>
        <w:ind w:left="1080"/>
        <w:contextualSpacing/>
        <w:jc w:val="both"/>
        <w:rPr>
          <w:rFonts w:ascii="Arial" w:hAnsi="Arial" w:cs="Arial"/>
        </w:rPr>
      </w:pPr>
      <w:r w:rsidRPr="002E1AE0">
        <w:rPr>
          <w:rFonts w:ascii="Arial" w:hAnsi="Arial" w:cs="Arial"/>
        </w:rPr>
        <w:t>•</w:t>
      </w:r>
      <w:r w:rsidRPr="002E1AE0">
        <w:rPr>
          <w:rFonts w:ascii="Arial" w:hAnsi="Arial" w:cs="Arial"/>
        </w:rPr>
        <w:tab/>
        <w:t>Malas prácticas de compra</w:t>
      </w:r>
    </w:p>
    <w:p w:rsidR="00837656" w:rsidRPr="002E1AE0" w:rsidRDefault="00837656" w:rsidP="00837656">
      <w:pPr>
        <w:ind w:left="1080"/>
        <w:contextualSpacing/>
        <w:jc w:val="both"/>
        <w:rPr>
          <w:rFonts w:ascii="Arial" w:hAnsi="Arial" w:cs="Arial"/>
        </w:rPr>
      </w:pPr>
      <w:r w:rsidRPr="002E1AE0">
        <w:rPr>
          <w:rFonts w:ascii="Arial" w:hAnsi="Arial" w:cs="Arial"/>
        </w:rPr>
        <w:t>•</w:t>
      </w:r>
      <w:r w:rsidRPr="002E1AE0">
        <w:rPr>
          <w:rFonts w:ascii="Arial" w:hAnsi="Arial" w:cs="Arial"/>
        </w:rPr>
        <w:tab/>
        <w:t>Sobre-especificación de bienes</w:t>
      </w:r>
    </w:p>
    <w:p w:rsidR="00837656" w:rsidRPr="002E1AE0" w:rsidRDefault="00837656" w:rsidP="00837656">
      <w:pPr>
        <w:ind w:left="1080"/>
        <w:contextualSpacing/>
        <w:jc w:val="both"/>
        <w:rPr>
          <w:rFonts w:ascii="Arial" w:hAnsi="Arial" w:cs="Arial"/>
        </w:rPr>
      </w:pPr>
      <w:r w:rsidRPr="002E1AE0">
        <w:rPr>
          <w:rFonts w:ascii="Arial" w:hAnsi="Arial" w:cs="Arial"/>
        </w:rPr>
        <w:t>•</w:t>
      </w:r>
      <w:r w:rsidRPr="002E1AE0">
        <w:rPr>
          <w:rFonts w:ascii="Arial" w:hAnsi="Arial" w:cs="Arial"/>
        </w:rPr>
        <w:tab/>
        <w:t>Falta de estándares comparativos de compra de bienes y servicios</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w:t>
      </w:r>
      <w:r w:rsidRPr="002E1AE0">
        <w:rPr>
          <w:rFonts w:ascii="Arial" w:hAnsi="Arial" w:cs="Arial"/>
        </w:rPr>
        <w:tab/>
        <w:t>Falta de transparencia</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Por lo que la Evaluación de Alto Nivel de las Compras Gubernamentales dio pie a la presentación de la iniciativa “Quick Gains”, la cual propone la implementación de modelos conocidos en América Latina como una solución a la situación actual de las compras estatales. Estimando que es posible obtener ahorros considerables de entre un 5% a un 25% del total ejecutado en el Presupuesto General de la República, aplicando mecanismos de consolidación de las compras, incluyendo estándares y especificaciones de productos; así como transparentando las compras</w:t>
      </w:r>
      <w:r w:rsidR="00D90144" w:rsidRPr="002E1AE0">
        <w:rPr>
          <w:rFonts w:ascii="Arial" w:hAnsi="Arial" w:cs="Arial"/>
        </w:rPr>
        <w:t>,</w:t>
      </w:r>
      <w:r w:rsidRPr="002E1AE0">
        <w:rPr>
          <w:rFonts w:ascii="Arial" w:hAnsi="Arial" w:cs="Arial"/>
        </w:rPr>
        <w:t xml:space="preserve"> lo que reduce las malas prácticas.</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 xml:space="preserve">Según se muestra en el cuadro N° 2 “Quick Gains” </w:t>
      </w:r>
      <w:r w:rsidR="00D90144" w:rsidRPr="002E1AE0">
        <w:rPr>
          <w:rFonts w:ascii="Arial" w:hAnsi="Arial" w:cs="Arial"/>
        </w:rPr>
        <w:t xml:space="preserve">se </w:t>
      </w:r>
      <w:r w:rsidRPr="002E1AE0">
        <w:rPr>
          <w:rFonts w:ascii="Arial" w:hAnsi="Arial" w:cs="Arial"/>
        </w:rPr>
        <w:t>agrup</w:t>
      </w:r>
      <w:r w:rsidR="00D90144" w:rsidRPr="002E1AE0">
        <w:rPr>
          <w:rFonts w:ascii="Arial" w:hAnsi="Arial" w:cs="Arial"/>
        </w:rPr>
        <w:t>a</w:t>
      </w:r>
      <w:r w:rsidRPr="002E1AE0">
        <w:rPr>
          <w:rFonts w:ascii="Arial" w:hAnsi="Arial" w:cs="Arial"/>
        </w:rPr>
        <w:t xml:space="preserve"> en cuatro grandes categorías las Adquisiciones y Contrataciones Públicas, individualizando por categoría el porcentaje de ahorro estimado según su tipo al aplicar modelos de consolidación de compra, transparencia y tecnología. </w:t>
      </w:r>
    </w:p>
    <w:p w:rsidR="00837656" w:rsidRPr="002E1AE0" w:rsidRDefault="00837656" w:rsidP="00837656">
      <w:pPr>
        <w:keepNext/>
        <w:spacing w:before="120" w:after="120" w:line="240" w:lineRule="auto"/>
        <w:ind w:left="1080"/>
        <w:jc w:val="both"/>
        <w:rPr>
          <w:rFonts w:ascii="Arial" w:hAnsi="Arial" w:cs="Arial"/>
          <w:b/>
        </w:rPr>
      </w:pPr>
      <w:r w:rsidRPr="002E1AE0">
        <w:rPr>
          <w:rFonts w:ascii="Arial" w:hAnsi="Arial" w:cs="Arial"/>
          <w:b/>
        </w:rPr>
        <w:t>Cuadro N° 2: Potencial de Ahorro según categoría de contratación pública</w:t>
      </w:r>
    </w:p>
    <w:p w:rsidR="00837656" w:rsidRPr="002E1AE0" w:rsidRDefault="00837656" w:rsidP="00837656">
      <w:pPr>
        <w:ind w:left="1080"/>
        <w:jc w:val="both"/>
        <w:rPr>
          <w:rFonts w:ascii="Arial" w:hAnsi="Arial" w:cs="Arial"/>
        </w:rPr>
      </w:pPr>
      <w:r w:rsidRPr="002E1AE0">
        <w:rPr>
          <w:rFonts w:ascii="Arial" w:hAnsi="Arial" w:cs="Arial"/>
          <w:noProof/>
          <w:lang w:val="en-US"/>
        </w:rPr>
        <w:drawing>
          <wp:inline distT="0" distB="0" distL="0" distR="0" wp14:anchorId="03EB3C60" wp14:editId="7277E559">
            <wp:extent cx="4965700" cy="1822450"/>
            <wp:effectExtent l="0" t="0" r="6350" b="635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5404" cy="1822341"/>
                    </a:xfrm>
                    <a:prstGeom prst="rect">
                      <a:avLst/>
                    </a:prstGeom>
                    <a:noFill/>
                    <a:ln>
                      <a:noFill/>
                    </a:ln>
                  </pic:spPr>
                </pic:pic>
              </a:graphicData>
            </a:graphic>
          </wp:inline>
        </w:drawing>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 xml:space="preserve">Como se puede apreciar en el cuadro N° 2, el mayor potencial de ahorro se evidencia </w:t>
      </w:r>
      <w:r w:rsidR="00D90144" w:rsidRPr="002E1AE0">
        <w:rPr>
          <w:rFonts w:ascii="Arial" w:hAnsi="Arial" w:cs="Arial"/>
        </w:rPr>
        <w:t>al</w:t>
      </w:r>
      <w:r w:rsidRPr="002E1AE0">
        <w:rPr>
          <w:rFonts w:ascii="Arial" w:hAnsi="Arial" w:cs="Arial"/>
        </w:rPr>
        <w:t xml:space="preserve"> aplicar soluciones a las compras de productos agrupados en las categorías “Equipo” y  “Materiales  Suministros”; los cuales se estima pueden oscilar entre el 15% al 25%.</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 xml:space="preserve">Tomando en consideración que la estandarización y consolidación de productos debe realizarse con </w:t>
      </w:r>
      <w:r w:rsidR="00D90144" w:rsidRPr="002E1AE0">
        <w:rPr>
          <w:rFonts w:ascii="Arial" w:hAnsi="Arial" w:cs="Arial"/>
        </w:rPr>
        <w:t xml:space="preserve">un </w:t>
      </w:r>
      <w:r w:rsidRPr="002E1AE0">
        <w:rPr>
          <w:rFonts w:ascii="Arial" w:hAnsi="Arial" w:cs="Arial"/>
        </w:rPr>
        <w:t xml:space="preserve">universo infinito de posibilidades según los requerimientos de las instituciones y </w:t>
      </w:r>
      <w:r w:rsidR="00D90144" w:rsidRPr="002E1AE0">
        <w:rPr>
          <w:rFonts w:ascii="Arial" w:hAnsi="Arial" w:cs="Arial"/>
        </w:rPr>
        <w:t xml:space="preserve">de </w:t>
      </w:r>
      <w:r w:rsidRPr="002E1AE0">
        <w:rPr>
          <w:rFonts w:ascii="Arial" w:hAnsi="Arial" w:cs="Arial"/>
        </w:rPr>
        <w:t xml:space="preserve">las opciones que el mercado ofrece, la iniciativa “Quick Gains” planteó como </w:t>
      </w:r>
      <w:r w:rsidR="00D90144" w:rsidRPr="002E1AE0">
        <w:rPr>
          <w:rFonts w:ascii="Arial" w:hAnsi="Arial" w:cs="Arial"/>
        </w:rPr>
        <w:t xml:space="preserve">los siguientes </w:t>
      </w:r>
      <w:r w:rsidRPr="002E1AE0">
        <w:rPr>
          <w:rFonts w:ascii="Arial" w:hAnsi="Arial" w:cs="Arial"/>
        </w:rPr>
        <w:t>criterios de selección para el inicio del proyecto:</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lastRenderedPageBreak/>
        <w:t>•</w:t>
      </w:r>
      <w:r w:rsidRPr="002E1AE0">
        <w:rPr>
          <w:rFonts w:ascii="Arial" w:hAnsi="Arial" w:cs="Arial"/>
        </w:rPr>
        <w:tab/>
        <w:t>Lanzamiento de categorías consolidadas que sean fácilmente implementables.</w:t>
      </w:r>
    </w:p>
    <w:p w:rsidR="00837656" w:rsidRPr="002E1AE0" w:rsidRDefault="00837656" w:rsidP="00371917">
      <w:pPr>
        <w:spacing w:before="120" w:after="120" w:line="240" w:lineRule="auto"/>
        <w:ind w:left="1440" w:hanging="360"/>
        <w:jc w:val="both"/>
        <w:rPr>
          <w:rFonts w:ascii="Arial" w:hAnsi="Arial" w:cs="Arial"/>
        </w:rPr>
      </w:pPr>
      <w:r w:rsidRPr="002E1AE0">
        <w:rPr>
          <w:rFonts w:ascii="Arial" w:hAnsi="Arial" w:cs="Arial"/>
        </w:rPr>
        <w:t>•</w:t>
      </w:r>
      <w:r w:rsidRPr="002E1AE0">
        <w:rPr>
          <w:rFonts w:ascii="Arial" w:hAnsi="Arial" w:cs="Arial"/>
        </w:rPr>
        <w:tab/>
        <w:t>Estas categorías deben ser de consumo recurrente, de especificaciones estandarizables y que sean requeridas por un número significativo de instituciones.</w:t>
      </w:r>
    </w:p>
    <w:p w:rsidR="00837656" w:rsidRPr="002E1AE0" w:rsidRDefault="00837656" w:rsidP="00837656">
      <w:pPr>
        <w:spacing w:before="120" w:after="120" w:line="240" w:lineRule="auto"/>
        <w:ind w:left="1080"/>
        <w:jc w:val="both"/>
        <w:rPr>
          <w:rFonts w:ascii="Arial" w:hAnsi="Arial" w:cs="Arial"/>
        </w:rPr>
      </w:pPr>
      <w:r w:rsidRPr="002E1AE0">
        <w:rPr>
          <w:rFonts w:ascii="Arial" w:hAnsi="Arial" w:cs="Arial"/>
        </w:rPr>
        <w:t xml:space="preserve">La misma iniciativa “Quick Gains” concluye que estos criterios se cumplen en la categoría “Materiales y Suministros”, que a la vez representa la opción con mayor potencial de ahorro. Por lo que se recomienda realizar los procesos de consolidación mediante “olas” de productos, </w:t>
      </w:r>
      <w:r w:rsidR="00B367DD" w:rsidRPr="002E1AE0">
        <w:rPr>
          <w:rFonts w:ascii="Arial" w:hAnsi="Arial" w:cs="Arial"/>
        </w:rPr>
        <w:t>comenzando</w:t>
      </w:r>
      <w:r w:rsidRPr="002E1AE0">
        <w:rPr>
          <w:rFonts w:ascii="Arial" w:hAnsi="Arial" w:cs="Arial"/>
        </w:rPr>
        <w:t xml:space="preserve"> por los más sencillos y gradualmente aumentar el número de catálogos y productos según su complejidad.</w:t>
      </w:r>
    </w:p>
    <w:p w:rsidR="00837656" w:rsidRPr="002E1AE0" w:rsidRDefault="00837656" w:rsidP="00837656">
      <w:pPr>
        <w:keepNext/>
        <w:spacing w:before="120" w:after="120" w:line="240" w:lineRule="auto"/>
        <w:ind w:left="360"/>
        <w:jc w:val="both"/>
        <w:rPr>
          <w:rFonts w:ascii="Arial" w:hAnsi="Arial" w:cs="Arial"/>
          <w:b/>
        </w:rPr>
      </w:pPr>
      <w:r w:rsidRPr="002E1AE0">
        <w:rPr>
          <w:rFonts w:ascii="Arial" w:hAnsi="Arial" w:cs="Arial"/>
          <w:b/>
        </w:rPr>
        <w:t>Gráfico N° 1: Secuencia en “olas de choque “para el lanzamiento de categorías comunes y altamente recurrentes</w:t>
      </w:r>
    </w:p>
    <w:p w:rsidR="00837656" w:rsidRPr="002E1AE0" w:rsidRDefault="00837656" w:rsidP="00837656">
      <w:pPr>
        <w:ind w:left="270"/>
        <w:jc w:val="both"/>
        <w:rPr>
          <w:rFonts w:ascii="Arial" w:hAnsi="Arial" w:cs="Arial"/>
        </w:rPr>
      </w:pPr>
      <w:r w:rsidRPr="002E1AE0">
        <w:rPr>
          <w:rFonts w:ascii="Arial" w:hAnsi="Arial" w:cs="Arial"/>
          <w:noProof/>
          <w:lang w:val="en-US"/>
        </w:rPr>
        <w:drawing>
          <wp:inline distT="0" distB="0" distL="0" distR="0" wp14:anchorId="7CA66EB1" wp14:editId="17F17F5A">
            <wp:extent cx="5470916" cy="2047532"/>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9092" cy="2050592"/>
                    </a:xfrm>
                    <a:prstGeom prst="rect">
                      <a:avLst/>
                    </a:prstGeom>
                    <a:noFill/>
                  </pic:spPr>
                </pic:pic>
              </a:graphicData>
            </a:graphic>
          </wp:inline>
        </w:drawing>
      </w:r>
    </w:p>
    <w:p w:rsidR="00837656" w:rsidRPr="002E1AE0" w:rsidRDefault="00837656" w:rsidP="00837656">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La solución</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Introducción del uso de Cat</w:t>
      </w:r>
      <w:r w:rsidR="00B367DD" w:rsidRPr="002E1AE0">
        <w:rPr>
          <w:rFonts w:ascii="Arial" w:hAnsi="Arial" w:cs="Arial"/>
        </w:rPr>
        <w:t>á</w:t>
      </w:r>
      <w:r w:rsidRPr="002E1AE0">
        <w:rPr>
          <w:rFonts w:ascii="Arial" w:hAnsi="Arial" w:cs="Arial"/>
        </w:rPr>
        <w:t>logo</w:t>
      </w:r>
      <w:r w:rsidR="00B367DD" w:rsidRPr="002E1AE0">
        <w:rPr>
          <w:rFonts w:ascii="Arial" w:hAnsi="Arial" w:cs="Arial"/>
        </w:rPr>
        <w:t>s</w:t>
      </w:r>
      <w:r w:rsidRPr="002E1AE0">
        <w:rPr>
          <w:rFonts w:ascii="Arial" w:hAnsi="Arial" w:cs="Arial"/>
        </w:rPr>
        <w:t xml:space="preserve"> Electrónico</w:t>
      </w:r>
      <w:r w:rsidR="00B367DD" w:rsidRPr="002E1AE0">
        <w:rPr>
          <w:rFonts w:ascii="Arial" w:hAnsi="Arial" w:cs="Arial"/>
        </w:rPr>
        <w:t>s</w:t>
      </w:r>
      <w:r w:rsidRPr="002E1AE0">
        <w:rPr>
          <w:rFonts w:ascii="Arial" w:hAnsi="Arial" w:cs="Arial"/>
        </w:rPr>
        <w:t xml:space="preserve"> para todas las Instituciones sujetas a la aplicación de la Ley de Compras Eficientes y Transparentes a través de Medios Electrónicos y su Reglamento</w:t>
      </w:r>
      <w:r w:rsidR="00B367DD" w:rsidRPr="002E1AE0">
        <w:rPr>
          <w:rFonts w:ascii="Arial" w:hAnsi="Arial" w:cs="Arial"/>
        </w:rPr>
        <w:t>. L</w:t>
      </w:r>
      <w:r w:rsidRPr="002E1AE0">
        <w:rPr>
          <w:rFonts w:ascii="Arial" w:hAnsi="Arial" w:cs="Arial"/>
        </w:rPr>
        <w:t>os rubros de productos a ser incluidos en Catálogos Electrónicos para los años 2014 (1), 2015 (5), 2016 (7), 2017 (10).</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1.- Alimentos y Bebidas</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2.- Consumibles de Impresión</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3.- Papelería</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4.- Útiles de Oficina- Catalogo Vigente</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5.- Bienes Informáticos</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6.- Impresoras</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7.- Material de Limpieza y Aseo</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8.- Llantas</w:t>
      </w:r>
    </w:p>
    <w:p w:rsidR="00837656" w:rsidRPr="002E1AE0" w:rsidRDefault="00837656" w:rsidP="00837656">
      <w:pPr>
        <w:pStyle w:val="ListParagraph"/>
        <w:spacing w:before="120" w:after="120" w:line="240" w:lineRule="auto"/>
        <w:ind w:left="1080"/>
        <w:jc w:val="both"/>
        <w:rPr>
          <w:rFonts w:ascii="Arial" w:hAnsi="Arial" w:cs="Arial"/>
        </w:rPr>
      </w:pPr>
      <w:r w:rsidRPr="002E1AE0">
        <w:rPr>
          <w:rFonts w:ascii="Arial" w:hAnsi="Arial" w:cs="Arial"/>
        </w:rPr>
        <w:t>9.- Aceites y Lubrificantes</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10.- Vehículos </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Para la selección de los nuevos </w:t>
      </w:r>
      <w:r w:rsidR="00B367DD" w:rsidRPr="002E1AE0">
        <w:rPr>
          <w:rFonts w:ascii="Arial" w:hAnsi="Arial" w:cs="Arial"/>
        </w:rPr>
        <w:t xml:space="preserve">rubros </w:t>
      </w:r>
      <w:r w:rsidRPr="002E1AE0">
        <w:rPr>
          <w:rFonts w:ascii="Arial" w:hAnsi="Arial" w:cs="Arial"/>
        </w:rPr>
        <w:t>a ser incluidos en el Catálogo Electrónico se ha</w:t>
      </w:r>
      <w:r w:rsidR="005025B7">
        <w:rPr>
          <w:rFonts w:ascii="Arial" w:hAnsi="Arial" w:cs="Arial"/>
        </w:rPr>
        <w:t>n</w:t>
      </w:r>
      <w:r w:rsidRPr="002E1AE0">
        <w:rPr>
          <w:rFonts w:ascii="Arial" w:hAnsi="Arial" w:cs="Arial"/>
        </w:rPr>
        <w:t xml:space="preserve"> tomado en consideración los siguientes criterios:</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lastRenderedPageBreak/>
        <w:t>•</w:t>
      </w:r>
      <w:r w:rsidRPr="002E1AE0">
        <w:rPr>
          <w:rFonts w:ascii="Arial" w:hAnsi="Arial" w:cs="Arial"/>
        </w:rPr>
        <w:tab/>
        <w:t xml:space="preserve">Recomendaciones de la iniciativa “Quick Gains”, para la estandarización de productos </w:t>
      </w:r>
      <w:r w:rsidR="00B367DD" w:rsidRPr="002E1AE0">
        <w:rPr>
          <w:rFonts w:ascii="Arial" w:hAnsi="Arial" w:cs="Arial"/>
        </w:rPr>
        <w:t>comenzando</w:t>
      </w:r>
      <w:r w:rsidRPr="002E1AE0">
        <w:rPr>
          <w:rFonts w:ascii="Arial" w:hAnsi="Arial" w:cs="Arial"/>
        </w:rPr>
        <w:t xml:space="preserve"> desde los menos complejos y cuyo valor en transacciones sea importante.</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w:t>
      </w:r>
      <w:r w:rsidRPr="002E1AE0">
        <w:rPr>
          <w:rFonts w:ascii="Arial" w:hAnsi="Arial" w:cs="Arial"/>
        </w:rPr>
        <w:tab/>
        <w:t xml:space="preserve">Monto transaccional de los rubros según el </w:t>
      </w:r>
      <w:r w:rsidR="005B5D0A" w:rsidRPr="002E1AE0">
        <w:rPr>
          <w:rFonts w:ascii="Arial" w:hAnsi="Arial" w:cs="Arial"/>
        </w:rPr>
        <w:t xml:space="preserve">Sistema Integrado de Administración Financiera </w:t>
      </w:r>
      <w:r w:rsidR="005B5D0A">
        <w:rPr>
          <w:rFonts w:ascii="Arial" w:hAnsi="Arial" w:cs="Arial"/>
        </w:rPr>
        <w:t>(</w:t>
      </w:r>
      <w:r w:rsidRPr="002E1AE0">
        <w:rPr>
          <w:rFonts w:ascii="Arial" w:hAnsi="Arial" w:cs="Arial"/>
        </w:rPr>
        <w:t>SIAFI</w:t>
      </w:r>
      <w:r w:rsidR="005B5D0A">
        <w:rPr>
          <w:rFonts w:ascii="Arial" w:hAnsi="Arial" w:cs="Arial"/>
        </w:rPr>
        <w:t>)</w:t>
      </w:r>
      <w:r w:rsidRPr="002E1AE0">
        <w:rPr>
          <w:rFonts w:ascii="Arial" w:hAnsi="Arial" w:cs="Arial"/>
        </w:rPr>
        <w:t xml:space="preserve"> 2014.</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w:t>
      </w:r>
      <w:r w:rsidRPr="002E1AE0">
        <w:rPr>
          <w:rFonts w:ascii="Arial" w:hAnsi="Arial" w:cs="Arial"/>
        </w:rPr>
        <w:tab/>
        <w:t>Adicionalmente se ha tomado en consideración la complejidad del mercado hondureño para estos productos.</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Para determinar el monto transaccional de los rubros se seleccionó según su orden de ejecución, los objetos del gasto con mayor monto en transacciones durante el año 2012. Una vez identificados estos objetos se realizó un análisis acerca de los rubros que pueden ser agrupados y las variables conocidas del mercado, tal como se muestra en el cuadro N°3.</w:t>
      </w:r>
    </w:p>
    <w:p w:rsidR="00837656" w:rsidRPr="002E1AE0" w:rsidRDefault="00837656" w:rsidP="00917C2D">
      <w:pPr>
        <w:pStyle w:val="ListParagraph"/>
        <w:keepNext/>
        <w:spacing w:before="120" w:after="120" w:line="240" w:lineRule="auto"/>
        <w:ind w:left="850"/>
        <w:contextualSpacing w:val="0"/>
        <w:jc w:val="both"/>
        <w:rPr>
          <w:rFonts w:ascii="Arial" w:hAnsi="Arial" w:cs="Arial"/>
          <w:b/>
        </w:rPr>
      </w:pPr>
      <w:r w:rsidRPr="002E1AE0">
        <w:rPr>
          <w:rFonts w:ascii="Arial" w:hAnsi="Arial" w:cs="Arial"/>
          <w:b/>
        </w:rPr>
        <w:t>Cuadro N° 3: Objetos del Gasto a ser incluidos en Catálogo Electrónico y su valor en transacciones</w:t>
      </w:r>
    </w:p>
    <w:p w:rsidR="00837656" w:rsidRPr="002E1AE0" w:rsidRDefault="00837656" w:rsidP="00917C2D">
      <w:pPr>
        <w:pStyle w:val="ListParagraph"/>
        <w:spacing w:before="120" w:after="120" w:line="240" w:lineRule="auto"/>
        <w:ind w:left="850"/>
        <w:contextualSpacing w:val="0"/>
        <w:jc w:val="both"/>
        <w:rPr>
          <w:rFonts w:ascii="Arial" w:hAnsi="Arial" w:cs="Arial"/>
        </w:rPr>
      </w:pPr>
      <w:r w:rsidRPr="002E1AE0">
        <w:rPr>
          <w:rFonts w:ascii="Arial" w:hAnsi="Arial" w:cs="Arial"/>
          <w:noProof/>
          <w:lang w:val="en-US"/>
        </w:rPr>
        <w:drawing>
          <wp:inline distT="0" distB="0" distL="0" distR="0" wp14:anchorId="26AF6DB3" wp14:editId="331022E0">
            <wp:extent cx="5076749" cy="2922449"/>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7301" cy="2922767"/>
                    </a:xfrm>
                    <a:prstGeom prst="rect">
                      <a:avLst/>
                    </a:prstGeom>
                    <a:noFill/>
                  </pic:spPr>
                </pic:pic>
              </a:graphicData>
            </a:graphic>
          </wp:inline>
        </w:drawing>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Una vez identificados estos productos, con base a los datos conocidos según el SIAFI, se procedió a determinar el porcentaje del gasto por objeto que sería cubierto conforme a la estandarización y agrupación de productos tal como se muestra a continuación:</w:t>
      </w:r>
    </w:p>
    <w:p w:rsidR="00837656" w:rsidRPr="002E1AE0" w:rsidRDefault="00837656" w:rsidP="008A754C">
      <w:pPr>
        <w:pStyle w:val="ListParagraph"/>
        <w:keepNext/>
        <w:spacing w:before="120" w:after="120" w:line="240" w:lineRule="auto"/>
        <w:ind w:left="850"/>
        <w:contextualSpacing w:val="0"/>
        <w:jc w:val="both"/>
        <w:rPr>
          <w:rFonts w:ascii="Arial" w:hAnsi="Arial" w:cs="Arial"/>
          <w:b/>
        </w:rPr>
      </w:pPr>
      <w:r w:rsidRPr="002E1AE0">
        <w:rPr>
          <w:rFonts w:ascii="Arial" w:hAnsi="Arial" w:cs="Arial"/>
          <w:b/>
        </w:rPr>
        <w:lastRenderedPageBreak/>
        <w:t>Cuadro N° 4: Agrupación de los productos según sus características y objetos del gasto en diez (10) catálogos electrónicos:</w:t>
      </w:r>
    </w:p>
    <w:p w:rsidR="00837656" w:rsidRPr="002E1AE0" w:rsidRDefault="00837656" w:rsidP="008A754C">
      <w:pPr>
        <w:pStyle w:val="ListParagraph"/>
        <w:spacing w:before="120" w:after="120" w:line="240" w:lineRule="auto"/>
        <w:ind w:left="737"/>
        <w:contextualSpacing w:val="0"/>
        <w:jc w:val="both"/>
        <w:rPr>
          <w:rFonts w:ascii="Arial" w:hAnsi="Arial" w:cs="Arial"/>
        </w:rPr>
      </w:pPr>
      <w:r w:rsidRPr="002E1AE0">
        <w:rPr>
          <w:rFonts w:ascii="Arial" w:hAnsi="Arial" w:cs="Arial"/>
          <w:noProof/>
          <w:lang w:val="en-US"/>
        </w:rPr>
        <w:drawing>
          <wp:inline distT="0" distB="0" distL="0" distR="0" wp14:anchorId="0D16C3B8" wp14:editId="3D5F233D">
            <wp:extent cx="5259629" cy="185211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9" cy="1858182"/>
                    </a:xfrm>
                    <a:prstGeom prst="rect">
                      <a:avLst/>
                    </a:prstGeom>
                    <a:noFill/>
                  </pic:spPr>
                </pic:pic>
              </a:graphicData>
            </a:graphic>
          </wp:inline>
        </w:drawing>
      </w:r>
    </w:p>
    <w:p w:rsidR="00837656" w:rsidRPr="002E1AE0" w:rsidRDefault="00837656" w:rsidP="00411B9F">
      <w:pPr>
        <w:pStyle w:val="Paragraph"/>
        <w:keepNext/>
        <w:tabs>
          <w:tab w:val="clear" w:pos="1296"/>
          <w:tab w:val="num" w:pos="1080"/>
        </w:tabs>
        <w:ind w:hanging="1116"/>
        <w:rPr>
          <w:rFonts w:ascii="Arial" w:hAnsi="Arial" w:cs="Arial"/>
          <w:b/>
          <w:sz w:val="22"/>
          <w:szCs w:val="22"/>
        </w:rPr>
      </w:pPr>
      <w:r w:rsidRPr="002E1AE0">
        <w:rPr>
          <w:rFonts w:ascii="Arial" w:hAnsi="Arial" w:cs="Arial"/>
          <w:b/>
          <w:sz w:val="22"/>
          <w:szCs w:val="22"/>
        </w:rPr>
        <w:t>El cálculo del Beneficio</w:t>
      </w:r>
    </w:p>
    <w:p w:rsidR="00837656" w:rsidRPr="002E1AE0" w:rsidRDefault="00837656" w:rsidP="00411B9F">
      <w:pPr>
        <w:pStyle w:val="subpar"/>
        <w:rPr>
          <w:rFonts w:ascii="Arial" w:hAnsi="Arial" w:cs="Arial"/>
          <w:b/>
          <w:sz w:val="22"/>
          <w:szCs w:val="22"/>
        </w:rPr>
      </w:pPr>
      <w:r w:rsidRPr="002E1AE0">
        <w:rPr>
          <w:rFonts w:ascii="Arial" w:hAnsi="Arial" w:cs="Arial"/>
          <w:b/>
          <w:sz w:val="22"/>
          <w:szCs w:val="22"/>
        </w:rPr>
        <w:t>Calculo del Ahorro en las Compras</w:t>
      </w:r>
    </w:p>
    <w:p w:rsidR="00837656" w:rsidRPr="002E1AE0" w:rsidRDefault="00837656" w:rsidP="00500A86">
      <w:pPr>
        <w:pStyle w:val="ListParagraph"/>
        <w:keepNext/>
        <w:jc w:val="both"/>
        <w:rPr>
          <w:rFonts w:ascii="Arial" w:hAnsi="Arial" w:cs="Arial"/>
          <w:b/>
        </w:rPr>
      </w:pPr>
      <w:r w:rsidRPr="002E1AE0">
        <w:rPr>
          <w:rFonts w:ascii="Arial" w:hAnsi="Arial" w:cs="Arial"/>
          <w:b/>
        </w:rPr>
        <w:t>Cuadro N° 5: Ahorros en precio estimados para los cuatro catálogos a ser activados en 2015:</w:t>
      </w:r>
    </w:p>
    <w:tbl>
      <w:tblPr>
        <w:tblW w:w="9011" w:type="dxa"/>
        <w:tblInd w:w="779" w:type="dxa"/>
        <w:tblLayout w:type="fixed"/>
        <w:tblCellMar>
          <w:left w:w="70" w:type="dxa"/>
          <w:right w:w="70" w:type="dxa"/>
        </w:tblCellMar>
        <w:tblLook w:val="04A0" w:firstRow="1" w:lastRow="0" w:firstColumn="1" w:lastColumn="0" w:noHBand="0" w:noVBand="1"/>
      </w:tblPr>
      <w:tblGrid>
        <w:gridCol w:w="2621"/>
        <w:gridCol w:w="2250"/>
        <w:gridCol w:w="1080"/>
        <w:gridCol w:w="1170"/>
        <w:gridCol w:w="900"/>
        <w:gridCol w:w="990"/>
      </w:tblGrid>
      <w:tr w:rsidR="00837656" w:rsidRPr="006B309E" w:rsidTr="00500A86">
        <w:trPr>
          <w:trHeight w:val="1150"/>
        </w:trPr>
        <w:tc>
          <w:tcPr>
            <w:tcW w:w="2621" w:type="dxa"/>
            <w:tcBorders>
              <w:top w:val="single" w:sz="8" w:space="0" w:color="auto"/>
              <w:left w:val="single" w:sz="8" w:space="0" w:color="auto"/>
              <w:bottom w:val="single" w:sz="4" w:space="0" w:color="auto"/>
              <w:right w:val="single" w:sz="8" w:space="0" w:color="auto"/>
            </w:tcBorders>
            <w:shd w:val="clear" w:color="000000" w:fill="9BC2E6"/>
            <w:noWrap/>
            <w:vAlign w:val="center"/>
            <w:hideMark/>
          </w:tcPr>
          <w:p w:rsidR="00837656" w:rsidRPr="006B309E" w:rsidRDefault="00837656" w:rsidP="00EA40F8">
            <w:pPr>
              <w:spacing w:after="0" w:line="240" w:lineRule="auto"/>
              <w:jc w:val="center"/>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Gasto</w:t>
            </w:r>
          </w:p>
        </w:tc>
        <w:tc>
          <w:tcPr>
            <w:tcW w:w="2250" w:type="dxa"/>
            <w:tcBorders>
              <w:top w:val="single" w:sz="8" w:space="0" w:color="auto"/>
              <w:left w:val="nil"/>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Consolidado en el Catálogo</w:t>
            </w:r>
          </w:p>
        </w:tc>
        <w:tc>
          <w:tcPr>
            <w:tcW w:w="1080" w:type="dxa"/>
            <w:tcBorders>
              <w:top w:val="single" w:sz="8" w:space="0" w:color="auto"/>
              <w:left w:val="nil"/>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 del Objeto a ser consolidado a través de catálogo</w:t>
            </w:r>
          </w:p>
        </w:tc>
        <w:tc>
          <w:tcPr>
            <w:tcW w:w="1170" w:type="dxa"/>
            <w:tcBorders>
              <w:top w:val="single" w:sz="8" w:space="0" w:color="auto"/>
              <w:left w:val="nil"/>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Transacciones estimadas año 2015</w:t>
            </w:r>
          </w:p>
        </w:tc>
        <w:tc>
          <w:tcPr>
            <w:tcW w:w="900" w:type="dxa"/>
            <w:tcBorders>
              <w:top w:val="single" w:sz="8" w:space="0" w:color="auto"/>
              <w:left w:val="nil"/>
              <w:bottom w:val="single" w:sz="4" w:space="0" w:color="auto"/>
              <w:right w:val="nil"/>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 de Ahorro esperado en precios</w:t>
            </w:r>
          </w:p>
        </w:tc>
        <w:tc>
          <w:tcPr>
            <w:tcW w:w="990" w:type="dxa"/>
            <w:tcBorders>
              <w:top w:val="single" w:sz="8" w:space="0" w:color="auto"/>
              <w:left w:val="single" w:sz="8" w:space="0" w:color="auto"/>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Valor del ahorro esperado en precios</w:t>
            </w:r>
          </w:p>
        </w:tc>
      </w:tr>
      <w:tr w:rsidR="00837656" w:rsidRPr="006B309E" w:rsidTr="00500A86">
        <w:trPr>
          <w:trHeight w:val="170"/>
        </w:trPr>
        <w:tc>
          <w:tcPr>
            <w:tcW w:w="262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Alimento y bebidas para personas</w:t>
            </w:r>
          </w:p>
        </w:tc>
        <w:tc>
          <w:tcPr>
            <w:tcW w:w="2250"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1. Alimentos y bebidas</w:t>
            </w:r>
          </w:p>
        </w:tc>
        <w:tc>
          <w:tcPr>
            <w:tcW w:w="1080" w:type="dxa"/>
            <w:tcBorders>
              <w:top w:val="nil"/>
              <w:left w:val="nil"/>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center"/>
              <w:rPr>
                <w:rFonts w:ascii="Arial" w:eastAsia="Times New Roman" w:hAnsi="Arial" w:cs="Arial"/>
                <w:color w:val="000000"/>
                <w:sz w:val="18"/>
                <w:lang w:eastAsia="pt-BR"/>
              </w:rPr>
            </w:pPr>
            <w:r>
              <w:rPr>
                <w:rFonts w:ascii="Arial" w:eastAsia="Times New Roman" w:hAnsi="Arial" w:cs="Arial"/>
                <w:color w:val="000000"/>
                <w:sz w:val="18"/>
                <w:lang w:eastAsia="pt-BR"/>
              </w:rPr>
              <w:t>0,</w:t>
            </w:r>
            <w:r w:rsidR="00837656" w:rsidRPr="006B309E">
              <w:rPr>
                <w:rFonts w:ascii="Arial" w:eastAsia="Times New Roman" w:hAnsi="Arial" w:cs="Arial"/>
                <w:color w:val="000000"/>
                <w:sz w:val="18"/>
                <w:lang w:eastAsia="pt-BR"/>
              </w:rPr>
              <w:t>75</w:t>
            </w:r>
          </w:p>
        </w:tc>
        <w:tc>
          <w:tcPr>
            <w:tcW w:w="1170" w:type="dxa"/>
            <w:tcBorders>
              <w:top w:val="nil"/>
              <w:left w:val="nil"/>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9.261.</w:t>
            </w:r>
            <w:r w:rsidR="00837656" w:rsidRPr="006B309E">
              <w:rPr>
                <w:rFonts w:ascii="Arial" w:eastAsia="Times New Roman" w:hAnsi="Arial" w:cs="Arial"/>
                <w:color w:val="000000"/>
                <w:sz w:val="18"/>
                <w:lang w:eastAsia="pt-BR"/>
              </w:rPr>
              <w:t>243</w:t>
            </w:r>
          </w:p>
        </w:tc>
        <w:tc>
          <w:tcPr>
            <w:tcW w:w="900"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lang w:eastAsia="pt-BR"/>
              </w:rPr>
            </w:pPr>
            <w:r w:rsidRPr="006B309E">
              <w:rPr>
                <w:rFonts w:ascii="Arial" w:eastAsia="Times New Roman" w:hAnsi="Arial" w:cs="Arial"/>
                <w:color w:val="000000"/>
                <w:sz w:val="18"/>
                <w:lang w:eastAsia="pt-BR"/>
              </w:rPr>
              <w:t>15</w:t>
            </w:r>
          </w:p>
        </w:tc>
        <w:tc>
          <w:tcPr>
            <w:tcW w:w="990"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1.389.</w:t>
            </w:r>
            <w:r w:rsidR="00837656" w:rsidRPr="006B309E">
              <w:rPr>
                <w:rFonts w:ascii="Arial" w:eastAsia="Times New Roman" w:hAnsi="Arial" w:cs="Arial"/>
                <w:color w:val="000000"/>
                <w:sz w:val="18"/>
                <w:lang w:eastAsia="pt-BR"/>
              </w:rPr>
              <w:t>186</w:t>
            </w:r>
          </w:p>
        </w:tc>
      </w:tr>
      <w:tr w:rsidR="00837656" w:rsidRPr="006B309E" w:rsidTr="00500A86">
        <w:trPr>
          <w:trHeight w:val="107"/>
        </w:trPr>
        <w:tc>
          <w:tcPr>
            <w:tcW w:w="262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Repuestos y accesorios</w:t>
            </w:r>
          </w:p>
        </w:tc>
        <w:tc>
          <w:tcPr>
            <w:tcW w:w="2250"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2. Consumibles de impresión</w:t>
            </w:r>
          </w:p>
        </w:tc>
        <w:tc>
          <w:tcPr>
            <w:tcW w:w="1080" w:type="dxa"/>
            <w:tcBorders>
              <w:top w:val="nil"/>
              <w:left w:val="nil"/>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center"/>
              <w:rPr>
                <w:rFonts w:ascii="Arial" w:eastAsia="Times New Roman" w:hAnsi="Arial" w:cs="Arial"/>
                <w:color w:val="000000"/>
                <w:sz w:val="18"/>
                <w:lang w:eastAsia="pt-BR"/>
              </w:rPr>
            </w:pPr>
            <w:r>
              <w:rPr>
                <w:rFonts w:ascii="Arial" w:eastAsia="Times New Roman" w:hAnsi="Arial" w:cs="Arial"/>
                <w:color w:val="000000"/>
                <w:sz w:val="18"/>
                <w:lang w:eastAsia="pt-BR"/>
              </w:rPr>
              <w:t>20,</w:t>
            </w:r>
            <w:r w:rsidR="00837656" w:rsidRPr="006B309E">
              <w:rPr>
                <w:rFonts w:ascii="Arial" w:eastAsia="Times New Roman" w:hAnsi="Arial" w:cs="Arial"/>
                <w:color w:val="000000"/>
                <w:sz w:val="18"/>
                <w:lang w:eastAsia="pt-BR"/>
              </w:rPr>
              <w:t>00</w:t>
            </w:r>
          </w:p>
        </w:tc>
        <w:tc>
          <w:tcPr>
            <w:tcW w:w="1170" w:type="dxa"/>
            <w:tcBorders>
              <w:top w:val="nil"/>
              <w:left w:val="nil"/>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53.182.</w:t>
            </w:r>
            <w:r w:rsidR="00837656" w:rsidRPr="006B309E">
              <w:rPr>
                <w:rFonts w:ascii="Arial" w:eastAsia="Times New Roman" w:hAnsi="Arial" w:cs="Arial"/>
                <w:color w:val="000000"/>
                <w:sz w:val="18"/>
                <w:lang w:eastAsia="pt-BR"/>
              </w:rPr>
              <w:t>161</w:t>
            </w:r>
          </w:p>
        </w:tc>
        <w:tc>
          <w:tcPr>
            <w:tcW w:w="900"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lang w:eastAsia="pt-BR"/>
              </w:rPr>
            </w:pPr>
            <w:r w:rsidRPr="006B309E">
              <w:rPr>
                <w:rFonts w:ascii="Arial" w:eastAsia="Times New Roman" w:hAnsi="Arial" w:cs="Arial"/>
                <w:color w:val="000000"/>
                <w:sz w:val="18"/>
                <w:lang w:eastAsia="pt-BR"/>
              </w:rPr>
              <w:t>15</w:t>
            </w:r>
          </w:p>
        </w:tc>
        <w:tc>
          <w:tcPr>
            <w:tcW w:w="990"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7.977.</w:t>
            </w:r>
            <w:r w:rsidR="00837656" w:rsidRPr="006B309E">
              <w:rPr>
                <w:rFonts w:ascii="Arial" w:eastAsia="Times New Roman" w:hAnsi="Arial" w:cs="Arial"/>
                <w:color w:val="000000"/>
                <w:sz w:val="18"/>
                <w:lang w:eastAsia="pt-BR"/>
              </w:rPr>
              <w:t>324</w:t>
            </w:r>
          </w:p>
        </w:tc>
      </w:tr>
      <w:tr w:rsidR="00837656" w:rsidRPr="006B309E" w:rsidTr="00500A86">
        <w:trPr>
          <w:trHeight w:val="41"/>
        </w:trPr>
        <w:tc>
          <w:tcPr>
            <w:tcW w:w="262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Productos de arte gráficas y Papel de Escritorio</w:t>
            </w:r>
          </w:p>
        </w:tc>
        <w:tc>
          <w:tcPr>
            <w:tcW w:w="2250"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3. Papelería</w:t>
            </w:r>
          </w:p>
        </w:tc>
        <w:tc>
          <w:tcPr>
            <w:tcW w:w="1080" w:type="dxa"/>
            <w:tcBorders>
              <w:top w:val="nil"/>
              <w:left w:val="nil"/>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center"/>
              <w:rPr>
                <w:rFonts w:ascii="Arial" w:eastAsia="Times New Roman" w:hAnsi="Arial" w:cs="Arial"/>
                <w:color w:val="000000"/>
                <w:sz w:val="18"/>
                <w:lang w:eastAsia="pt-BR"/>
              </w:rPr>
            </w:pPr>
            <w:r>
              <w:rPr>
                <w:rFonts w:ascii="Arial" w:eastAsia="Times New Roman" w:hAnsi="Arial" w:cs="Arial"/>
                <w:color w:val="000000"/>
                <w:sz w:val="18"/>
                <w:lang w:eastAsia="pt-BR"/>
              </w:rPr>
              <w:t>15,</w:t>
            </w:r>
            <w:r w:rsidR="00837656" w:rsidRPr="006B309E">
              <w:rPr>
                <w:rFonts w:ascii="Arial" w:eastAsia="Times New Roman" w:hAnsi="Arial" w:cs="Arial"/>
                <w:color w:val="000000"/>
                <w:sz w:val="18"/>
                <w:lang w:eastAsia="pt-BR"/>
              </w:rPr>
              <w:t>00</w:t>
            </w:r>
          </w:p>
        </w:tc>
        <w:tc>
          <w:tcPr>
            <w:tcW w:w="1170" w:type="dxa"/>
            <w:tcBorders>
              <w:top w:val="nil"/>
              <w:left w:val="nil"/>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71.336.</w:t>
            </w:r>
            <w:r w:rsidR="00837656" w:rsidRPr="006B309E">
              <w:rPr>
                <w:rFonts w:ascii="Arial" w:eastAsia="Times New Roman" w:hAnsi="Arial" w:cs="Arial"/>
                <w:color w:val="000000"/>
                <w:sz w:val="18"/>
                <w:lang w:eastAsia="pt-BR"/>
              </w:rPr>
              <w:t>053</w:t>
            </w:r>
          </w:p>
        </w:tc>
        <w:tc>
          <w:tcPr>
            <w:tcW w:w="900"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lang w:eastAsia="pt-BR"/>
              </w:rPr>
            </w:pPr>
            <w:r w:rsidRPr="006B309E">
              <w:rPr>
                <w:rFonts w:ascii="Arial" w:eastAsia="Times New Roman" w:hAnsi="Arial" w:cs="Arial"/>
                <w:color w:val="000000"/>
                <w:sz w:val="18"/>
                <w:lang w:eastAsia="pt-BR"/>
              </w:rPr>
              <w:t>15</w:t>
            </w:r>
          </w:p>
        </w:tc>
        <w:tc>
          <w:tcPr>
            <w:tcW w:w="990"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10.700.</w:t>
            </w:r>
            <w:r w:rsidR="00837656" w:rsidRPr="006B309E">
              <w:rPr>
                <w:rFonts w:ascii="Arial" w:eastAsia="Times New Roman" w:hAnsi="Arial" w:cs="Arial"/>
                <w:color w:val="000000"/>
                <w:sz w:val="18"/>
                <w:lang w:eastAsia="pt-BR"/>
              </w:rPr>
              <w:t>408</w:t>
            </w:r>
          </w:p>
        </w:tc>
      </w:tr>
      <w:tr w:rsidR="00837656" w:rsidRPr="006B309E" w:rsidTr="00500A86">
        <w:trPr>
          <w:trHeight w:val="41"/>
        </w:trPr>
        <w:tc>
          <w:tcPr>
            <w:tcW w:w="2621" w:type="dxa"/>
            <w:tcBorders>
              <w:top w:val="nil"/>
              <w:left w:val="single" w:sz="8" w:space="0" w:color="auto"/>
              <w:bottom w:val="nil"/>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Útiles de escritorio oficina y enseñanza y productos de papel y cartón</w:t>
            </w:r>
          </w:p>
        </w:tc>
        <w:tc>
          <w:tcPr>
            <w:tcW w:w="2250" w:type="dxa"/>
            <w:tcBorders>
              <w:top w:val="nil"/>
              <w:left w:val="nil"/>
              <w:bottom w:val="nil"/>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lang w:eastAsia="pt-BR"/>
              </w:rPr>
            </w:pPr>
            <w:r w:rsidRPr="006B309E">
              <w:rPr>
                <w:rFonts w:ascii="Arial" w:eastAsia="Times New Roman" w:hAnsi="Arial" w:cs="Arial"/>
                <w:color w:val="000000"/>
                <w:sz w:val="18"/>
                <w:lang w:eastAsia="pt-BR"/>
              </w:rPr>
              <w:t>4. Útiles de Oficina</w:t>
            </w:r>
          </w:p>
        </w:tc>
        <w:tc>
          <w:tcPr>
            <w:tcW w:w="1080" w:type="dxa"/>
            <w:tcBorders>
              <w:top w:val="nil"/>
              <w:left w:val="nil"/>
              <w:bottom w:val="nil"/>
              <w:right w:val="single" w:sz="8" w:space="0" w:color="auto"/>
            </w:tcBorders>
            <w:shd w:val="clear" w:color="auto" w:fill="auto"/>
            <w:vAlign w:val="bottom"/>
            <w:hideMark/>
          </w:tcPr>
          <w:p w:rsidR="00837656" w:rsidRPr="006B309E" w:rsidRDefault="006B309E" w:rsidP="00EA40F8">
            <w:pPr>
              <w:spacing w:after="0" w:line="240" w:lineRule="auto"/>
              <w:jc w:val="center"/>
              <w:rPr>
                <w:rFonts w:ascii="Arial" w:eastAsia="Times New Roman" w:hAnsi="Arial" w:cs="Arial"/>
                <w:color w:val="000000"/>
                <w:sz w:val="18"/>
                <w:lang w:eastAsia="pt-BR"/>
              </w:rPr>
            </w:pPr>
            <w:r>
              <w:rPr>
                <w:rFonts w:ascii="Arial" w:eastAsia="Times New Roman" w:hAnsi="Arial" w:cs="Arial"/>
                <w:color w:val="000000"/>
                <w:sz w:val="18"/>
                <w:lang w:eastAsia="pt-BR"/>
              </w:rPr>
              <w:t>50,</w:t>
            </w:r>
            <w:r w:rsidR="00837656" w:rsidRPr="006B309E">
              <w:rPr>
                <w:rFonts w:ascii="Arial" w:eastAsia="Times New Roman" w:hAnsi="Arial" w:cs="Arial"/>
                <w:color w:val="000000"/>
                <w:sz w:val="18"/>
                <w:lang w:eastAsia="pt-BR"/>
              </w:rPr>
              <w:t>00</w:t>
            </w:r>
          </w:p>
        </w:tc>
        <w:tc>
          <w:tcPr>
            <w:tcW w:w="1170" w:type="dxa"/>
            <w:tcBorders>
              <w:top w:val="nil"/>
              <w:left w:val="nil"/>
              <w:bottom w:val="nil"/>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59.408.</w:t>
            </w:r>
            <w:r w:rsidR="00837656" w:rsidRPr="006B309E">
              <w:rPr>
                <w:rFonts w:ascii="Arial" w:eastAsia="Times New Roman" w:hAnsi="Arial" w:cs="Arial"/>
                <w:color w:val="000000"/>
                <w:sz w:val="18"/>
                <w:lang w:eastAsia="pt-BR"/>
              </w:rPr>
              <w:t>569</w:t>
            </w:r>
          </w:p>
        </w:tc>
        <w:tc>
          <w:tcPr>
            <w:tcW w:w="900" w:type="dxa"/>
            <w:tcBorders>
              <w:top w:val="nil"/>
              <w:left w:val="nil"/>
              <w:bottom w:val="nil"/>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lang w:eastAsia="pt-BR"/>
              </w:rPr>
            </w:pPr>
            <w:r w:rsidRPr="006B309E">
              <w:rPr>
                <w:rFonts w:ascii="Arial" w:eastAsia="Times New Roman" w:hAnsi="Arial" w:cs="Arial"/>
                <w:color w:val="000000"/>
                <w:sz w:val="18"/>
                <w:lang w:eastAsia="pt-BR"/>
              </w:rPr>
              <w:t>15</w:t>
            </w:r>
          </w:p>
        </w:tc>
        <w:tc>
          <w:tcPr>
            <w:tcW w:w="990"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6B309E" w:rsidP="00EA40F8">
            <w:pPr>
              <w:spacing w:after="0" w:line="240" w:lineRule="auto"/>
              <w:jc w:val="right"/>
              <w:rPr>
                <w:rFonts w:ascii="Arial" w:eastAsia="Times New Roman" w:hAnsi="Arial" w:cs="Arial"/>
                <w:color w:val="000000"/>
                <w:sz w:val="18"/>
                <w:lang w:eastAsia="pt-BR"/>
              </w:rPr>
            </w:pPr>
            <w:r>
              <w:rPr>
                <w:rFonts w:ascii="Arial" w:eastAsia="Times New Roman" w:hAnsi="Arial" w:cs="Arial"/>
                <w:color w:val="000000"/>
                <w:sz w:val="18"/>
                <w:lang w:eastAsia="pt-BR"/>
              </w:rPr>
              <w:t>8.911.</w:t>
            </w:r>
            <w:r w:rsidR="00837656" w:rsidRPr="006B309E">
              <w:rPr>
                <w:rFonts w:ascii="Arial" w:eastAsia="Times New Roman" w:hAnsi="Arial" w:cs="Arial"/>
                <w:color w:val="000000"/>
                <w:sz w:val="18"/>
                <w:lang w:eastAsia="pt-BR"/>
              </w:rPr>
              <w:t>285</w:t>
            </w:r>
          </w:p>
        </w:tc>
      </w:tr>
      <w:tr w:rsidR="00837656" w:rsidRPr="006B309E" w:rsidTr="00500A86">
        <w:trPr>
          <w:trHeight w:val="31"/>
        </w:trPr>
        <w:tc>
          <w:tcPr>
            <w:tcW w:w="8021"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37656" w:rsidRPr="006B309E" w:rsidRDefault="00837656" w:rsidP="00EA40F8">
            <w:pPr>
              <w:spacing w:after="0" w:line="240" w:lineRule="auto"/>
              <w:jc w:val="right"/>
              <w:rPr>
                <w:rFonts w:ascii="Arial" w:eastAsia="Times New Roman" w:hAnsi="Arial" w:cs="Arial"/>
                <w:b/>
                <w:bCs/>
                <w:color w:val="000000"/>
                <w:sz w:val="18"/>
                <w:lang w:eastAsia="pt-BR"/>
              </w:rPr>
            </w:pPr>
            <w:r w:rsidRPr="006B309E">
              <w:rPr>
                <w:rFonts w:ascii="Arial" w:eastAsia="Times New Roman" w:hAnsi="Arial" w:cs="Arial"/>
                <w:b/>
                <w:bCs/>
                <w:color w:val="000000"/>
                <w:sz w:val="18"/>
                <w:lang w:eastAsia="pt-BR"/>
              </w:rPr>
              <w:t>Ahorro de precio esperado</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rsidR="00837656" w:rsidRPr="006B309E" w:rsidRDefault="006B309E" w:rsidP="00EA40F8">
            <w:pPr>
              <w:spacing w:after="0" w:line="240" w:lineRule="auto"/>
              <w:jc w:val="right"/>
              <w:rPr>
                <w:rFonts w:ascii="Arial" w:eastAsia="Times New Roman" w:hAnsi="Arial" w:cs="Arial"/>
                <w:b/>
                <w:bCs/>
                <w:color w:val="000000"/>
                <w:sz w:val="18"/>
                <w:lang w:eastAsia="pt-BR"/>
              </w:rPr>
            </w:pPr>
            <w:r>
              <w:rPr>
                <w:rFonts w:ascii="Arial" w:eastAsia="Times New Roman" w:hAnsi="Arial" w:cs="Arial"/>
                <w:b/>
                <w:bCs/>
                <w:color w:val="000000"/>
                <w:sz w:val="18"/>
                <w:lang w:eastAsia="pt-BR"/>
              </w:rPr>
              <w:t>28.978.</w:t>
            </w:r>
            <w:r w:rsidR="00837656" w:rsidRPr="006B309E">
              <w:rPr>
                <w:rFonts w:ascii="Arial" w:eastAsia="Times New Roman" w:hAnsi="Arial" w:cs="Arial"/>
                <w:b/>
                <w:bCs/>
                <w:color w:val="000000"/>
                <w:sz w:val="18"/>
                <w:lang w:eastAsia="pt-BR"/>
              </w:rPr>
              <w:t>204</w:t>
            </w:r>
          </w:p>
        </w:tc>
      </w:tr>
    </w:tbl>
    <w:p w:rsidR="00837656" w:rsidRPr="002E1AE0" w:rsidRDefault="00837656" w:rsidP="00837656">
      <w:pPr>
        <w:pStyle w:val="ListParagraph"/>
        <w:ind w:left="0"/>
        <w:jc w:val="both"/>
        <w:rPr>
          <w:rFonts w:ascii="Arial" w:hAnsi="Arial" w:cs="Arial"/>
        </w:rPr>
      </w:pPr>
    </w:p>
    <w:p w:rsidR="00837656" w:rsidRPr="002E1AE0" w:rsidRDefault="00837656" w:rsidP="00500A86">
      <w:pPr>
        <w:pStyle w:val="ListParagraph"/>
        <w:jc w:val="both"/>
        <w:rPr>
          <w:rFonts w:ascii="Arial" w:hAnsi="Arial" w:cs="Arial"/>
          <w:b/>
        </w:rPr>
      </w:pPr>
      <w:r w:rsidRPr="002E1AE0">
        <w:rPr>
          <w:rFonts w:ascii="Arial" w:hAnsi="Arial" w:cs="Arial"/>
          <w:b/>
        </w:rPr>
        <w:t>Cuadro N° 6: Ahorros en precio estimados para siete catálogos a ser activados en 2016:</w:t>
      </w:r>
    </w:p>
    <w:tbl>
      <w:tblPr>
        <w:tblW w:w="9152" w:type="dxa"/>
        <w:tblInd w:w="779" w:type="dxa"/>
        <w:tblCellMar>
          <w:left w:w="70" w:type="dxa"/>
          <w:right w:w="70" w:type="dxa"/>
        </w:tblCellMar>
        <w:tblLook w:val="04A0" w:firstRow="1" w:lastRow="0" w:firstColumn="1" w:lastColumn="0" w:noHBand="0" w:noVBand="1"/>
      </w:tblPr>
      <w:tblGrid>
        <w:gridCol w:w="2621"/>
        <w:gridCol w:w="1947"/>
        <w:gridCol w:w="1201"/>
        <w:gridCol w:w="1401"/>
        <w:gridCol w:w="941"/>
        <w:gridCol w:w="1041"/>
      </w:tblGrid>
      <w:tr w:rsidR="00837656" w:rsidRPr="006B309E" w:rsidTr="00500A86">
        <w:trPr>
          <w:trHeight w:val="1450"/>
        </w:trPr>
        <w:tc>
          <w:tcPr>
            <w:tcW w:w="2621" w:type="dxa"/>
            <w:tcBorders>
              <w:top w:val="single" w:sz="8" w:space="0" w:color="auto"/>
              <w:left w:val="single" w:sz="8" w:space="0" w:color="auto"/>
              <w:bottom w:val="single" w:sz="4" w:space="0" w:color="auto"/>
              <w:right w:val="single" w:sz="8" w:space="0" w:color="auto"/>
            </w:tcBorders>
            <w:shd w:val="clear" w:color="000000" w:fill="9BC2E6"/>
            <w:noWrap/>
            <w:vAlign w:val="center"/>
            <w:hideMark/>
          </w:tcPr>
          <w:p w:rsidR="00837656" w:rsidRPr="006B309E" w:rsidRDefault="00837656" w:rsidP="00EA40F8">
            <w:pPr>
              <w:spacing w:after="0" w:line="240" w:lineRule="auto"/>
              <w:jc w:val="center"/>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Gasto</w:t>
            </w:r>
          </w:p>
        </w:tc>
        <w:tc>
          <w:tcPr>
            <w:tcW w:w="1947" w:type="dxa"/>
            <w:tcBorders>
              <w:top w:val="single" w:sz="8" w:space="0" w:color="auto"/>
              <w:left w:val="nil"/>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Consolidado en el Catálogo</w:t>
            </w:r>
          </w:p>
        </w:tc>
        <w:tc>
          <w:tcPr>
            <w:tcW w:w="1201" w:type="dxa"/>
            <w:tcBorders>
              <w:top w:val="single" w:sz="8" w:space="0" w:color="auto"/>
              <w:left w:val="nil"/>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 del Objeto a ser consolidado a través de catálogo</w:t>
            </w:r>
          </w:p>
        </w:tc>
        <w:tc>
          <w:tcPr>
            <w:tcW w:w="1401" w:type="dxa"/>
            <w:tcBorders>
              <w:top w:val="single" w:sz="8" w:space="0" w:color="auto"/>
              <w:left w:val="nil"/>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Transacciones estimadas año 2015</w:t>
            </w:r>
          </w:p>
        </w:tc>
        <w:tc>
          <w:tcPr>
            <w:tcW w:w="941" w:type="dxa"/>
            <w:tcBorders>
              <w:top w:val="single" w:sz="8" w:space="0" w:color="auto"/>
              <w:left w:val="nil"/>
              <w:bottom w:val="single" w:sz="4" w:space="0" w:color="auto"/>
              <w:right w:val="nil"/>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 de Ahorro esperado en precios</w:t>
            </w:r>
          </w:p>
        </w:tc>
        <w:tc>
          <w:tcPr>
            <w:tcW w:w="1041" w:type="dxa"/>
            <w:tcBorders>
              <w:top w:val="single" w:sz="8" w:space="0" w:color="auto"/>
              <w:left w:val="single" w:sz="8" w:space="0" w:color="auto"/>
              <w:bottom w:val="single" w:sz="4" w:space="0" w:color="auto"/>
              <w:right w:val="single" w:sz="8" w:space="0" w:color="auto"/>
            </w:tcBorders>
            <w:shd w:val="clear" w:color="000000" w:fill="9BC2E6"/>
            <w:vAlign w:val="center"/>
            <w:hideMark/>
          </w:tcPr>
          <w:p w:rsidR="00837656" w:rsidRPr="006B309E" w:rsidRDefault="00837656" w:rsidP="00EA40F8">
            <w:pPr>
              <w:spacing w:after="0" w:line="240" w:lineRule="auto"/>
              <w:jc w:val="center"/>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Valor del ahorro esperado en precios</w:t>
            </w:r>
          </w:p>
        </w:tc>
      </w:tr>
      <w:tr w:rsidR="00837656" w:rsidRPr="006B309E" w:rsidTr="00500A86">
        <w:trPr>
          <w:trHeight w:val="41"/>
        </w:trPr>
        <w:tc>
          <w:tcPr>
            <w:tcW w:w="262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Alimento y bebidas para personas</w:t>
            </w:r>
          </w:p>
        </w:tc>
        <w:tc>
          <w:tcPr>
            <w:tcW w:w="1947"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 Alimentos y bebidas</w:t>
            </w:r>
          </w:p>
        </w:tc>
        <w:tc>
          <w:tcPr>
            <w:tcW w:w="12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0</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75</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9</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724</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305</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458</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646</w:t>
            </w:r>
          </w:p>
        </w:tc>
      </w:tr>
      <w:tr w:rsidR="00837656" w:rsidRPr="006B309E" w:rsidTr="00500A86">
        <w:trPr>
          <w:trHeight w:val="53"/>
        </w:trPr>
        <w:tc>
          <w:tcPr>
            <w:tcW w:w="262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Repuestos y accesorios</w:t>
            </w:r>
          </w:p>
        </w:tc>
        <w:tc>
          <w:tcPr>
            <w:tcW w:w="1947"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2. Consumibles de impresión</w:t>
            </w:r>
          </w:p>
        </w:tc>
        <w:tc>
          <w:tcPr>
            <w:tcW w:w="1201" w:type="dxa"/>
            <w:tcBorders>
              <w:top w:val="nil"/>
              <w:left w:val="nil"/>
              <w:bottom w:val="single" w:sz="4" w:space="0" w:color="auto"/>
              <w:right w:val="single" w:sz="8" w:space="0" w:color="auto"/>
            </w:tcBorders>
            <w:shd w:val="clear" w:color="auto" w:fill="auto"/>
            <w:vAlign w:val="bottom"/>
            <w:hideMark/>
          </w:tcPr>
          <w:p w:rsidR="00837656" w:rsidRPr="006B309E" w:rsidRDefault="00393E8A" w:rsidP="00393E8A">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20,</w:t>
            </w:r>
            <w:r w:rsidR="00837656" w:rsidRPr="006B309E">
              <w:rPr>
                <w:rFonts w:ascii="Arial" w:eastAsia="Times New Roman" w:hAnsi="Arial" w:cs="Arial"/>
                <w:color w:val="000000"/>
                <w:sz w:val="18"/>
                <w:szCs w:val="18"/>
                <w:lang w:eastAsia="pt-BR"/>
              </w:rPr>
              <w:t>00</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393E8A" w:rsidP="00EA40F8">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55.841.</w:t>
            </w:r>
            <w:r w:rsidR="00837656" w:rsidRPr="006B309E">
              <w:rPr>
                <w:rFonts w:ascii="Arial" w:eastAsia="Times New Roman" w:hAnsi="Arial" w:cs="Arial"/>
                <w:color w:val="000000"/>
                <w:sz w:val="18"/>
                <w:szCs w:val="18"/>
                <w:lang w:eastAsia="pt-BR"/>
              </w:rPr>
              <w:t>269</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8</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376</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190</w:t>
            </w:r>
          </w:p>
        </w:tc>
      </w:tr>
      <w:tr w:rsidR="00837656" w:rsidRPr="006B309E" w:rsidTr="00500A86">
        <w:trPr>
          <w:trHeight w:val="197"/>
        </w:trPr>
        <w:tc>
          <w:tcPr>
            <w:tcW w:w="262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Productos de arte gráficas y Papel de Escritorio</w:t>
            </w:r>
          </w:p>
        </w:tc>
        <w:tc>
          <w:tcPr>
            <w:tcW w:w="1947"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3. Papelería</w:t>
            </w:r>
          </w:p>
        </w:tc>
        <w:tc>
          <w:tcPr>
            <w:tcW w:w="1201" w:type="dxa"/>
            <w:tcBorders>
              <w:top w:val="nil"/>
              <w:left w:val="nil"/>
              <w:bottom w:val="single" w:sz="4" w:space="0" w:color="auto"/>
              <w:right w:val="single" w:sz="8" w:space="0" w:color="auto"/>
            </w:tcBorders>
            <w:shd w:val="clear" w:color="auto" w:fill="auto"/>
            <w:vAlign w:val="bottom"/>
            <w:hideMark/>
          </w:tcPr>
          <w:p w:rsidR="00837656" w:rsidRPr="006B309E" w:rsidRDefault="00393E8A" w:rsidP="00393E8A">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15,</w:t>
            </w:r>
            <w:r w:rsidR="00837656" w:rsidRPr="006B309E">
              <w:rPr>
                <w:rFonts w:ascii="Arial" w:eastAsia="Times New Roman" w:hAnsi="Arial" w:cs="Arial"/>
                <w:color w:val="000000"/>
                <w:sz w:val="18"/>
                <w:szCs w:val="18"/>
                <w:lang w:eastAsia="pt-BR"/>
              </w:rPr>
              <w:t>00</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74</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902</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856</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11</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235</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428</w:t>
            </w:r>
          </w:p>
        </w:tc>
      </w:tr>
      <w:tr w:rsidR="00837656" w:rsidRPr="006B309E" w:rsidTr="00500A86">
        <w:trPr>
          <w:trHeight w:val="71"/>
        </w:trPr>
        <w:tc>
          <w:tcPr>
            <w:tcW w:w="2621" w:type="dxa"/>
            <w:tcBorders>
              <w:top w:val="nil"/>
              <w:left w:val="single" w:sz="8" w:space="0" w:color="auto"/>
              <w:bottom w:val="nil"/>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 xml:space="preserve">Útiles de escritorio oficina y </w:t>
            </w:r>
            <w:r w:rsidRPr="006B309E">
              <w:rPr>
                <w:rFonts w:ascii="Arial" w:eastAsia="Times New Roman" w:hAnsi="Arial" w:cs="Arial"/>
                <w:color w:val="000000"/>
                <w:sz w:val="18"/>
                <w:szCs w:val="18"/>
                <w:lang w:eastAsia="pt-BR"/>
              </w:rPr>
              <w:lastRenderedPageBreak/>
              <w:t>enseñanza y productos de papel y cartón</w:t>
            </w:r>
          </w:p>
        </w:tc>
        <w:tc>
          <w:tcPr>
            <w:tcW w:w="1947"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lastRenderedPageBreak/>
              <w:t>4. Útiles de Oficina</w:t>
            </w:r>
          </w:p>
        </w:tc>
        <w:tc>
          <w:tcPr>
            <w:tcW w:w="1201"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393E8A" w:rsidP="00393E8A">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50,</w:t>
            </w:r>
            <w:r w:rsidR="00837656" w:rsidRPr="006B309E">
              <w:rPr>
                <w:rFonts w:ascii="Arial" w:eastAsia="Times New Roman" w:hAnsi="Arial" w:cs="Arial"/>
                <w:color w:val="000000"/>
                <w:sz w:val="18"/>
                <w:szCs w:val="18"/>
                <w:lang w:eastAsia="pt-BR"/>
              </w:rPr>
              <w:t>00</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62</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378</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997</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9</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356</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850</w:t>
            </w:r>
          </w:p>
        </w:tc>
      </w:tr>
      <w:tr w:rsidR="00837656" w:rsidRPr="006B309E" w:rsidTr="00500A86">
        <w:trPr>
          <w:trHeight w:val="41"/>
        </w:trPr>
        <w:tc>
          <w:tcPr>
            <w:tcW w:w="2621" w:type="dxa"/>
            <w:tcBorders>
              <w:top w:val="nil"/>
              <w:left w:val="single" w:sz="8" w:space="0" w:color="auto"/>
              <w:bottom w:val="nil"/>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lastRenderedPageBreak/>
              <w:t>Aplicaciones informaticas y equipo de computo</w:t>
            </w:r>
          </w:p>
        </w:tc>
        <w:tc>
          <w:tcPr>
            <w:tcW w:w="1947"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5. Bienes informáticos</w:t>
            </w:r>
          </w:p>
        </w:tc>
        <w:tc>
          <w:tcPr>
            <w:tcW w:w="1201"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393E8A" w:rsidP="00393E8A">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13,</w:t>
            </w:r>
            <w:r w:rsidR="00837656" w:rsidRPr="006B309E">
              <w:rPr>
                <w:rFonts w:ascii="Arial" w:eastAsia="Times New Roman" w:hAnsi="Arial" w:cs="Arial"/>
                <w:color w:val="000000"/>
                <w:sz w:val="18"/>
                <w:szCs w:val="18"/>
                <w:lang w:eastAsia="pt-BR"/>
              </w:rPr>
              <w:t>00</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112</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999</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946</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16</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949</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992</w:t>
            </w:r>
          </w:p>
        </w:tc>
      </w:tr>
      <w:tr w:rsidR="00837656" w:rsidRPr="006B309E" w:rsidTr="00500A86">
        <w:trPr>
          <w:trHeight w:val="62"/>
        </w:trPr>
        <w:tc>
          <w:tcPr>
            <w:tcW w:w="2621" w:type="dxa"/>
            <w:tcBorders>
              <w:top w:val="nil"/>
              <w:left w:val="single" w:sz="8" w:space="0" w:color="auto"/>
              <w:bottom w:val="nil"/>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 </w:t>
            </w:r>
          </w:p>
        </w:tc>
        <w:tc>
          <w:tcPr>
            <w:tcW w:w="1947"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6. Impresoras</w:t>
            </w:r>
          </w:p>
        </w:tc>
        <w:tc>
          <w:tcPr>
            <w:tcW w:w="1201"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393E8A" w:rsidP="00393E8A">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1,</w:t>
            </w:r>
            <w:r w:rsidR="00837656" w:rsidRPr="006B309E">
              <w:rPr>
                <w:rFonts w:ascii="Arial" w:eastAsia="Times New Roman" w:hAnsi="Arial" w:cs="Arial"/>
                <w:color w:val="000000"/>
                <w:sz w:val="18"/>
                <w:szCs w:val="18"/>
                <w:lang w:eastAsia="pt-BR"/>
              </w:rPr>
              <w:t>00</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8</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692</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303</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303</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845</w:t>
            </w:r>
          </w:p>
        </w:tc>
      </w:tr>
      <w:tr w:rsidR="00837656" w:rsidRPr="006B309E" w:rsidTr="00500A86">
        <w:trPr>
          <w:trHeight w:val="116"/>
        </w:trPr>
        <w:tc>
          <w:tcPr>
            <w:tcW w:w="2621" w:type="dxa"/>
            <w:tcBorders>
              <w:top w:val="nil"/>
              <w:left w:val="single" w:sz="8" w:space="0" w:color="auto"/>
              <w:bottom w:val="nil"/>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Elementos de limpieza y aseo personal</w:t>
            </w:r>
          </w:p>
        </w:tc>
        <w:tc>
          <w:tcPr>
            <w:tcW w:w="1947"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837656" w:rsidP="00EA40F8">
            <w:pPr>
              <w:spacing w:after="0" w:line="240" w:lineRule="auto"/>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7. Material de limpieza y aseo</w:t>
            </w:r>
          </w:p>
        </w:tc>
        <w:tc>
          <w:tcPr>
            <w:tcW w:w="1201" w:type="dxa"/>
            <w:tcBorders>
              <w:top w:val="single" w:sz="4" w:space="0" w:color="auto"/>
              <w:left w:val="nil"/>
              <w:bottom w:val="single" w:sz="4" w:space="0" w:color="auto"/>
              <w:right w:val="single" w:sz="8" w:space="0" w:color="auto"/>
            </w:tcBorders>
            <w:shd w:val="clear" w:color="auto" w:fill="auto"/>
            <w:vAlign w:val="bottom"/>
            <w:hideMark/>
          </w:tcPr>
          <w:p w:rsidR="00837656" w:rsidRPr="006B309E" w:rsidRDefault="00393E8A" w:rsidP="00393E8A">
            <w:pPr>
              <w:spacing w:after="0" w:line="240" w:lineRule="auto"/>
              <w:jc w:val="right"/>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50,</w:t>
            </w:r>
            <w:r w:rsidR="00837656" w:rsidRPr="006B309E">
              <w:rPr>
                <w:rFonts w:ascii="Arial" w:eastAsia="Times New Roman" w:hAnsi="Arial" w:cs="Arial"/>
                <w:color w:val="000000"/>
                <w:sz w:val="18"/>
                <w:szCs w:val="18"/>
                <w:lang w:eastAsia="pt-BR"/>
              </w:rPr>
              <w:t>00</w:t>
            </w:r>
          </w:p>
        </w:tc>
        <w:tc>
          <w:tcPr>
            <w:tcW w:w="1401" w:type="dxa"/>
            <w:tcBorders>
              <w:top w:val="nil"/>
              <w:left w:val="nil"/>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19</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277</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727</w:t>
            </w:r>
          </w:p>
        </w:tc>
        <w:tc>
          <w:tcPr>
            <w:tcW w:w="941" w:type="dxa"/>
            <w:tcBorders>
              <w:top w:val="nil"/>
              <w:left w:val="nil"/>
              <w:bottom w:val="single" w:sz="4" w:space="0" w:color="auto"/>
              <w:right w:val="nil"/>
            </w:tcBorders>
            <w:shd w:val="clear" w:color="auto" w:fill="auto"/>
            <w:vAlign w:val="bottom"/>
            <w:hideMark/>
          </w:tcPr>
          <w:p w:rsidR="00837656" w:rsidRPr="006B309E" w:rsidRDefault="00837656" w:rsidP="00EA40F8">
            <w:pPr>
              <w:spacing w:after="0" w:line="240" w:lineRule="auto"/>
              <w:jc w:val="center"/>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15</w:t>
            </w:r>
          </w:p>
        </w:tc>
        <w:tc>
          <w:tcPr>
            <w:tcW w:w="1041" w:type="dxa"/>
            <w:tcBorders>
              <w:top w:val="nil"/>
              <w:left w:val="single" w:sz="8" w:space="0" w:color="auto"/>
              <w:bottom w:val="single" w:sz="4" w:space="0" w:color="auto"/>
              <w:right w:val="single" w:sz="8" w:space="0" w:color="auto"/>
            </w:tcBorders>
            <w:shd w:val="clear" w:color="auto" w:fill="auto"/>
            <w:vAlign w:val="bottom"/>
            <w:hideMark/>
          </w:tcPr>
          <w:p w:rsidR="00837656" w:rsidRPr="006B309E" w:rsidRDefault="00837656" w:rsidP="00393E8A">
            <w:pPr>
              <w:spacing w:after="0" w:line="240" w:lineRule="auto"/>
              <w:jc w:val="right"/>
              <w:rPr>
                <w:rFonts w:ascii="Arial" w:eastAsia="Times New Roman" w:hAnsi="Arial" w:cs="Arial"/>
                <w:color w:val="000000"/>
                <w:sz w:val="18"/>
                <w:szCs w:val="18"/>
                <w:lang w:eastAsia="pt-BR"/>
              </w:rPr>
            </w:pPr>
            <w:r w:rsidRPr="006B309E">
              <w:rPr>
                <w:rFonts w:ascii="Arial" w:eastAsia="Times New Roman" w:hAnsi="Arial" w:cs="Arial"/>
                <w:color w:val="000000"/>
                <w:sz w:val="18"/>
                <w:szCs w:val="18"/>
                <w:lang w:eastAsia="pt-BR"/>
              </w:rPr>
              <w:t>2</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891</w:t>
            </w:r>
            <w:r w:rsidR="00393E8A">
              <w:rPr>
                <w:rFonts w:ascii="Arial" w:eastAsia="Times New Roman" w:hAnsi="Arial" w:cs="Arial"/>
                <w:color w:val="000000"/>
                <w:sz w:val="18"/>
                <w:szCs w:val="18"/>
                <w:lang w:eastAsia="pt-BR"/>
              </w:rPr>
              <w:t>.</w:t>
            </w:r>
            <w:r w:rsidRPr="006B309E">
              <w:rPr>
                <w:rFonts w:ascii="Arial" w:eastAsia="Times New Roman" w:hAnsi="Arial" w:cs="Arial"/>
                <w:color w:val="000000"/>
                <w:sz w:val="18"/>
                <w:szCs w:val="18"/>
                <w:lang w:eastAsia="pt-BR"/>
              </w:rPr>
              <w:t>659</w:t>
            </w:r>
          </w:p>
        </w:tc>
      </w:tr>
      <w:tr w:rsidR="00837656" w:rsidRPr="006B309E" w:rsidTr="00500A86">
        <w:trPr>
          <w:trHeight w:val="300"/>
        </w:trPr>
        <w:tc>
          <w:tcPr>
            <w:tcW w:w="8111"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37656" w:rsidRPr="006B309E" w:rsidRDefault="00837656" w:rsidP="00EA40F8">
            <w:pPr>
              <w:spacing w:after="0" w:line="240" w:lineRule="auto"/>
              <w:jc w:val="right"/>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Ahorro de precio esperado</w:t>
            </w:r>
          </w:p>
        </w:tc>
        <w:tc>
          <w:tcPr>
            <w:tcW w:w="1041" w:type="dxa"/>
            <w:tcBorders>
              <w:top w:val="single" w:sz="8" w:space="0" w:color="auto"/>
              <w:left w:val="nil"/>
              <w:bottom w:val="single" w:sz="8" w:space="0" w:color="auto"/>
              <w:right w:val="single" w:sz="8" w:space="0" w:color="auto"/>
            </w:tcBorders>
            <w:shd w:val="clear" w:color="auto" w:fill="auto"/>
            <w:noWrap/>
            <w:vAlign w:val="bottom"/>
            <w:hideMark/>
          </w:tcPr>
          <w:p w:rsidR="00837656" w:rsidRPr="006B309E" w:rsidRDefault="00837656" w:rsidP="00393E8A">
            <w:pPr>
              <w:spacing w:after="0" w:line="240" w:lineRule="auto"/>
              <w:jc w:val="right"/>
              <w:rPr>
                <w:rFonts w:ascii="Arial" w:eastAsia="Times New Roman" w:hAnsi="Arial" w:cs="Arial"/>
                <w:b/>
                <w:bCs/>
                <w:color w:val="000000"/>
                <w:sz w:val="18"/>
                <w:szCs w:val="18"/>
                <w:lang w:eastAsia="pt-BR"/>
              </w:rPr>
            </w:pPr>
            <w:r w:rsidRPr="006B309E">
              <w:rPr>
                <w:rFonts w:ascii="Arial" w:eastAsia="Times New Roman" w:hAnsi="Arial" w:cs="Arial"/>
                <w:b/>
                <w:bCs/>
                <w:color w:val="000000"/>
                <w:sz w:val="18"/>
                <w:szCs w:val="18"/>
                <w:lang w:eastAsia="pt-BR"/>
              </w:rPr>
              <w:t>51</w:t>
            </w:r>
            <w:r w:rsidR="00393E8A">
              <w:rPr>
                <w:rFonts w:ascii="Arial" w:eastAsia="Times New Roman" w:hAnsi="Arial" w:cs="Arial"/>
                <w:b/>
                <w:bCs/>
                <w:color w:val="000000"/>
                <w:sz w:val="18"/>
                <w:szCs w:val="18"/>
                <w:lang w:eastAsia="pt-BR"/>
              </w:rPr>
              <w:t>.</w:t>
            </w:r>
            <w:r w:rsidRPr="006B309E">
              <w:rPr>
                <w:rFonts w:ascii="Arial" w:eastAsia="Times New Roman" w:hAnsi="Arial" w:cs="Arial"/>
                <w:b/>
                <w:bCs/>
                <w:color w:val="000000"/>
                <w:sz w:val="18"/>
                <w:szCs w:val="18"/>
                <w:lang w:eastAsia="pt-BR"/>
              </w:rPr>
              <w:t>572</w:t>
            </w:r>
            <w:r w:rsidR="00393E8A">
              <w:rPr>
                <w:rFonts w:ascii="Arial" w:eastAsia="Times New Roman" w:hAnsi="Arial" w:cs="Arial"/>
                <w:b/>
                <w:bCs/>
                <w:color w:val="000000"/>
                <w:sz w:val="18"/>
                <w:szCs w:val="18"/>
                <w:lang w:eastAsia="pt-BR"/>
              </w:rPr>
              <w:t>.</w:t>
            </w:r>
            <w:r w:rsidRPr="006B309E">
              <w:rPr>
                <w:rFonts w:ascii="Arial" w:eastAsia="Times New Roman" w:hAnsi="Arial" w:cs="Arial"/>
                <w:b/>
                <w:bCs/>
                <w:color w:val="000000"/>
                <w:sz w:val="18"/>
                <w:szCs w:val="18"/>
                <w:lang w:eastAsia="pt-BR"/>
              </w:rPr>
              <w:t>610</w:t>
            </w:r>
          </w:p>
        </w:tc>
      </w:tr>
    </w:tbl>
    <w:p w:rsidR="00837656" w:rsidRPr="002E1AE0" w:rsidRDefault="00837656" w:rsidP="00837656">
      <w:pPr>
        <w:pStyle w:val="ListParagraph"/>
        <w:ind w:left="0"/>
        <w:jc w:val="both"/>
        <w:rPr>
          <w:rFonts w:ascii="Arial" w:hAnsi="Arial" w:cs="Arial"/>
          <w:b/>
        </w:rPr>
      </w:pPr>
    </w:p>
    <w:p w:rsidR="00837656" w:rsidRPr="002E1AE0" w:rsidRDefault="00837656" w:rsidP="00411B9F">
      <w:pPr>
        <w:pStyle w:val="subpar"/>
        <w:rPr>
          <w:rFonts w:ascii="Arial" w:hAnsi="Arial" w:cs="Arial"/>
          <w:b/>
          <w:sz w:val="22"/>
          <w:szCs w:val="22"/>
        </w:rPr>
      </w:pPr>
      <w:r w:rsidRPr="002E1AE0">
        <w:rPr>
          <w:rFonts w:ascii="Arial" w:hAnsi="Arial" w:cs="Arial"/>
          <w:b/>
          <w:sz w:val="22"/>
          <w:szCs w:val="22"/>
        </w:rPr>
        <w:t>C</w:t>
      </w:r>
      <w:r w:rsidR="00EC3A6A" w:rsidRPr="002E1AE0">
        <w:rPr>
          <w:rFonts w:ascii="Arial" w:hAnsi="Arial" w:cs="Arial"/>
          <w:b/>
          <w:sz w:val="22"/>
          <w:szCs w:val="22"/>
        </w:rPr>
        <w:t>á</w:t>
      </w:r>
      <w:r w:rsidRPr="002E1AE0">
        <w:rPr>
          <w:rFonts w:ascii="Arial" w:hAnsi="Arial" w:cs="Arial"/>
          <w:b/>
          <w:sz w:val="22"/>
          <w:szCs w:val="22"/>
        </w:rPr>
        <w:t>lculo de Ahorros en reducción del gasto público al controlar las compras</w:t>
      </w:r>
    </w:p>
    <w:p w:rsidR="00837656" w:rsidRPr="002E1AE0" w:rsidRDefault="00EC3A6A"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La </w:t>
      </w:r>
      <w:r w:rsidR="00837656" w:rsidRPr="002E1AE0">
        <w:rPr>
          <w:rFonts w:ascii="Arial" w:hAnsi="Arial" w:cs="Arial"/>
        </w:rPr>
        <w:t>experiencia del año 2013 evidencia que el impacto del Catálogo Electrónico va más allá de la reducción de costos, ya que los valores reportados en SIAFI reflejan una considerable disminución del gasto público</w:t>
      </w:r>
      <w:r w:rsidRPr="002E1AE0">
        <w:rPr>
          <w:rFonts w:ascii="Arial" w:hAnsi="Arial" w:cs="Arial"/>
        </w:rPr>
        <w:t xml:space="preserve">. Por lo tanto, </w:t>
      </w:r>
      <w:r w:rsidR="00837656" w:rsidRPr="002E1AE0">
        <w:rPr>
          <w:rFonts w:ascii="Arial" w:hAnsi="Arial" w:cs="Arial"/>
        </w:rPr>
        <w:t>es de esperar que los montos que el Estado de Honduras ahorrará con la ampliación de productos y catálogos se</w:t>
      </w:r>
      <w:r w:rsidRPr="002E1AE0">
        <w:rPr>
          <w:rFonts w:ascii="Arial" w:hAnsi="Arial" w:cs="Arial"/>
        </w:rPr>
        <w:t>an</w:t>
      </w:r>
      <w:r w:rsidR="00837656" w:rsidRPr="002E1AE0">
        <w:rPr>
          <w:rFonts w:ascii="Arial" w:hAnsi="Arial" w:cs="Arial"/>
        </w:rPr>
        <w:t xml:space="preserve"> mucho mayores. El cuadro N° 7 muestra el potencial de reducción en el gasto público al aplicar un 0.7% de reducción, según el valor más bajo ahorrado por una institución en la implementación del año 2013.</w:t>
      </w:r>
    </w:p>
    <w:p w:rsidR="00837656" w:rsidRPr="002E1AE0" w:rsidRDefault="00837656" w:rsidP="00500A86">
      <w:pPr>
        <w:pStyle w:val="ListParagraph"/>
        <w:keepNext/>
        <w:spacing w:before="120" w:after="120" w:line="240" w:lineRule="auto"/>
        <w:ind w:left="1080"/>
        <w:contextualSpacing w:val="0"/>
        <w:jc w:val="both"/>
        <w:rPr>
          <w:rFonts w:ascii="Arial" w:hAnsi="Arial" w:cs="Arial"/>
          <w:b/>
        </w:rPr>
      </w:pPr>
      <w:r w:rsidRPr="002E1AE0">
        <w:rPr>
          <w:rFonts w:ascii="Arial" w:hAnsi="Arial" w:cs="Arial"/>
          <w:b/>
        </w:rPr>
        <w:t>Cuadro N° 7: Ahorros en reducción del gasto público al controlar la compra en objetos del gasto determinados, con el escenario más conservador de una reducción del gasto del 0.7%:</w:t>
      </w:r>
    </w:p>
    <w:tbl>
      <w:tblPr>
        <w:tblStyle w:val="TableGrid"/>
        <w:tblW w:w="8406" w:type="dxa"/>
        <w:tblInd w:w="1242" w:type="dxa"/>
        <w:tblLook w:val="04A0" w:firstRow="1" w:lastRow="0" w:firstColumn="1" w:lastColumn="0" w:noHBand="0" w:noVBand="1"/>
      </w:tblPr>
      <w:tblGrid>
        <w:gridCol w:w="3351"/>
        <w:gridCol w:w="1710"/>
        <w:gridCol w:w="1635"/>
        <w:gridCol w:w="1710"/>
      </w:tblGrid>
      <w:tr w:rsidR="00837656" w:rsidRPr="00393E8A" w:rsidTr="00500A86">
        <w:trPr>
          <w:trHeight w:val="431"/>
        </w:trPr>
        <w:tc>
          <w:tcPr>
            <w:tcW w:w="3351" w:type="dxa"/>
            <w:shd w:val="clear" w:color="auto" w:fill="9CC2E5" w:themeFill="accent1" w:themeFillTint="99"/>
            <w:vAlign w:val="center"/>
          </w:tcPr>
          <w:p w:rsidR="00837656" w:rsidRPr="00393E8A" w:rsidRDefault="00837656" w:rsidP="00EA40F8">
            <w:pPr>
              <w:jc w:val="center"/>
              <w:rPr>
                <w:rFonts w:ascii="Arial" w:eastAsia="Times New Roman" w:hAnsi="Arial" w:cs="Arial"/>
                <w:b/>
                <w:color w:val="000000"/>
                <w:sz w:val="18"/>
                <w:szCs w:val="18"/>
                <w:lang w:eastAsia="pt-BR"/>
              </w:rPr>
            </w:pPr>
            <w:r w:rsidRPr="00393E8A">
              <w:rPr>
                <w:rFonts w:ascii="Arial" w:eastAsia="Times New Roman" w:hAnsi="Arial" w:cs="Arial"/>
                <w:b/>
                <w:color w:val="000000"/>
                <w:sz w:val="18"/>
                <w:szCs w:val="18"/>
                <w:lang w:eastAsia="pt-BR"/>
              </w:rPr>
              <w:t>Gasto</w:t>
            </w:r>
          </w:p>
        </w:tc>
        <w:tc>
          <w:tcPr>
            <w:tcW w:w="1710" w:type="dxa"/>
            <w:shd w:val="clear" w:color="auto" w:fill="9CC2E5" w:themeFill="accent1" w:themeFillTint="99"/>
            <w:vAlign w:val="center"/>
          </w:tcPr>
          <w:p w:rsidR="00837656" w:rsidRPr="00393E8A" w:rsidRDefault="00837656" w:rsidP="00EA40F8">
            <w:pPr>
              <w:jc w:val="center"/>
              <w:rPr>
                <w:rFonts w:ascii="Arial" w:eastAsia="Times New Roman" w:hAnsi="Arial" w:cs="Arial"/>
                <w:b/>
                <w:color w:val="000000"/>
                <w:sz w:val="18"/>
                <w:szCs w:val="18"/>
                <w:lang w:eastAsia="pt-BR"/>
              </w:rPr>
            </w:pPr>
            <w:r w:rsidRPr="00393E8A">
              <w:rPr>
                <w:rFonts w:ascii="Arial" w:eastAsia="Times New Roman" w:hAnsi="Arial" w:cs="Arial"/>
                <w:b/>
                <w:color w:val="000000"/>
                <w:sz w:val="18"/>
                <w:szCs w:val="18"/>
                <w:lang w:eastAsia="pt-BR"/>
              </w:rPr>
              <w:t>0.7% de Reducción del gasto público al controlar y transparentar compras de 2015</w:t>
            </w:r>
          </w:p>
        </w:tc>
        <w:tc>
          <w:tcPr>
            <w:tcW w:w="1635" w:type="dxa"/>
            <w:shd w:val="clear" w:color="auto" w:fill="9CC2E5" w:themeFill="accent1" w:themeFillTint="99"/>
            <w:vAlign w:val="center"/>
          </w:tcPr>
          <w:p w:rsidR="00837656" w:rsidRPr="00393E8A" w:rsidRDefault="00837656" w:rsidP="00EA40F8">
            <w:pPr>
              <w:jc w:val="center"/>
              <w:rPr>
                <w:rFonts w:ascii="Arial" w:eastAsia="Times New Roman" w:hAnsi="Arial" w:cs="Arial"/>
                <w:b/>
                <w:color w:val="000000"/>
                <w:sz w:val="18"/>
                <w:szCs w:val="18"/>
                <w:lang w:eastAsia="pt-BR"/>
              </w:rPr>
            </w:pPr>
            <w:r w:rsidRPr="00393E8A">
              <w:rPr>
                <w:rFonts w:ascii="Arial" w:eastAsia="Times New Roman" w:hAnsi="Arial" w:cs="Arial"/>
                <w:b/>
                <w:color w:val="000000"/>
                <w:sz w:val="18"/>
                <w:szCs w:val="18"/>
                <w:lang w:eastAsia="pt-BR"/>
              </w:rPr>
              <w:t>0.7% de Reducción del gasto público al controlar y transparentar compras de 2016</w:t>
            </w:r>
          </w:p>
        </w:tc>
        <w:tc>
          <w:tcPr>
            <w:tcW w:w="1710" w:type="dxa"/>
            <w:shd w:val="clear" w:color="auto" w:fill="9CC2E5" w:themeFill="accent1" w:themeFillTint="99"/>
            <w:vAlign w:val="center"/>
          </w:tcPr>
          <w:p w:rsidR="00837656" w:rsidRPr="00393E8A" w:rsidRDefault="00837656" w:rsidP="00EA40F8">
            <w:pPr>
              <w:jc w:val="center"/>
              <w:rPr>
                <w:rFonts w:ascii="Arial" w:eastAsia="Times New Roman" w:hAnsi="Arial" w:cs="Arial"/>
                <w:b/>
                <w:color w:val="000000"/>
                <w:sz w:val="18"/>
                <w:szCs w:val="18"/>
                <w:lang w:eastAsia="pt-BR"/>
              </w:rPr>
            </w:pPr>
            <w:r w:rsidRPr="00393E8A">
              <w:rPr>
                <w:rFonts w:ascii="Arial" w:eastAsia="Times New Roman" w:hAnsi="Arial" w:cs="Arial"/>
                <w:b/>
                <w:color w:val="000000"/>
                <w:sz w:val="18"/>
                <w:szCs w:val="18"/>
                <w:lang w:eastAsia="pt-BR"/>
              </w:rPr>
              <w:t>0.7% de Reducción del gasto público al controlar y transparentar compras de 2017</w:t>
            </w:r>
          </w:p>
        </w:tc>
      </w:tr>
      <w:tr w:rsidR="00837656" w:rsidRPr="00393E8A" w:rsidTr="00500A86">
        <w:trPr>
          <w:trHeight w:val="41"/>
        </w:trPr>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Alimentos y bebidas</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8</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643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826</w:t>
            </w: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9</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076</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018</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9</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529</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819</w:t>
            </w:r>
          </w:p>
        </w:tc>
      </w:tr>
      <w:tr w:rsidR="00837656" w:rsidRPr="00393E8A" w:rsidTr="00500A86">
        <w:trPr>
          <w:trHeight w:val="41"/>
        </w:trPr>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Repuestos y accesorios</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1</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861</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375</w:t>
            </w: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1</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954</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444</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2</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052</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166</w:t>
            </w:r>
          </w:p>
        </w:tc>
      </w:tr>
      <w:tr w:rsidR="00837656" w:rsidRPr="00393E8A" w:rsidTr="00500A86">
        <w:trPr>
          <w:trHeight w:val="41"/>
        </w:trPr>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Productos de arte gráfica y papel de escritorio</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329</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015</w:t>
            </w: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495</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466</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670</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239</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Útiles de escritorio, enseñanza, y productos de papel y cartón</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831</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719</w:t>
            </w: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873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305</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916</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971</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Aplicaciones informática y equipo de cómputo</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6</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084</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612</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6</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388</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843</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Elementos de limpieza y aseo personal</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269</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888</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283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382</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Llantas y cámaras de aire</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214</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433</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Aceites grasas y lubrificante</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165</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846</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Equipos de transporte terrestre para personas</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1</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792</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438</w:t>
            </w:r>
          </w:p>
        </w:tc>
      </w:tr>
      <w:tr w:rsidR="00837656" w:rsidRPr="00393E8A" w:rsidTr="00500A86">
        <w:tc>
          <w:tcPr>
            <w:tcW w:w="3351" w:type="dxa"/>
          </w:tcPr>
          <w:p w:rsidR="00837656" w:rsidRPr="00393E8A" w:rsidRDefault="00837656" w:rsidP="00EA40F8">
            <w:pP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Ahorro estimado por año</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14</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665</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938</w:t>
            </w:r>
          </w:p>
        </w:tc>
        <w:tc>
          <w:tcPr>
            <w:tcW w:w="1635"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21</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753</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736</w:t>
            </w:r>
          </w:p>
        </w:tc>
        <w:tc>
          <w:tcPr>
            <w:tcW w:w="1710" w:type="dxa"/>
          </w:tcPr>
          <w:p w:rsidR="00837656" w:rsidRPr="00393E8A" w:rsidRDefault="00837656" w:rsidP="00CF1432">
            <w:pPr>
              <w:jc w:val="center"/>
              <w:rPr>
                <w:rFonts w:ascii="Arial" w:eastAsia="Times New Roman" w:hAnsi="Arial" w:cs="Arial"/>
                <w:color w:val="000000"/>
                <w:sz w:val="18"/>
                <w:szCs w:val="18"/>
                <w:lang w:eastAsia="pt-BR"/>
              </w:rPr>
            </w:pPr>
            <w:r w:rsidRPr="00393E8A">
              <w:rPr>
                <w:rFonts w:ascii="Arial" w:eastAsia="Times New Roman" w:hAnsi="Arial" w:cs="Arial"/>
                <w:color w:val="000000"/>
                <w:sz w:val="18"/>
                <w:szCs w:val="18"/>
                <w:lang w:eastAsia="pt-BR"/>
              </w:rPr>
              <w:t>25</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014</w:t>
            </w:r>
            <w:r w:rsidR="00393E8A">
              <w:rPr>
                <w:rFonts w:ascii="Arial" w:eastAsia="Times New Roman" w:hAnsi="Arial" w:cs="Arial"/>
                <w:color w:val="000000"/>
                <w:sz w:val="18"/>
                <w:szCs w:val="18"/>
                <w:lang w:eastAsia="pt-BR"/>
              </w:rPr>
              <w:t>.</w:t>
            </w:r>
            <w:r w:rsidRPr="00393E8A">
              <w:rPr>
                <w:rFonts w:ascii="Arial" w:eastAsia="Times New Roman" w:hAnsi="Arial" w:cs="Arial"/>
                <w:color w:val="000000"/>
                <w:sz w:val="18"/>
                <w:szCs w:val="18"/>
                <w:lang w:eastAsia="pt-BR"/>
              </w:rPr>
              <w:t>141</w:t>
            </w:r>
          </w:p>
        </w:tc>
      </w:tr>
    </w:tbl>
    <w:p w:rsidR="00837656" w:rsidRPr="002E1AE0" w:rsidRDefault="00837656" w:rsidP="00837656">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Conclusión</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Con la expansión del uso de Convenios Marco y de Catálogos Electrónicos para la realización de las compras del Gobierno de Honduras, se genera una economía de recursos de US$1</w:t>
      </w:r>
      <w:r w:rsidR="00CF1432">
        <w:rPr>
          <w:rFonts w:ascii="Arial" w:hAnsi="Arial" w:cs="Arial"/>
        </w:rPr>
        <w:t>.</w:t>
      </w:r>
      <w:r w:rsidRPr="002E1AE0">
        <w:rPr>
          <w:rFonts w:ascii="Arial" w:hAnsi="Arial" w:cs="Arial"/>
        </w:rPr>
        <w:t>844</w:t>
      </w:r>
      <w:r w:rsidR="00CF1432">
        <w:rPr>
          <w:rFonts w:ascii="Arial" w:hAnsi="Arial" w:cs="Arial"/>
        </w:rPr>
        <w:t>.</w:t>
      </w:r>
      <w:r w:rsidRPr="002E1AE0">
        <w:rPr>
          <w:rFonts w:ascii="Arial" w:hAnsi="Arial" w:cs="Arial"/>
        </w:rPr>
        <w:t>957 a partir de 2017 (ver Cuadro 8)</w:t>
      </w:r>
      <w:r w:rsidR="00314EB8">
        <w:rPr>
          <w:rFonts w:ascii="Arial" w:hAnsi="Arial" w:cs="Arial"/>
        </w:rPr>
        <w:t>. Esto es</w:t>
      </w:r>
      <w:r w:rsidRPr="002E1AE0">
        <w:rPr>
          <w:rFonts w:ascii="Arial" w:hAnsi="Arial" w:cs="Arial"/>
        </w:rPr>
        <w:t xml:space="preserve"> resultado de la estandarización de los precios de los ítems del presupuesto de suministros (bienes y servicios), el cual garantiza que todas las instituciones del Gobierno Central </w:t>
      </w:r>
      <w:r w:rsidR="00EC3A6A" w:rsidRPr="002E1AE0">
        <w:rPr>
          <w:rFonts w:ascii="Arial" w:hAnsi="Arial" w:cs="Arial"/>
        </w:rPr>
        <w:t xml:space="preserve">realicen </w:t>
      </w:r>
      <w:r w:rsidRPr="002E1AE0">
        <w:rPr>
          <w:rFonts w:ascii="Arial" w:hAnsi="Arial" w:cs="Arial"/>
        </w:rPr>
        <w:t xml:space="preserve">adquisiciones </w:t>
      </w:r>
      <w:r w:rsidR="00EC3A6A" w:rsidRPr="002E1AE0">
        <w:rPr>
          <w:rFonts w:ascii="Arial" w:hAnsi="Arial" w:cs="Arial"/>
        </w:rPr>
        <w:t>de</w:t>
      </w:r>
      <w:r w:rsidRPr="002E1AE0">
        <w:rPr>
          <w:rFonts w:ascii="Arial" w:hAnsi="Arial" w:cs="Arial"/>
        </w:rPr>
        <w:t xml:space="preserve"> productos y servicios </w:t>
      </w:r>
      <w:r w:rsidR="00EC3A6A" w:rsidRPr="002E1AE0">
        <w:rPr>
          <w:rFonts w:ascii="Arial" w:hAnsi="Arial" w:cs="Arial"/>
        </w:rPr>
        <w:t>cuyos</w:t>
      </w:r>
      <w:r w:rsidRPr="002E1AE0">
        <w:rPr>
          <w:rFonts w:ascii="Arial" w:hAnsi="Arial" w:cs="Arial"/>
        </w:rPr>
        <w:t xml:space="preserve"> precios de mercado fueron previamente identificados por la ONCAE.</w:t>
      </w:r>
    </w:p>
    <w:p w:rsidR="00837656" w:rsidRPr="002E1AE0" w:rsidRDefault="00837656" w:rsidP="00837656">
      <w:pPr>
        <w:pStyle w:val="ListParagraph"/>
        <w:spacing w:before="120" w:after="120" w:line="240" w:lineRule="auto"/>
        <w:ind w:left="1080"/>
        <w:contextualSpacing w:val="0"/>
        <w:jc w:val="both"/>
        <w:rPr>
          <w:rFonts w:ascii="Arial" w:hAnsi="Arial" w:cs="Arial"/>
          <w:b/>
        </w:rPr>
      </w:pPr>
      <w:r w:rsidRPr="002E1AE0">
        <w:rPr>
          <w:rFonts w:ascii="Arial" w:hAnsi="Arial" w:cs="Arial"/>
          <w:b/>
        </w:rPr>
        <w:lastRenderedPageBreak/>
        <w:t>Cuadro N° 8: Ahorros Totales por año: Valores Reales</w:t>
      </w:r>
    </w:p>
    <w:tbl>
      <w:tblPr>
        <w:tblW w:w="8326" w:type="dxa"/>
        <w:tblInd w:w="1204" w:type="dxa"/>
        <w:tblCellMar>
          <w:left w:w="70" w:type="dxa"/>
          <w:right w:w="70" w:type="dxa"/>
        </w:tblCellMar>
        <w:tblLook w:val="04A0" w:firstRow="1" w:lastRow="0" w:firstColumn="1" w:lastColumn="0" w:noHBand="0" w:noVBand="1"/>
      </w:tblPr>
      <w:tblGrid>
        <w:gridCol w:w="3926"/>
        <w:gridCol w:w="1580"/>
        <w:gridCol w:w="1360"/>
        <w:gridCol w:w="1460"/>
      </w:tblGrid>
      <w:tr w:rsidR="00837656" w:rsidRPr="00314EB8" w:rsidTr="00E829B6">
        <w:trPr>
          <w:trHeight w:val="270"/>
        </w:trPr>
        <w:tc>
          <w:tcPr>
            <w:tcW w:w="3926" w:type="dxa"/>
            <w:tcBorders>
              <w:top w:val="single" w:sz="8" w:space="0" w:color="auto"/>
              <w:left w:val="single" w:sz="8" w:space="0" w:color="auto"/>
              <w:bottom w:val="single" w:sz="8" w:space="0" w:color="auto"/>
              <w:right w:val="single" w:sz="8" w:space="0" w:color="auto"/>
            </w:tcBorders>
            <w:shd w:val="clear" w:color="000000" w:fill="BDD6EE"/>
            <w:vAlign w:val="center"/>
            <w:hideMark/>
          </w:tcPr>
          <w:p w:rsidR="00837656" w:rsidRPr="00314EB8" w:rsidRDefault="00837656" w:rsidP="00EA40F8">
            <w:pPr>
              <w:spacing w:after="0" w:line="240" w:lineRule="auto"/>
              <w:jc w:val="both"/>
              <w:rPr>
                <w:rFonts w:ascii="Arial" w:eastAsia="Times New Roman" w:hAnsi="Arial" w:cs="Arial"/>
                <w:b/>
                <w:bCs/>
                <w:sz w:val="18"/>
                <w:lang w:eastAsia="pt-BR"/>
              </w:rPr>
            </w:pPr>
            <w:r w:rsidRPr="00314EB8">
              <w:rPr>
                <w:rFonts w:ascii="Arial" w:eastAsia="Times New Roman" w:hAnsi="Arial" w:cs="Arial"/>
                <w:b/>
                <w:bCs/>
                <w:sz w:val="18"/>
                <w:lang w:eastAsia="pt-BR"/>
              </w:rPr>
              <w:t>Indicador de Ahorro (LP$)</w:t>
            </w:r>
          </w:p>
        </w:tc>
        <w:tc>
          <w:tcPr>
            <w:tcW w:w="1580" w:type="dxa"/>
            <w:tcBorders>
              <w:top w:val="single" w:sz="8" w:space="0" w:color="auto"/>
              <w:left w:val="nil"/>
              <w:bottom w:val="single" w:sz="8" w:space="0" w:color="auto"/>
              <w:right w:val="single" w:sz="8" w:space="0" w:color="auto"/>
            </w:tcBorders>
            <w:shd w:val="clear" w:color="000000" w:fill="BDD6EE"/>
            <w:vAlign w:val="center"/>
            <w:hideMark/>
          </w:tcPr>
          <w:p w:rsidR="00837656" w:rsidRPr="00314EB8" w:rsidRDefault="00837656" w:rsidP="00EA40F8">
            <w:pPr>
              <w:spacing w:after="0" w:line="240" w:lineRule="auto"/>
              <w:jc w:val="center"/>
              <w:rPr>
                <w:rFonts w:ascii="Arial" w:eastAsia="Times New Roman" w:hAnsi="Arial" w:cs="Arial"/>
                <w:b/>
                <w:bCs/>
                <w:sz w:val="18"/>
                <w:lang w:eastAsia="pt-BR"/>
              </w:rPr>
            </w:pPr>
            <w:r w:rsidRPr="00314EB8">
              <w:rPr>
                <w:rFonts w:ascii="Arial" w:eastAsia="Times New Roman" w:hAnsi="Arial" w:cs="Arial"/>
                <w:b/>
                <w:bCs/>
                <w:sz w:val="18"/>
                <w:lang w:eastAsia="pt-BR"/>
              </w:rPr>
              <w:t>2017</w:t>
            </w:r>
          </w:p>
        </w:tc>
        <w:tc>
          <w:tcPr>
            <w:tcW w:w="1360" w:type="dxa"/>
            <w:tcBorders>
              <w:top w:val="single" w:sz="8" w:space="0" w:color="auto"/>
              <w:left w:val="nil"/>
              <w:bottom w:val="single" w:sz="8" w:space="0" w:color="auto"/>
              <w:right w:val="single" w:sz="8" w:space="0" w:color="auto"/>
            </w:tcBorders>
            <w:shd w:val="clear" w:color="000000" w:fill="BDD6EE"/>
            <w:vAlign w:val="center"/>
            <w:hideMark/>
          </w:tcPr>
          <w:p w:rsidR="00837656" w:rsidRPr="00314EB8" w:rsidRDefault="00837656" w:rsidP="00EA40F8">
            <w:pPr>
              <w:spacing w:after="0" w:line="240" w:lineRule="auto"/>
              <w:jc w:val="center"/>
              <w:rPr>
                <w:rFonts w:ascii="Arial" w:eastAsia="Times New Roman" w:hAnsi="Arial" w:cs="Arial"/>
                <w:b/>
                <w:bCs/>
                <w:sz w:val="18"/>
                <w:lang w:eastAsia="pt-BR"/>
              </w:rPr>
            </w:pPr>
            <w:r w:rsidRPr="00314EB8">
              <w:rPr>
                <w:rFonts w:ascii="Arial" w:eastAsia="Times New Roman" w:hAnsi="Arial" w:cs="Arial"/>
                <w:b/>
                <w:bCs/>
                <w:sz w:val="18"/>
                <w:lang w:eastAsia="pt-BR"/>
              </w:rPr>
              <w:t>2018</w:t>
            </w:r>
          </w:p>
        </w:tc>
        <w:tc>
          <w:tcPr>
            <w:tcW w:w="1460" w:type="dxa"/>
            <w:tcBorders>
              <w:top w:val="single" w:sz="8" w:space="0" w:color="auto"/>
              <w:left w:val="nil"/>
              <w:bottom w:val="single" w:sz="8" w:space="0" w:color="auto"/>
              <w:right w:val="single" w:sz="8" w:space="0" w:color="auto"/>
            </w:tcBorders>
            <w:shd w:val="clear" w:color="000000" w:fill="BDD6EE"/>
            <w:vAlign w:val="center"/>
            <w:hideMark/>
          </w:tcPr>
          <w:p w:rsidR="00837656" w:rsidRPr="00314EB8" w:rsidRDefault="00837656" w:rsidP="00EA40F8">
            <w:pPr>
              <w:spacing w:after="0" w:line="240" w:lineRule="auto"/>
              <w:jc w:val="center"/>
              <w:rPr>
                <w:rFonts w:ascii="Arial" w:eastAsia="Times New Roman" w:hAnsi="Arial" w:cs="Arial"/>
                <w:b/>
                <w:bCs/>
                <w:sz w:val="18"/>
                <w:lang w:eastAsia="pt-BR"/>
              </w:rPr>
            </w:pPr>
            <w:r w:rsidRPr="00314EB8">
              <w:rPr>
                <w:rFonts w:ascii="Arial" w:eastAsia="Times New Roman" w:hAnsi="Arial" w:cs="Arial"/>
                <w:b/>
                <w:bCs/>
                <w:sz w:val="18"/>
                <w:lang w:eastAsia="pt-BR"/>
              </w:rPr>
              <w:t>2019</w:t>
            </w:r>
          </w:p>
        </w:tc>
      </w:tr>
      <w:tr w:rsidR="00837656" w:rsidRPr="00314EB8" w:rsidTr="00E829B6">
        <w:trPr>
          <w:trHeight w:val="270"/>
        </w:trPr>
        <w:tc>
          <w:tcPr>
            <w:tcW w:w="3926" w:type="dxa"/>
            <w:tcBorders>
              <w:top w:val="nil"/>
              <w:left w:val="single" w:sz="8" w:space="0" w:color="auto"/>
              <w:bottom w:val="single" w:sz="8" w:space="0" w:color="auto"/>
              <w:right w:val="single" w:sz="8" w:space="0" w:color="auto"/>
            </w:tcBorders>
            <w:shd w:val="clear" w:color="auto" w:fill="auto"/>
            <w:vAlign w:val="center"/>
            <w:hideMark/>
          </w:tcPr>
          <w:p w:rsidR="00837656" w:rsidRPr="00314EB8" w:rsidRDefault="00837656" w:rsidP="00EA40F8">
            <w:pPr>
              <w:spacing w:after="0" w:line="240" w:lineRule="auto"/>
              <w:jc w:val="both"/>
              <w:rPr>
                <w:rFonts w:ascii="Arial" w:eastAsia="Times New Roman" w:hAnsi="Arial" w:cs="Arial"/>
                <w:sz w:val="18"/>
                <w:lang w:eastAsia="pt-BR"/>
              </w:rPr>
            </w:pPr>
            <w:r w:rsidRPr="00314EB8">
              <w:rPr>
                <w:rFonts w:ascii="Arial" w:eastAsia="Times New Roman" w:hAnsi="Arial" w:cs="Arial"/>
                <w:sz w:val="18"/>
                <w:lang w:eastAsia="pt-BR"/>
              </w:rPr>
              <w:t>Reducción del gasto por control de las compras (Cuadro 7)</w:t>
            </w:r>
          </w:p>
        </w:tc>
        <w:tc>
          <w:tcPr>
            <w:tcW w:w="158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14</w:t>
            </w:r>
            <w:r w:rsidR="00E829B6">
              <w:rPr>
                <w:rFonts w:ascii="Arial" w:eastAsia="Times New Roman" w:hAnsi="Arial" w:cs="Arial"/>
                <w:sz w:val="18"/>
                <w:lang w:eastAsia="pt-BR"/>
              </w:rPr>
              <w:t>.</w:t>
            </w:r>
            <w:r w:rsidRPr="00314EB8">
              <w:rPr>
                <w:rFonts w:ascii="Arial" w:eastAsia="Times New Roman" w:hAnsi="Arial" w:cs="Arial"/>
                <w:sz w:val="18"/>
                <w:lang w:eastAsia="pt-BR"/>
              </w:rPr>
              <w:t>665</w:t>
            </w:r>
            <w:r w:rsidR="00E829B6">
              <w:rPr>
                <w:rFonts w:ascii="Arial" w:eastAsia="Times New Roman" w:hAnsi="Arial" w:cs="Arial"/>
                <w:sz w:val="18"/>
                <w:lang w:eastAsia="pt-BR"/>
              </w:rPr>
              <w:t>.</w:t>
            </w:r>
            <w:r w:rsidRPr="00314EB8">
              <w:rPr>
                <w:rFonts w:ascii="Arial" w:eastAsia="Times New Roman" w:hAnsi="Arial" w:cs="Arial"/>
                <w:sz w:val="18"/>
                <w:lang w:eastAsia="pt-BR"/>
              </w:rPr>
              <w:t>938</w:t>
            </w:r>
          </w:p>
        </w:tc>
        <w:tc>
          <w:tcPr>
            <w:tcW w:w="13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21</w:t>
            </w:r>
            <w:r w:rsidR="00E829B6">
              <w:rPr>
                <w:rFonts w:ascii="Arial" w:eastAsia="Times New Roman" w:hAnsi="Arial" w:cs="Arial"/>
                <w:sz w:val="18"/>
                <w:lang w:eastAsia="pt-BR"/>
              </w:rPr>
              <w:t>.</w:t>
            </w:r>
            <w:r w:rsidRPr="00314EB8">
              <w:rPr>
                <w:rFonts w:ascii="Arial" w:eastAsia="Times New Roman" w:hAnsi="Arial" w:cs="Arial"/>
                <w:sz w:val="18"/>
                <w:lang w:eastAsia="pt-BR"/>
              </w:rPr>
              <w:t>753</w:t>
            </w:r>
            <w:r w:rsidR="00E829B6">
              <w:rPr>
                <w:rFonts w:ascii="Arial" w:eastAsia="Times New Roman" w:hAnsi="Arial" w:cs="Arial"/>
                <w:sz w:val="18"/>
                <w:lang w:eastAsia="pt-BR"/>
              </w:rPr>
              <w:t>.</w:t>
            </w:r>
            <w:r w:rsidRPr="00314EB8">
              <w:rPr>
                <w:rFonts w:ascii="Arial" w:eastAsia="Times New Roman" w:hAnsi="Arial" w:cs="Arial"/>
                <w:sz w:val="18"/>
                <w:lang w:eastAsia="pt-BR"/>
              </w:rPr>
              <w:t>736</w:t>
            </w:r>
          </w:p>
        </w:tc>
        <w:tc>
          <w:tcPr>
            <w:tcW w:w="14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25</w:t>
            </w:r>
            <w:r w:rsidR="00E829B6">
              <w:rPr>
                <w:rFonts w:ascii="Arial" w:eastAsia="Times New Roman" w:hAnsi="Arial" w:cs="Arial"/>
                <w:sz w:val="18"/>
                <w:lang w:eastAsia="pt-BR"/>
              </w:rPr>
              <w:t>.</w:t>
            </w:r>
            <w:r w:rsidRPr="00314EB8">
              <w:rPr>
                <w:rFonts w:ascii="Arial" w:eastAsia="Times New Roman" w:hAnsi="Arial" w:cs="Arial"/>
                <w:sz w:val="18"/>
                <w:lang w:eastAsia="pt-BR"/>
              </w:rPr>
              <w:t>014</w:t>
            </w:r>
            <w:r w:rsidR="00E829B6">
              <w:rPr>
                <w:rFonts w:ascii="Arial" w:eastAsia="Times New Roman" w:hAnsi="Arial" w:cs="Arial"/>
                <w:sz w:val="18"/>
                <w:lang w:eastAsia="pt-BR"/>
              </w:rPr>
              <w:t>.</w:t>
            </w:r>
            <w:r w:rsidRPr="00314EB8">
              <w:rPr>
                <w:rFonts w:ascii="Arial" w:eastAsia="Times New Roman" w:hAnsi="Arial" w:cs="Arial"/>
                <w:sz w:val="18"/>
                <w:lang w:eastAsia="pt-BR"/>
              </w:rPr>
              <w:t>141</w:t>
            </w:r>
          </w:p>
        </w:tc>
      </w:tr>
      <w:tr w:rsidR="00837656" w:rsidRPr="00314EB8" w:rsidTr="00E829B6">
        <w:trPr>
          <w:trHeight w:val="270"/>
        </w:trPr>
        <w:tc>
          <w:tcPr>
            <w:tcW w:w="3926" w:type="dxa"/>
            <w:tcBorders>
              <w:top w:val="nil"/>
              <w:left w:val="single" w:sz="8" w:space="0" w:color="auto"/>
              <w:bottom w:val="single" w:sz="8" w:space="0" w:color="auto"/>
              <w:right w:val="single" w:sz="8" w:space="0" w:color="auto"/>
            </w:tcBorders>
            <w:shd w:val="clear" w:color="auto" w:fill="auto"/>
            <w:vAlign w:val="center"/>
            <w:hideMark/>
          </w:tcPr>
          <w:p w:rsidR="00837656" w:rsidRPr="00314EB8" w:rsidRDefault="00837656" w:rsidP="00EA40F8">
            <w:pPr>
              <w:spacing w:after="0" w:line="240" w:lineRule="auto"/>
              <w:jc w:val="both"/>
              <w:rPr>
                <w:rFonts w:ascii="Arial" w:eastAsia="Times New Roman" w:hAnsi="Arial" w:cs="Arial"/>
                <w:sz w:val="18"/>
                <w:lang w:eastAsia="pt-BR"/>
              </w:rPr>
            </w:pPr>
            <w:r w:rsidRPr="00314EB8">
              <w:rPr>
                <w:rFonts w:ascii="Arial" w:eastAsia="Times New Roman" w:hAnsi="Arial" w:cs="Arial"/>
                <w:sz w:val="18"/>
                <w:lang w:eastAsia="pt-BR"/>
              </w:rPr>
              <w:t>Ahorro en el Precio de Compras (Cuadro 5 y 6)</w:t>
            </w:r>
          </w:p>
        </w:tc>
        <w:tc>
          <w:tcPr>
            <w:tcW w:w="158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28</w:t>
            </w:r>
            <w:r w:rsidR="00E829B6">
              <w:rPr>
                <w:rFonts w:ascii="Arial" w:eastAsia="Times New Roman" w:hAnsi="Arial" w:cs="Arial"/>
                <w:sz w:val="18"/>
                <w:lang w:eastAsia="pt-BR"/>
              </w:rPr>
              <w:t>.</w:t>
            </w:r>
            <w:r w:rsidRPr="00314EB8">
              <w:rPr>
                <w:rFonts w:ascii="Arial" w:eastAsia="Times New Roman" w:hAnsi="Arial" w:cs="Arial"/>
                <w:sz w:val="18"/>
                <w:lang w:eastAsia="pt-BR"/>
              </w:rPr>
              <w:t>978</w:t>
            </w:r>
            <w:r w:rsidR="00E829B6">
              <w:rPr>
                <w:rFonts w:ascii="Arial" w:eastAsia="Times New Roman" w:hAnsi="Arial" w:cs="Arial"/>
                <w:sz w:val="18"/>
                <w:lang w:eastAsia="pt-BR"/>
              </w:rPr>
              <w:t>.</w:t>
            </w:r>
            <w:r w:rsidRPr="00314EB8">
              <w:rPr>
                <w:rFonts w:ascii="Arial" w:eastAsia="Times New Roman" w:hAnsi="Arial" w:cs="Arial"/>
                <w:sz w:val="18"/>
                <w:lang w:eastAsia="pt-BR"/>
              </w:rPr>
              <w:t>204</w:t>
            </w:r>
          </w:p>
        </w:tc>
        <w:tc>
          <w:tcPr>
            <w:tcW w:w="13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51</w:t>
            </w:r>
            <w:r w:rsidR="00E829B6">
              <w:rPr>
                <w:rFonts w:ascii="Arial" w:eastAsia="Times New Roman" w:hAnsi="Arial" w:cs="Arial"/>
                <w:sz w:val="18"/>
                <w:lang w:eastAsia="pt-BR"/>
              </w:rPr>
              <w:t>.</w:t>
            </w:r>
            <w:r w:rsidRPr="00314EB8">
              <w:rPr>
                <w:rFonts w:ascii="Arial" w:eastAsia="Times New Roman" w:hAnsi="Arial" w:cs="Arial"/>
                <w:sz w:val="18"/>
                <w:lang w:eastAsia="pt-BR"/>
              </w:rPr>
              <w:t>572</w:t>
            </w:r>
            <w:r w:rsidR="00E829B6">
              <w:rPr>
                <w:rFonts w:ascii="Arial" w:eastAsia="Times New Roman" w:hAnsi="Arial" w:cs="Arial"/>
                <w:sz w:val="18"/>
                <w:lang w:eastAsia="pt-BR"/>
              </w:rPr>
              <w:t>.</w:t>
            </w:r>
            <w:r w:rsidRPr="00314EB8">
              <w:rPr>
                <w:rFonts w:ascii="Arial" w:eastAsia="Times New Roman" w:hAnsi="Arial" w:cs="Arial"/>
                <w:sz w:val="18"/>
                <w:lang w:eastAsia="pt-BR"/>
              </w:rPr>
              <w:t>611</w:t>
            </w:r>
          </w:p>
        </w:tc>
        <w:tc>
          <w:tcPr>
            <w:tcW w:w="14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71</w:t>
            </w:r>
            <w:r w:rsidR="00E829B6">
              <w:rPr>
                <w:rFonts w:ascii="Arial" w:eastAsia="Times New Roman" w:hAnsi="Arial" w:cs="Arial"/>
                <w:sz w:val="18"/>
                <w:lang w:eastAsia="pt-BR"/>
              </w:rPr>
              <w:t>.</w:t>
            </w:r>
            <w:r w:rsidRPr="00314EB8">
              <w:rPr>
                <w:rFonts w:ascii="Arial" w:eastAsia="Times New Roman" w:hAnsi="Arial" w:cs="Arial"/>
                <w:sz w:val="18"/>
                <w:lang w:eastAsia="pt-BR"/>
              </w:rPr>
              <w:t>378</w:t>
            </w:r>
            <w:r w:rsidR="00E829B6">
              <w:rPr>
                <w:rFonts w:ascii="Arial" w:eastAsia="Times New Roman" w:hAnsi="Arial" w:cs="Arial"/>
                <w:sz w:val="18"/>
                <w:lang w:eastAsia="pt-BR"/>
              </w:rPr>
              <w:t>.</w:t>
            </w:r>
            <w:r w:rsidRPr="00314EB8">
              <w:rPr>
                <w:rFonts w:ascii="Arial" w:eastAsia="Times New Roman" w:hAnsi="Arial" w:cs="Arial"/>
                <w:sz w:val="18"/>
                <w:lang w:eastAsia="pt-BR"/>
              </w:rPr>
              <w:t>265</w:t>
            </w:r>
          </w:p>
        </w:tc>
      </w:tr>
      <w:tr w:rsidR="00837656" w:rsidRPr="00314EB8" w:rsidTr="00E829B6">
        <w:trPr>
          <w:trHeight w:val="270"/>
        </w:trPr>
        <w:tc>
          <w:tcPr>
            <w:tcW w:w="3926" w:type="dxa"/>
            <w:tcBorders>
              <w:top w:val="nil"/>
              <w:left w:val="single" w:sz="8" w:space="0" w:color="auto"/>
              <w:bottom w:val="single" w:sz="8" w:space="0" w:color="auto"/>
              <w:right w:val="single" w:sz="8" w:space="0" w:color="auto"/>
            </w:tcBorders>
            <w:shd w:val="clear" w:color="auto" w:fill="auto"/>
            <w:vAlign w:val="center"/>
            <w:hideMark/>
          </w:tcPr>
          <w:p w:rsidR="00837656" w:rsidRPr="00314EB8" w:rsidRDefault="00837656" w:rsidP="00EA40F8">
            <w:pPr>
              <w:spacing w:after="0" w:line="240" w:lineRule="auto"/>
              <w:jc w:val="both"/>
              <w:rPr>
                <w:rFonts w:ascii="Arial" w:eastAsia="Times New Roman" w:hAnsi="Arial" w:cs="Arial"/>
                <w:sz w:val="18"/>
                <w:lang w:eastAsia="pt-BR"/>
              </w:rPr>
            </w:pPr>
            <w:r w:rsidRPr="00314EB8">
              <w:rPr>
                <w:rFonts w:ascii="Arial" w:eastAsia="Times New Roman" w:hAnsi="Arial" w:cs="Arial"/>
                <w:sz w:val="18"/>
                <w:lang w:eastAsia="pt-BR"/>
              </w:rPr>
              <w:t>Ahorro por Año en LP$</w:t>
            </w:r>
          </w:p>
        </w:tc>
        <w:tc>
          <w:tcPr>
            <w:tcW w:w="158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43</w:t>
            </w:r>
            <w:r w:rsidR="00E829B6">
              <w:rPr>
                <w:rFonts w:ascii="Arial" w:eastAsia="Times New Roman" w:hAnsi="Arial" w:cs="Arial"/>
                <w:sz w:val="18"/>
                <w:lang w:eastAsia="pt-BR"/>
              </w:rPr>
              <w:t>.</w:t>
            </w:r>
            <w:r w:rsidRPr="00314EB8">
              <w:rPr>
                <w:rFonts w:ascii="Arial" w:eastAsia="Times New Roman" w:hAnsi="Arial" w:cs="Arial"/>
                <w:sz w:val="18"/>
                <w:lang w:eastAsia="pt-BR"/>
              </w:rPr>
              <w:t>644</w:t>
            </w:r>
            <w:r w:rsidR="00E829B6">
              <w:rPr>
                <w:rFonts w:ascii="Arial" w:eastAsia="Times New Roman" w:hAnsi="Arial" w:cs="Arial"/>
                <w:sz w:val="18"/>
                <w:lang w:eastAsia="pt-BR"/>
              </w:rPr>
              <w:t>.</w:t>
            </w:r>
            <w:r w:rsidRPr="00314EB8">
              <w:rPr>
                <w:rFonts w:ascii="Arial" w:eastAsia="Times New Roman" w:hAnsi="Arial" w:cs="Arial"/>
                <w:sz w:val="18"/>
                <w:lang w:eastAsia="pt-BR"/>
              </w:rPr>
              <w:t>142</w:t>
            </w:r>
          </w:p>
        </w:tc>
        <w:tc>
          <w:tcPr>
            <w:tcW w:w="13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73</w:t>
            </w:r>
            <w:r w:rsidR="00E829B6">
              <w:rPr>
                <w:rFonts w:ascii="Arial" w:eastAsia="Times New Roman" w:hAnsi="Arial" w:cs="Arial"/>
                <w:sz w:val="18"/>
                <w:lang w:eastAsia="pt-BR"/>
              </w:rPr>
              <w:t>.</w:t>
            </w:r>
            <w:r w:rsidRPr="00314EB8">
              <w:rPr>
                <w:rFonts w:ascii="Arial" w:eastAsia="Times New Roman" w:hAnsi="Arial" w:cs="Arial"/>
                <w:sz w:val="18"/>
                <w:lang w:eastAsia="pt-BR"/>
              </w:rPr>
              <w:t>326</w:t>
            </w:r>
            <w:r w:rsidR="00E829B6">
              <w:rPr>
                <w:rFonts w:ascii="Arial" w:eastAsia="Times New Roman" w:hAnsi="Arial" w:cs="Arial"/>
                <w:sz w:val="18"/>
                <w:lang w:eastAsia="pt-BR"/>
              </w:rPr>
              <w:t>.</w:t>
            </w:r>
            <w:r w:rsidRPr="00314EB8">
              <w:rPr>
                <w:rFonts w:ascii="Arial" w:eastAsia="Times New Roman" w:hAnsi="Arial" w:cs="Arial"/>
                <w:sz w:val="18"/>
                <w:lang w:eastAsia="pt-BR"/>
              </w:rPr>
              <w:t>347</w:t>
            </w:r>
          </w:p>
        </w:tc>
        <w:tc>
          <w:tcPr>
            <w:tcW w:w="14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96</w:t>
            </w:r>
            <w:r w:rsidR="00E829B6">
              <w:rPr>
                <w:rFonts w:ascii="Arial" w:eastAsia="Times New Roman" w:hAnsi="Arial" w:cs="Arial"/>
                <w:sz w:val="18"/>
                <w:lang w:eastAsia="pt-BR"/>
              </w:rPr>
              <w:t>.</w:t>
            </w:r>
            <w:r w:rsidRPr="00314EB8">
              <w:rPr>
                <w:rFonts w:ascii="Arial" w:eastAsia="Times New Roman" w:hAnsi="Arial" w:cs="Arial"/>
                <w:sz w:val="18"/>
                <w:lang w:eastAsia="pt-BR"/>
              </w:rPr>
              <w:t>392</w:t>
            </w:r>
            <w:r w:rsidR="00E829B6">
              <w:rPr>
                <w:rFonts w:ascii="Arial" w:eastAsia="Times New Roman" w:hAnsi="Arial" w:cs="Arial"/>
                <w:sz w:val="18"/>
                <w:lang w:eastAsia="pt-BR"/>
              </w:rPr>
              <w:t>.</w:t>
            </w:r>
            <w:r w:rsidRPr="00314EB8">
              <w:rPr>
                <w:rFonts w:ascii="Arial" w:eastAsia="Times New Roman" w:hAnsi="Arial" w:cs="Arial"/>
                <w:sz w:val="18"/>
                <w:lang w:eastAsia="pt-BR"/>
              </w:rPr>
              <w:t>406</w:t>
            </w:r>
          </w:p>
        </w:tc>
      </w:tr>
      <w:tr w:rsidR="00837656" w:rsidRPr="00314EB8" w:rsidTr="00E829B6">
        <w:trPr>
          <w:trHeight w:val="270"/>
        </w:trPr>
        <w:tc>
          <w:tcPr>
            <w:tcW w:w="3926" w:type="dxa"/>
            <w:tcBorders>
              <w:top w:val="nil"/>
              <w:left w:val="single" w:sz="8" w:space="0" w:color="auto"/>
              <w:bottom w:val="single" w:sz="8" w:space="0" w:color="auto"/>
              <w:right w:val="single" w:sz="8" w:space="0" w:color="auto"/>
            </w:tcBorders>
            <w:shd w:val="clear" w:color="auto" w:fill="auto"/>
            <w:vAlign w:val="center"/>
            <w:hideMark/>
          </w:tcPr>
          <w:p w:rsidR="00837656" w:rsidRPr="00314EB8" w:rsidRDefault="00837656" w:rsidP="00EA40F8">
            <w:pPr>
              <w:spacing w:after="0" w:line="240" w:lineRule="auto"/>
              <w:jc w:val="both"/>
              <w:rPr>
                <w:rFonts w:ascii="Arial" w:eastAsia="Times New Roman" w:hAnsi="Arial" w:cs="Arial"/>
                <w:sz w:val="18"/>
                <w:lang w:eastAsia="pt-BR"/>
              </w:rPr>
            </w:pPr>
            <w:r w:rsidRPr="00314EB8">
              <w:rPr>
                <w:rFonts w:ascii="Arial" w:eastAsia="Times New Roman" w:hAnsi="Arial" w:cs="Arial"/>
                <w:sz w:val="18"/>
                <w:lang w:eastAsia="pt-BR"/>
              </w:rPr>
              <w:t xml:space="preserve">Ahorro por Año en 1 US$ = 22 LP$ </w:t>
            </w:r>
          </w:p>
        </w:tc>
        <w:tc>
          <w:tcPr>
            <w:tcW w:w="158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1</w:t>
            </w:r>
            <w:r w:rsidR="00E829B6">
              <w:rPr>
                <w:rFonts w:ascii="Arial" w:eastAsia="Times New Roman" w:hAnsi="Arial" w:cs="Arial"/>
                <w:sz w:val="18"/>
                <w:lang w:eastAsia="pt-BR"/>
              </w:rPr>
              <w:t>.</w:t>
            </w:r>
            <w:r w:rsidRPr="00314EB8">
              <w:rPr>
                <w:rFonts w:ascii="Arial" w:eastAsia="Times New Roman" w:hAnsi="Arial" w:cs="Arial"/>
                <w:sz w:val="18"/>
                <w:lang w:eastAsia="pt-BR"/>
              </w:rPr>
              <w:t>983</w:t>
            </w:r>
            <w:r w:rsidR="00E829B6">
              <w:rPr>
                <w:rFonts w:ascii="Arial" w:eastAsia="Times New Roman" w:hAnsi="Arial" w:cs="Arial"/>
                <w:sz w:val="18"/>
                <w:lang w:eastAsia="pt-BR"/>
              </w:rPr>
              <w:t>.</w:t>
            </w:r>
            <w:r w:rsidRPr="00314EB8">
              <w:rPr>
                <w:rFonts w:ascii="Arial" w:eastAsia="Times New Roman" w:hAnsi="Arial" w:cs="Arial"/>
                <w:sz w:val="18"/>
                <w:lang w:eastAsia="pt-BR"/>
              </w:rPr>
              <w:t>825</w:t>
            </w:r>
          </w:p>
        </w:tc>
        <w:tc>
          <w:tcPr>
            <w:tcW w:w="13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3</w:t>
            </w:r>
            <w:r w:rsidR="00E829B6">
              <w:rPr>
                <w:rFonts w:ascii="Arial" w:eastAsia="Times New Roman" w:hAnsi="Arial" w:cs="Arial"/>
                <w:sz w:val="18"/>
                <w:lang w:eastAsia="pt-BR"/>
              </w:rPr>
              <w:t>.</w:t>
            </w:r>
            <w:r w:rsidRPr="00314EB8">
              <w:rPr>
                <w:rFonts w:ascii="Arial" w:eastAsia="Times New Roman" w:hAnsi="Arial" w:cs="Arial"/>
                <w:sz w:val="18"/>
                <w:lang w:eastAsia="pt-BR"/>
              </w:rPr>
              <w:t>333</w:t>
            </w:r>
            <w:r w:rsidR="00E829B6">
              <w:rPr>
                <w:rFonts w:ascii="Arial" w:eastAsia="Times New Roman" w:hAnsi="Arial" w:cs="Arial"/>
                <w:sz w:val="18"/>
                <w:lang w:eastAsia="pt-BR"/>
              </w:rPr>
              <w:t>.</w:t>
            </w:r>
            <w:r w:rsidRPr="00314EB8">
              <w:rPr>
                <w:rFonts w:ascii="Arial" w:eastAsia="Times New Roman" w:hAnsi="Arial" w:cs="Arial"/>
                <w:sz w:val="18"/>
                <w:lang w:eastAsia="pt-BR"/>
              </w:rPr>
              <w:t>016</w:t>
            </w:r>
          </w:p>
        </w:tc>
        <w:tc>
          <w:tcPr>
            <w:tcW w:w="14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sz w:val="18"/>
                <w:lang w:eastAsia="pt-BR"/>
              </w:rPr>
            </w:pPr>
            <w:r w:rsidRPr="00314EB8">
              <w:rPr>
                <w:rFonts w:ascii="Arial" w:eastAsia="Times New Roman" w:hAnsi="Arial" w:cs="Arial"/>
                <w:sz w:val="18"/>
                <w:lang w:eastAsia="pt-BR"/>
              </w:rPr>
              <w:t>4</w:t>
            </w:r>
            <w:r w:rsidR="00E829B6">
              <w:rPr>
                <w:rFonts w:ascii="Arial" w:eastAsia="Times New Roman" w:hAnsi="Arial" w:cs="Arial"/>
                <w:sz w:val="18"/>
                <w:lang w:eastAsia="pt-BR"/>
              </w:rPr>
              <w:t>.</w:t>
            </w:r>
            <w:r w:rsidRPr="00314EB8">
              <w:rPr>
                <w:rFonts w:ascii="Arial" w:eastAsia="Times New Roman" w:hAnsi="Arial" w:cs="Arial"/>
                <w:sz w:val="18"/>
                <w:lang w:eastAsia="pt-BR"/>
              </w:rPr>
              <w:t>381</w:t>
            </w:r>
            <w:r w:rsidR="00E829B6">
              <w:rPr>
                <w:rFonts w:ascii="Arial" w:eastAsia="Times New Roman" w:hAnsi="Arial" w:cs="Arial"/>
                <w:sz w:val="18"/>
                <w:lang w:eastAsia="pt-BR"/>
              </w:rPr>
              <w:t>.</w:t>
            </w:r>
            <w:r w:rsidRPr="00314EB8">
              <w:rPr>
                <w:rFonts w:ascii="Arial" w:eastAsia="Times New Roman" w:hAnsi="Arial" w:cs="Arial"/>
                <w:sz w:val="18"/>
                <w:lang w:eastAsia="pt-BR"/>
              </w:rPr>
              <w:t>473</w:t>
            </w:r>
          </w:p>
        </w:tc>
      </w:tr>
      <w:tr w:rsidR="00837656" w:rsidRPr="00314EB8" w:rsidTr="00E829B6">
        <w:trPr>
          <w:trHeight w:val="270"/>
        </w:trPr>
        <w:tc>
          <w:tcPr>
            <w:tcW w:w="3926" w:type="dxa"/>
            <w:tcBorders>
              <w:top w:val="nil"/>
              <w:left w:val="single" w:sz="8" w:space="0" w:color="auto"/>
              <w:bottom w:val="single" w:sz="8" w:space="0" w:color="auto"/>
              <w:right w:val="single" w:sz="8" w:space="0" w:color="auto"/>
            </w:tcBorders>
            <w:shd w:val="clear" w:color="auto" w:fill="auto"/>
            <w:noWrap/>
            <w:vAlign w:val="bottom"/>
            <w:hideMark/>
          </w:tcPr>
          <w:p w:rsidR="00837656" w:rsidRPr="00314EB8" w:rsidRDefault="00837656" w:rsidP="00EA40F8">
            <w:pPr>
              <w:spacing w:after="0" w:line="240" w:lineRule="auto"/>
              <w:rPr>
                <w:rFonts w:ascii="Arial" w:eastAsia="Times New Roman" w:hAnsi="Arial" w:cs="Arial"/>
                <w:b/>
                <w:bCs/>
                <w:sz w:val="18"/>
                <w:lang w:eastAsia="pt-BR"/>
              </w:rPr>
            </w:pPr>
            <w:r w:rsidRPr="00314EB8">
              <w:rPr>
                <w:rFonts w:ascii="Arial" w:eastAsia="Times New Roman" w:hAnsi="Arial" w:cs="Arial"/>
                <w:b/>
                <w:bCs/>
                <w:sz w:val="18"/>
                <w:lang w:eastAsia="pt-BR"/>
              </w:rPr>
              <w:t>Ahorro en Valores Reales</w:t>
            </w:r>
          </w:p>
        </w:tc>
        <w:tc>
          <w:tcPr>
            <w:tcW w:w="158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b/>
                <w:bCs/>
                <w:sz w:val="18"/>
                <w:lang w:eastAsia="pt-BR"/>
              </w:rPr>
            </w:pPr>
            <w:r w:rsidRPr="00314EB8">
              <w:rPr>
                <w:rFonts w:ascii="Arial" w:eastAsia="Times New Roman" w:hAnsi="Arial" w:cs="Arial"/>
                <w:b/>
                <w:bCs/>
                <w:sz w:val="18"/>
                <w:lang w:eastAsia="pt-BR"/>
              </w:rPr>
              <w:t>1</w:t>
            </w:r>
            <w:r w:rsidR="00E829B6">
              <w:rPr>
                <w:rFonts w:ascii="Arial" w:eastAsia="Times New Roman" w:hAnsi="Arial" w:cs="Arial"/>
                <w:b/>
                <w:bCs/>
                <w:sz w:val="18"/>
                <w:lang w:eastAsia="pt-BR"/>
              </w:rPr>
              <w:t>.</w:t>
            </w:r>
            <w:r w:rsidRPr="00314EB8">
              <w:rPr>
                <w:rFonts w:ascii="Arial" w:eastAsia="Times New Roman" w:hAnsi="Arial" w:cs="Arial"/>
                <w:b/>
                <w:bCs/>
                <w:sz w:val="18"/>
                <w:lang w:eastAsia="pt-BR"/>
              </w:rPr>
              <w:t>844</w:t>
            </w:r>
            <w:r w:rsidR="00E829B6">
              <w:rPr>
                <w:rFonts w:ascii="Arial" w:eastAsia="Times New Roman" w:hAnsi="Arial" w:cs="Arial"/>
                <w:b/>
                <w:bCs/>
                <w:sz w:val="18"/>
                <w:lang w:eastAsia="pt-BR"/>
              </w:rPr>
              <w:t>.</w:t>
            </w:r>
            <w:r w:rsidRPr="00314EB8">
              <w:rPr>
                <w:rFonts w:ascii="Arial" w:eastAsia="Times New Roman" w:hAnsi="Arial" w:cs="Arial"/>
                <w:b/>
                <w:bCs/>
                <w:sz w:val="18"/>
                <w:lang w:eastAsia="pt-BR"/>
              </w:rPr>
              <w:t>957</w:t>
            </w:r>
          </w:p>
        </w:tc>
        <w:tc>
          <w:tcPr>
            <w:tcW w:w="13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b/>
                <w:bCs/>
                <w:sz w:val="18"/>
                <w:lang w:eastAsia="pt-BR"/>
              </w:rPr>
            </w:pPr>
            <w:r w:rsidRPr="00314EB8">
              <w:rPr>
                <w:rFonts w:ascii="Arial" w:eastAsia="Times New Roman" w:hAnsi="Arial" w:cs="Arial"/>
                <w:b/>
                <w:bCs/>
                <w:sz w:val="18"/>
                <w:lang w:eastAsia="pt-BR"/>
              </w:rPr>
              <w:t>3</w:t>
            </w:r>
            <w:r w:rsidR="00E829B6">
              <w:rPr>
                <w:rFonts w:ascii="Arial" w:eastAsia="Times New Roman" w:hAnsi="Arial" w:cs="Arial"/>
                <w:b/>
                <w:bCs/>
                <w:sz w:val="18"/>
                <w:lang w:eastAsia="pt-BR"/>
              </w:rPr>
              <w:t>.</w:t>
            </w:r>
            <w:r w:rsidRPr="00314EB8">
              <w:rPr>
                <w:rFonts w:ascii="Arial" w:eastAsia="Times New Roman" w:hAnsi="Arial" w:cs="Arial"/>
                <w:b/>
                <w:bCs/>
                <w:sz w:val="18"/>
                <w:lang w:eastAsia="pt-BR"/>
              </w:rPr>
              <w:t>099</w:t>
            </w:r>
            <w:r w:rsidR="00E829B6">
              <w:rPr>
                <w:rFonts w:ascii="Arial" w:eastAsia="Times New Roman" w:hAnsi="Arial" w:cs="Arial"/>
                <w:b/>
                <w:bCs/>
                <w:sz w:val="18"/>
                <w:lang w:eastAsia="pt-BR"/>
              </w:rPr>
              <w:t>.</w:t>
            </w:r>
            <w:r w:rsidRPr="00314EB8">
              <w:rPr>
                <w:rFonts w:ascii="Arial" w:eastAsia="Times New Roman" w:hAnsi="Arial" w:cs="Arial"/>
                <w:b/>
                <w:bCs/>
                <w:sz w:val="18"/>
                <w:lang w:eastAsia="pt-BR"/>
              </w:rPr>
              <w:t>705</w:t>
            </w:r>
          </w:p>
        </w:tc>
        <w:tc>
          <w:tcPr>
            <w:tcW w:w="1460" w:type="dxa"/>
            <w:tcBorders>
              <w:top w:val="nil"/>
              <w:left w:val="nil"/>
              <w:bottom w:val="single" w:sz="8" w:space="0" w:color="auto"/>
              <w:right w:val="single" w:sz="8" w:space="0" w:color="auto"/>
            </w:tcBorders>
            <w:shd w:val="clear" w:color="auto" w:fill="auto"/>
            <w:vAlign w:val="center"/>
            <w:hideMark/>
          </w:tcPr>
          <w:p w:rsidR="00837656" w:rsidRPr="00314EB8" w:rsidRDefault="00837656" w:rsidP="00E829B6">
            <w:pPr>
              <w:spacing w:after="0" w:line="240" w:lineRule="auto"/>
              <w:jc w:val="right"/>
              <w:rPr>
                <w:rFonts w:ascii="Arial" w:eastAsia="Times New Roman" w:hAnsi="Arial" w:cs="Arial"/>
                <w:b/>
                <w:bCs/>
                <w:sz w:val="18"/>
                <w:lang w:eastAsia="pt-BR"/>
              </w:rPr>
            </w:pPr>
            <w:r w:rsidRPr="00314EB8">
              <w:rPr>
                <w:rFonts w:ascii="Arial" w:eastAsia="Times New Roman" w:hAnsi="Arial" w:cs="Arial"/>
                <w:b/>
                <w:bCs/>
                <w:sz w:val="18"/>
                <w:lang w:eastAsia="pt-BR"/>
              </w:rPr>
              <w:t>4</w:t>
            </w:r>
            <w:r w:rsidR="00E829B6">
              <w:rPr>
                <w:rFonts w:ascii="Arial" w:eastAsia="Times New Roman" w:hAnsi="Arial" w:cs="Arial"/>
                <w:b/>
                <w:bCs/>
                <w:sz w:val="18"/>
                <w:lang w:eastAsia="pt-BR"/>
              </w:rPr>
              <w:t>.</w:t>
            </w:r>
            <w:r w:rsidRPr="00314EB8">
              <w:rPr>
                <w:rFonts w:ascii="Arial" w:eastAsia="Times New Roman" w:hAnsi="Arial" w:cs="Arial"/>
                <w:b/>
                <w:bCs/>
                <w:sz w:val="18"/>
                <w:lang w:eastAsia="pt-BR"/>
              </w:rPr>
              <w:t>074</w:t>
            </w:r>
            <w:r w:rsidR="00E829B6">
              <w:rPr>
                <w:rFonts w:ascii="Arial" w:eastAsia="Times New Roman" w:hAnsi="Arial" w:cs="Arial"/>
                <w:b/>
                <w:bCs/>
                <w:sz w:val="18"/>
                <w:lang w:eastAsia="pt-BR"/>
              </w:rPr>
              <w:t>.</w:t>
            </w:r>
            <w:r w:rsidRPr="00314EB8">
              <w:rPr>
                <w:rFonts w:ascii="Arial" w:eastAsia="Times New Roman" w:hAnsi="Arial" w:cs="Arial"/>
                <w:b/>
                <w:bCs/>
                <w:sz w:val="18"/>
                <w:lang w:eastAsia="pt-BR"/>
              </w:rPr>
              <w:t>770</w:t>
            </w:r>
          </w:p>
        </w:tc>
      </w:tr>
    </w:tbl>
    <w:p w:rsidR="00837656" w:rsidRPr="002E1AE0" w:rsidRDefault="00837656" w:rsidP="00837656">
      <w:pPr>
        <w:pStyle w:val="ListParagraph"/>
        <w:spacing w:before="120" w:after="120" w:line="240" w:lineRule="auto"/>
        <w:ind w:left="1080"/>
        <w:contextualSpacing w:val="0"/>
        <w:jc w:val="both"/>
        <w:rPr>
          <w:rFonts w:ascii="Arial" w:hAnsi="Arial" w:cs="Arial"/>
        </w:rPr>
      </w:pPr>
    </w:p>
    <w:p w:rsidR="00837656" w:rsidRPr="002E1AE0" w:rsidRDefault="00837656" w:rsidP="00837656">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Evidencia del % utilizado (15%) para el cálculo del beneficio.</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En enero de 2015, se inici</w:t>
      </w:r>
      <w:r w:rsidR="00476C4A">
        <w:rPr>
          <w:rFonts w:ascii="Arial" w:hAnsi="Arial" w:cs="Arial"/>
        </w:rPr>
        <w:t>aron</w:t>
      </w:r>
      <w:r w:rsidRPr="002E1AE0">
        <w:rPr>
          <w:rFonts w:ascii="Arial" w:hAnsi="Arial" w:cs="Arial"/>
        </w:rPr>
        <w:t xml:space="preserve"> estudio</w:t>
      </w:r>
      <w:r w:rsidR="00A0237A">
        <w:rPr>
          <w:rFonts w:ascii="Arial" w:hAnsi="Arial" w:cs="Arial"/>
        </w:rPr>
        <w:t>s sobre e</w:t>
      </w:r>
      <w:r w:rsidRPr="002E1AE0">
        <w:rPr>
          <w:rFonts w:ascii="Arial" w:hAnsi="Arial" w:cs="Arial"/>
        </w:rPr>
        <w:t xml:space="preserve">l comportamiento de ciertos bienes y servicios, </w:t>
      </w:r>
      <w:r w:rsidR="00F43899" w:rsidRPr="002E1AE0">
        <w:rPr>
          <w:rFonts w:ascii="Arial" w:hAnsi="Arial" w:cs="Arial"/>
        </w:rPr>
        <w:t xml:space="preserve">y </w:t>
      </w:r>
      <w:r w:rsidRPr="002E1AE0">
        <w:rPr>
          <w:rFonts w:ascii="Arial" w:hAnsi="Arial" w:cs="Arial"/>
        </w:rPr>
        <w:t>de</w:t>
      </w:r>
      <w:r w:rsidR="00A0237A">
        <w:rPr>
          <w:rFonts w:ascii="Arial" w:hAnsi="Arial" w:cs="Arial"/>
        </w:rPr>
        <w:t xml:space="preserve"> la </w:t>
      </w:r>
      <w:r w:rsidRPr="002E1AE0">
        <w:rPr>
          <w:rFonts w:ascii="Arial" w:hAnsi="Arial" w:cs="Arial"/>
        </w:rPr>
        <w:t xml:space="preserve">frecuente </w:t>
      </w:r>
      <w:r w:rsidR="00A0237A">
        <w:rPr>
          <w:rFonts w:ascii="Arial" w:hAnsi="Arial" w:cs="Arial"/>
        </w:rPr>
        <w:t xml:space="preserve">en el uso </w:t>
      </w:r>
      <w:r w:rsidRPr="002E1AE0">
        <w:rPr>
          <w:rFonts w:ascii="Arial" w:hAnsi="Arial" w:cs="Arial"/>
        </w:rPr>
        <w:t>por la Administración Pública</w:t>
      </w:r>
      <w:r w:rsidR="00754B1C" w:rsidRPr="002E1AE0">
        <w:rPr>
          <w:rFonts w:ascii="Arial" w:hAnsi="Arial" w:cs="Arial"/>
        </w:rPr>
        <w:t>. P</w:t>
      </w:r>
      <w:r w:rsidRPr="002E1AE0">
        <w:rPr>
          <w:rFonts w:ascii="Arial" w:hAnsi="Arial" w:cs="Arial"/>
        </w:rPr>
        <w:t xml:space="preserve">osteriormente </w:t>
      </w:r>
      <w:r w:rsidR="008C4624">
        <w:rPr>
          <w:rFonts w:ascii="Arial" w:hAnsi="Arial" w:cs="Arial"/>
        </w:rPr>
        <w:t>comenza</w:t>
      </w:r>
      <w:r w:rsidRPr="002E1AE0">
        <w:rPr>
          <w:rFonts w:ascii="Arial" w:hAnsi="Arial" w:cs="Arial"/>
        </w:rPr>
        <w:t>ron los procesos de licitación pública para seleccionar los proveedores que formarán parte de los catálogos electrónicos resultantes</w:t>
      </w:r>
      <w:r w:rsidR="0093030D" w:rsidRPr="002E1AE0">
        <w:rPr>
          <w:rFonts w:ascii="Arial" w:hAnsi="Arial" w:cs="Arial"/>
        </w:rPr>
        <w:t>. A</w:t>
      </w:r>
      <w:r w:rsidRPr="002E1AE0">
        <w:rPr>
          <w:rFonts w:ascii="Arial" w:hAnsi="Arial" w:cs="Arial"/>
        </w:rPr>
        <w:t xml:space="preserve"> la fecha se han recibido ofertas para los siguientes catálogos electrónicos:</w:t>
      </w:r>
    </w:p>
    <w:p w:rsidR="00837656" w:rsidRPr="002E1AE0" w:rsidRDefault="00837656" w:rsidP="00837656">
      <w:pPr>
        <w:pStyle w:val="ListParagraph"/>
        <w:spacing w:after="0" w:line="240" w:lineRule="auto"/>
        <w:ind w:left="1080"/>
        <w:contextualSpacing w:val="0"/>
        <w:jc w:val="both"/>
        <w:rPr>
          <w:rFonts w:ascii="Arial" w:hAnsi="Arial" w:cs="Arial"/>
        </w:rPr>
      </w:pPr>
      <w:r w:rsidRPr="002E1AE0">
        <w:rPr>
          <w:rFonts w:ascii="Arial" w:hAnsi="Arial" w:cs="Arial"/>
        </w:rPr>
        <w:t>1.</w:t>
      </w:r>
      <w:r w:rsidRPr="002E1AE0">
        <w:rPr>
          <w:rFonts w:ascii="Arial" w:hAnsi="Arial" w:cs="Arial"/>
        </w:rPr>
        <w:tab/>
        <w:t>Útiles de Oficina</w:t>
      </w:r>
    </w:p>
    <w:p w:rsidR="00837656" w:rsidRPr="002E1AE0" w:rsidRDefault="00837656" w:rsidP="00837656">
      <w:pPr>
        <w:pStyle w:val="ListParagraph"/>
        <w:spacing w:after="0" w:line="240" w:lineRule="auto"/>
        <w:ind w:left="1080"/>
        <w:contextualSpacing w:val="0"/>
        <w:jc w:val="both"/>
        <w:rPr>
          <w:rFonts w:ascii="Arial" w:hAnsi="Arial" w:cs="Arial"/>
        </w:rPr>
      </w:pPr>
      <w:r w:rsidRPr="002E1AE0">
        <w:rPr>
          <w:rFonts w:ascii="Arial" w:hAnsi="Arial" w:cs="Arial"/>
        </w:rPr>
        <w:t>2.</w:t>
      </w:r>
      <w:r w:rsidRPr="002E1AE0">
        <w:rPr>
          <w:rFonts w:ascii="Arial" w:hAnsi="Arial" w:cs="Arial"/>
        </w:rPr>
        <w:tab/>
        <w:t>Equipos y Consumibles de Impresión</w:t>
      </w:r>
    </w:p>
    <w:p w:rsidR="00837656" w:rsidRPr="002E1AE0" w:rsidRDefault="00837656" w:rsidP="00837656">
      <w:pPr>
        <w:pStyle w:val="ListParagraph"/>
        <w:spacing w:after="0" w:line="240" w:lineRule="auto"/>
        <w:ind w:left="1080"/>
        <w:contextualSpacing w:val="0"/>
        <w:jc w:val="both"/>
        <w:rPr>
          <w:rFonts w:ascii="Arial" w:hAnsi="Arial" w:cs="Arial"/>
        </w:rPr>
      </w:pPr>
      <w:r w:rsidRPr="002E1AE0">
        <w:rPr>
          <w:rFonts w:ascii="Arial" w:hAnsi="Arial" w:cs="Arial"/>
        </w:rPr>
        <w:t>3.</w:t>
      </w:r>
      <w:r w:rsidRPr="002E1AE0">
        <w:rPr>
          <w:rFonts w:ascii="Arial" w:hAnsi="Arial" w:cs="Arial"/>
        </w:rPr>
        <w:tab/>
        <w:t>Alimentos y Bebidas</w:t>
      </w:r>
    </w:p>
    <w:p w:rsidR="00837656" w:rsidRPr="002E1AE0" w:rsidRDefault="00837656" w:rsidP="00837656">
      <w:pPr>
        <w:pStyle w:val="ListParagraph"/>
        <w:spacing w:after="0" w:line="240" w:lineRule="auto"/>
        <w:ind w:left="1080"/>
        <w:contextualSpacing w:val="0"/>
        <w:jc w:val="both"/>
        <w:rPr>
          <w:rFonts w:ascii="Arial" w:hAnsi="Arial" w:cs="Arial"/>
        </w:rPr>
      </w:pPr>
      <w:r w:rsidRPr="002E1AE0">
        <w:rPr>
          <w:rFonts w:ascii="Arial" w:hAnsi="Arial" w:cs="Arial"/>
        </w:rPr>
        <w:t>4.</w:t>
      </w:r>
      <w:r w:rsidRPr="002E1AE0">
        <w:rPr>
          <w:rFonts w:ascii="Arial" w:hAnsi="Arial" w:cs="Arial"/>
        </w:rPr>
        <w:tab/>
        <w:t>Servicios de Impresión y Reproducción</w:t>
      </w:r>
    </w:p>
    <w:p w:rsidR="00837656" w:rsidRPr="002E1AE0" w:rsidRDefault="00837656" w:rsidP="00837656">
      <w:pPr>
        <w:pStyle w:val="ListParagraph"/>
        <w:spacing w:after="0" w:line="240" w:lineRule="auto"/>
        <w:ind w:left="1080"/>
        <w:contextualSpacing w:val="0"/>
        <w:jc w:val="both"/>
        <w:rPr>
          <w:rFonts w:ascii="Arial" w:hAnsi="Arial" w:cs="Arial"/>
        </w:rPr>
      </w:pPr>
      <w:r w:rsidRPr="002E1AE0">
        <w:rPr>
          <w:rFonts w:ascii="Arial" w:hAnsi="Arial" w:cs="Arial"/>
        </w:rPr>
        <w:t>5.</w:t>
      </w:r>
      <w:r w:rsidRPr="002E1AE0">
        <w:rPr>
          <w:rFonts w:ascii="Arial" w:hAnsi="Arial" w:cs="Arial"/>
        </w:rPr>
        <w:tab/>
        <w:t>Bienes Informáticos</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Los precios recibidos en las aperturas de ofertas, permiten estimar los porcentajes de ahorro que el Gobierno de Honduras puede obtener en la implementación de los Convenios Marco</w:t>
      </w:r>
      <w:r w:rsidR="008C4624">
        <w:rPr>
          <w:rFonts w:ascii="Arial" w:hAnsi="Arial" w:cs="Arial"/>
        </w:rPr>
        <w:t>.</w:t>
      </w:r>
    </w:p>
    <w:p w:rsidR="00837656" w:rsidRPr="002E1AE0" w:rsidRDefault="00837656" w:rsidP="00837656">
      <w:pPr>
        <w:pStyle w:val="ListParagraph"/>
        <w:keepNext/>
        <w:spacing w:before="120" w:after="120" w:line="240" w:lineRule="auto"/>
        <w:ind w:left="1080"/>
        <w:contextualSpacing w:val="0"/>
        <w:jc w:val="both"/>
        <w:rPr>
          <w:rFonts w:ascii="Arial" w:hAnsi="Arial" w:cs="Arial"/>
          <w:b/>
        </w:rPr>
      </w:pPr>
      <w:r w:rsidRPr="002E1AE0">
        <w:rPr>
          <w:rFonts w:ascii="Arial" w:hAnsi="Arial" w:cs="Arial"/>
          <w:b/>
        </w:rPr>
        <w:lastRenderedPageBreak/>
        <w:t xml:space="preserve">Cuadro </w:t>
      </w:r>
      <w:r w:rsidR="00DA4B7F" w:rsidRPr="002E1AE0">
        <w:rPr>
          <w:rFonts w:ascii="Arial" w:hAnsi="Arial" w:cs="Arial"/>
          <w:b/>
        </w:rPr>
        <w:t>N</w:t>
      </w:r>
      <w:r w:rsidR="00411B9F" w:rsidRPr="002E1AE0">
        <w:rPr>
          <w:rFonts w:ascii="Arial" w:hAnsi="Arial" w:cs="Arial"/>
          <w:b/>
        </w:rPr>
        <w:t>° 9</w:t>
      </w:r>
      <w:r w:rsidRPr="002E1AE0">
        <w:rPr>
          <w:rFonts w:ascii="Arial" w:hAnsi="Arial" w:cs="Arial"/>
          <w:b/>
        </w:rPr>
        <w:t>: Comparativo de Precios:</w:t>
      </w:r>
    </w:p>
    <w:p w:rsidR="00837656" w:rsidRPr="002E1AE0" w:rsidRDefault="00837656" w:rsidP="008C4624">
      <w:pPr>
        <w:pStyle w:val="ListParagraph"/>
        <w:spacing w:before="120" w:after="120" w:line="240" w:lineRule="auto"/>
        <w:ind w:left="-510"/>
        <w:contextualSpacing w:val="0"/>
        <w:jc w:val="both"/>
        <w:rPr>
          <w:rFonts w:ascii="Arial" w:hAnsi="Arial" w:cs="Arial"/>
        </w:rPr>
      </w:pPr>
      <w:r w:rsidRPr="002E1AE0">
        <w:rPr>
          <w:rFonts w:ascii="Arial" w:hAnsi="Arial" w:cs="Arial"/>
          <w:noProof/>
          <w:lang w:val="en-US"/>
        </w:rPr>
        <w:drawing>
          <wp:inline distT="0" distB="0" distL="0" distR="0" wp14:anchorId="05D7BA3F" wp14:editId="4010C99F">
            <wp:extent cx="6584920" cy="4023360"/>
            <wp:effectExtent l="0" t="0" r="6985" b="0"/>
            <wp:docPr id="18"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09820" cy="4038574"/>
                    </a:xfrm>
                    <a:prstGeom prst="rect">
                      <a:avLst/>
                    </a:prstGeom>
                    <a:noFill/>
                  </pic:spPr>
                </pic:pic>
              </a:graphicData>
            </a:graphic>
          </wp:inline>
        </w:drawing>
      </w:r>
      <w:r w:rsidRPr="002E1AE0">
        <w:rPr>
          <w:rFonts w:ascii="Arial" w:hAnsi="Arial" w:cs="Arial"/>
        </w:rPr>
        <w:tab/>
      </w:r>
      <w:r w:rsidRPr="002E1AE0">
        <w:rPr>
          <w:rFonts w:ascii="Arial" w:hAnsi="Arial" w:cs="Arial"/>
        </w:rPr>
        <w:tab/>
      </w:r>
      <w:r w:rsidRPr="002E1AE0">
        <w:rPr>
          <w:rFonts w:ascii="Arial" w:hAnsi="Arial" w:cs="Arial"/>
        </w:rPr>
        <w:tab/>
      </w:r>
      <w:r w:rsidRPr="002E1AE0">
        <w:rPr>
          <w:rFonts w:ascii="Arial" w:hAnsi="Arial" w:cs="Arial"/>
        </w:rPr>
        <w:tab/>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Con los precios unitarios identificados, se puede apreciar claramente una tendencia menor al 30% de incremento en los precios de compra con respecto a Catálogo</w:t>
      </w:r>
      <w:r w:rsidR="00DA4B7F" w:rsidRPr="002E1AE0">
        <w:rPr>
          <w:rFonts w:ascii="Arial" w:hAnsi="Arial" w:cs="Arial"/>
        </w:rPr>
        <w:t>s</w:t>
      </w:r>
      <w:r w:rsidRPr="002E1AE0">
        <w:rPr>
          <w:rFonts w:ascii="Arial" w:hAnsi="Arial" w:cs="Arial"/>
        </w:rPr>
        <w:t xml:space="preserve"> Electrónico</w:t>
      </w:r>
      <w:r w:rsidR="00DA4B7F" w:rsidRPr="002E1AE0">
        <w:rPr>
          <w:rFonts w:ascii="Arial" w:hAnsi="Arial" w:cs="Arial"/>
        </w:rPr>
        <w:t>s</w:t>
      </w:r>
      <w:r w:rsidRPr="002E1AE0">
        <w:rPr>
          <w:rFonts w:ascii="Arial" w:hAnsi="Arial" w:cs="Arial"/>
        </w:rPr>
        <w:t xml:space="preserve"> de las Secretarías de Infraestructura y Servicios Públicos y la Secretaría de Finanzas.</w:t>
      </w:r>
    </w:p>
    <w:p w:rsidR="00837656" w:rsidRPr="002E1AE0" w:rsidRDefault="00837656" w:rsidP="00837656">
      <w:pPr>
        <w:pStyle w:val="ListParagraph"/>
        <w:spacing w:before="120" w:after="120" w:line="240" w:lineRule="auto"/>
        <w:ind w:left="1080"/>
        <w:contextualSpacing w:val="0"/>
        <w:jc w:val="both"/>
        <w:rPr>
          <w:rFonts w:ascii="Arial" w:hAnsi="Arial" w:cs="Arial"/>
        </w:rPr>
      </w:pPr>
      <w:r w:rsidRPr="002E1AE0">
        <w:rPr>
          <w:rFonts w:ascii="Arial" w:hAnsi="Arial" w:cs="Arial"/>
        </w:rPr>
        <w:t>Sin embargo en el resto de instituciones comparadas</w:t>
      </w:r>
      <w:r w:rsidR="00DA4B7F" w:rsidRPr="002E1AE0">
        <w:rPr>
          <w:rFonts w:ascii="Arial" w:hAnsi="Arial" w:cs="Arial"/>
        </w:rPr>
        <w:t>,</w:t>
      </w:r>
      <w:r w:rsidRPr="002E1AE0">
        <w:rPr>
          <w:rFonts w:ascii="Arial" w:hAnsi="Arial" w:cs="Arial"/>
        </w:rPr>
        <w:t xml:space="preserve"> la diferencia de sus precios de compra, con respecto a los valores disponibles para catálogo</w:t>
      </w:r>
      <w:r w:rsidR="00DA4B7F" w:rsidRPr="002E1AE0">
        <w:rPr>
          <w:rFonts w:ascii="Arial" w:hAnsi="Arial" w:cs="Arial"/>
        </w:rPr>
        <w:t>,</w:t>
      </w:r>
      <w:r w:rsidRPr="002E1AE0">
        <w:rPr>
          <w:rFonts w:ascii="Arial" w:hAnsi="Arial" w:cs="Arial"/>
        </w:rPr>
        <w:t xml:space="preserve"> supera el 70%, tal como </w:t>
      </w:r>
      <w:r w:rsidR="008C4624">
        <w:rPr>
          <w:rFonts w:ascii="Arial" w:hAnsi="Arial" w:cs="Arial"/>
        </w:rPr>
        <w:t>establece</w:t>
      </w:r>
      <w:r w:rsidRPr="002E1AE0">
        <w:rPr>
          <w:rFonts w:ascii="Arial" w:hAnsi="Arial" w:cs="Arial"/>
        </w:rPr>
        <w:t xml:space="preserve"> en el cuadro n° 9.</w:t>
      </w:r>
    </w:p>
    <w:p w:rsidR="00837656" w:rsidRPr="002E1AE0" w:rsidRDefault="00837656" w:rsidP="00837656">
      <w:pPr>
        <w:pStyle w:val="ListParagraph"/>
        <w:keepNext/>
        <w:spacing w:before="120" w:after="120" w:line="240" w:lineRule="auto"/>
        <w:ind w:left="1080"/>
        <w:contextualSpacing w:val="0"/>
        <w:jc w:val="both"/>
        <w:rPr>
          <w:rFonts w:ascii="Arial" w:hAnsi="Arial" w:cs="Arial"/>
          <w:b/>
        </w:rPr>
      </w:pPr>
      <w:r w:rsidRPr="002E1AE0">
        <w:rPr>
          <w:rFonts w:ascii="Arial" w:hAnsi="Arial" w:cs="Arial"/>
          <w:b/>
        </w:rPr>
        <w:t xml:space="preserve">Cuadro N° </w:t>
      </w:r>
      <w:r w:rsidR="00DA4B7F" w:rsidRPr="002E1AE0">
        <w:rPr>
          <w:rFonts w:ascii="Arial" w:hAnsi="Arial" w:cs="Arial"/>
          <w:b/>
        </w:rPr>
        <w:t>10</w:t>
      </w:r>
      <w:r w:rsidRPr="002E1AE0">
        <w:rPr>
          <w:rFonts w:ascii="Arial" w:hAnsi="Arial" w:cs="Arial"/>
          <w:b/>
        </w:rPr>
        <w:t>: “Diferencia promedio de los precios de compra de las instituciones monitoreadas, sobre el precio del catálogo electrónico”</w:t>
      </w:r>
    </w:p>
    <w:tbl>
      <w:tblPr>
        <w:tblW w:w="8016" w:type="dxa"/>
        <w:tblInd w:w="1204" w:type="dxa"/>
        <w:tblCellMar>
          <w:left w:w="70" w:type="dxa"/>
          <w:right w:w="70" w:type="dxa"/>
        </w:tblCellMar>
        <w:tblLook w:val="04A0" w:firstRow="1" w:lastRow="0" w:firstColumn="1" w:lastColumn="0" w:noHBand="0" w:noVBand="1"/>
      </w:tblPr>
      <w:tblGrid>
        <w:gridCol w:w="4376"/>
        <w:gridCol w:w="3640"/>
      </w:tblGrid>
      <w:tr w:rsidR="00837656" w:rsidRPr="008C4624" w:rsidTr="008C4624">
        <w:trPr>
          <w:trHeight w:val="1035"/>
        </w:trPr>
        <w:tc>
          <w:tcPr>
            <w:tcW w:w="4376" w:type="dxa"/>
            <w:tcBorders>
              <w:top w:val="single" w:sz="8" w:space="0" w:color="auto"/>
              <w:left w:val="single" w:sz="8" w:space="0" w:color="auto"/>
              <w:bottom w:val="single" w:sz="4" w:space="0" w:color="auto"/>
              <w:right w:val="single" w:sz="4" w:space="0" w:color="auto"/>
            </w:tcBorders>
            <w:shd w:val="clear" w:color="000000" w:fill="8DB4E3"/>
            <w:vAlign w:val="bottom"/>
            <w:hideMark/>
          </w:tcPr>
          <w:p w:rsidR="00837656" w:rsidRPr="008C4624" w:rsidRDefault="00837656" w:rsidP="00EA40F8">
            <w:pPr>
              <w:spacing w:after="0" w:line="240" w:lineRule="auto"/>
              <w:jc w:val="center"/>
              <w:rPr>
                <w:rFonts w:ascii="Arial" w:eastAsia="Times New Roman" w:hAnsi="Arial" w:cs="Arial"/>
                <w:b/>
                <w:bCs/>
                <w:color w:val="000000"/>
                <w:sz w:val="18"/>
                <w:lang w:eastAsia="es-HN"/>
              </w:rPr>
            </w:pPr>
            <w:r w:rsidRPr="008C4624">
              <w:rPr>
                <w:rFonts w:ascii="Arial" w:eastAsia="Times New Roman" w:hAnsi="Arial" w:cs="Arial"/>
                <w:b/>
                <w:bCs/>
                <w:color w:val="000000"/>
                <w:sz w:val="18"/>
                <w:lang w:eastAsia="es-HN"/>
              </w:rPr>
              <w:t>INSTITUCIÓN</w:t>
            </w:r>
          </w:p>
        </w:tc>
        <w:tc>
          <w:tcPr>
            <w:tcW w:w="3640" w:type="dxa"/>
            <w:tcBorders>
              <w:top w:val="single" w:sz="8" w:space="0" w:color="auto"/>
              <w:left w:val="nil"/>
              <w:bottom w:val="single" w:sz="4" w:space="0" w:color="auto"/>
              <w:right w:val="single" w:sz="8" w:space="0" w:color="auto"/>
            </w:tcBorders>
            <w:shd w:val="clear" w:color="000000" w:fill="8DB4E3"/>
            <w:vAlign w:val="bottom"/>
            <w:hideMark/>
          </w:tcPr>
          <w:p w:rsidR="00837656" w:rsidRPr="008C4624" w:rsidRDefault="00837656" w:rsidP="00EA40F8">
            <w:pPr>
              <w:spacing w:after="0" w:line="240" w:lineRule="auto"/>
              <w:jc w:val="center"/>
              <w:rPr>
                <w:rFonts w:ascii="Arial" w:eastAsia="Times New Roman" w:hAnsi="Arial" w:cs="Arial"/>
                <w:b/>
                <w:bCs/>
                <w:color w:val="000000"/>
                <w:sz w:val="18"/>
                <w:lang w:eastAsia="es-HN"/>
              </w:rPr>
            </w:pPr>
            <w:r w:rsidRPr="008C4624">
              <w:rPr>
                <w:rFonts w:ascii="Arial" w:eastAsia="Times New Roman" w:hAnsi="Arial" w:cs="Arial"/>
                <w:b/>
                <w:bCs/>
                <w:color w:val="000000"/>
                <w:sz w:val="18"/>
                <w:lang w:eastAsia="es-HN"/>
              </w:rPr>
              <w:t>DIFERENCIA PROMEDIO DEL PRECIO DE COMPRA DE LA INSTITUCIÓN SOBRE EL PRECIO DEL CATÁLOGO ELECTRÓNICO</w:t>
            </w:r>
          </w:p>
        </w:tc>
      </w:tr>
      <w:tr w:rsidR="00837656" w:rsidRPr="008C4624" w:rsidTr="008C4624">
        <w:trPr>
          <w:trHeight w:val="300"/>
        </w:trPr>
        <w:tc>
          <w:tcPr>
            <w:tcW w:w="4376" w:type="dxa"/>
            <w:tcBorders>
              <w:top w:val="nil"/>
              <w:left w:val="single" w:sz="8" w:space="0" w:color="auto"/>
              <w:bottom w:val="single" w:sz="4" w:space="0" w:color="auto"/>
              <w:right w:val="single" w:sz="4" w:space="0" w:color="auto"/>
            </w:tcBorders>
            <w:shd w:val="clear" w:color="auto" w:fill="auto"/>
            <w:noWrap/>
            <w:vAlign w:val="bottom"/>
            <w:hideMark/>
          </w:tcPr>
          <w:p w:rsidR="00837656" w:rsidRPr="008C4624" w:rsidRDefault="00837656" w:rsidP="00EA40F8">
            <w:pPr>
              <w:spacing w:after="0" w:line="240" w:lineRule="auto"/>
              <w:rPr>
                <w:rFonts w:ascii="Arial" w:eastAsia="Times New Roman" w:hAnsi="Arial" w:cs="Arial"/>
                <w:color w:val="000000"/>
                <w:sz w:val="18"/>
                <w:lang w:eastAsia="es-HN"/>
              </w:rPr>
            </w:pPr>
            <w:r w:rsidRPr="008C4624">
              <w:rPr>
                <w:rFonts w:ascii="Arial" w:eastAsia="Times New Roman" w:hAnsi="Arial" w:cs="Arial"/>
                <w:color w:val="000000"/>
                <w:sz w:val="18"/>
                <w:lang w:eastAsia="es-HN"/>
              </w:rPr>
              <w:t>Secretaría de Infraestructura y Servicios Públicos</w:t>
            </w:r>
          </w:p>
        </w:tc>
        <w:tc>
          <w:tcPr>
            <w:tcW w:w="3640" w:type="dxa"/>
            <w:tcBorders>
              <w:top w:val="nil"/>
              <w:left w:val="nil"/>
              <w:bottom w:val="single" w:sz="4" w:space="0" w:color="auto"/>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12%</w:t>
            </w:r>
          </w:p>
        </w:tc>
      </w:tr>
      <w:tr w:rsidR="00837656" w:rsidRPr="008C4624" w:rsidTr="008C4624">
        <w:trPr>
          <w:trHeight w:val="300"/>
        </w:trPr>
        <w:tc>
          <w:tcPr>
            <w:tcW w:w="4376" w:type="dxa"/>
            <w:tcBorders>
              <w:top w:val="nil"/>
              <w:left w:val="single" w:sz="8" w:space="0" w:color="auto"/>
              <w:bottom w:val="single" w:sz="4" w:space="0" w:color="auto"/>
              <w:right w:val="single" w:sz="4" w:space="0" w:color="auto"/>
            </w:tcBorders>
            <w:shd w:val="clear" w:color="auto" w:fill="auto"/>
            <w:noWrap/>
            <w:vAlign w:val="bottom"/>
            <w:hideMark/>
          </w:tcPr>
          <w:p w:rsidR="00837656" w:rsidRPr="008C4624" w:rsidRDefault="00837656" w:rsidP="00EA40F8">
            <w:pPr>
              <w:spacing w:after="0" w:line="240" w:lineRule="auto"/>
              <w:rPr>
                <w:rFonts w:ascii="Arial" w:eastAsia="Times New Roman" w:hAnsi="Arial" w:cs="Arial"/>
                <w:color w:val="000000"/>
                <w:sz w:val="18"/>
                <w:lang w:eastAsia="es-HN"/>
              </w:rPr>
            </w:pPr>
            <w:r w:rsidRPr="008C4624">
              <w:rPr>
                <w:rFonts w:ascii="Arial" w:eastAsia="Times New Roman" w:hAnsi="Arial" w:cs="Arial"/>
                <w:color w:val="000000"/>
                <w:sz w:val="18"/>
                <w:lang w:eastAsia="es-HN"/>
              </w:rPr>
              <w:t>Secretaría de Finanzas</w:t>
            </w:r>
          </w:p>
        </w:tc>
        <w:tc>
          <w:tcPr>
            <w:tcW w:w="3640" w:type="dxa"/>
            <w:tcBorders>
              <w:top w:val="nil"/>
              <w:left w:val="nil"/>
              <w:bottom w:val="single" w:sz="4" w:space="0" w:color="auto"/>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28%</w:t>
            </w:r>
          </w:p>
        </w:tc>
      </w:tr>
      <w:tr w:rsidR="00837656" w:rsidRPr="008C4624" w:rsidTr="008C4624">
        <w:trPr>
          <w:trHeight w:val="300"/>
        </w:trPr>
        <w:tc>
          <w:tcPr>
            <w:tcW w:w="4376" w:type="dxa"/>
            <w:tcBorders>
              <w:top w:val="nil"/>
              <w:left w:val="single" w:sz="8" w:space="0" w:color="auto"/>
              <w:bottom w:val="single" w:sz="4" w:space="0" w:color="auto"/>
              <w:right w:val="single" w:sz="4" w:space="0" w:color="auto"/>
            </w:tcBorders>
            <w:shd w:val="clear" w:color="auto" w:fill="auto"/>
            <w:noWrap/>
            <w:vAlign w:val="bottom"/>
            <w:hideMark/>
          </w:tcPr>
          <w:p w:rsidR="00837656" w:rsidRPr="008C4624" w:rsidRDefault="00837656" w:rsidP="00EA40F8">
            <w:pPr>
              <w:spacing w:after="0" w:line="240" w:lineRule="auto"/>
              <w:rPr>
                <w:rFonts w:ascii="Arial" w:eastAsia="Times New Roman" w:hAnsi="Arial" w:cs="Arial"/>
                <w:color w:val="000000"/>
                <w:sz w:val="18"/>
                <w:lang w:eastAsia="es-HN"/>
              </w:rPr>
            </w:pPr>
            <w:r w:rsidRPr="008C4624">
              <w:rPr>
                <w:rFonts w:ascii="Arial" w:eastAsia="Times New Roman" w:hAnsi="Arial" w:cs="Arial"/>
                <w:color w:val="000000"/>
                <w:sz w:val="18"/>
                <w:lang w:eastAsia="es-HN"/>
              </w:rPr>
              <w:t>Secretaría  de Agricultura y Ganadería</w:t>
            </w:r>
          </w:p>
        </w:tc>
        <w:tc>
          <w:tcPr>
            <w:tcW w:w="3640" w:type="dxa"/>
            <w:tcBorders>
              <w:top w:val="nil"/>
              <w:left w:val="nil"/>
              <w:bottom w:val="single" w:sz="4" w:space="0" w:color="auto"/>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73%</w:t>
            </w:r>
          </w:p>
        </w:tc>
      </w:tr>
      <w:tr w:rsidR="00837656" w:rsidRPr="008C4624" w:rsidTr="008C4624">
        <w:trPr>
          <w:trHeight w:val="300"/>
        </w:trPr>
        <w:tc>
          <w:tcPr>
            <w:tcW w:w="4376" w:type="dxa"/>
            <w:tcBorders>
              <w:top w:val="nil"/>
              <w:left w:val="single" w:sz="8" w:space="0" w:color="auto"/>
              <w:bottom w:val="single" w:sz="4" w:space="0" w:color="auto"/>
              <w:right w:val="single" w:sz="4" w:space="0" w:color="auto"/>
            </w:tcBorders>
            <w:shd w:val="clear" w:color="auto" w:fill="auto"/>
            <w:noWrap/>
            <w:vAlign w:val="bottom"/>
            <w:hideMark/>
          </w:tcPr>
          <w:p w:rsidR="00837656" w:rsidRPr="008C4624" w:rsidRDefault="00837656" w:rsidP="00EA40F8">
            <w:pPr>
              <w:spacing w:after="0" w:line="240" w:lineRule="auto"/>
              <w:rPr>
                <w:rFonts w:ascii="Arial" w:eastAsia="Times New Roman" w:hAnsi="Arial" w:cs="Arial"/>
                <w:color w:val="000000"/>
                <w:sz w:val="18"/>
                <w:lang w:eastAsia="es-HN"/>
              </w:rPr>
            </w:pPr>
            <w:r w:rsidRPr="008C4624">
              <w:rPr>
                <w:rFonts w:ascii="Arial" w:eastAsia="Times New Roman" w:hAnsi="Arial" w:cs="Arial"/>
                <w:color w:val="000000"/>
                <w:sz w:val="18"/>
                <w:lang w:eastAsia="es-HN"/>
              </w:rPr>
              <w:t>Secretaría de Justicia y Derechos Humanos</w:t>
            </w:r>
          </w:p>
        </w:tc>
        <w:tc>
          <w:tcPr>
            <w:tcW w:w="3640" w:type="dxa"/>
            <w:tcBorders>
              <w:top w:val="nil"/>
              <w:left w:val="nil"/>
              <w:bottom w:val="single" w:sz="4" w:space="0" w:color="auto"/>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105%</w:t>
            </w:r>
          </w:p>
        </w:tc>
      </w:tr>
      <w:tr w:rsidR="00837656" w:rsidRPr="008C4624" w:rsidTr="008C4624">
        <w:trPr>
          <w:trHeight w:val="300"/>
        </w:trPr>
        <w:tc>
          <w:tcPr>
            <w:tcW w:w="4376" w:type="dxa"/>
            <w:tcBorders>
              <w:top w:val="nil"/>
              <w:left w:val="single" w:sz="8" w:space="0" w:color="auto"/>
              <w:bottom w:val="single" w:sz="4" w:space="0" w:color="auto"/>
              <w:right w:val="single" w:sz="4" w:space="0" w:color="auto"/>
            </w:tcBorders>
            <w:shd w:val="clear" w:color="auto" w:fill="auto"/>
            <w:noWrap/>
            <w:vAlign w:val="bottom"/>
            <w:hideMark/>
          </w:tcPr>
          <w:p w:rsidR="00837656" w:rsidRPr="008C4624" w:rsidRDefault="00837656" w:rsidP="00EA40F8">
            <w:pPr>
              <w:spacing w:after="0" w:line="240" w:lineRule="auto"/>
              <w:rPr>
                <w:rFonts w:ascii="Arial" w:eastAsia="Times New Roman" w:hAnsi="Arial" w:cs="Arial"/>
                <w:color w:val="000000"/>
                <w:sz w:val="18"/>
                <w:lang w:eastAsia="es-HN"/>
              </w:rPr>
            </w:pPr>
            <w:r w:rsidRPr="008C4624">
              <w:rPr>
                <w:rFonts w:ascii="Arial" w:eastAsia="Times New Roman" w:hAnsi="Arial" w:cs="Arial"/>
                <w:color w:val="000000"/>
                <w:sz w:val="18"/>
                <w:lang w:eastAsia="es-HN"/>
              </w:rPr>
              <w:t>Secretaría de Educación</w:t>
            </w:r>
          </w:p>
        </w:tc>
        <w:tc>
          <w:tcPr>
            <w:tcW w:w="3640" w:type="dxa"/>
            <w:tcBorders>
              <w:top w:val="nil"/>
              <w:left w:val="nil"/>
              <w:bottom w:val="single" w:sz="4" w:space="0" w:color="auto"/>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118%</w:t>
            </w:r>
          </w:p>
        </w:tc>
      </w:tr>
      <w:tr w:rsidR="00837656" w:rsidRPr="008C4624" w:rsidTr="008C4624">
        <w:trPr>
          <w:trHeight w:val="315"/>
        </w:trPr>
        <w:tc>
          <w:tcPr>
            <w:tcW w:w="4376" w:type="dxa"/>
            <w:tcBorders>
              <w:top w:val="nil"/>
              <w:left w:val="single" w:sz="8" w:space="0" w:color="auto"/>
              <w:bottom w:val="nil"/>
              <w:right w:val="single" w:sz="4" w:space="0" w:color="auto"/>
            </w:tcBorders>
            <w:shd w:val="clear" w:color="auto" w:fill="auto"/>
            <w:noWrap/>
            <w:vAlign w:val="bottom"/>
            <w:hideMark/>
          </w:tcPr>
          <w:p w:rsidR="00837656" w:rsidRPr="008C4624" w:rsidRDefault="00837656" w:rsidP="00EA40F8">
            <w:pPr>
              <w:spacing w:after="0" w:line="240" w:lineRule="auto"/>
              <w:rPr>
                <w:rFonts w:ascii="Arial" w:eastAsia="Times New Roman" w:hAnsi="Arial" w:cs="Arial"/>
                <w:color w:val="000000"/>
                <w:sz w:val="18"/>
                <w:lang w:eastAsia="es-HN"/>
              </w:rPr>
            </w:pPr>
            <w:r w:rsidRPr="008C4624">
              <w:rPr>
                <w:rFonts w:ascii="Arial" w:eastAsia="Times New Roman" w:hAnsi="Arial" w:cs="Arial"/>
                <w:color w:val="000000"/>
                <w:sz w:val="18"/>
                <w:lang w:eastAsia="es-HN"/>
              </w:rPr>
              <w:t>Secretaría de Salud</w:t>
            </w:r>
          </w:p>
        </w:tc>
        <w:tc>
          <w:tcPr>
            <w:tcW w:w="3640" w:type="dxa"/>
            <w:tcBorders>
              <w:top w:val="nil"/>
              <w:left w:val="nil"/>
              <w:bottom w:val="nil"/>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124%</w:t>
            </w:r>
          </w:p>
        </w:tc>
      </w:tr>
      <w:tr w:rsidR="00837656" w:rsidRPr="008C4624" w:rsidTr="008C4624">
        <w:trPr>
          <w:trHeight w:val="315"/>
        </w:trPr>
        <w:tc>
          <w:tcPr>
            <w:tcW w:w="437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b/>
                <w:bCs/>
                <w:color w:val="000000"/>
                <w:sz w:val="18"/>
                <w:lang w:eastAsia="es-HN"/>
              </w:rPr>
            </w:pPr>
            <w:r w:rsidRPr="008C4624">
              <w:rPr>
                <w:rFonts w:ascii="Arial" w:eastAsia="Times New Roman" w:hAnsi="Arial" w:cs="Arial"/>
                <w:b/>
                <w:bCs/>
                <w:color w:val="000000"/>
                <w:sz w:val="18"/>
                <w:lang w:eastAsia="es-HN"/>
              </w:rPr>
              <w:lastRenderedPageBreak/>
              <w:t>Promedio  Simple</w:t>
            </w:r>
          </w:p>
        </w:tc>
        <w:tc>
          <w:tcPr>
            <w:tcW w:w="3640" w:type="dxa"/>
            <w:tcBorders>
              <w:top w:val="single" w:sz="8" w:space="0" w:color="auto"/>
              <w:left w:val="nil"/>
              <w:bottom w:val="single" w:sz="8" w:space="0" w:color="auto"/>
              <w:right w:val="single" w:sz="8" w:space="0" w:color="auto"/>
            </w:tcBorders>
            <w:shd w:val="clear" w:color="auto" w:fill="auto"/>
            <w:noWrap/>
            <w:vAlign w:val="bottom"/>
            <w:hideMark/>
          </w:tcPr>
          <w:p w:rsidR="00837656" w:rsidRPr="008C4624" w:rsidRDefault="00837656" w:rsidP="00EA40F8">
            <w:pPr>
              <w:spacing w:after="0" w:line="240" w:lineRule="auto"/>
              <w:jc w:val="right"/>
              <w:rPr>
                <w:rFonts w:ascii="Arial" w:eastAsia="Times New Roman" w:hAnsi="Arial" w:cs="Arial"/>
                <w:color w:val="000000"/>
                <w:sz w:val="18"/>
                <w:lang w:eastAsia="es-HN"/>
              </w:rPr>
            </w:pPr>
            <w:r w:rsidRPr="008C4624">
              <w:rPr>
                <w:rFonts w:ascii="Arial" w:eastAsia="Times New Roman" w:hAnsi="Arial" w:cs="Arial"/>
                <w:color w:val="000000"/>
                <w:sz w:val="18"/>
                <w:lang w:eastAsia="es-HN"/>
              </w:rPr>
              <w:t>77%</w:t>
            </w:r>
          </w:p>
        </w:tc>
      </w:tr>
    </w:tbl>
    <w:p w:rsidR="00837656" w:rsidRPr="002E1AE0" w:rsidRDefault="00837656" w:rsidP="00837656">
      <w:pPr>
        <w:pStyle w:val="Paragraph"/>
        <w:numPr>
          <w:ilvl w:val="0"/>
          <w:numId w:val="0"/>
        </w:numPr>
        <w:rPr>
          <w:rFonts w:ascii="Arial" w:hAnsi="Arial" w:cs="Arial"/>
          <w:b/>
          <w:sz w:val="22"/>
          <w:szCs w:val="22"/>
        </w:rPr>
      </w:pPr>
    </w:p>
    <w:p w:rsidR="00837656" w:rsidRPr="002E1AE0" w:rsidRDefault="00837656" w:rsidP="00837656">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 xml:space="preserve">Costos </w:t>
      </w:r>
      <w:r w:rsidR="000B4752" w:rsidRPr="002E1AE0">
        <w:rPr>
          <w:rFonts w:ascii="Arial" w:hAnsi="Arial" w:cs="Arial"/>
          <w:b/>
          <w:sz w:val="22"/>
          <w:szCs w:val="22"/>
        </w:rPr>
        <w:t>a</w:t>
      </w:r>
      <w:r w:rsidRPr="002E1AE0">
        <w:rPr>
          <w:rFonts w:ascii="Arial" w:hAnsi="Arial" w:cs="Arial"/>
          <w:b/>
          <w:sz w:val="22"/>
          <w:szCs w:val="22"/>
        </w:rPr>
        <w:t xml:space="preserve">sociados a </w:t>
      </w:r>
      <w:r w:rsidR="000B4752" w:rsidRPr="002E1AE0">
        <w:rPr>
          <w:rFonts w:ascii="Arial" w:hAnsi="Arial" w:cs="Arial"/>
          <w:b/>
          <w:sz w:val="22"/>
          <w:szCs w:val="22"/>
        </w:rPr>
        <w:t xml:space="preserve">la </w:t>
      </w:r>
      <w:r w:rsidRPr="002E1AE0">
        <w:rPr>
          <w:rFonts w:ascii="Arial" w:hAnsi="Arial" w:cs="Arial"/>
          <w:b/>
          <w:sz w:val="22"/>
          <w:szCs w:val="22"/>
        </w:rPr>
        <w:t xml:space="preserve">modernización de las compras </w:t>
      </w:r>
      <w:r w:rsidR="000B4752" w:rsidRPr="002E1AE0">
        <w:rPr>
          <w:rFonts w:ascii="Arial" w:hAnsi="Arial" w:cs="Arial"/>
          <w:b/>
          <w:sz w:val="22"/>
          <w:szCs w:val="22"/>
        </w:rPr>
        <w:t>p</w:t>
      </w:r>
      <w:r w:rsidRPr="002E1AE0">
        <w:rPr>
          <w:rFonts w:ascii="Arial" w:hAnsi="Arial" w:cs="Arial"/>
          <w:b/>
          <w:sz w:val="22"/>
          <w:szCs w:val="22"/>
        </w:rPr>
        <w:t>úblicas</w:t>
      </w:r>
    </w:p>
    <w:tbl>
      <w:tblPr>
        <w:tblStyle w:val="TableGrid"/>
        <w:tblW w:w="0" w:type="auto"/>
        <w:tblInd w:w="1242" w:type="dxa"/>
        <w:tblLook w:val="04A0" w:firstRow="1" w:lastRow="0" w:firstColumn="1" w:lastColumn="0" w:noHBand="0" w:noVBand="1"/>
      </w:tblPr>
      <w:tblGrid>
        <w:gridCol w:w="3694"/>
        <w:gridCol w:w="3920"/>
      </w:tblGrid>
      <w:tr w:rsidR="00837656" w:rsidRPr="008C4624" w:rsidTr="008C4624">
        <w:tc>
          <w:tcPr>
            <w:tcW w:w="3828" w:type="dxa"/>
            <w:shd w:val="clear" w:color="auto" w:fill="BDD6EE" w:themeFill="accent1" w:themeFillTint="66"/>
          </w:tcPr>
          <w:p w:rsidR="00837656" w:rsidRPr="008C4624" w:rsidRDefault="00837656" w:rsidP="00EA40F8">
            <w:pPr>
              <w:pStyle w:val="ListParagraph"/>
              <w:spacing w:before="120" w:after="120"/>
              <w:ind w:left="0"/>
              <w:contextualSpacing w:val="0"/>
              <w:jc w:val="center"/>
              <w:rPr>
                <w:rFonts w:ascii="Arial" w:hAnsi="Arial" w:cs="Arial"/>
                <w:b/>
                <w:sz w:val="18"/>
              </w:rPr>
            </w:pPr>
            <w:r w:rsidRPr="008C4624">
              <w:rPr>
                <w:rFonts w:ascii="Arial" w:hAnsi="Arial" w:cs="Arial"/>
                <w:b/>
                <w:sz w:val="18"/>
              </w:rPr>
              <w:t>Costos (US$)</w:t>
            </w:r>
          </w:p>
        </w:tc>
        <w:tc>
          <w:tcPr>
            <w:tcW w:w="4095" w:type="dxa"/>
            <w:shd w:val="clear" w:color="auto" w:fill="BDD6EE" w:themeFill="accent1" w:themeFillTint="66"/>
          </w:tcPr>
          <w:p w:rsidR="00837656" w:rsidRPr="008C4624" w:rsidRDefault="00837656" w:rsidP="00EA40F8">
            <w:pPr>
              <w:pStyle w:val="ListParagraph"/>
              <w:spacing w:before="120" w:after="120"/>
              <w:ind w:left="0"/>
              <w:contextualSpacing w:val="0"/>
              <w:jc w:val="center"/>
              <w:rPr>
                <w:rFonts w:ascii="Arial" w:hAnsi="Arial" w:cs="Arial"/>
                <w:b/>
                <w:sz w:val="18"/>
              </w:rPr>
            </w:pPr>
            <w:r w:rsidRPr="008C4624">
              <w:rPr>
                <w:rFonts w:ascii="Arial" w:hAnsi="Arial" w:cs="Arial"/>
                <w:b/>
                <w:sz w:val="18"/>
              </w:rPr>
              <w:t>Monto</w:t>
            </w:r>
          </w:p>
        </w:tc>
      </w:tr>
      <w:tr w:rsidR="00837656" w:rsidRPr="008C4624" w:rsidTr="008C4624">
        <w:tc>
          <w:tcPr>
            <w:tcW w:w="3828" w:type="dxa"/>
          </w:tcPr>
          <w:p w:rsidR="00837656" w:rsidRPr="008C4624" w:rsidRDefault="00837656" w:rsidP="000B4752">
            <w:pPr>
              <w:pStyle w:val="ListParagraph"/>
              <w:spacing w:before="120" w:after="120"/>
              <w:ind w:left="0"/>
              <w:contextualSpacing w:val="0"/>
              <w:jc w:val="both"/>
              <w:rPr>
                <w:rFonts w:ascii="Arial" w:hAnsi="Arial" w:cs="Arial"/>
                <w:sz w:val="18"/>
              </w:rPr>
            </w:pPr>
            <w:r w:rsidRPr="008C4624">
              <w:rPr>
                <w:rFonts w:ascii="Arial" w:hAnsi="Arial" w:cs="Arial"/>
                <w:sz w:val="18"/>
              </w:rPr>
              <w:t>1. Equipo técnico del Gobierno compuest</w:t>
            </w:r>
            <w:r w:rsidR="000B4752" w:rsidRPr="008C4624">
              <w:rPr>
                <w:rFonts w:ascii="Arial" w:hAnsi="Arial" w:cs="Arial"/>
                <w:sz w:val="18"/>
              </w:rPr>
              <w:t>o</w:t>
            </w:r>
            <w:r w:rsidRPr="008C4624">
              <w:rPr>
                <w:rFonts w:ascii="Arial" w:hAnsi="Arial" w:cs="Arial"/>
                <w:sz w:val="18"/>
              </w:rPr>
              <w:t xml:space="preserve"> de 10 especialistas que viene participando desde 2005 en el proceso de modernización de las compras públicas (10 especialistas * US$ 24</w:t>
            </w:r>
            <w:r w:rsidR="000B4752" w:rsidRPr="008C4624">
              <w:rPr>
                <w:rFonts w:ascii="Arial" w:hAnsi="Arial" w:cs="Arial"/>
                <w:sz w:val="18"/>
              </w:rPr>
              <w:t>.</w:t>
            </w:r>
            <w:r w:rsidRPr="008C4624">
              <w:rPr>
                <w:rFonts w:ascii="Arial" w:hAnsi="Arial" w:cs="Arial"/>
                <w:sz w:val="18"/>
              </w:rPr>
              <w:t xml:space="preserve">000 anuales * 10 años)  </w:t>
            </w:r>
          </w:p>
        </w:tc>
        <w:tc>
          <w:tcPr>
            <w:tcW w:w="4095" w:type="dxa"/>
            <w:vAlign w:val="center"/>
          </w:tcPr>
          <w:p w:rsidR="00837656" w:rsidRPr="008C4624" w:rsidRDefault="00837656" w:rsidP="000B4752">
            <w:pPr>
              <w:pStyle w:val="ListParagraph"/>
              <w:spacing w:before="120" w:after="120"/>
              <w:ind w:left="0"/>
              <w:contextualSpacing w:val="0"/>
              <w:jc w:val="center"/>
              <w:rPr>
                <w:rFonts w:ascii="Arial" w:hAnsi="Arial" w:cs="Arial"/>
                <w:sz w:val="18"/>
              </w:rPr>
            </w:pPr>
            <w:r w:rsidRPr="008C4624">
              <w:rPr>
                <w:rFonts w:ascii="Arial" w:hAnsi="Arial" w:cs="Arial"/>
                <w:sz w:val="18"/>
              </w:rPr>
              <w:t>US$ 2</w:t>
            </w:r>
            <w:r w:rsidR="000B4752" w:rsidRPr="008C4624">
              <w:rPr>
                <w:rFonts w:ascii="Arial" w:hAnsi="Arial" w:cs="Arial"/>
                <w:sz w:val="18"/>
              </w:rPr>
              <w:t>.</w:t>
            </w:r>
            <w:r w:rsidRPr="008C4624">
              <w:rPr>
                <w:rFonts w:ascii="Arial" w:hAnsi="Arial" w:cs="Arial"/>
                <w:sz w:val="18"/>
              </w:rPr>
              <w:t>400</w:t>
            </w:r>
            <w:r w:rsidR="000B4752" w:rsidRPr="008C4624">
              <w:rPr>
                <w:rFonts w:ascii="Arial" w:hAnsi="Arial" w:cs="Arial"/>
                <w:sz w:val="18"/>
              </w:rPr>
              <w:t>.</w:t>
            </w:r>
            <w:r w:rsidRPr="008C4624">
              <w:rPr>
                <w:rFonts w:ascii="Arial" w:hAnsi="Arial" w:cs="Arial"/>
                <w:sz w:val="18"/>
              </w:rPr>
              <w:t>000</w:t>
            </w:r>
          </w:p>
        </w:tc>
      </w:tr>
      <w:tr w:rsidR="00837656" w:rsidRPr="008C4624" w:rsidTr="008C4624">
        <w:tc>
          <w:tcPr>
            <w:tcW w:w="3828" w:type="dxa"/>
          </w:tcPr>
          <w:p w:rsidR="00837656" w:rsidRPr="008C4624" w:rsidRDefault="00837656" w:rsidP="00EA40F8">
            <w:pPr>
              <w:pStyle w:val="ListParagraph"/>
              <w:spacing w:before="120" w:after="120"/>
              <w:ind w:left="0"/>
              <w:contextualSpacing w:val="0"/>
              <w:jc w:val="both"/>
              <w:rPr>
                <w:rFonts w:ascii="Arial" w:hAnsi="Arial" w:cs="Arial"/>
                <w:sz w:val="18"/>
              </w:rPr>
            </w:pPr>
            <w:r w:rsidRPr="008C4624">
              <w:rPr>
                <w:rFonts w:ascii="Arial" w:hAnsi="Arial" w:cs="Arial"/>
                <w:sz w:val="18"/>
              </w:rPr>
              <w:t xml:space="preserve">2. Adquisición de sistemas e infraestructura tecnológica para su implementación </w:t>
            </w:r>
          </w:p>
        </w:tc>
        <w:tc>
          <w:tcPr>
            <w:tcW w:w="4095" w:type="dxa"/>
            <w:vAlign w:val="center"/>
          </w:tcPr>
          <w:p w:rsidR="00837656" w:rsidRPr="008C4624" w:rsidRDefault="00837656" w:rsidP="000B4752">
            <w:pPr>
              <w:pStyle w:val="ListParagraph"/>
              <w:spacing w:before="120" w:after="120"/>
              <w:ind w:left="0"/>
              <w:contextualSpacing w:val="0"/>
              <w:jc w:val="center"/>
              <w:rPr>
                <w:rFonts w:ascii="Arial" w:hAnsi="Arial" w:cs="Arial"/>
                <w:sz w:val="18"/>
              </w:rPr>
            </w:pPr>
            <w:r w:rsidRPr="008C4624">
              <w:rPr>
                <w:rFonts w:ascii="Arial" w:hAnsi="Arial" w:cs="Arial"/>
                <w:sz w:val="18"/>
              </w:rPr>
              <w:t>US$ 5</w:t>
            </w:r>
            <w:r w:rsidR="000B4752" w:rsidRPr="008C4624">
              <w:rPr>
                <w:rFonts w:ascii="Arial" w:hAnsi="Arial" w:cs="Arial"/>
                <w:sz w:val="18"/>
              </w:rPr>
              <w:t>.</w:t>
            </w:r>
            <w:r w:rsidRPr="008C4624">
              <w:rPr>
                <w:rFonts w:ascii="Arial" w:hAnsi="Arial" w:cs="Arial"/>
                <w:sz w:val="18"/>
              </w:rPr>
              <w:t>000</w:t>
            </w:r>
            <w:r w:rsidR="000B4752" w:rsidRPr="008C4624">
              <w:rPr>
                <w:rFonts w:ascii="Arial" w:hAnsi="Arial" w:cs="Arial"/>
                <w:sz w:val="18"/>
              </w:rPr>
              <w:t>.</w:t>
            </w:r>
            <w:r w:rsidRPr="008C4624">
              <w:rPr>
                <w:rFonts w:ascii="Arial" w:hAnsi="Arial" w:cs="Arial"/>
                <w:sz w:val="18"/>
              </w:rPr>
              <w:t>000</w:t>
            </w:r>
          </w:p>
        </w:tc>
      </w:tr>
      <w:tr w:rsidR="00837656" w:rsidRPr="008C4624" w:rsidTr="008C4624">
        <w:tc>
          <w:tcPr>
            <w:tcW w:w="3828" w:type="dxa"/>
          </w:tcPr>
          <w:p w:rsidR="00837656" w:rsidRPr="008C4624" w:rsidRDefault="00837656" w:rsidP="00EA40F8">
            <w:pPr>
              <w:pStyle w:val="ListParagraph"/>
              <w:spacing w:before="120" w:after="120"/>
              <w:ind w:left="0"/>
              <w:contextualSpacing w:val="0"/>
              <w:jc w:val="both"/>
              <w:rPr>
                <w:rFonts w:ascii="Arial" w:hAnsi="Arial" w:cs="Arial"/>
                <w:sz w:val="18"/>
              </w:rPr>
            </w:pPr>
            <w:r w:rsidRPr="008C4624">
              <w:rPr>
                <w:rFonts w:ascii="Arial" w:hAnsi="Arial" w:cs="Arial"/>
                <w:sz w:val="18"/>
              </w:rPr>
              <w:t>3. Contratación de consultorías externas para el apoyo de la modernización</w:t>
            </w:r>
          </w:p>
        </w:tc>
        <w:tc>
          <w:tcPr>
            <w:tcW w:w="4095" w:type="dxa"/>
            <w:vAlign w:val="center"/>
          </w:tcPr>
          <w:p w:rsidR="00837656" w:rsidRPr="008C4624" w:rsidRDefault="00837656" w:rsidP="000B4752">
            <w:pPr>
              <w:pStyle w:val="ListParagraph"/>
              <w:spacing w:before="120" w:after="120"/>
              <w:ind w:left="0"/>
              <w:contextualSpacing w:val="0"/>
              <w:jc w:val="center"/>
              <w:rPr>
                <w:rFonts w:ascii="Arial" w:hAnsi="Arial" w:cs="Arial"/>
                <w:sz w:val="18"/>
              </w:rPr>
            </w:pPr>
            <w:r w:rsidRPr="008C4624">
              <w:rPr>
                <w:rFonts w:ascii="Arial" w:hAnsi="Arial" w:cs="Arial"/>
                <w:sz w:val="18"/>
              </w:rPr>
              <w:t>US$ 1</w:t>
            </w:r>
            <w:r w:rsidR="000B4752" w:rsidRPr="008C4624">
              <w:rPr>
                <w:rFonts w:ascii="Arial" w:hAnsi="Arial" w:cs="Arial"/>
                <w:sz w:val="18"/>
              </w:rPr>
              <w:t>.</w:t>
            </w:r>
            <w:r w:rsidRPr="008C4624">
              <w:rPr>
                <w:rFonts w:ascii="Arial" w:hAnsi="Arial" w:cs="Arial"/>
                <w:sz w:val="18"/>
              </w:rPr>
              <w:t>000</w:t>
            </w:r>
            <w:r w:rsidR="000B4752" w:rsidRPr="008C4624">
              <w:rPr>
                <w:rFonts w:ascii="Arial" w:hAnsi="Arial" w:cs="Arial"/>
                <w:sz w:val="18"/>
              </w:rPr>
              <w:t>.</w:t>
            </w:r>
            <w:r w:rsidRPr="008C4624">
              <w:rPr>
                <w:rFonts w:ascii="Arial" w:hAnsi="Arial" w:cs="Arial"/>
                <w:sz w:val="18"/>
              </w:rPr>
              <w:t>000</w:t>
            </w:r>
          </w:p>
        </w:tc>
      </w:tr>
      <w:tr w:rsidR="00837656" w:rsidRPr="008C4624" w:rsidTr="008C4624">
        <w:tc>
          <w:tcPr>
            <w:tcW w:w="3828" w:type="dxa"/>
          </w:tcPr>
          <w:p w:rsidR="00837656" w:rsidRPr="008C4624" w:rsidRDefault="00837656" w:rsidP="00EA40F8">
            <w:pPr>
              <w:pStyle w:val="ListParagraph"/>
              <w:spacing w:before="120" w:after="120"/>
              <w:ind w:left="0"/>
              <w:contextualSpacing w:val="0"/>
              <w:jc w:val="center"/>
              <w:rPr>
                <w:rFonts w:ascii="Arial" w:hAnsi="Arial" w:cs="Arial"/>
                <w:b/>
                <w:sz w:val="18"/>
              </w:rPr>
            </w:pPr>
            <w:r w:rsidRPr="008C4624">
              <w:rPr>
                <w:rFonts w:ascii="Arial" w:hAnsi="Arial" w:cs="Arial"/>
                <w:b/>
                <w:sz w:val="18"/>
              </w:rPr>
              <w:t>Total</w:t>
            </w:r>
          </w:p>
        </w:tc>
        <w:tc>
          <w:tcPr>
            <w:tcW w:w="4095" w:type="dxa"/>
            <w:vAlign w:val="center"/>
          </w:tcPr>
          <w:p w:rsidR="00837656" w:rsidRPr="008C4624" w:rsidRDefault="00837656" w:rsidP="000B4752">
            <w:pPr>
              <w:pStyle w:val="ListParagraph"/>
              <w:spacing w:before="120" w:after="120"/>
              <w:ind w:left="0"/>
              <w:contextualSpacing w:val="0"/>
              <w:jc w:val="center"/>
              <w:rPr>
                <w:rFonts w:ascii="Arial" w:hAnsi="Arial" w:cs="Arial"/>
                <w:b/>
                <w:sz w:val="18"/>
              </w:rPr>
            </w:pPr>
            <w:r w:rsidRPr="008C4624">
              <w:rPr>
                <w:rFonts w:ascii="Arial" w:hAnsi="Arial" w:cs="Arial"/>
                <w:b/>
                <w:sz w:val="18"/>
              </w:rPr>
              <w:t>US$ 8</w:t>
            </w:r>
            <w:r w:rsidR="000B4752" w:rsidRPr="008C4624">
              <w:rPr>
                <w:rFonts w:ascii="Arial" w:hAnsi="Arial" w:cs="Arial"/>
                <w:b/>
                <w:sz w:val="18"/>
              </w:rPr>
              <w:t>.</w:t>
            </w:r>
            <w:r w:rsidRPr="008C4624">
              <w:rPr>
                <w:rFonts w:ascii="Arial" w:hAnsi="Arial" w:cs="Arial"/>
                <w:b/>
                <w:sz w:val="18"/>
              </w:rPr>
              <w:t>400</w:t>
            </w:r>
            <w:r w:rsidR="000B4752" w:rsidRPr="008C4624">
              <w:rPr>
                <w:rFonts w:ascii="Arial" w:hAnsi="Arial" w:cs="Arial"/>
                <w:b/>
                <w:sz w:val="18"/>
              </w:rPr>
              <w:t>.</w:t>
            </w:r>
            <w:r w:rsidRPr="008C4624">
              <w:rPr>
                <w:rFonts w:ascii="Arial" w:hAnsi="Arial" w:cs="Arial"/>
                <w:b/>
                <w:sz w:val="18"/>
              </w:rPr>
              <w:t>000</w:t>
            </w:r>
          </w:p>
        </w:tc>
      </w:tr>
    </w:tbl>
    <w:p w:rsidR="00837656" w:rsidRPr="002E1AE0" w:rsidRDefault="00837656" w:rsidP="00837656">
      <w:pPr>
        <w:pStyle w:val="ListParagraph"/>
        <w:spacing w:before="120" w:after="120" w:line="240" w:lineRule="auto"/>
        <w:ind w:left="1080"/>
        <w:contextualSpacing w:val="0"/>
        <w:jc w:val="both"/>
        <w:rPr>
          <w:rFonts w:ascii="Arial" w:hAnsi="Arial" w:cs="Arial"/>
        </w:rPr>
      </w:pPr>
    </w:p>
    <w:p w:rsidR="00837656" w:rsidRPr="002E1AE0" w:rsidRDefault="00837656">
      <w:pPr>
        <w:rPr>
          <w:rFonts w:ascii="Arial" w:hAnsi="Arial" w:cs="Arial"/>
          <w:b/>
          <w:smallCaps/>
          <w:lang w:val="es-ES"/>
        </w:rPr>
      </w:pPr>
    </w:p>
    <w:p w:rsidR="00CC7E75" w:rsidRPr="002E1AE0" w:rsidRDefault="00CC7E75">
      <w:pPr>
        <w:rPr>
          <w:rFonts w:ascii="Arial" w:hAnsi="Arial" w:cs="Arial"/>
          <w:b/>
          <w:smallCaps/>
          <w:lang w:val="es-ES"/>
        </w:rPr>
      </w:pPr>
      <w:r w:rsidRPr="002E1AE0">
        <w:rPr>
          <w:rFonts w:ascii="Arial" w:hAnsi="Arial" w:cs="Arial"/>
        </w:rPr>
        <w:br w:type="page"/>
      </w:r>
    </w:p>
    <w:p w:rsidR="00CC7E75" w:rsidRPr="002E1AE0" w:rsidRDefault="00CC7E75" w:rsidP="00CC7E75">
      <w:pPr>
        <w:pStyle w:val="Chapter"/>
        <w:rPr>
          <w:rFonts w:ascii="Arial" w:hAnsi="Arial" w:cs="Arial"/>
          <w:b w:val="0"/>
          <w:sz w:val="22"/>
          <w:szCs w:val="22"/>
        </w:rPr>
      </w:pPr>
      <w:r w:rsidRPr="002E1AE0">
        <w:rPr>
          <w:rFonts w:ascii="Arial" w:hAnsi="Arial" w:cs="Arial"/>
          <w:sz w:val="22"/>
          <w:szCs w:val="22"/>
        </w:rPr>
        <w:lastRenderedPageBreak/>
        <w:t>Supuesto 3 – Optimización de la Nómina del Gobierno Central</w:t>
      </w:r>
    </w:p>
    <w:tbl>
      <w:tblPr>
        <w:tblStyle w:val="TableGrid"/>
        <w:tblW w:w="0" w:type="auto"/>
        <w:tblInd w:w="1080" w:type="dxa"/>
        <w:tblLook w:val="04A0" w:firstRow="1" w:lastRow="0" w:firstColumn="1" w:lastColumn="0" w:noHBand="0" w:noVBand="1"/>
      </w:tblPr>
      <w:tblGrid>
        <w:gridCol w:w="7776"/>
      </w:tblGrid>
      <w:tr w:rsidR="00CC7E75" w:rsidRPr="002E1AE0" w:rsidTr="00EA40F8">
        <w:tc>
          <w:tcPr>
            <w:tcW w:w="8496" w:type="dxa"/>
          </w:tcPr>
          <w:p w:rsidR="00CC7E75" w:rsidRPr="002E1AE0" w:rsidRDefault="00CC7E75" w:rsidP="004F050E">
            <w:pPr>
              <w:pStyle w:val="ListParagraph"/>
              <w:spacing w:before="120" w:after="120"/>
              <w:ind w:left="0"/>
              <w:contextualSpacing w:val="0"/>
              <w:jc w:val="both"/>
              <w:rPr>
                <w:rFonts w:ascii="Arial" w:hAnsi="Arial" w:cs="Arial"/>
                <w:b/>
              </w:rPr>
            </w:pPr>
            <w:r w:rsidRPr="002E1AE0">
              <w:rPr>
                <w:rFonts w:ascii="Arial" w:hAnsi="Arial" w:cs="Arial"/>
                <w:b/>
              </w:rPr>
              <w:t>Con la implementación del plan de acción de las auditorias de nómina realizada</w:t>
            </w:r>
            <w:r w:rsidR="004F050E" w:rsidRPr="002E1AE0">
              <w:rPr>
                <w:rFonts w:ascii="Arial" w:hAnsi="Arial" w:cs="Arial"/>
                <w:b/>
              </w:rPr>
              <w:t>s</w:t>
            </w:r>
            <w:r w:rsidRPr="002E1AE0">
              <w:rPr>
                <w:rFonts w:ascii="Arial" w:hAnsi="Arial" w:cs="Arial"/>
                <w:b/>
              </w:rPr>
              <w:t xml:space="preserve"> a las cinco instituciones que abarcan el mayor presupuesto de sueldos y salarios del estado de Honduras se generar</w:t>
            </w:r>
            <w:r w:rsidR="004F050E" w:rsidRPr="002E1AE0">
              <w:rPr>
                <w:rFonts w:ascii="Arial" w:hAnsi="Arial" w:cs="Arial"/>
                <w:b/>
              </w:rPr>
              <w:t>á</w:t>
            </w:r>
            <w:r w:rsidRPr="002E1AE0">
              <w:rPr>
                <w:rFonts w:ascii="Arial" w:hAnsi="Arial" w:cs="Arial"/>
                <w:b/>
              </w:rPr>
              <w:t xml:space="preserve"> un beneficio financiero como resultado de la disminución de la masa salarial proveniente de la eliminación de </w:t>
            </w:r>
            <w:r w:rsidR="004F050E" w:rsidRPr="002E1AE0">
              <w:rPr>
                <w:rFonts w:ascii="Arial" w:hAnsi="Arial" w:cs="Arial"/>
                <w:b/>
              </w:rPr>
              <w:t xml:space="preserve">funcionarios </w:t>
            </w:r>
            <w:r w:rsidRPr="002E1AE0">
              <w:rPr>
                <w:rFonts w:ascii="Arial" w:hAnsi="Arial" w:cs="Arial"/>
                <w:b/>
              </w:rPr>
              <w:t>fantasma y funcionarios sin asignación específica</w:t>
            </w:r>
            <w:r w:rsidR="00976E65" w:rsidRPr="002E1AE0">
              <w:rPr>
                <w:rFonts w:ascii="Arial" w:hAnsi="Arial" w:cs="Arial"/>
                <w:b/>
              </w:rPr>
              <w:t>.</w:t>
            </w:r>
          </w:p>
        </w:tc>
      </w:tr>
    </w:tbl>
    <w:p w:rsidR="00CC7E75" w:rsidRPr="002E1AE0" w:rsidRDefault="00CC7E75" w:rsidP="00CC7E75">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Contexto</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El actual Gobierno de Honduras procura el establecimiento de un estado moderno, sencillo, responsable y competitivo, que además de proyectar la eficiencia en la actividad administrativa, genera ahorros importantes en el gasto público, contribuyendo a alcanzar un déficit fiscal sostenible. Para ello se crea la Comisión de Reforma de la Administración </w:t>
      </w:r>
      <w:r w:rsidR="007A759D" w:rsidRPr="002E1AE0">
        <w:rPr>
          <w:rFonts w:ascii="Arial" w:hAnsi="Arial" w:cs="Arial"/>
        </w:rPr>
        <w:t>Pública</w:t>
      </w:r>
      <w:r w:rsidRPr="002E1AE0">
        <w:rPr>
          <w:rFonts w:ascii="Arial" w:hAnsi="Arial" w:cs="Arial"/>
        </w:rPr>
        <w:t xml:space="preserve"> Centralizada y Descentralizada para proponer el orden y la progresividad de las instituciones con que dará inicio el proceso de reforma. Se reactiva el convenio de préstamo P10059 “Proyecto de Mejoramiento del Desempeño del Sector Publico” para invertir recursos en el control de gasto de personal y el incremento gradual de profesionalización del servicio </w:t>
      </w:r>
      <w:r w:rsidR="007A759D" w:rsidRPr="002E1AE0">
        <w:rPr>
          <w:rFonts w:ascii="Arial" w:hAnsi="Arial" w:cs="Arial"/>
        </w:rPr>
        <w:t>público</w:t>
      </w:r>
      <w:r w:rsidRPr="002E1AE0">
        <w:rPr>
          <w:rFonts w:ascii="Arial" w:hAnsi="Arial" w:cs="Arial"/>
        </w:rPr>
        <w:t xml:space="preserve"> en instituciones seleccionadas. Adicionalmente el estado lleva un registro de empleados públicos de las 88 instituciones del Poder Ejecutivo.</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En diciembre de 2014, Honduras logró un acuerdo Stand-By con el Fondo Monetario Internacional (FMI), con metas fiscales hasta 2017. El acuerdo apoya el Programa Económico del gobierno con vistas a incrementar los ingresos tributarios a 17,5% del PIB, así como reducir progresivamente el gasto corriente a 22,7% del PIB al final del 2017, especialmente disminuir el gasto en la nómina del Gobierno Central en relación al PIB de 9,1% del PIB en 2014 a 8,6% en 2016. Se espera que las medidas permitan reducir el déficit del sector público consolidado a 1,8% del PIB</w:t>
      </w:r>
      <w:r w:rsidR="007A759D" w:rsidRPr="002E1AE0">
        <w:rPr>
          <w:rFonts w:ascii="Arial" w:hAnsi="Arial" w:cs="Arial"/>
        </w:rPr>
        <w:t xml:space="preserve"> en 2019</w:t>
      </w:r>
      <w:r w:rsidRPr="002E1AE0">
        <w:rPr>
          <w:rFonts w:ascii="Arial" w:hAnsi="Arial" w:cs="Arial"/>
        </w:rPr>
        <w:t xml:space="preserve">. La consolidación de las cuentas fiscales permitirá crear las condiciones para invertir más y mejor en áreas sociales que beneficien a la población más </w:t>
      </w:r>
      <w:r w:rsidR="00C85BEE">
        <w:rPr>
          <w:rFonts w:ascii="Arial" w:hAnsi="Arial" w:cs="Arial"/>
        </w:rPr>
        <w:t>vulnerable</w:t>
      </w:r>
      <w:r w:rsidRPr="002E1AE0">
        <w:rPr>
          <w:rFonts w:ascii="Arial" w:hAnsi="Arial" w:cs="Arial"/>
        </w:rPr>
        <w:t>.</w:t>
      </w:r>
    </w:p>
    <w:p w:rsidR="00CC7E75" w:rsidRPr="002E1AE0" w:rsidRDefault="00CC7E75" w:rsidP="00CC7E75">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La Problemática</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El gasto en personal es elevado derivado de la ausencia de información confiable, ordenada y pertinente en varios sectores de la administración pública centralizada y descentralizada, haciendo difícil asegurar la veracidad del gasto en remuneraciones (en particular, en los sectores de salud y de obras públicas). Por otra parte, controles inadecuados en el sector público descentralizado llevaron a un nivel de empleo elevado en empresas públicas clave como ENEE, HONDUTEL y SANAA que contribuían fuertemente al déficit fiscal del sector público consolidado. Si bien el decreto PCM-028-2014 creó una Comisión de Reforma de la Administración Central y Descentralizada, resta implementar medidas concretas para lograr una masa salarial más eficiente y transparente.</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Estudios realizados a nivel regional indican que la gestión de recursos humanos del Gobierno de Honduras ha sido </w:t>
      </w:r>
      <w:r w:rsidR="007A759D" w:rsidRPr="002E1AE0">
        <w:rPr>
          <w:rFonts w:ascii="Arial" w:hAnsi="Arial" w:cs="Arial"/>
        </w:rPr>
        <w:t>influenciada</w:t>
      </w:r>
      <w:r w:rsidRPr="002E1AE0">
        <w:rPr>
          <w:rFonts w:ascii="Arial" w:hAnsi="Arial" w:cs="Arial"/>
        </w:rPr>
        <w:t xml:space="preserve"> por el clientelismo político, provocando que dicha gestión sea una de las áreas más débiles que </w:t>
      </w:r>
      <w:r w:rsidRPr="002E1AE0">
        <w:rPr>
          <w:rFonts w:ascii="Arial" w:hAnsi="Arial" w:cs="Arial"/>
        </w:rPr>
        <w:lastRenderedPageBreak/>
        <w:t>ocasiona desbalances presupuestarios y un deterioro en la calidad de los servicios entregados por parte del Estado a la ciudadanía</w:t>
      </w:r>
      <w:r w:rsidR="007A759D" w:rsidRPr="002E1AE0">
        <w:rPr>
          <w:rFonts w:ascii="Arial" w:hAnsi="Arial" w:cs="Arial"/>
        </w:rPr>
        <w:t>.</w:t>
      </w:r>
      <w:r w:rsidR="002C0AB8">
        <w:rPr>
          <w:rFonts w:ascii="Arial" w:hAnsi="Arial" w:cs="Arial"/>
        </w:rPr>
        <w:t xml:space="preserve"> </w:t>
      </w:r>
      <w:r w:rsidRPr="002E1AE0">
        <w:rPr>
          <w:rFonts w:ascii="Arial" w:hAnsi="Arial" w:cs="Arial"/>
        </w:rPr>
        <w:t>As</w:t>
      </w:r>
      <w:r w:rsidR="00CF24FB" w:rsidRPr="002E1AE0">
        <w:rPr>
          <w:rFonts w:ascii="Arial" w:hAnsi="Arial" w:cs="Arial"/>
        </w:rPr>
        <w:t>i</w:t>
      </w:r>
      <w:r w:rsidRPr="002E1AE0">
        <w:rPr>
          <w:rFonts w:ascii="Arial" w:hAnsi="Arial" w:cs="Arial"/>
        </w:rPr>
        <w:t xml:space="preserve">mismo informes revelan que la rigidez del presupuesto del país es ocasionado mayormente por el pago de remuneración e interés de la deuda, </w:t>
      </w:r>
      <w:r w:rsidR="007A759D" w:rsidRPr="002E1AE0">
        <w:rPr>
          <w:rFonts w:ascii="Arial" w:hAnsi="Arial" w:cs="Arial"/>
        </w:rPr>
        <w:t xml:space="preserve">representando </w:t>
      </w:r>
      <w:r w:rsidRPr="002E1AE0">
        <w:rPr>
          <w:rFonts w:ascii="Arial" w:hAnsi="Arial" w:cs="Arial"/>
        </w:rPr>
        <w:t>en su conjunto alrededor del 85% de los gastos anuales, situación que limita la creación del espacio fiscal requerido para la incorporación de inversión pública o programas sociales des</w:t>
      </w:r>
      <w:r w:rsidR="00CF24FB" w:rsidRPr="002E1AE0">
        <w:rPr>
          <w:rFonts w:ascii="Arial" w:hAnsi="Arial" w:cs="Arial"/>
        </w:rPr>
        <w:t>t</w:t>
      </w:r>
      <w:r w:rsidRPr="002E1AE0">
        <w:rPr>
          <w:rFonts w:ascii="Arial" w:hAnsi="Arial" w:cs="Arial"/>
        </w:rPr>
        <w:t xml:space="preserve">inados a mejorar las condiciones de los sectores más pobres y vulnerables de la población. El deterioro de la posición fiscal se explica principalmente por el creciente gasto corriente. Se desconocía la cantidad </w:t>
      </w:r>
      <w:r w:rsidR="00451CD8" w:rsidRPr="002E1AE0">
        <w:rPr>
          <w:rFonts w:ascii="Arial" w:hAnsi="Arial" w:cs="Arial"/>
        </w:rPr>
        <w:t xml:space="preserve">de irregularidades de los empleados públicos </w:t>
      </w:r>
      <w:r w:rsidRPr="002E1AE0">
        <w:rPr>
          <w:rFonts w:ascii="Arial" w:hAnsi="Arial" w:cs="Arial"/>
        </w:rPr>
        <w:t xml:space="preserve">producto de una carencia de política de gestión </w:t>
      </w:r>
      <w:r w:rsidR="00451CD8" w:rsidRPr="002E1AE0">
        <w:rPr>
          <w:rFonts w:ascii="Arial" w:hAnsi="Arial" w:cs="Arial"/>
        </w:rPr>
        <w:t xml:space="preserve">homogénea </w:t>
      </w:r>
      <w:r w:rsidRPr="002E1AE0">
        <w:rPr>
          <w:rFonts w:ascii="Arial" w:hAnsi="Arial" w:cs="Arial"/>
        </w:rPr>
        <w:t>de RRHH. P</w:t>
      </w:r>
      <w:r w:rsidR="00451CD8" w:rsidRPr="002E1AE0">
        <w:rPr>
          <w:rFonts w:ascii="Arial" w:hAnsi="Arial" w:cs="Arial"/>
        </w:rPr>
        <w:t xml:space="preserve">or </w:t>
      </w:r>
      <w:r w:rsidRPr="002E1AE0">
        <w:rPr>
          <w:rFonts w:ascii="Arial" w:hAnsi="Arial" w:cs="Arial"/>
        </w:rPr>
        <w:t>ello</w:t>
      </w:r>
      <w:r w:rsidR="00591A69" w:rsidRPr="002E1AE0">
        <w:rPr>
          <w:rFonts w:ascii="Arial" w:hAnsi="Arial" w:cs="Arial"/>
        </w:rPr>
        <w:t>,</w:t>
      </w:r>
      <w:r w:rsidRPr="002E1AE0">
        <w:rPr>
          <w:rFonts w:ascii="Arial" w:hAnsi="Arial" w:cs="Arial"/>
        </w:rPr>
        <w:t xml:space="preserve"> se seleccionaron cinco instituciones </w:t>
      </w:r>
      <w:r w:rsidR="00D972DF" w:rsidRPr="002E1AE0">
        <w:rPr>
          <w:rFonts w:ascii="Arial" w:hAnsi="Arial" w:cs="Arial"/>
        </w:rPr>
        <w:t>para analizar</w:t>
      </w:r>
      <w:r w:rsidRPr="002E1AE0">
        <w:rPr>
          <w:rFonts w:ascii="Arial" w:hAnsi="Arial" w:cs="Arial"/>
        </w:rPr>
        <w:t xml:space="preserve"> los problemas procedimentales y determinar las irregularidades de los empleados públicos.</w:t>
      </w:r>
    </w:p>
    <w:p w:rsidR="00CC7E75" w:rsidRPr="002E1AE0" w:rsidRDefault="009152FD" w:rsidP="00CC7E75">
      <w:pPr>
        <w:pStyle w:val="ListParagraph"/>
        <w:ind w:left="1080"/>
        <w:jc w:val="both"/>
        <w:rPr>
          <w:rFonts w:ascii="Arial" w:hAnsi="Arial" w:cs="Arial"/>
        </w:rPr>
      </w:pPr>
      <w:r w:rsidRPr="002E1AE0">
        <w:rPr>
          <w:rFonts w:ascii="Arial" w:hAnsi="Arial" w:cs="Arial"/>
        </w:rPr>
        <w:t>El Cuadro 1</w:t>
      </w:r>
      <w:r w:rsidR="00CC7E75" w:rsidRPr="002E1AE0">
        <w:rPr>
          <w:rFonts w:ascii="Arial" w:hAnsi="Arial" w:cs="Arial"/>
        </w:rPr>
        <w:t xml:space="preserve"> presenta las inconsistencias detectadas en el registro de la nómina referentes a funcionarios fantasma, así como funcionarios que estaban registrados en la nómina pero no estaban asignados </w:t>
      </w:r>
      <w:r w:rsidR="00D972DF" w:rsidRPr="002E1AE0">
        <w:rPr>
          <w:rFonts w:ascii="Arial" w:hAnsi="Arial" w:cs="Arial"/>
        </w:rPr>
        <w:t>a</w:t>
      </w:r>
      <w:r w:rsidR="00CC7E75" w:rsidRPr="002E1AE0">
        <w:rPr>
          <w:rFonts w:ascii="Arial" w:hAnsi="Arial" w:cs="Arial"/>
        </w:rPr>
        <w:t xml:space="preserve"> ninguna unidad o tarea específica.  </w:t>
      </w:r>
    </w:p>
    <w:tbl>
      <w:tblPr>
        <w:tblW w:w="8457" w:type="dxa"/>
        <w:tblInd w:w="1204" w:type="dxa"/>
        <w:tblCellMar>
          <w:left w:w="70" w:type="dxa"/>
          <w:right w:w="70" w:type="dxa"/>
        </w:tblCellMar>
        <w:tblLook w:val="04A0" w:firstRow="1" w:lastRow="0" w:firstColumn="1" w:lastColumn="0" w:noHBand="0" w:noVBand="1"/>
      </w:tblPr>
      <w:tblGrid>
        <w:gridCol w:w="3141"/>
        <w:gridCol w:w="1081"/>
        <w:gridCol w:w="1353"/>
        <w:gridCol w:w="1491"/>
        <w:gridCol w:w="1391"/>
      </w:tblGrid>
      <w:tr w:rsidR="00CC7E75" w:rsidRPr="002C0AB8" w:rsidTr="002C0AB8">
        <w:trPr>
          <w:trHeight w:val="270"/>
        </w:trPr>
        <w:tc>
          <w:tcPr>
            <w:tcW w:w="8457" w:type="dxa"/>
            <w:gridSpan w:val="5"/>
            <w:tcBorders>
              <w:top w:val="single" w:sz="8" w:space="0" w:color="auto"/>
              <w:left w:val="single" w:sz="8" w:space="0" w:color="auto"/>
              <w:bottom w:val="single" w:sz="8" w:space="0" w:color="auto"/>
              <w:right w:val="single" w:sz="8" w:space="0" w:color="000000"/>
            </w:tcBorders>
            <w:shd w:val="clear" w:color="000000" w:fill="C5D9F1"/>
            <w:vAlign w:val="center"/>
            <w:hideMark/>
          </w:tcPr>
          <w:p w:rsidR="00CC7E75" w:rsidRPr="002C0AB8" w:rsidRDefault="00CC7E75" w:rsidP="00EA40F8">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Cuadro 1 - Inconsistencias Encontradas</w:t>
            </w:r>
          </w:p>
        </w:tc>
      </w:tr>
      <w:tr w:rsidR="00CC7E75" w:rsidRPr="002C0AB8" w:rsidTr="002C0AB8">
        <w:trPr>
          <w:trHeight w:val="260"/>
        </w:trPr>
        <w:tc>
          <w:tcPr>
            <w:tcW w:w="3141" w:type="dxa"/>
            <w:vMerge w:val="restart"/>
            <w:tcBorders>
              <w:top w:val="nil"/>
              <w:left w:val="single" w:sz="8" w:space="0" w:color="auto"/>
              <w:bottom w:val="single" w:sz="8" w:space="0" w:color="000000"/>
              <w:right w:val="single" w:sz="8" w:space="0" w:color="auto"/>
            </w:tcBorders>
            <w:shd w:val="clear" w:color="000000" w:fill="C5D9F1"/>
            <w:vAlign w:val="center"/>
            <w:hideMark/>
          </w:tcPr>
          <w:p w:rsidR="00CC7E75" w:rsidRPr="002C0AB8" w:rsidRDefault="00CC7E75" w:rsidP="00EA40F8">
            <w:pPr>
              <w:spacing w:after="0" w:line="240" w:lineRule="auto"/>
              <w:ind w:left="740" w:hanging="740"/>
              <w:jc w:val="center"/>
              <w:rPr>
                <w:rFonts w:ascii="Arial" w:eastAsia="Times New Roman" w:hAnsi="Arial" w:cs="Arial"/>
                <w:b/>
                <w:bCs/>
                <w:sz w:val="18"/>
                <w:lang w:eastAsia="pt-BR"/>
              </w:rPr>
            </w:pPr>
            <w:r w:rsidRPr="002C0AB8">
              <w:rPr>
                <w:rFonts w:ascii="Arial" w:eastAsia="Times New Roman" w:hAnsi="Arial" w:cs="Arial"/>
                <w:b/>
                <w:bCs/>
                <w:sz w:val="18"/>
                <w:lang w:eastAsia="pt-BR"/>
              </w:rPr>
              <w:t>institución</w:t>
            </w:r>
          </w:p>
        </w:tc>
        <w:tc>
          <w:tcPr>
            <w:tcW w:w="1081" w:type="dxa"/>
            <w:vMerge w:val="restart"/>
            <w:tcBorders>
              <w:top w:val="nil"/>
              <w:left w:val="single" w:sz="8" w:space="0" w:color="auto"/>
              <w:bottom w:val="single" w:sz="8" w:space="0" w:color="000000"/>
              <w:right w:val="single" w:sz="8" w:space="0" w:color="auto"/>
            </w:tcBorders>
            <w:shd w:val="clear" w:color="000000" w:fill="C5D9F1"/>
            <w:vAlign w:val="center"/>
            <w:hideMark/>
          </w:tcPr>
          <w:p w:rsidR="00CC7E75" w:rsidRPr="002C0AB8" w:rsidRDefault="00CC7E75" w:rsidP="00EA40F8">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Cantidad empleados</w:t>
            </w:r>
          </w:p>
        </w:tc>
        <w:tc>
          <w:tcPr>
            <w:tcW w:w="1353" w:type="dxa"/>
            <w:vMerge w:val="restart"/>
            <w:tcBorders>
              <w:top w:val="nil"/>
              <w:left w:val="single" w:sz="8" w:space="0" w:color="auto"/>
              <w:bottom w:val="single" w:sz="8" w:space="0" w:color="000000"/>
              <w:right w:val="single" w:sz="8" w:space="0" w:color="auto"/>
            </w:tcBorders>
            <w:shd w:val="clear" w:color="000000" w:fill="C5D9F1"/>
            <w:vAlign w:val="center"/>
            <w:hideMark/>
          </w:tcPr>
          <w:p w:rsidR="00CC7E75" w:rsidRPr="002C0AB8" w:rsidRDefault="00CC7E75" w:rsidP="00EA40F8">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Cantidad muestra</w:t>
            </w:r>
          </w:p>
        </w:tc>
        <w:tc>
          <w:tcPr>
            <w:tcW w:w="1491" w:type="dxa"/>
            <w:vMerge w:val="restart"/>
            <w:tcBorders>
              <w:top w:val="nil"/>
              <w:left w:val="single" w:sz="8" w:space="0" w:color="auto"/>
              <w:bottom w:val="single" w:sz="8" w:space="0" w:color="000000"/>
              <w:right w:val="single" w:sz="8" w:space="0" w:color="auto"/>
            </w:tcBorders>
            <w:shd w:val="clear" w:color="000000" w:fill="C5D9F1"/>
            <w:vAlign w:val="center"/>
            <w:hideMark/>
          </w:tcPr>
          <w:p w:rsidR="00CC7E75" w:rsidRPr="002C0AB8" w:rsidRDefault="00CC7E75" w:rsidP="00EA40F8">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Cantidad de inconsistencias</w:t>
            </w:r>
          </w:p>
        </w:tc>
        <w:tc>
          <w:tcPr>
            <w:tcW w:w="1391" w:type="dxa"/>
            <w:tcBorders>
              <w:top w:val="nil"/>
              <w:left w:val="nil"/>
              <w:bottom w:val="nil"/>
              <w:right w:val="single" w:sz="8" w:space="0" w:color="auto"/>
            </w:tcBorders>
            <w:shd w:val="clear" w:color="000000" w:fill="C5D9F1"/>
            <w:vAlign w:val="center"/>
            <w:hideMark/>
          </w:tcPr>
          <w:p w:rsidR="00CC7E75" w:rsidRPr="002C0AB8" w:rsidRDefault="00CC7E75" w:rsidP="00EA40F8">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Total Anual</w:t>
            </w:r>
          </w:p>
        </w:tc>
      </w:tr>
      <w:tr w:rsidR="00CC7E75" w:rsidRPr="002C0AB8" w:rsidTr="002C0AB8">
        <w:trPr>
          <w:trHeight w:val="270"/>
        </w:trPr>
        <w:tc>
          <w:tcPr>
            <w:tcW w:w="3141" w:type="dxa"/>
            <w:vMerge/>
            <w:tcBorders>
              <w:top w:val="nil"/>
              <w:left w:val="single" w:sz="8" w:space="0" w:color="auto"/>
              <w:bottom w:val="single" w:sz="8" w:space="0" w:color="000000"/>
              <w:right w:val="single" w:sz="8" w:space="0" w:color="auto"/>
            </w:tcBorders>
            <w:vAlign w:val="center"/>
            <w:hideMark/>
          </w:tcPr>
          <w:p w:rsidR="00CC7E75" w:rsidRPr="002C0AB8" w:rsidRDefault="00CC7E75" w:rsidP="00EA40F8">
            <w:pPr>
              <w:spacing w:after="0" w:line="240" w:lineRule="auto"/>
              <w:rPr>
                <w:rFonts w:ascii="Arial" w:eastAsia="Times New Roman" w:hAnsi="Arial" w:cs="Arial"/>
                <w:b/>
                <w:bCs/>
                <w:sz w:val="18"/>
                <w:lang w:eastAsia="pt-BR"/>
              </w:rPr>
            </w:pPr>
          </w:p>
        </w:tc>
        <w:tc>
          <w:tcPr>
            <w:tcW w:w="1081" w:type="dxa"/>
            <w:vMerge/>
            <w:tcBorders>
              <w:top w:val="nil"/>
              <w:left w:val="single" w:sz="8" w:space="0" w:color="auto"/>
              <w:bottom w:val="single" w:sz="8" w:space="0" w:color="000000"/>
              <w:right w:val="single" w:sz="8" w:space="0" w:color="auto"/>
            </w:tcBorders>
            <w:vAlign w:val="center"/>
            <w:hideMark/>
          </w:tcPr>
          <w:p w:rsidR="00CC7E75" w:rsidRPr="002C0AB8" w:rsidRDefault="00CC7E75" w:rsidP="00EA40F8">
            <w:pPr>
              <w:spacing w:after="0" w:line="240" w:lineRule="auto"/>
              <w:rPr>
                <w:rFonts w:ascii="Arial" w:eastAsia="Times New Roman" w:hAnsi="Arial" w:cs="Arial"/>
                <w:b/>
                <w:bCs/>
                <w:sz w:val="18"/>
                <w:lang w:eastAsia="pt-BR"/>
              </w:rPr>
            </w:pPr>
          </w:p>
        </w:tc>
        <w:tc>
          <w:tcPr>
            <w:tcW w:w="1353" w:type="dxa"/>
            <w:vMerge/>
            <w:tcBorders>
              <w:top w:val="nil"/>
              <w:left w:val="single" w:sz="8" w:space="0" w:color="auto"/>
              <w:bottom w:val="single" w:sz="8" w:space="0" w:color="000000"/>
              <w:right w:val="single" w:sz="8" w:space="0" w:color="auto"/>
            </w:tcBorders>
            <w:vAlign w:val="center"/>
            <w:hideMark/>
          </w:tcPr>
          <w:p w:rsidR="00CC7E75" w:rsidRPr="002C0AB8" w:rsidRDefault="00CC7E75" w:rsidP="00EA40F8">
            <w:pPr>
              <w:spacing w:after="0" w:line="240" w:lineRule="auto"/>
              <w:rPr>
                <w:rFonts w:ascii="Arial" w:eastAsia="Times New Roman" w:hAnsi="Arial" w:cs="Arial"/>
                <w:b/>
                <w:bCs/>
                <w:sz w:val="18"/>
                <w:lang w:eastAsia="pt-BR"/>
              </w:rPr>
            </w:pPr>
          </w:p>
        </w:tc>
        <w:tc>
          <w:tcPr>
            <w:tcW w:w="1491" w:type="dxa"/>
            <w:vMerge/>
            <w:tcBorders>
              <w:top w:val="nil"/>
              <w:left w:val="single" w:sz="8" w:space="0" w:color="auto"/>
              <w:bottom w:val="single" w:sz="8" w:space="0" w:color="000000"/>
              <w:right w:val="single" w:sz="8" w:space="0" w:color="auto"/>
            </w:tcBorders>
            <w:vAlign w:val="center"/>
            <w:hideMark/>
          </w:tcPr>
          <w:p w:rsidR="00CC7E75" w:rsidRPr="002C0AB8" w:rsidRDefault="00CC7E75" w:rsidP="00EA40F8">
            <w:pPr>
              <w:spacing w:after="0" w:line="240" w:lineRule="auto"/>
              <w:rPr>
                <w:rFonts w:ascii="Arial" w:eastAsia="Times New Roman" w:hAnsi="Arial" w:cs="Arial"/>
                <w:b/>
                <w:bCs/>
                <w:sz w:val="18"/>
                <w:lang w:eastAsia="pt-BR"/>
              </w:rPr>
            </w:pPr>
          </w:p>
        </w:tc>
        <w:tc>
          <w:tcPr>
            <w:tcW w:w="1391" w:type="dxa"/>
            <w:tcBorders>
              <w:top w:val="nil"/>
              <w:left w:val="nil"/>
              <w:bottom w:val="single" w:sz="8" w:space="0" w:color="auto"/>
              <w:right w:val="single" w:sz="8" w:space="0" w:color="auto"/>
            </w:tcBorders>
            <w:shd w:val="clear" w:color="000000" w:fill="C5D9F1"/>
            <w:vAlign w:val="center"/>
            <w:hideMark/>
          </w:tcPr>
          <w:p w:rsidR="00CC7E75" w:rsidRPr="002C0AB8" w:rsidRDefault="00CC7E75" w:rsidP="00EA40F8">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US$</w:t>
            </w:r>
          </w:p>
        </w:tc>
      </w:tr>
      <w:tr w:rsidR="00CC7E75" w:rsidRPr="002C0AB8" w:rsidTr="002C0AB8">
        <w:trPr>
          <w:trHeight w:val="270"/>
        </w:trPr>
        <w:tc>
          <w:tcPr>
            <w:tcW w:w="3141" w:type="dxa"/>
            <w:tcBorders>
              <w:top w:val="nil"/>
              <w:left w:val="single" w:sz="8" w:space="0" w:color="auto"/>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both"/>
              <w:rPr>
                <w:rFonts w:ascii="Arial" w:eastAsia="Times New Roman" w:hAnsi="Arial" w:cs="Arial"/>
                <w:sz w:val="18"/>
                <w:lang w:eastAsia="pt-BR"/>
              </w:rPr>
            </w:pPr>
            <w:r w:rsidRPr="002C0AB8">
              <w:rPr>
                <w:rFonts w:ascii="Arial" w:eastAsia="Times New Roman" w:hAnsi="Arial" w:cs="Arial"/>
                <w:sz w:val="18"/>
                <w:lang w:eastAsia="pt-BR"/>
              </w:rPr>
              <w:t>Dirección Ejecutiva de Ingresos</w:t>
            </w:r>
            <w:r w:rsidR="00D972DF" w:rsidRPr="002C0AB8">
              <w:rPr>
                <w:rFonts w:ascii="Arial" w:eastAsia="Times New Roman" w:hAnsi="Arial" w:cs="Arial"/>
                <w:sz w:val="18"/>
                <w:lang w:eastAsia="pt-BR"/>
              </w:rPr>
              <w:t xml:space="preserve"> (DEI)</w:t>
            </w:r>
          </w:p>
        </w:tc>
        <w:tc>
          <w:tcPr>
            <w:tcW w:w="108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2</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886</w:t>
            </w:r>
          </w:p>
        </w:tc>
        <w:tc>
          <w:tcPr>
            <w:tcW w:w="1353"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1</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500</w:t>
            </w:r>
          </w:p>
        </w:tc>
        <w:tc>
          <w:tcPr>
            <w:tcW w:w="14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469</w:t>
            </w:r>
          </w:p>
        </w:tc>
        <w:tc>
          <w:tcPr>
            <w:tcW w:w="13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2</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290</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210</w:t>
            </w:r>
          </w:p>
        </w:tc>
      </w:tr>
      <w:tr w:rsidR="00CC7E75" w:rsidRPr="002C0AB8" w:rsidTr="002C0AB8">
        <w:trPr>
          <w:trHeight w:val="270"/>
        </w:trPr>
        <w:tc>
          <w:tcPr>
            <w:tcW w:w="3141" w:type="dxa"/>
            <w:tcBorders>
              <w:top w:val="nil"/>
              <w:left w:val="single" w:sz="8" w:space="0" w:color="auto"/>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both"/>
              <w:rPr>
                <w:rFonts w:ascii="Arial" w:eastAsia="Times New Roman" w:hAnsi="Arial" w:cs="Arial"/>
                <w:sz w:val="18"/>
                <w:lang w:eastAsia="pt-BR"/>
              </w:rPr>
            </w:pPr>
            <w:r w:rsidRPr="002C0AB8">
              <w:rPr>
                <w:rFonts w:ascii="Arial" w:eastAsia="Times New Roman" w:hAnsi="Arial" w:cs="Arial"/>
                <w:sz w:val="18"/>
                <w:lang w:eastAsia="pt-BR"/>
              </w:rPr>
              <w:t>Secretaria de Educación (no docentes)</w:t>
            </w:r>
          </w:p>
        </w:tc>
        <w:tc>
          <w:tcPr>
            <w:tcW w:w="108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8</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200</w:t>
            </w:r>
          </w:p>
        </w:tc>
        <w:tc>
          <w:tcPr>
            <w:tcW w:w="1353"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200</w:t>
            </w:r>
          </w:p>
        </w:tc>
        <w:tc>
          <w:tcPr>
            <w:tcW w:w="14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61</w:t>
            </w:r>
          </w:p>
        </w:tc>
        <w:tc>
          <w:tcPr>
            <w:tcW w:w="13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2</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500</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000</w:t>
            </w:r>
          </w:p>
        </w:tc>
      </w:tr>
      <w:tr w:rsidR="00CC7E75" w:rsidRPr="002C0AB8" w:rsidTr="002C0AB8">
        <w:trPr>
          <w:trHeight w:val="270"/>
        </w:trPr>
        <w:tc>
          <w:tcPr>
            <w:tcW w:w="3141" w:type="dxa"/>
            <w:tcBorders>
              <w:top w:val="nil"/>
              <w:left w:val="single" w:sz="8" w:space="0" w:color="auto"/>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both"/>
              <w:rPr>
                <w:rFonts w:ascii="Arial" w:eastAsia="Times New Roman" w:hAnsi="Arial" w:cs="Arial"/>
                <w:sz w:val="18"/>
                <w:lang w:eastAsia="pt-BR"/>
              </w:rPr>
            </w:pPr>
            <w:r w:rsidRPr="002C0AB8">
              <w:rPr>
                <w:rFonts w:ascii="Arial" w:eastAsia="Times New Roman" w:hAnsi="Arial" w:cs="Arial"/>
                <w:sz w:val="18"/>
                <w:lang w:eastAsia="pt-BR"/>
              </w:rPr>
              <w:t>Secretaria de Salud</w:t>
            </w:r>
          </w:p>
        </w:tc>
        <w:tc>
          <w:tcPr>
            <w:tcW w:w="108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23</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465</w:t>
            </w:r>
          </w:p>
        </w:tc>
        <w:tc>
          <w:tcPr>
            <w:tcW w:w="1353"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4</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507</w:t>
            </w:r>
          </w:p>
        </w:tc>
        <w:tc>
          <w:tcPr>
            <w:tcW w:w="14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949</w:t>
            </w:r>
          </w:p>
        </w:tc>
        <w:tc>
          <w:tcPr>
            <w:tcW w:w="13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6</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308</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575</w:t>
            </w:r>
          </w:p>
        </w:tc>
      </w:tr>
      <w:tr w:rsidR="00CC7E75" w:rsidRPr="002C0AB8" w:rsidTr="002C0AB8">
        <w:trPr>
          <w:trHeight w:val="270"/>
        </w:trPr>
        <w:tc>
          <w:tcPr>
            <w:tcW w:w="3141" w:type="dxa"/>
            <w:tcBorders>
              <w:top w:val="nil"/>
              <w:left w:val="single" w:sz="8" w:space="0" w:color="auto"/>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both"/>
              <w:rPr>
                <w:rFonts w:ascii="Arial" w:eastAsia="Times New Roman" w:hAnsi="Arial" w:cs="Arial"/>
                <w:sz w:val="18"/>
                <w:lang w:eastAsia="pt-BR"/>
              </w:rPr>
            </w:pPr>
            <w:r w:rsidRPr="002C0AB8">
              <w:rPr>
                <w:rFonts w:ascii="Arial" w:eastAsia="Times New Roman" w:hAnsi="Arial" w:cs="Arial"/>
                <w:sz w:val="18"/>
                <w:lang w:eastAsia="pt-BR"/>
              </w:rPr>
              <w:t>Secretaria de Seguridad (administrativos)</w:t>
            </w:r>
          </w:p>
        </w:tc>
        <w:tc>
          <w:tcPr>
            <w:tcW w:w="108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533</w:t>
            </w:r>
          </w:p>
        </w:tc>
        <w:tc>
          <w:tcPr>
            <w:tcW w:w="1353"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109</w:t>
            </w:r>
          </w:p>
        </w:tc>
        <w:tc>
          <w:tcPr>
            <w:tcW w:w="14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0</w:t>
            </w:r>
          </w:p>
        </w:tc>
        <w:tc>
          <w:tcPr>
            <w:tcW w:w="13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0</w:t>
            </w:r>
          </w:p>
        </w:tc>
      </w:tr>
      <w:tr w:rsidR="00CC7E75" w:rsidRPr="002C0AB8" w:rsidTr="002C0AB8">
        <w:trPr>
          <w:trHeight w:val="270"/>
        </w:trPr>
        <w:tc>
          <w:tcPr>
            <w:tcW w:w="3141" w:type="dxa"/>
            <w:tcBorders>
              <w:top w:val="nil"/>
              <w:left w:val="single" w:sz="8" w:space="0" w:color="auto"/>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both"/>
              <w:rPr>
                <w:rFonts w:ascii="Arial" w:eastAsia="Times New Roman" w:hAnsi="Arial" w:cs="Arial"/>
                <w:sz w:val="18"/>
                <w:lang w:eastAsia="pt-BR"/>
              </w:rPr>
            </w:pPr>
            <w:r w:rsidRPr="002C0AB8">
              <w:rPr>
                <w:rFonts w:ascii="Arial" w:eastAsia="Times New Roman" w:hAnsi="Arial" w:cs="Arial"/>
                <w:sz w:val="18"/>
                <w:lang w:eastAsia="pt-BR"/>
              </w:rPr>
              <w:t>Secretaria de Infraestructura y Servicios Públicos</w:t>
            </w:r>
          </w:p>
        </w:tc>
        <w:tc>
          <w:tcPr>
            <w:tcW w:w="108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5</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526</w:t>
            </w:r>
          </w:p>
        </w:tc>
        <w:tc>
          <w:tcPr>
            <w:tcW w:w="1353"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1</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712</w:t>
            </w:r>
          </w:p>
        </w:tc>
        <w:tc>
          <w:tcPr>
            <w:tcW w:w="14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88</w:t>
            </w:r>
          </w:p>
        </w:tc>
        <w:tc>
          <w:tcPr>
            <w:tcW w:w="13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sz w:val="18"/>
                <w:lang w:eastAsia="pt-BR"/>
              </w:rPr>
            </w:pPr>
            <w:r w:rsidRPr="002C0AB8">
              <w:rPr>
                <w:rFonts w:ascii="Arial" w:eastAsia="Times New Roman" w:hAnsi="Arial" w:cs="Arial"/>
                <w:sz w:val="18"/>
                <w:lang w:eastAsia="pt-BR"/>
              </w:rPr>
              <w:t>551</w:t>
            </w:r>
            <w:r w:rsidR="00D972DF" w:rsidRPr="002C0AB8">
              <w:rPr>
                <w:rFonts w:ascii="Arial" w:eastAsia="Times New Roman" w:hAnsi="Arial" w:cs="Arial"/>
                <w:sz w:val="18"/>
                <w:lang w:eastAsia="pt-BR"/>
              </w:rPr>
              <w:t>.</w:t>
            </w:r>
            <w:r w:rsidRPr="002C0AB8">
              <w:rPr>
                <w:rFonts w:ascii="Arial" w:eastAsia="Times New Roman" w:hAnsi="Arial" w:cs="Arial"/>
                <w:sz w:val="18"/>
                <w:lang w:eastAsia="pt-BR"/>
              </w:rPr>
              <w:t>536</w:t>
            </w:r>
          </w:p>
        </w:tc>
      </w:tr>
      <w:tr w:rsidR="00CC7E75" w:rsidRPr="002C0AB8" w:rsidTr="002C0AB8">
        <w:trPr>
          <w:trHeight w:val="270"/>
        </w:trPr>
        <w:tc>
          <w:tcPr>
            <w:tcW w:w="3141" w:type="dxa"/>
            <w:tcBorders>
              <w:top w:val="nil"/>
              <w:left w:val="single" w:sz="8" w:space="0" w:color="auto"/>
              <w:bottom w:val="single" w:sz="8" w:space="0" w:color="auto"/>
              <w:right w:val="single" w:sz="8" w:space="0" w:color="auto"/>
            </w:tcBorders>
            <w:shd w:val="clear" w:color="auto" w:fill="auto"/>
            <w:vAlign w:val="center"/>
            <w:hideMark/>
          </w:tcPr>
          <w:p w:rsidR="00CC7E75" w:rsidRPr="002C0AB8" w:rsidRDefault="00CC7E75" w:rsidP="00EA40F8">
            <w:pPr>
              <w:spacing w:after="0" w:line="240" w:lineRule="auto"/>
              <w:jc w:val="both"/>
              <w:rPr>
                <w:rFonts w:ascii="Arial" w:eastAsia="Times New Roman" w:hAnsi="Arial" w:cs="Arial"/>
                <w:b/>
                <w:bCs/>
                <w:sz w:val="18"/>
                <w:lang w:eastAsia="pt-BR"/>
              </w:rPr>
            </w:pPr>
            <w:r w:rsidRPr="002C0AB8">
              <w:rPr>
                <w:rFonts w:ascii="Arial" w:eastAsia="Times New Roman" w:hAnsi="Arial" w:cs="Arial"/>
                <w:b/>
                <w:bCs/>
                <w:sz w:val="18"/>
                <w:lang w:eastAsia="pt-BR"/>
              </w:rPr>
              <w:t>Total</w:t>
            </w:r>
          </w:p>
        </w:tc>
        <w:tc>
          <w:tcPr>
            <w:tcW w:w="108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40</w:t>
            </w:r>
            <w:r w:rsidR="00D972DF" w:rsidRPr="002C0AB8">
              <w:rPr>
                <w:rFonts w:ascii="Arial" w:eastAsia="Times New Roman" w:hAnsi="Arial" w:cs="Arial"/>
                <w:b/>
                <w:bCs/>
                <w:sz w:val="18"/>
                <w:lang w:eastAsia="pt-BR"/>
              </w:rPr>
              <w:t>.</w:t>
            </w:r>
            <w:r w:rsidRPr="002C0AB8">
              <w:rPr>
                <w:rFonts w:ascii="Arial" w:eastAsia="Times New Roman" w:hAnsi="Arial" w:cs="Arial"/>
                <w:b/>
                <w:bCs/>
                <w:sz w:val="18"/>
                <w:lang w:eastAsia="pt-BR"/>
              </w:rPr>
              <w:t>610</w:t>
            </w:r>
          </w:p>
        </w:tc>
        <w:tc>
          <w:tcPr>
            <w:tcW w:w="1353"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8</w:t>
            </w:r>
            <w:r w:rsidR="00D972DF" w:rsidRPr="002C0AB8">
              <w:rPr>
                <w:rFonts w:ascii="Arial" w:eastAsia="Times New Roman" w:hAnsi="Arial" w:cs="Arial"/>
                <w:b/>
                <w:bCs/>
                <w:sz w:val="18"/>
                <w:lang w:eastAsia="pt-BR"/>
              </w:rPr>
              <w:t>.</w:t>
            </w:r>
            <w:r w:rsidRPr="002C0AB8">
              <w:rPr>
                <w:rFonts w:ascii="Arial" w:eastAsia="Times New Roman" w:hAnsi="Arial" w:cs="Arial"/>
                <w:b/>
                <w:bCs/>
                <w:sz w:val="18"/>
                <w:lang w:eastAsia="pt-BR"/>
              </w:rPr>
              <w:t>028</w:t>
            </w:r>
          </w:p>
        </w:tc>
        <w:tc>
          <w:tcPr>
            <w:tcW w:w="14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1</w:t>
            </w:r>
            <w:r w:rsidR="00D972DF" w:rsidRPr="002C0AB8">
              <w:rPr>
                <w:rFonts w:ascii="Arial" w:eastAsia="Times New Roman" w:hAnsi="Arial" w:cs="Arial"/>
                <w:b/>
                <w:bCs/>
                <w:sz w:val="18"/>
                <w:lang w:eastAsia="pt-BR"/>
              </w:rPr>
              <w:t>.</w:t>
            </w:r>
            <w:r w:rsidRPr="002C0AB8">
              <w:rPr>
                <w:rFonts w:ascii="Arial" w:eastAsia="Times New Roman" w:hAnsi="Arial" w:cs="Arial"/>
                <w:b/>
                <w:bCs/>
                <w:sz w:val="18"/>
                <w:lang w:eastAsia="pt-BR"/>
              </w:rPr>
              <w:t>567</w:t>
            </w:r>
          </w:p>
        </w:tc>
        <w:tc>
          <w:tcPr>
            <w:tcW w:w="1391" w:type="dxa"/>
            <w:tcBorders>
              <w:top w:val="nil"/>
              <w:left w:val="nil"/>
              <w:bottom w:val="single" w:sz="8" w:space="0" w:color="auto"/>
              <w:right w:val="single" w:sz="8" w:space="0" w:color="auto"/>
            </w:tcBorders>
            <w:shd w:val="clear" w:color="auto" w:fill="auto"/>
            <w:vAlign w:val="center"/>
            <w:hideMark/>
          </w:tcPr>
          <w:p w:rsidR="00CC7E75" w:rsidRPr="002C0AB8" w:rsidRDefault="00CC7E75" w:rsidP="00D972DF">
            <w:pPr>
              <w:spacing w:after="0" w:line="240" w:lineRule="auto"/>
              <w:jc w:val="center"/>
              <w:rPr>
                <w:rFonts w:ascii="Arial" w:eastAsia="Times New Roman" w:hAnsi="Arial" w:cs="Arial"/>
                <w:b/>
                <w:bCs/>
                <w:sz w:val="18"/>
                <w:lang w:eastAsia="pt-BR"/>
              </w:rPr>
            </w:pPr>
            <w:r w:rsidRPr="002C0AB8">
              <w:rPr>
                <w:rFonts w:ascii="Arial" w:eastAsia="Times New Roman" w:hAnsi="Arial" w:cs="Arial"/>
                <w:b/>
                <w:bCs/>
                <w:sz w:val="18"/>
                <w:lang w:eastAsia="pt-BR"/>
              </w:rPr>
              <w:t>11</w:t>
            </w:r>
            <w:r w:rsidR="00D972DF" w:rsidRPr="002C0AB8">
              <w:rPr>
                <w:rFonts w:ascii="Arial" w:eastAsia="Times New Roman" w:hAnsi="Arial" w:cs="Arial"/>
                <w:b/>
                <w:bCs/>
                <w:sz w:val="18"/>
                <w:lang w:eastAsia="pt-BR"/>
              </w:rPr>
              <w:t>.</w:t>
            </w:r>
            <w:r w:rsidRPr="002C0AB8">
              <w:rPr>
                <w:rFonts w:ascii="Arial" w:eastAsia="Times New Roman" w:hAnsi="Arial" w:cs="Arial"/>
                <w:b/>
                <w:bCs/>
                <w:sz w:val="18"/>
                <w:lang w:eastAsia="pt-BR"/>
              </w:rPr>
              <w:t>650</w:t>
            </w:r>
            <w:r w:rsidR="00D972DF" w:rsidRPr="002C0AB8">
              <w:rPr>
                <w:rFonts w:ascii="Arial" w:eastAsia="Times New Roman" w:hAnsi="Arial" w:cs="Arial"/>
                <w:b/>
                <w:bCs/>
                <w:sz w:val="18"/>
                <w:lang w:eastAsia="pt-BR"/>
              </w:rPr>
              <w:t>.</w:t>
            </w:r>
            <w:r w:rsidRPr="002C0AB8">
              <w:rPr>
                <w:rFonts w:ascii="Arial" w:eastAsia="Times New Roman" w:hAnsi="Arial" w:cs="Arial"/>
                <w:b/>
                <w:bCs/>
                <w:sz w:val="18"/>
                <w:lang w:eastAsia="pt-BR"/>
              </w:rPr>
              <w:t>321</w:t>
            </w:r>
          </w:p>
        </w:tc>
      </w:tr>
    </w:tbl>
    <w:p w:rsidR="00CC7E75" w:rsidRPr="002E1AE0" w:rsidRDefault="00CC7E75" w:rsidP="00CC7E75">
      <w:pPr>
        <w:pStyle w:val="Paragraph"/>
        <w:tabs>
          <w:tab w:val="clear" w:pos="1296"/>
          <w:tab w:val="num" w:pos="1080"/>
        </w:tabs>
        <w:ind w:hanging="1116"/>
        <w:rPr>
          <w:rFonts w:ascii="Arial" w:hAnsi="Arial" w:cs="Arial"/>
          <w:b/>
          <w:sz w:val="22"/>
          <w:szCs w:val="22"/>
        </w:rPr>
      </w:pPr>
      <w:r w:rsidRPr="002E1AE0">
        <w:rPr>
          <w:rFonts w:ascii="Arial" w:hAnsi="Arial" w:cs="Arial"/>
          <w:b/>
          <w:sz w:val="22"/>
          <w:szCs w:val="22"/>
        </w:rPr>
        <w:t>La solución</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Implementar los planes de acción propuesto en los informes de </w:t>
      </w:r>
      <w:r w:rsidR="001A4213" w:rsidRPr="002E1AE0">
        <w:rPr>
          <w:rFonts w:ascii="Arial" w:hAnsi="Arial" w:cs="Arial"/>
        </w:rPr>
        <w:t>auditoría</w:t>
      </w:r>
      <w:r w:rsidRPr="002E1AE0">
        <w:rPr>
          <w:rFonts w:ascii="Arial" w:hAnsi="Arial" w:cs="Arial"/>
        </w:rPr>
        <w:t xml:space="preserve"> de </w:t>
      </w:r>
      <w:r w:rsidR="001A4213" w:rsidRPr="002E1AE0">
        <w:rPr>
          <w:rFonts w:ascii="Arial" w:hAnsi="Arial" w:cs="Arial"/>
        </w:rPr>
        <w:t>nómina</w:t>
      </w:r>
      <w:r w:rsidRPr="002E1AE0">
        <w:rPr>
          <w:rFonts w:ascii="Arial" w:hAnsi="Arial" w:cs="Arial"/>
        </w:rPr>
        <w:t xml:space="preserve"> que consiste</w:t>
      </w:r>
      <w:r w:rsidR="001A4213" w:rsidRPr="002E1AE0">
        <w:rPr>
          <w:rFonts w:ascii="Arial" w:hAnsi="Arial" w:cs="Arial"/>
        </w:rPr>
        <w:t>n</w:t>
      </w:r>
      <w:r w:rsidRPr="002E1AE0">
        <w:rPr>
          <w:rFonts w:ascii="Arial" w:hAnsi="Arial" w:cs="Arial"/>
        </w:rPr>
        <w:t xml:space="preserve"> en </w:t>
      </w:r>
      <w:r w:rsidR="001A4213" w:rsidRPr="002E1AE0">
        <w:rPr>
          <w:rFonts w:ascii="Arial" w:hAnsi="Arial" w:cs="Arial"/>
        </w:rPr>
        <w:t xml:space="preserve">la </w:t>
      </w:r>
      <w:r w:rsidRPr="002E1AE0">
        <w:rPr>
          <w:rFonts w:ascii="Arial" w:hAnsi="Arial" w:cs="Arial"/>
        </w:rPr>
        <w:t xml:space="preserve">homologación de </w:t>
      </w:r>
      <w:r w:rsidR="001A4213" w:rsidRPr="002E1AE0">
        <w:rPr>
          <w:rFonts w:ascii="Arial" w:hAnsi="Arial" w:cs="Arial"/>
        </w:rPr>
        <w:t xml:space="preserve">la </w:t>
      </w:r>
      <w:r w:rsidRPr="002E1AE0">
        <w:rPr>
          <w:rFonts w:ascii="Arial" w:hAnsi="Arial" w:cs="Arial"/>
        </w:rPr>
        <w:t xml:space="preserve">normativa legal, cambio en los modelos transaccionales, elaboración de manuales de gestión </w:t>
      </w:r>
      <w:r w:rsidR="001A4213" w:rsidRPr="002E1AE0">
        <w:rPr>
          <w:rFonts w:ascii="Arial" w:hAnsi="Arial" w:cs="Arial"/>
        </w:rPr>
        <w:t xml:space="preserve">y </w:t>
      </w:r>
      <w:r w:rsidRPr="002E1AE0">
        <w:rPr>
          <w:rFonts w:ascii="Arial" w:hAnsi="Arial" w:cs="Arial"/>
        </w:rPr>
        <w:t xml:space="preserve">de contratación de personal, revisión de procesos de contratación, </w:t>
      </w:r>
      <w:r w:rsidR="001A4213" w:rsidRPr="002E1AE0">
        <w:rPr>
          <w:rFonts w:ascii="Arial" w:hAnsi="Arial" w:cs="Arial"/>
        </w:rPr>
        <w:t xml:space="preserve">y desvinculación </w:t>
      </w:r>
      <w:r w:rsidRPr="002E1AE0">
        <w:rPr>
          <w:rFonts w:ascii="Arial" w:hAnsi="Arial" w:cs="Arial"/>
        </w:rPr>
        <w:t>de</w:t>
      </w:r>
      <w:r w:rsidR="001A4213" w:rsidRPr="002E1AE0">
        <w:rPr>
          <w:rFonts w:ascii="Arial" w:hAnsi="Arial" w:cs="Arial"/>
        </w:rPr>
        <w:t>l</w:t>
      </w:r>
      <w:r w:rsidRPr="002E1AE0">
        <w:rPr>
          <w:rFonts w:ascii="Arial" w:hAnsi="Arial" w:cs="Arial"/>
        </w:rPr>
        <w:t xml:space="preserve"> personal que present</w:t>
      </w:r>
      <w:r w:rsidR="001A4213" w:rsidRPr="002E1AE0">
        <w:rPr>
          <w:rFonts w:ascii="Arial" w:hAnsi="Arial" w:cs="Arial"/>
        </w:rPr>
        <w:t>ó</w:t>
      </w:r>
      <w:r w:rsidRPr="002E1AE0">
        <w:rPr>
          <w:rFonts w:ascii="Arial" w:hAnsi="Arial" w:cs="Arial"/>
        </w:rPr>
        <w:t xml:space="preserve"> irregularidades</w:t>
      </w:r>
      <w:r w:rsidR="001A4213" w:rsidRPr="002E1AE0">
        <w:rPr>
          <w:rFonts w:ascii="Arial" w:hAnsi="Arial" w:cs="Arial"/>
        </w:rPr>
        <w:t>.</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Se espera lograr la depuración de las instituciones con el despido de los funcionarios identificados con irregularidades permitiendo a las instituciones alcanzar un tamaño óptimo y mejorar su desempeño.</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Las medidas de política asociadas </w:t>
      </w:r>
      <w:r w:rsidR="0043308C" w:rsidRPr="002E1AE0">
        <w:rPr>
          <w:rFonts w:ascii="Arial" w:hAnsi="Arial" w:cs="Arial"/>
        </w:rPr>
        <w:t>a</w:t>
      </w:r>
      <w:r w:rsidRPr="002E1AE0">
        <w:rPr>
          <w:rFonts w:ascii="Arial" w:hAnsi="Arial" w:cs="Arial"/>
        </w:rPr>
        <w:t xml:space="preserve"> estas acciones son: la introducción de instrumentos para la mejora de la gestión de recursos humanos, incluyendo la obligatoriedad para todas las instituciones de censar a sus empleados en el Sistema de Registro y Control de Empleados Públicos (SIREP) y actualizar dicho censo mensualmente para poder recibir sus transferencias presupuestarias, la publicación de información consolidada del SIREP, la finalización de auditorías externas de la nómina en  5 entidades, </w:t>
      </w:r>
      <w:r w:rsidR="008E662B" w:rsidRPr="002E1AE0">
        <w:rPr>
          <w:rFonts w:ascii="Arial" w:hAnsi="Arial" w:cs="Arial"/>
        </w:rPr>
        <w:t xml:space="preserve">y </w:t>
      </w:r>
      <w:r w:rsidRPr="002E1AE0">
        <w:rPr>
          <w:rFonts w:ascii="Arial" w:hAnsi="Arial" w:cs="Arial"/>
        </w:rPr>
        <w:t>la supresión de puestos por irregularidades detectadas en las auditorías</w:t>
      </w:r>
      <w:r w:rsidR="008E662B" w:rsidRPr="002E1AE0">
        <w:rPr>
          <w:rFonts w:ascii="Arial" w:hAnsi="Arial" w:cs="Arial"/>
        </w:rPr>
        <w:t>.</w:t>
      </w:r>
    </w:p>
    <w:p w:rsidR="00CC7E75" w:rsidRPr="002E1AE0" w:rsidRDefault="00CC7E75" w:rsidP="00CC7E75">
      <w:pPr>
        <w:pStyle w:val="ListParagraph"/>
        <w:spacing w:before="120" w:after="120" w:line="240" w:lineRule="auto"/>
        <w:ind w:left="1080"/>
        <w:contextualSpacing w:val="0"/>
        <w:jc w:val="both"/>
        <w:rPr>
          <w:rFonts w:ascii="Arial" w:hAnsi="Arial" w:cs="Arial"/>
        </w:rPr>
      </w:pPr>
    </w:p>
    <w:p w:rsidR="00CC7E75" w:rsidRPr="002E1AE0" w:rsidRDefault="00BB7ED9" w:rsidP="00CC7E75">
      <w:pPr>
        <w:pStyle w:val="Paragraph"/>
        <w:keepNext/>
        <w:tabs>
          <w:tab w:val="clear" w:pos="1296"/>
          <w:tab w:val="num" w:pos="1080"/>
        </w:tabs>
        <w:ind w:left="1310" w:hanging="1123"/>
        <w:rPr>
          <w:rFonts w:ascii="Arial" w:hAnsi="Arial" w:cs="Arial"/>
          <w:b/>
          <w:sz w:val="22"/>
          <w:szCs w:val="22"/>
        </w:rPr>
      </w:pPr>
      <w:r>
        <w:rPr>
          <w:rFonts w:ascii="Arial" w:hAnsi="Arial" w:cs="Arial"/>
          <w:b/>
          <w:sz w:val="22"/>
          <w:szCs w:val="22"/>
        </w:rPr>
        <w:t>El cálculo del b</w:t>
      </w:r>
      <w:r w:rsidR="00CC7E75" w:rsidRPr="002E1AE0">
        <w:rPr>
          <w:rFonts w:ascii="Arial" w:hAnsi="Arial" w:cs="Arial"/>
          <w:b/>
          <w:sz w:val="22"/>
          <w:szCs w:val="22"/>
        </w:rPr>
        <w:t>eneficio</w:t>
      </w:r>
    </w:p>
    <w:p w:rsidR="00CC7E75" w:rsidRPr="00BB7ED9" w:rsidRDefault="00CC7E75" w:rsidP="00BB7ED9">
      <w:pPr>
        <w:pStyle w:val="ListParagraph"/>
        <w:spacing w:before="120" w:after="120" w:line="240" w:lineRule="auto"/>
        <w:ind w:left="1080"/>
        <w:contextualSpacing w:val="0"/>
        <w:jc w:val="both"/>
        <w:rPr>
          <w:rFonts w:ascii="Arial" w:hAnsi="Arial" w:cs="Arial"/>
        </w:rPr>
      </w:pPr>
      <w:r w:rsidRPr="002E1AE0">
        <w:rPr>
          <w:rFonts w:ascii="Arial" w:hAnsi="Arial" w:cs="Arial"/>
        </w:rPr>
        <w:t xml:space="preserve">Para el cálculo del beneficio se </w:t>
      </w:r>
      <w:r w:rsidR="00645F09" w:rsidRPr="002E1AE0">
        <w:rPr>
          <w:rFonts w:ascii="Arial" w:hAnsi="Arial" w:cs="Arial"/>
        </w:rPr>
        <w:t>tiene</w:t>
      </w:r>
      <w:r w:rsidRPr="002E1AE0">
        <w:rPr>
          <w:rFonts w:ascii="Arial" w:hAnsi="Arial" w:cs="Arial"/>
        </w:rPr>
        <w:t xml:space="preserve"> en consideración que las instituciones no contraten nuevo personal</w:t>
      </w:r>
      <w:r w:rsidR="00645F09" w:rsidRPr="002E1AE0">
        <w:rPr>
          <w:rFonts w:ascii="Arial" w:hAnsi="Arial" w:cs="Arial"/>
        </w:rPr>
        <w:t xml:space="preserve"> para cubrir esas plaza vacantes</w:t>
      </w:r>
      <w:r w:rsidRPr="002E1AE0">
        <w:rPr>
          <w:rFonts w:ascii="Arial" w:hAnsi="Arial" w:cs="Arial"/>
        </w:rPr>
        <w:t xml:space="preserve">, hasta el final del acuerdo con el Stand-by agreement </w:t>
      </w:r>
      <w:r w:rsidR="00645F09" w:rsidRPr="002E1AE0">
        <w:rPr>
          <w:rFonts w:ascii="Arial" w:hAnsi="Arial" w:cs="Arial"/>
        </w:rPr>
        <w:t>d</w:t>
      </w:r>
      <w:r w:rsidRPr="002E1AE0">
        <w:rPr>
          <w:rFonts w:ascii="Arial" w:hAnsi="Arial" w:cs="Arial"/>
        </w:rPr>
        <w:t>el FMI</w:t>
      </w:r>
      <w:r w:rsidR="009152FD" w:rsidRPr="002E1AE0">
        <w:rPr>
          <w:rFonts w:ascii="Arial" w:hAnsi="Arial" w:cs="Arial"/>
        </w:rPr>
        <w:t>, sino</w:t>
      </w:r>
      <w:r w:rsidRPr="002E1AE0">
        <w:rPr>
          <w:rFonts w:ascii="Arial" w:hAnsi="Arial" w:cs="Arial"/>
        </w:rPr>
        <w:t xml:space="preserve"> que las cancelen según establece la ley.</w:t>
      </w:r>
    </w:p>
    <w:p w:rsidR="00CC7E75" w:rsidRPr="002E1AE0" w:rsidRDefault="00CC7E75" w:rsidP="00CC7E75">
      <w:pPr>
        <w:spacing w:before="120" w:after="120" w:line="240" w:lineRule="auto"/>
        <w:ind w:left="720"/>
        <w:jc w:val="both"/>
        <w:rPr>
          <w:rFonts w:ascii="Arial" w:hAnsi="Arial" w:cs="Arial"/>
          <w:b/>
        </w:rPr>
      </w:pPr>
    </w:p>
    <w:tbl>
      <w:tblPr>
        <w:tblW w:w="8386" w:type="dxa"/>
        <w:tblInd w:w="1204" w:type="dxa"/>
        <w:tblCellMar>
          <w:left w:w="70" w:type="dxa"/>
          <w:right w:w="70" w:type="dxa"/>
        </w:tblCellMar>
        <w:tblLook w:val="04A0" w:firstRow="1" w:lastRow="0" w:firstColumn="1" w:lastColumn="0" w:noHBand="0" w:noVBand="1"/>
      </w:tblPr>
      <w:tblGrid>
        <w:gridCol w:w="3153"/>
        <w:gridCol w:w="1441"/>
        <w:gridCol w:w="1386"/>
        <w:gridCol w:w="1169"/>
        <w:gridCol w:w="1237"/>
      </w:tblGrid>
      <w:tr w:rsidR="00CC7E75" w:rsidRPr="00BB7ED9" w:rsidTr="00BB7ED9">
        <w:trPr>
          <w:trHeight w:val="270"/>
        </w:trPr>
        <w:tc>
          <w:tcPr>
            <w:tcW w:w="8386" w:type="dxa"/>
            <w:gridSpan w:val="5"/>
            <w:tcBorders>
              <w:top w:val="single" w:sz="8" w:space="0" w:color="auto"/>
              <w:left w:val="single" w:sz="8" w:space="0" w:color="auto"/>
              <w:bottom w:val="single" w:sz="8" w:space="0" w:color="auto"/>
              <w:right w:val="single" w:sz="8" w:space="0" w:color="000000"/>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Cuadro 2 - Cálculo del Beneficio - Nómina</w:t>
            </w:r>
          </w:p>
        </w:tc>
      </w:tr>
      <w:tr w:rsidR="00CC7E75" w:rsidRPr="00BB7ED9" w:rsidTr="00BB7ED9">
        <w:trPr>
          <w:trHeight w:val="690"/>
        </w:trPr>
        <w:tc>
          <w:tcPr>
            <w:tcW w:w="3153" w:type="dxa"/>
            <w:vMerge w:val="restart"/>
            <w:tcBorders>
              <w:top w:val="nil"/>
              <w:left w:val="single" w:sz="8" w:space="0" w:color="auto"/>
              <w:bottom w:val="single" w:sz="8" w:space="0" w:color="000000"/>
              <w:right w:val="single" w:sz="8" w:space="0" w:color="auto"/>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Contribuyentes</w:t>
            </w:r>
          </w:p>
        </w:tc>
        <w:tc>
          <w:tcPr>
            <w:tcW w:w="1441" w:type="dxa"/>
            <w:tcBorders>
              <w:top w:val="nil"/>
              <w:left w:val="nil"/>
              <w:bottom w:val="nil"/>
              <w:right w:val="single" w:sz="8" w:space="0" w:color="auto"/>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US$</w:t>
            </w:r>
          </w:p>
        </w:tc>
        <w:tc>
          <w:tcPr>
            <w:tcW w:w="3792" w:type="dxa"/>
            <w:gridSpan w:val="3"/>
            <w:tcBorders>
              <w:top w:val="single" w:sz="8" w:space="0" w:color="auto"/>
              <w:left w:val="nil"/>
              <w:bottom w:val="single" w:sz="8" w:space="0" w:color="auto"/>
              <w:right w:val="single" w:sz="8" w:space="0" w:color="000000"/>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Economía a ser generada</w:t>
            </w:r>
            <w:r w:rsidRPr="00BB7ED9">
              <w:rPr>
                <w:rFonts w:ascii="Arial" w:eastAsia="Times New Roman" w:hAnsi="Arial" w:cs="Arial"/>
                <w:b/>
                <w:bCs/>
                <w:sz w:val="18"/>
                <w:lang w:eastAsia="pt-BR"/>
              </w:rPr>
              <w:br/>
              <w:t>Valores Reales</w:t>
            </w:r>
          </w:p>
        </w:tc>
      </w:tr>
      <w:tr w:rsidR="00CC7E75" w:rsidRPr="00BB7ED9" w:rsidTr="00BB7ED9">
        <w:trPr>
          <w:trHeight w:val="530"/>
        </w:trPr>
        <w:tc>
          <w:tcPr>
            <w:tcW w:w="3153" w:type="dxa"/>
            <w:vMerge/>
            <w:tcBorders>
              <w:top w:val="nil"/>
              <w:left w:val="single" w:sz="8" w:space="0" w:color="auto"/>
              <w:bottom w:val="single" w:sz="8" w:space="0" w:color="000000"/>
              <w:right w:val="single" w:sz="8" w:space="0" w:color="auto"/>
            </w:tcBorders>
            <w:vAlign w:val="center"/>
            <w:hideMark/>
          </w:tcPr>
          <w:p w:rsidR="00CC7E75" w:rsidRPr="00BB7ED9" w:rsidRDefault="00CC7E75" w:rsidP="00EA40F8">
            <w:pPr>
              <w:spacing w:after="0" w:line="240" w:lineRule="auto"/>
              <w:rPr>
                <w:rFonts w:ascii="Arial" w:eastAsia="Times New Roman" w:hAnsi="Arial" w:cs="Arial"/>
                <w:b/>
                <w:bCs/>
                <w:sz w:val="18"/>
                <w:lang w:eastAsia="pt-BR"/>
              </w:rPr>
            </w:pPr>
          </w:p>
        </w:tc>
        <w:tc>
          <w:tcPr>
            <w:tcW w:w="1441" w:type="dxa"/>
            <w:tcBorders>
              <w:top w:val="nil"/>
              <w:left w:val="nil"/>
              <w:bottom w:val="single" w:sz="8" w:space="0" w:color="auto"/>
              <w:right w:val="single" w:sz="8" w:space="0" w:color="auto"/>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Monto anual por irregularidades</w:t>
            </w:r>
          </w:p>
        </w:tc>
        <w:tc>
          <w:tcPr>
            <w:tcW w:w="1386" w:type="dxa"/>
            <w:tcBorders>
              <w:top w:val="nil"/>
              <w:left w:val="nil"/>
              <w:bottom w:val="single" w:sz="8" w:space="0" w:color="auto"/>
              <w:right w:val="single" w:sz="8" w:space="0" w:color="auto"/>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2017</w:t>
            </w:r>
          </w:p>
        </w:tc>
        <w:tc>
          <w:tcPr>
            <w:tcW w:w="1169" w:type="dxa"/>
            <w:tcBorders>
              <w:top w:val="nil"/>
              <w:left w:val="nil"/>
              <w:bottom w:val="single" w:sz="8" w:space="0" w:color="auto"/>
              <w:right w:val="single" w:sz="8" w:space="0" w:color="auto"/>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2018</w:t>
            </w:r>
          </w:p>
        </w:tc>
        <w:tc>
          <w:tcPr>
            <w:tcW w:w="1237" w:type="dxa"/>
            <w:tcBorders>
              <w:top w:val="nil"/>
              <w:left w:val="nil"/>
              <w:bottom w:val="single" w:sz="8" w:space="0" w:color="auto"/>
              <w:right w:val="single" w:sz="8" w:space="0" w:color="auto"/>
            </w:tcBorders>
            <w:shd w:val="clear" w:color="000000" w:fill="C5D9F1"/>
            <w:vAlign w:val="center"/>
            <w:hideMark/>
          </w:tcPr>
          <w:p w:rsidR="00CC7E75" w:rsidRPr="00BB7ED9" w:rsidRDefault="00CC7E75" w:rsidP="00EA40F8">
            <w:pPr>
              <w:spacing w:after="0" w:line="240" w:lineRule="auto"/>
              <w:jc w:val="center"/>
              <w:rPr>
                <w:rFonts w:ascii="Arial" w:eastAsia="Times New Roman" w:hAnsi="Arial" w:cs="Arial"/>
                <w:b/>
                <w:bCs/>
                <w:sz w:val="18"/>
                <w:lang w:eastAsia="pt-BR"/>
              </w:rPr>
            </w:pPr>
            <w:r w:rsidRPr="00BB7ED9">
              <w:rPr>
                <w:rFonts w:ascii="Arial" w:eastAsia="Times New Roman" w:hAnsi="Arial" w:cs="Arial"/>
                <w:b/>
                <w:bCs/>
                <w:sz w:val="18"/>
                <w:lang w:eastAsia="pt-BR"/>
              </w:rPr>
              <w:t>2019</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sz w:val="18"/>
                <w:lang w:eastAsia="pt-BR"/>
              </w:rPr>
            </w:pPr>
            <w:r w:rsidRPr="00BB7ED9">
              <w:rPr>
                <w:rFonts w:ascii="Arial" w:eastAsia="Times New Roman" w:hAnsi="Arial" w:cs="Arial"/>
                <w:sz w:val="18"/>
                <w:lang w:eastAsia="pt-BR"/>
              </w:rPr>
              <w:t>Dirección Ejecutiva de Ingresos</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2</w:t>
            </w:r>
            <w:r w:rsidR="00BB7ED9">
              <w:rPr>
                <w:rFonts w:ascii="Arial" w:eastAsia="Times New Roman" w:hAnsi="Arial" w:cs="Arial"/>
                <w:sz w:val="18"/>
                <w:lang w:eastAsia="pt-BR"/>
              </w:rPr>
              <w:t>.</w:t>
            </w:r>
            <w:r w:rsidRPr="00BB7ED9">
              <w:rPr>
                <w:rFonts w:ascii="Arial" w:eastAsia="Times New Roman" w:hAnsi="Arial" w:cs="Arial"/>
                <w:sz w:val="18"/>
                <w:lang w:eastAsia="pt-BR"/>
              </w:rPr>
              <w:t>290</w:t>
            </w:r>
            <w:r w:rsidR="00BB7ED9">
              <w:rPr>
                <w:rFonts w:ascii="Arial" w:eastAsia="Times New Roman" w:hAnsi="Arial" w:cs="Arial"/>
                <w:sz w:val="18"/>
                <w:lang w:eastAsia="pt-BR"/>
              </w:rPr>
              <w:t>.</w:t>
            </w:r>
            <w:r w:rsidRPr="00BB7ED9">
              <w:rPr>
                <w:rFonts w:ascii="Arial" w:eastAsia="Times New Roman" w:hAnsi="Arial" w:cs="Arial"/>
                <w:sz w:val="18"/>
                <w:lang w:eastAsia="pt-BR"/>
              </w:rPr>
              <w:t>210</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2</w:t>
            </w:r>
            <w:r w:rsidR="00BB7ED9">
              <w:rPr>
                <w:rFonts w:ascii="Arial" w:eastAsia="Times New Roman" w:hAnsi="Arial" w:cs="Arial"/>
                <w:sz w:val="18"/>
                <w:lang w:eastAsia="pt-BR"/>
              </w:rPr>
              <w:t>.</w:t>
            </w:r>
            <w:r w:rsidRPr="00BB7ED9">
              <w:rPr>
                <w:rFonts w:ascii="Arial" w:eastAsia="Times New Roman" w:hAnsi="Arial" w:cs="Arial"/>
                <w:sz w:val="18"/>
                <w:lang w:eastAsia="pt-BR"/>
              </w:rPr>
              <w:t>129</w:t>
            </w:r>
            <w:r w:rsidR="00BB7ED9">
              <w:rPr>
                <w:rFonts w:ascii="Arial" w:eastAsia="Times New Roman" w:hAnsi="Arial" w:cs="Arial"/>
                <w:sz w:val="18"/>
                <w:lang w:eastAsia="pt-BR"/>
              </w:rPr>
              <w:t>.</w:t>
            </w:r>
            <w:r w:rsidRPr="00BB7ED9">
              <w:rPr>
                <w:rFonts w:ascii="Arial" w:eastAsia="Times New Roman" w:hAnsi="Arial" w:cs="Arial"/>
                <w:sz w:val="18"/>
                <w:lang w:eastAsia="pt-BR"/>
              </w:rPr>
              <w:t>895</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1</w:t>
            </w:r>
            <w:r w:rsidR="00BB7ED9">
              <w:rPr>
                <w:rFonts w:ascii="Arial" w:eastAsia="Times New Roman" w:hAnsi="Arial" w:cs="Arial"/>
                <w:sz w:val="18"/>
                <w:lang w:eastAsia="pt-BR"/>
              </w:rPr>
              <w:t>.</w:t>
            </w:r>
            <w:r w:rsidRPr="00BB7ED9">
              <w:rPr>
                <w:rFonts w:ascii="Arial" w:eastAsia="Times New Roman" w:hAnsi="Arial" w:cs="Arial"/>
                <w:sz w:val="18"/>
                <w:lang w:eastAsia="pt-BR"/>
              </w:rPr>
              <w:t>980</w:t>
            </w:r>
            <w:r w:rsidR="00BB7ED9">
              <w:rPr>
                <w:rFonts w:ascii="Arial" w:eastAsia="Times New Roman" w:hAnsi="Arial" w:cs="Arial"/>
                <w:sz w:val="18"/>
                <w:lang w:eastAsia="pt-BR"/>
              </w:rPr>
              <w:t>.</w:t>
            </w:r>
            <w:r w:rsidRPr="00BB7ED9">
              <w:rPr>
                <w:rFonts w:ascii="Arial" w:eastAsia="Times New Roman" w:hAnsi="Arial" w:cs="Arial"/>
                <w:sz w:val="18"/>
                <w:lang w:eastAsia="pt-BR"/>
              </w:rPr>
              <w:t>803</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D422D4">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1</w:t>
            </w:r>
            <w:r w:rsidR="00D422D4">
              <w:rPr>
                <w:rFonts w:ascii="Arial" w:eastAsia="Times New Roman" w:hAnsi="Arial" w:cs="Arial"/>
                <w:sz w:val="18"/>
                <w:lang w:eastAsia="pt-BR"/>
              </w:rPr>
              <w:t>.</w:t>
            </w:r>
            <w:r w:rsidRPr="00BB7ED9">
              <w:rPr>
                <w:rFonts w:ascii="Arial" w:eastAsia="Times New Roman" w:hAnsi="Arial" w:cs="Arial"/>
                <w:sz w:val="18"/>
                <w:lang w:eastAsia="pt-BR"/>
              </w:rPr>
              <w:t>842</w:t>
            </w:r>
            <w:r w:rsidR="00D422D4">
              <w:rPr>
                <w:rFonts w:ascii="Arial" w:eastAsia="Times New Roman" w:hAnsi="Arial" w:cs="Arial"/>
                <w:sz w:val="18"/>
                <w:lang w:eastAsia="pt-BR"/>
              </w:rPr>
              <w:t>.</w:t>
            </w:r>
            <w:r w:rsidRPr="00BB7ED9">
              <w:rPr>
                <w:rFonts w:ascii="Arial" w:eastAsia="Times New Roman" w:hAnsi="Arial" w:cs="Arial"/>
                <w:sz w:val="18"/>
                <w:lang w:eastAsia="pt-BR"/>
              </w:rPr>
              <w:t>146</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sz w:val="18"/>
                <w:lang w:eastAsia="pt-BR"/>
              </w:rPr>
            </w:pPr>
            <w:r w:rsidRPr="00BB7ED9">
              <w:rPr>
                <w:rFonts w:ascii="Arial" w:eastAsia="Times New Roman" w:hAnsi="Arial" w:cs="Arial"/>
                <w:sz w:val="18"/>
                <w:lang w:eastAsia="pt-BR"/>
              </w:rPr>
              <w:t>Secretaria de Educación</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2</w:t>
            </w:r>
            <w:r w:rsidR="00BB7ED9">
              <w:rPr>
                <w:rFonts w:ascii="Arial" w:eastAsia="Times New Roman" w:hAnsi="Arial" w:cs="Arial"/>
                <w:sz w:val="18"/>
                <w:lang w:eastAsia="pt-BR"/>
              </w:rPr>
              <w:t>.</w:t>
            </w:r>
            <w:r w:rsidRPr="00BB7ED9">
              <w:rPr>
                <w:rFonts w:ascii="Arial" w:eastAsia="Times New Roman" w:hAnsi="Arial" w:cs="Arial"/>
                <w:sz w:val="18"/>
                <w:lang w:eastAsia="pt-BR"/>
              </w:rPr>
              <w:t>500</w:t>
            </w:r>
            <w:r w:rsidR="00BB7ED9">
              <w:rPr>
                <w:rFonts w:ascii="Arial" w:eastAsia="Times New Roman" w:hAnsi="Arial" w:cs="Arial"/>
                <w:sz w:val="18"/>
                <w:lang w:eastAsia="pt-BR"/>
              </w:rPr>
              <w:t>.</w:t>
            </w:r>
            <w:r w:rsidRPr="00BB7ED9">
              <w:rPr>
                <w:rFonts w:ascii="Arial" w:eastAsia="Times New Roman" w:hAnsi="Arial" w:cs="Arial"/>
                <w:sz w:val="18"/>
                <w:lang w:eastAsia="pt-BR"/>
              </w:rPr>
              <w:t>000</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2</w:t>
            </w:r>
            <w:r w:rsidR="00BB7ED9">
              <w:rPr>
                <w:rFonts w:ascii="Arial" w:eastAsia="Times New Roman" w:hAnsi="Arial" w:cs="Arial"/>
                <w:sz w:val="18"/>
                <w:lang w:eastAsia="pt-BR"/>
              </w:rPr>
              <w:t>.</w:t>
            </w:r>
            <w:r w:rsidRPr="00BB7ED9">
              <w:rPr>
                <w:rFonts w:ascii="Arial" w:eastAsia="Times New Roman" w:hAnsi="Arial" w:cs="Arial"/>
                <w:sz w:val="18"/>
                <w:lang w:eastAsia="pt-BR"/>
              </w:rPr>
              <w:t>325</w:t>
            </w:r>
            <w:r w:rsidR="00BB7ED9">
              <w:rPr>
                <w:rFonts w:ascii="Arial" w:eastAsia="Times New Roman" w:hAnsi="Arial" w:cs="Arial"/>
                <w:sz w:val="18"/>
                <w:lang w:eastAsia="pt-BR"/>
              </w:rPr>
              <w:t>.</w:t>
            </w:r>
            <w:r w:rsidRPr="00BB7ED9">
              <w:rPr>
                <w:rFonts w:ascii="Arial" w:eastAsia="Times New Roman" w:hAnsi="Arial" w:cs="Arial"/>
                <w:sz w:val="18"/>
                <w:lang w:eastAsia="pt-BR"/>
              </w:rPr>
              <w:t>000</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2</w:t>
            </w:r>
            <w:r w:rsidR="00BB7ED9">
              <w:rPr>
                <w:rFonts w:ascii="Arial" w:eastAsia="Times New Roman" w:hAnsi="Arial" w:cs="Arial"/>
                <w:sz w:val="18"/>
                <w:lang w:eastAsia="pt-BR"/>
              </w:rPr>
              <w:t>.</w:t>
            </w:r>
            <w:r w:rsidRPr="00BB7ED9">
              <w:rPr>
                <w:rFonts w:ascii="Arial" w:eastAsia="Times New Roman" w:hAnsi="Arial" w:cs="Arial"/>
                <w:sz w:val="18"/>
                <w:lang w:eastAsia="pt-BR"/>
              </w:rPr>
              <w:t>162</w:t>
            </w:r>
            <w:r w:rsidR="00BB7ED9">
              <w:rPr>
                <w:rFonts w:ascii="Arial" w:eastAsia="Times New Roman" w:hAnsi="Arial" w:cs="Arial"/>
                <w:sz w:val="18"/>
                <w:lang w:eastAsia="pt-BR"/>
              </w:rPr>
              <w:t>.</w:t>
            </w:r>
            <w:r w:rsidRPr="00BB7ED9">
              <w:rPr>
                <w:rFonts w:ascii="Arial" w:eastAsia="Times New Roman" w:hAnsi="Arial" w:cs="Arial"/>
                <w:sz w:val="18"/>
                <w:lang w:eastAsia="pt-BR"/>
              </w:rPr>
              <w:t>250</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D422D4">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2</w:t>
            </w:r>
            <w:r w:rsidR="00D422D4">
              <w:rPr>
                <w:rFonts w:ascii="Arial" w:eastAsia="Times New Roman" w:hAnsi="Arial" w:cs="Arial"/>
                <w:sz w:val="18"/>
                <w:lang w:eastAsia="pt-BR"/>
              </w:rPr>
              <w:t>.</w:t>
            </w:r>
            <w:r w:rsidRPr="00BB7ED9">
              <w:rPr>
                <w:rFonts w:ascii="Arial" w:eastAsia="Times New Roman" w:hAnsi="Arial" w:cs="Arial"/>
                <w:sz w:val="18"/>
                <w:lang w:eastAsia="pt-BR"/>
              </w:rPr>
              <w:t>010</w:t>
            </w:r>
            <w:r w:rsidR="00D422D4">
              <w:rPr>
                <w:rFonts w:ascii="Arial" w:eastAsia="Times New Roman" w:hAnsi="Arial" w:cs="Arial"/>
                <w:sz w:val="18"/>
                <w:lang w:eastAsia="pt-BR"/>
              </w:rPr>
              <w:t>.</w:t>
            </w:r>
            <w:r w:rsidRPr="00BB7ED9">
              <w:rPr>
                <w:rFonts w:ascii="Arial" w:eastAsia="Times New Roman" w:hAnsi="Arial" w:cs="Arial"/>
                <w:sz w:val="18"/>
                <w:lang w:eastAsia="pt-BR"/>
              </w:rPr>
              <w:t>893</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sz w:val="18"/>
                <w:lang w:eastAsia="pt-BR"/>
              </w:rPr>
            </w:pPr>
            <w:r w:rsidRPr="00BB7ED9">
              <w:rPr>
                <w:rFonts w:ascii="Arial" w:eastAsia="Times New Roman" w:hAnsi="Arial" w:cs="Arial"/>
                <w:sz w:val="18"/>
                <w:lang w:eastAsia="pt-BR"/>
              </w:rPr>
              <w:t>Secretaria de Salud</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6</w:t>
            </w:r>
            <w:r w:rsidR="00BB7ED9">
              <w:rPr>
                <w:rFonts w:ascii="Arial" w:eastAsia="Times New Roman" w:hAnsi="Arial" w:cs="Arial"/>
                <w:sz w:val="18"/>
                <w:lang w:eastAsia="pt-BR"/>
              </w:rPr>
              <w:t>.</w:t>
            </w:r>
            <w:r w:rsidRPr="00BB7ED9">
              <w:rPr>
                <w:rFonts w:ascii="Arial" w:eastAsia="Times New Roman" w:hAnsi="Arial" w:cs="Arial"/>
                <w:sz w:val="18"/>
                <w:lang w:eastAsia="pt-BR"/>
              </w:rPr>
              <w:t>308</w:t>
            </w:r>
            <w:r w:rsidR="00BB7ED9">
              <w:rPr>
                <w:rFonts w:ascii="Arial" w:eastAsia="Times New Roman" w:hAnsi="Arial" w:cs="Arial"/>
                <w:sz w:val="18"/>
                <w:lang w:eastAsia="pt-BR"/>
              </w:rPr>
              <w:t>.</w:t>
            </w:r>
            <w:r w:rsidRPr="00BB7ED9">
              <w:rPr>
                <w:rFonts w:ascii="Arial" w:eastAsia="Times New Roman" w:hAnsi="Arial" w:cs="Arial"/>
                <w:sz w:val="18"/>
                <w:lang w:eastAsia="pt-BR"/>
              </w:rPr>
              <w:t>575</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5</w:t>
            </w:r>
            <w:r w:rsidR="00BB7ED9">
              <w:rPr>
                <w:rFonts w:ascii="Arial" w:eastAsia="Times New Roman" w:hAnsi="Arial" w:cs="Arial"/>
                <w:sz w:val="18"/>
                <w:lang w:eastAsia="pt-BR"/>
              </w:rPr>
              <w:t>.</w:t>
            </w:r>
            <w:r w:rsidRPr="00BB7ED9">
              <w:rPr>
                <w:rFonts w:ascii="Arial" w:eastAsia="Times New Roman" w:hAnsi="Arial" w:cs="Arial"/>
                <w:sz w:val="18"/>
                <w:lang w:eastAsia="pt-BR"/>
              </w:rPr>
              <w:t>866</w:t>
            </w:r>
            <w:r w:rsidR="00BB7ED9">
              <w:rPr>
                <w:rFonts w:ascii="Arial" w:eastAsia="Times New Roman" w:hAnsi="Arial" w:cs="Arial"/>
                <w:sz w:val="18"/>
                <w:lang w:eastAsia="pt-BR"/>
              </w:rPr>
              <w:t>.</w:t>
            </w:r>
            <w:r w:rsidRPr="00BB7ED9">
              <w:rPr>
                <w:rFonts w:ascii="Arial" w:eastAsia="Times New Roman" w:hAnsi="Arial" w:cs="Arial"/>
                <w:sz w:val="18"/>
                <w:lang w:eastAsia="pt-BR"/>
              </w:rPr>
              <w:t>975</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5</w:t>
            </w:r>
            <w:r w:rsidR="00BB7ED9">
              <w:rPr>
                <w:rFonts w:ascii="Arial" w:eastAsia="Times New Roman" w:hAnsi="Arial" w:cs="Arial"/>
                <w:sz w:val="18"/>
                <w:lang w:eastAsia="pt-BR"/>
              </w:rPr>
              <w:t>.</w:t>
            </w:r>
            <w:r w:rsidRPr="00BB7ED9">
              <w:rPr>
                <w:rFonts w:ascii="Arial" w:eastAsia="Times New Roman" w:hAnsi="Arial" w:cs="Arial"/>
                <w:sz w:val="18"/>
                <w:lang w:eastAsia="pt-BR"/>
              </w:rPr>
              <w:t>456</w:t>
            </w:r>
            <w:r w:rsidR="00BB7ED9">
              <w:rPr>
                <w:rFonts w:ascii="Arial" w:eastAsia="Times New Roman" w:hAnsi="Arial" w:cs="Arial"/>
                <w:sz w:val="18"/>
                <w:lang w:eastAsia="pt-BR"/>
              </w:rPr>
              <w:t>.</w:t>
            </w:r>
            <w:r w:rsidRPr="00BB7ED9">
              <w:rPr>
                <w:rFonts w:ascii="Arial" w:eastAsia="Times New Roman" w:hAnsi="Arial" w:cs="Arial"/>
                <w:sz w:val="18"/>
                <w:lang w:eastAsia="pt-BR"/>
              </w:rPr>
              <w:t>287</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D422D4">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5</w:t>
            </w:r>
            <w:r w:rsidR="00D422D4">
              <w:rPr>
                <w:rFonts w:ascii="Arial" w:eastAsia="Times New Roman" w:hAnsi="Arial" w:cs="Arial"/>
                <w:sz w:val="18"/>
                <w:lang w:eastAsia="pt-BR"/>
              </w:rPr>
              <w:t>.</w:t>
            </w:r>
            <w:r w:rsidRPr="00BB7ED9">
              <w:rPr>
                <w:rFonts w:ascii="Arial" w:eastAsia="Times New Roman" w:hAnsi="Arial" w:cs="Arial"/>
                <w:sz w:val="18"/>
                <w:lang w:eastAsia="pt-BR"/>
              </w:rPr>
              <w:t>074</w:t>
            </w:r>
            <w:r w:rsidR="00D422D4">
              <w:rPr>
                <w:rFonts w:ascii="Arial" w:eastAsia="Times New Roman" w:hAnsi="Arial" w:cs="Arial"/>
                <w:sz w:val="18"/>
                <w:lang w:eastAsia="pt-BR"/>
              </w:rPr>
              <w:t>.</w:t>
            </w:r>
            <w:r w:rsidRPr="00BB7ED9">
              <w:rPr>
                <w:rFonts w:ascii="Arial" w:eastAsia="Times New Roman" w:hAnsi="Arial" w:cs="Arial"/>
                <w:sz w:val="18"/>
                <w:lang w:eastAsia="pt-BR"/>
              </w:rPr>
              <w:t>346</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sz w:val="18"/>
                <w:lang w:eastAsia="pt-BR"/>
              </w:rPr>
            </w:pPr>
            <w:r w:rsidRPr="00BB7ED9">
              <w:rPr>
                <w:rFonts w:ascii="Arial" w:eastAsia="Times New Roman" w:hAnsi="Arial" w:cs="Arial"/>
                <w:sz w:val="18"/>
                <w:lang w:eastAsia="pt-BR"/>
              </w:rPr>
              <w:t>Secretaria de Seguridad</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0</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0</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0</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0</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sz w:val="18"/>
                <w:lang w:eastAsia="pt-BR"/>
              </w:rPr>
            </w:pPr>
            <w:r w:rsidRPr="00BB7ED9">
              <w:rPr>
                <w:rFonts w:ascii="Arial" w:eastAsia="Times New Roman" w:hAnsi="Arial" w:cs="Arial"/>
                <w:sz w:val="18"/>
                <w:lang w:eastAsia="pt-BR"/>
              </w:rPr>
              <w:t>Secretaria de Infraestructura y Servicios Públicos</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551</w:t>
            </w:r>
            <w:r w:rsidR="00BB7ED9">
              <w:rPr>
                <w:rFonts w:ascii="Arial" w:eastAsia="Times New Roman" w:hAnsi="Arial" w:cs="Arial"/>
                <w:sz w:val="18"/>
                <w:lang w:eastAsia="pt-BR"/>
              </w:rPr>
              <w:t>.</w:t>
            </w:r>
            <w:r w:rsidRPr="00BB7ED9">
              <w:rPr>
                <w:rFonts w:ascii="Arial" w:eastAsia="Times New Roman" w:hAnsi="Arial" w:cs="Arial"/>
                <w:sz w:val="18"/>
                <w:lang w:eastAsia="pt-BR"/>
              </w:rPr>
              <w:t>536</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512</w:t>
            </w:r>
            <w:r w:rsidR="00BB7ED9">
              <w:rPr>
                <w:rFonts w:ascii="Arial" w:eastAsia="Times New Roman" w:hAnsi="Arial" w:cs="Arial"/>
                <w:sz w:val="18"/>
                <w:lang w:eastAsia="pt-BR"/>
              </w:rPr>
              <w:t>.</w:t>
            </w:r>
            <w:r w:rsidRPr="00BB7ED9">
              <w:rPr>
                <w:rFonts w:ascii="Arial" w:eastAsia="Times New Roman" w:hAnsi="Arial" w:cs="Arial"/>
                <w:sz w:val="18"/>
                <w:lang w:eastAsia="pt-BR"/>
              </w:rPr>
              <w:t>928</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477</w:t>
            </w:r>
            <w:r w:rsidR="00BB7ED9">
              <w:rPr>
                <w:rFonts w:ascii="Arial" w:eastAsia="Times New Roman" w:hAnsi="Arial" w:cs="Arial"/>
                <w:sz w:val="18"/>
                <w:lang w:eastAsia="pt-BR"/>
              </w:rPr>
              <w:t>.</w:t>
            </w:r>
            <w:r w:rsidRPr="00BB7ED9">
              <w:rPr>
                <w:rFonts w:ascii="Arial" w:eastAsia="Times New Roman" w:hAnsi="Arial" w:cs="Arial"/>
                <w:sz w:val="18"/>
                <w:lang w:eastAsia="pt-BR"/>
              </w:rPr>
              <w:t>023</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D422D4">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443</w:t>
            </w:r>
            <w:r w:rsidR="00D422D4">
              <w:rPr>
                <w:rFonts w:ascii="Arial" w:eastAsia="Times New Roman" w:hAnsi="Arial" w:cs="Arial"/>
                <w:sz w:val="18"/>
                <w:lang w:eastAsia="pt-BR"/>
              </w:rPr>
              <w:t>.</w:t>
            </w:r>
            <w:r w:rsidRPr="00BB7ED9">
              <w:rPr>
                <w:rFonts w:ascii="Arial" w:eastAsia="Times New Roman" w:hAnsi="Arial" w:cs="Arial"/>
                <w:sz w:val="18"/>
                <w:lang w:eastAsia="pt-BR"/>
              </w:rPr>
              <w:t>632</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sz w:val="18"/>
                <w:lang w:eastAsia="pt-BR"/>
              </w:rPr>
            </w:pPr>
            <w:r w:rsidRPr="00BB7ED9">
              <w:rPr>
                <w:rFonts w:ascii="Arial" w:eastAsia="Times New Roman" w:hAnsi="Arial" w:cs="Arial"/>
                <w:sz w:val="18"/>
                <w:lang w:eastAsia="pt-BR"/>
              </w:rPr>
              <w:t>Total</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11</w:t>
            </w:r>
            <w:r w:rsidR="00BB7ED9">
              <w:rPr>
                <w:rFonts w:ascii="Arial" w:eastAsia="Times New Roman" w:hAnsi="Arial" w:cs="Arial"/>
                <w:sz w:val="18"/>
                <w:lang w:eastAsia="pt-BR"/>
              </w:rPr>
              <w:t>.</w:t>
            </w:r>
            <w:r w:rsidRPr="00BB7ED9">
              <w:rPr>
                <w:rFonts w:ascii="Arial" w:eastAsia="Times New Roman" w:hAnsi="Arial" w:cs="Arial"/>
                <w:sz w:val="18"/>
                <w:lang w:eastAsia="pt-BR"/>
              </w:rPr>
              <w:t>650</w:t>
            </w:r>
            <w:r w:rsidR="00BB7ED9">
              <w:rPr>
                <w:rFonts w:ascii="Arial" w:eastAsia="Times New Roman" w:hAnsi="Arial" w:cs="Arial"/>
                <w:sz w:val="18"/>
                <w:lang w:eastAsia="pt-BR"/>
              </w:rPr>
              <w:t>.</w:t>
            </w:r>
            <w:r w:rsidRPr="00BB7ED9">
              <w:rPr>
                <w:rFonts w:ascii="Arial" w:eastAsia="Times New Roman" w:hAnsi="Arial" w:cs="Arial"/>
                <w:sz w:val="18"/>
                <w:lang w:eastAsia="pt-BR"/>
              </w:rPr>
              <w:t>321</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10</w:t>
            </w:r>
            <w:r w:rsidR="00BB7ED9">
              <w:rPr>
                <w:rFonts w:ascii="Arial" w:eastAsia="Times New Roman" w:hAnsi="Arial" w:cs="Arial"/>
                <w:sz w:val="18"/>
                <w:lang w:eastAsia="pt-BR"/>
              </w:rPr>
              <w:t>.</w:t>
            </w:r>
            <w:r w:rsidRPr="00BB7ED9">
              <w:rPr>
                <w:rFonts w:ascii="Arial" w:eastAsia="Times New Roman" w:hAnsi="Arial" w:cs="Arial"/>
                <w:sz w:val="18"/>
                <w:lang w:eastAsia="pt-BR"/>
              </w:rPr>
              <w:t>834</w:t>
            </w:r>
            <w:r w:rsidR="00BB7ED9">
              <w:rPr>
                <w:rFonts w:ascii="Arial" w:eastAsia="Times New Roman" w:hAnsi="Arial" w:cs="Arial"/>
                <w:sz w:val="18"/>
                <w:lang w:eastAsia="pt-BR"/>
              </w:rPr>
              <w:t>.</w:t>
            </w:r>
            <w:r w:rsidRPr="00BB7ED9">
              <w:rPr>
                <w:rFonts w:ascii="Arial" w:eastAsia="Times New Roman" w:hAnsi="Arial" w:cs="Arial"/>
                <w:sz w:val="18"/>
                <w:lang w:eastAsia="pt-BR"/>
              </w:rPr>
              <w:t>799</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10</w:t>
            </w:r>
            <w:r w:rsidR="00BB7ED9">
              <w:rPr>
                <w:rFonts w:ascii="Arial" w:eastAsia="Times New Roman" w:hAnsi="Arial" w:cs="Arial"/>
                <w:sz w:val="18"/>
                <w:lang w:eastAsia="pt-BR"/>
              </w:rPr>
              <w:t>.</w:t>
            </w:r>
            <w:r w:rsidRPr="00BB7ED9">
              <w:rPr>
                <w:rFonts w:ascii="Arial" w:eastAsia="Times New Roman" w:hAnsi="Arial" w:cs="Arial"/>
                <w:sz w:val="18"/>
                <w:lang w:eastAsia="pt-BR"/>
              </w:rPr>
              <w:t>076</w:t>
            </w:r>
            <w:r w:rsidR="00BB7ED9">
              <w:rPr>
                <w:rFonts w:ascii="Arial" w:eastAsia="Times New Roman" w:hAnsi="Arial" w:cs="Arial"/>
                <w:sz w:val="18"/>
                <w:lang w:eastAsia="pt-BR"/>
              </w:rPr>
              <w:t>.</w:t>
            </w:r>
            <w:r w:rsidRPr="00BB7ED9">
              <w:rPr>
                <w:rFonts w:ascii="Arial" w:eastAsia="Times New Roman" w:hAnsi="Arial" w:cs="Arial"/>
                <w:sz w:val="18"/>
                <w:lang w:eastAsia="pt-BR"/>
              </w:rPr>
              <w:t>363</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D422D4">
            <w:pPr>
              <w:spacing w:after="0" w:line="240" w:lineRule="auto"/>
              <w:jc w:val="right"/>
              <w:rPr>
                <w:rFonts w:ascii="Arial" w:eastAsia="Times New Roman" w:hAnsi="Arial" w:cs="Arial"/>
                <w:sz w:val="18"/>
                <w:lang w:eastAsia="pt-BR"/>
              </w:rPr>
            </w:pPr>
            <w:r w:rsidRPr="00BB7ED9">
              <w:rPr>
                <w:rFonts w:ascii="Arial" w:eastAsia="Times New Roman" w:hAnsi="Arial" w:cs="Arial"/>
                <w:sz w:val="18"/>
                <w:lang w:eastAsia="pt-BR"/>
              </w:rPr>
              <w:t>9</w:t>
            </w:r>
            <w:r w:rsidR="00D422D4">
              <w:rPr>
                <w:rFonts w:ascii="Arial" w:eastAsia="Times New Roman" w:hAnsi="Arial" w:cs="Arial"/>
                <w:sz w:val="18"/>
                <w:lang w:eastAsia="pt-BR"/>
              </w:rPr>
              <w:t>.</w:t>
            </w:r>
            <w:r w:rsidRPr="00BB7ED9">
              <w:rPr>
                <w:rFonts w:ascii="Arial" w:eastAsia="Times New Roman" w:hAnsi="Arial" w:cs="Arial"/>
                <w:sz w:val="18"/>
                <w:lang w:eastAsia="pt-BR"/>
              </w:rPr>
              <w:t>371</w:t>
            </w:r>
            <w:r w:rsidR="00D422D4">
              <w:rPr>
                <w:rFonts w:ascii="Arial" w:eastAsia="Times New Roman" w:hAnsi="Arial" w:cs="Arial"/>
                <w:sz w:val="18"/>
                <w:lang w:eastAsia="pt-BR"/>
              </w:rPr>
              <w:t>.</w:t>
            </w:r>
            <w:r w:rsidRPr="00BB7ED9">
              <w:rPr>
                <w:rFonts w:ascii="Arial" w:eastAsia="Times New Roman" w:hAnsi="Arial" w:cs="Arial"/>
                <w:sz w:val="18"/>
                <w:lang w:eastAsia="pt-BR"/>
              </w:rPr>
              <w:t>017</w:t>
            </w:r>
          </w:p>
        </w:tc>
      </w:tr>
      <w:tr w:rsidR="00CC7E75" w:rsidRPr="00BB7ED9" w:rsidTr="00BB7ED9">
        <w:trPr>
          <w:trHeight w:val="270"/>
        </w:trPr>
        <w:tc>
          <w:tcPr>
            <w:tcW w:w="3153" w:type="dxa"/>
            <w:tcBorders>
              <w:top w:val="nil"/>
              <w:left w:val="single" w:sz="8" w:space="0" w:color="auto"/>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b/>
                <w:bCs/>
                <w:sz w:val="18"/>
                <w:lang w:eastAsia="pt-BR"/>
              </w:rPr>
            </w:pPr>
            <w:r w:rsidRPr="00BB7ED9">
              <w:rPr>
                <w:rFonts w:ascii="Arial" w:eastAsia="Times New Roman" w:hAnsi="Arial" w:cs="Arial"/>
                <w:b/>
                <w:bCs/>
                <w:sz w:val="18"/>
                <w:lang w:eastAsia="pt-BR"/>
              </w:rPr>
              <w:t>Valores Reales</w:t>
            </w:r>
          </w:p>
        </w:tc>
        <w:tc>
          <w:tcPr>
            <w:tcW w:w="1441"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EA40F8">
            <w:pPr>
              <w:spacing w:after="0" w:line="240" w:lineRule="auto"/>
              <w:jc w:val="both"/>
              <w:rPr>
                <w:rFonts w:ascii="Arial" w:eastAsia="Times New Roman" w:hAnsi="Arial" w:cs="Arial"/>
                <w:b/>
                <w:bCs/>
                <w:sz w:val="18"/>
                <w:lang w:eastAsia="pt-BR"/>
              </w:rPr>
            </w:pPr>
            <w:r w:rsidRPr="00BB7ED9">
              <w:rPr>
                <w:rFonts w:ascii="Arial" w:eastAsia="Times New Roman" w:hAnsi="Arial" w:cs="Arial"/>
                <w:b/>
                <w:bCs/>
                <w:sz w:val="18"/>
                <w:lang w:eastAsia="pt-BR"/>
              </w:rPr>
              <w:t> </w:t>
            </w:r>
          </w:p>
        </w:tc>
        <w:tc>
          <w:tcPr>
            <w:tcW w:w="1386"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b/>
                <w:bCs/>
                <w:sz w:val="18"/>
                <w:lang w:eastAsia="pt-BR"/>
              </w:rPr>
            </w:pPr>
            <w:r w:rsidRPr="00BB7ED9">
              <w:rPr>
                <w:rFonts w:ascii="Arial" w:eastAsia="Times New Roman" w:hAnsi="Arial" w:cs="Arial"/>
                <w:b/>
                <w:bCs/>
                <w:sz w:val="18"/>
                <w:lang w:eastAsia="pt-BR"/>
              </w:rPr>
              <w:t>10</w:t>
            </w:r>
            <w:r w:rsidR="00BB7ED9">
              <w:rPr>
                <w:rFonts w:ascii="Arial" w:eastAsia="Times New Roman" w:hAnsi="Arial" w:cs="Arial"/>
                <w:b/>
                <w:bCs/>
                <w:sz w:val="18"/>
                <w:lang w:eastAsia="pt-BR"/>
              </w:rPr>
              <w:t>.</w:t>
            </w:r>
            <w:r w:rsidRPr="00BB7ED9">
              <w:rPr>
                <w:rFonts w:ascii="Arial" w:eastAsia="Times New Roman" w:hAnsi="Arial" w:cs="Arial"/>
                <w:b/>
                <w:bCs/>
                <w:sz w:val="18"/>
                <w:lang w:eastAsia="pt-BR"/>
              </w:rPr>
              <w:t>076</w:t>
            </w:r>
            <w:r w:rsidR="00BB7ED9">
              <w:rPr>
                <w:rFonts w:ascii="Arial" w:eastAsia="Times New Roman" w:hAnsi="Arial" w:cs="Arial"/>
                <w:b/>
                <w:bCs/>
                <w:sz w:val="18"/>
                <w:lang w:eastAsia="pt-BR"/>
              </w:rPr>
              <w:t>.</w:t>
            </w:r>
            <w:r w:rsidRPr="00BB7ED9">
              <w:rPr>
                <w:rFonts w:ascii="Arial" w:eastAsia="Times New Roman" w:hAnsi="Arial" w:cs="Arial"/>
                <w:b/>
                <w:bCs/>
                <w:sz w:val="18"/>
                <w:lang w:eastAsia="pt-BR"/>
              </w:rPr>
              <w:t>363</w:t>
            </w:r>
          </w:p>
        </w:tc>
        <w:tc>
          <w:tcPr>
            <w:tcW w:w="1169"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BB7ED9">
            <w:pPr>
              <w:spacing w:after="0" w:line="240" w:lineRule="auto"/>
              <w:jc w:val="right"/>
              <w:rPr>
                <w:rFonts w:ascii="Arial" w:eastAsia="Times New Roman" w:hAnsi="Arial" w:cs="Arial"/>
                <w:b/>
                <w:bCs/>
                <w:sz w:val="18"/>
                <w:lang w:eastAsia="pt-BR"/>
              </w:rPr>
            </w:pPr>
            <w:r w:rsidRPr="00BB7ED9">
              <w:rPr>
                <w:rFonts w:ascii="Arial" w:eastAsia="Times New Roman" w:hAnsi="Arial" w:cs="Arial"/>
                <w:b/>
                <w:bCs/>
                <w:sz w:val="18"/>
                <w:lang w:eastAsia="pt-BR"/>
              </w:rPr>
              <w:t>9</w:t>
            </w:r>
            <w:r w:rsidR="00BB7ED9">
              <w:rPr>
                <w:rFonts w:ascii="Arial" w:eastAsia="Times New Roman" w:hAnsi="Arial" w:cs="Arial"/>
                <w:b/>
                <w:bCs/>
                <w:sz w:val="18"/>
                <w:lang w:eastAsia="pt-BR"/>
              </w:rPr>
              <w:t>.</w:t>
            </w:r>
            <w:r w:rsidRPr="00BB7ED9">
              <w:rPr>
                <w:rFonts w:ascii="Arial" w:eastAsia="Times New Roman" w:hAnsi="Arial" w:cs="Arial"/>
                <w:b/>
                <w:bCs/>
                <w:sz w:val="18"/>
                <w:lang w:eastAsia="pt-BR"/>
              </w:rPr>
              <w:t>371</w:t>
            </w:r>
            <w:r w:rsidR="00BB7ED9">
              <w:rPr>
                <w:rFonts w:ascii="Arial" w:eastAsia="Times New Roman" w:hAnsi="Arial" w:cs="Arial"/>
                <w:b/>
                <w:bCs/>
                <w:sz w:val="18"/>
                <w:lang w:eastAsia="pt-BR"/>
              </w:rPr>
              <w:t>.</w:t>
            </w:r>
            <w:r w:rsidRPr="00BB7ED9">
              <w:rPr>
                <w:rFonts w:ascii="Arial" w:eastAsia="Times New Roman" w:hAnsi="Arial" w:cs="Arial"/>
                <w:b/>
                <w:bCs/>
                <w:sz w:val="18"/>
                <w:lang w:eastAsia="pt-BR"/>
              </w:rPr>
              <w:t>017</w:t>
            </w:r>
          </w:p>
        </w:tc>
        <w:tc>
          <w:tcPr>
            <w:tcW w:w="1237" w:type="dxa"/>
            <w:tcBorders>
              <w:top w:val="nil"/>
              <w:left w:val="nil"/>
              <w:bottom w:val="single" w:sz="8" w:space="0" w:color="auto"/>
              <w:right w:val="single" w:sz="8" w:space="0" w:color="auto"/>
            </w:tcBorders>
            <w:shd w:val="clear" w:color="auto" w:fill="auto"/>
            <w:vAlign w:val="center"/>
            <w:hideMark/>
          </w:tcPr>
          <w:p w:rsidR="00CC7E75" w:rsidRPr="00BB7ED9" w:rsidRDefault="00CC7E75" w:rsidP="00D422D4">
            <w:pPr>
              <w:spacing w:after="0" w:line="240" w:lineRule="auto"/>
              <w:jc w:val="right"/>
              <w:rPr>
                <w:rFonts w:ascii="Arial" w:eastAsia="Times New Roman" w:hAnsi="Arial" w:cs="Arial"/>
                <w:b/>
                <w:bCs/>
                <w:sz w:val="18"/>
                <w:lang w:eastAsia="pt-BR"/>
              </w:rPr>
            </w:pPr>
            <w:r w:rsidRPr="00BB7ED9">
              <w:rPr>
                <w:rFonts w:ascii="Arial" w:eastAsia="Times New Roman" w:hAnsi="Arial" w:cs="Arial"/>
                <w:b/>
                <w:bCs/>
                <w:sz w:val="18"/>
                <w:lang w:eastAsia="pt-BR"/>
              </w:rPr>
              <w:t>8</w:t>
            </w:r>
            <w:r w:rsidR="00D422D4">
              <w:rPr>
                <w:rFonts w:ascii="Arial" w:eastAsia="Times New Roman" w:hAnsi="Arial" w:cs="Arial"/>
                <w:b/>
                <w:bCs/>
                <w:sz w:val="18"/>
                <w:lang w:eastAsia="pt-BR"/>
              </w:rPr>
              <w:t>.</w:t>
            </w:r>
            <w:r w:rsidRPr="00BB7ED9">
              <w:rPr>
                <w:rFonts w:ascii="Arial" w:eastAsia="Times New Roman" w:hAnsi="Arial" w:cs="Arial"/>
                <w:b/>
                <w:bCs/>
                <w:sz w:val="18"/>
                <w:lang w:eastAsia="pt-BR"/>
              </w:rPr>
              <w:t>715</w:t>
            </w:r>
            <w:r w:rsidR="00D422D4">
              <w:rPr>
                <w:rFonts w:ascii="Arial" w:eastAsia="Times New Roman" w:hAnsi="Arial" w:cs="Arial"/>
                <w:b/>
                <w:bCs/>
                <w:sz w:val="18"/>
                <w:lang w:eastAsia="pt-BR"/>
              </w:rPr>
              <w:t>.</w:t>
            </w:r>
            <w:r w:rsidRPr="00BB7ED9">
              <w:rPr>
                <w:rFonts w:ascii="Arial" w:eastAsia="Times New Roman" w:hAnsi="Arial" w:cs="Arial"/>
                <w:b/>
                <w:bCs/>
                <w:sz w:val="18"/>
                <w:lang w:eastAsia="pt-BR"/>
              </w:rPr>
              <w:t>046</w:t>
            </w:r>
          </w:p>
        </w:tc>
      </w:tr>
    </w:tbl>
    <w:p w:rsidR="00CC7E75" w:rsidRPr="002E1AE0" w:rsidRDefault="00CC7E75" w:rsidP="00CC7E75">
      <w:pPr>
        <w:pStyle w:val="Paragraph"/>
        <w:keepNext/>
        <w:tabs>
          <w:tab w:val="clear" w:pos="1296"/>
          <w:tab w:val="num" w:pos="1080"/>
        </w:tabs>
        <w:ind w:left="1310" w:hanging="1123"/>
        <w:rPr>
          <w:rFonts w:ascii="Arial" w:hAnsi="Arial" w:cs="Arial"/>
          <w:b/>
          <w:sz w:val="22"/>
          <w:szCs w:val="22"/>
        </w:rPr>
      </w:pPr>
      <w:r w:rsidRPr="002E1AE0">
        <w:rPr>
          <w:rFonts w:ascii="Arial" w:hAnsi="Arial" w:cs="Arial"/>
          <w:b/>
          <w:sz w:val="22"/>
          <w:szCs w:val="22"/>
        </w:rPr>
        <w:t>Conclusión</w:t>
      </w:r>
    </w:p>
    <w:p w:rsidR="00CC7E75" w:rsidRPr="002E1AE0" w:rsidRDefault="00CC7E75" w:rsidP="00CC7E75">
      <w:pPr>
        <w:pStyle w:val="ListParagraph"/>
        <w:spacing w:before="120" w:after="120" w:line="240" w:lineRule="auto"/>
        <w:ind w:left="1080"/>
        <w:contextualSpacing w:val="0"/>
        <w:jc w:val="both"/>
        <w:rPr>
          <w:rFonts w:ascii="Arial" w:hAnsi="Arial" w:cs="Arial"/>
        </w:rPr>
      </w:pPr>
      <w:r w:rsidRPr="002E1AE0">
        <w:rPr>
          <w:rFonts w:ascii="Arial" w:hAnsi="Arial" w:cs="Arial"/>
        </w:rPr>
        <w:t>Con la implementación del plan de acción de las auditorias de nómina realizada a las cinco instituciones que abarcan el mayor presupuesto de sueldos y salarios del estado de Honduras se generar</w:t>
      </w:r>
      <w:r w:rsidR="00645F09" w:rsidRPr="002E1AE0">
        <w:rPr>
          <w:rFonts w:ascii="Arial" w:hAnsi="Arial" w:cs="Arial"/>
        </w:rPr>
        <w:t>á</w:t>
      </w:r>
      <w:r w:rsidRPr="002E1AE0">
        <w:rPr>
          <w:rFonts w:ascii="Arial" w:hAnsi="Arial" w:cs="Arial"/>
        </w:rPr>
        <w:t xml:space="preserve"> un beneficio financiero de US$ 10</w:t>
      </w:r>
      <w:r w:rsidR="00645F09" w:rsidRPr="002E1AE0">
        <w:rPr>
          <w:rFonts w:ascii="Arial" w:hAnsi="Arial" w:cs="Arial"/>
        </w:rPr>
        <w:t>.</w:t>
      </w:r>
      <w:r w:rsidRPr="002E1AE0">
        <w:rPr>
          <w:rFonts w:ascii="Arial" w:hAnsi="Arial" w:cs="Arial"/>
        </w:rPr>
        <w:t>076</w:t>
      </w:r>
      <w:r w:rsidR="00645F09" w:rsidRPr="002E1AE0">
        <w:rPr>
          <w:rFonts w:ascii="Arial" w:hAnsi="Arial" w:cs="Arial"/>
        </w:rPr>
        <w:t>.</w:t>
      </w:r>
      <w:r w:rsidRPr="002E1AE0">
        <w:rPr>
          <w:rFonts w:ascii="Arial" w:hAnsi="Arial" w:cs="Arial"/>
        </w:rPr>
        <w:t>363 (en valores reales) a partir de 2017</w:t>
      </w:r>
      <w:r w:rsidR="00B76F26">
        <w:rPr>
          <w:rFonts w:ascii="Arial" w:hAnsi="Arial" w:cs="Arial"/>
        </w:rPr>
        <w:t>. Esto es</w:t>
      </w:r>
      <w:r w:rsidRPr="002E1AE0">
        <w:rPr>
          <w:rFonts w:ascii="Arial" w:hAnsi="Arial" w:cs="Arial"/>
        </w:rPr>
        <w:t xml:space="preserve"> resultado de la disminución de la masa salarial proveniente de la eliminación de </w:t>
      </w:r>
      <w:r w:rsidR="00645F09" w:rsidRPr="002E1AE0">
        <w:rPr>
          <w:rFonts w:ascii="Arial" w:hAnsi="Arial" w:cs="Arial"/>
        </w:rPr>
        <w:t xml:space="preserve">funcionarios </w:t>
      </w:r>
      <w:r w:rsidRPr="002E1AE0">
        <w:rPr>
          <w:rFonts w:ascii="Arial" w:hAnsi="Arial" w:cs="Arial"/>
        </w:rPr>
        <w:t>fantasma y funcionarios sin asignación específica</w:t>
      </w:r>
      <w:r w:rsidR="00645F09" w:rsidRPr="002E1AE0">
        <w:rPr>
          <w:rFonts w:ascii="Arial" w:hAnsi="Arial" w:cs="Arial"/>
        </w:rPr>
        <w:t>.</w:t>
      </w:r>
    </w:p>
    <w:p w:rsidR="00CC7E75" w:rsidRPr="002E1AE0" w:rsidRDefault="00CC7E75" w:rsidP="00CC7E75">
      <w:pPr>
        <w:pStyle w:val="Paragraph"/>
        <w:keepNext/>
        <w:tabs>
          <w:tab w:val="clear" w:pos="1296"/>
          <w:tab w:val="num" w:pos="1080"/>
        </w:tabs>
        <w:ind w:left="1310" w:hanging="1123"/>
        <w:rPr>
          <w:rFonts w:ascii="Arial" w:hAnsi="Arial" w:cs="Arial"/>
          <w:b/>
          <w:sz w:val="22"/>
          <w:szCs w:val="22"/>
        </w:rPr>
      </w:pPr>
      <w:r w:rsidRPr="002E1AE0">
        <w:rPr>
          <w:rFonts w:ascii="Arial" w:hAnsi="Arial" w:cs="Arial"/>
          <w:b/>
          <w:sz w:val="22"/>
          <w:szCs w:val="22"/>
        </w:rPr>
        <w:t>Costos Asociados a la optimización de las Nóminas del Gobierno Central</w:t>
      </w:r>
    </w:p>
    <w:tbl>
      <w:tblPr>
        <w:tblStyle w:val="TableGrid"/>
        <w:tblW w:w="0" w:type="auto"/>
        <w:tblInd w:w="1242" w:type="dxa"/>
        <w:tblLook w:val="04A0" w:firstRow="1" w:lastRow="0" w:firstColumn="1" w:lastColumn="0" w:noHBand="0" w:noVBand="1"/>
      </w:tblPr>
      <w:tblGrid>
        <w:gridCol w:w="3776"/>
        <w:gridCol w:w="3838"/>
      </w:tblGrid>
      <w:tr w:rsidR="00CC7E75" w:rsidRPr="00F36781" w:rsidTr="00F36781">
        <w:tc>
          <w:tcPr>
            <w:tcW w:w="4106" w:type="dxa"/>
            <w:shd w:val="clear" w:color="auto" w:fill="BDD6EE" w:themeFill="accent1" w:themeFillTint="66"/>
          </w:tcPr>
          <w:p w:rsidR="00CC7E75" w:rsidRPr="00F36781" w:rsidRDefault="00CC7E75" w:rsidP="00EA40F8">
            <w:pPr>
              <w:pStyle w:val="ListParagraph"/>
              <w:spacing w:before="120" w:after="120"/>
              <w:ind w:left="0"/>
              <w:contextualSpacing w:val="0"/>
              <w:jc w:val="center"/>
              <w:rPr>
                <w:rFonts w:ascii="Arial" w:hAnsi="Arial" w:cs="Arial"/>
                <w:b/>
                <w:sz w:val="18"/>
              </w:rPr>
            </w:pPr>
            <w:r w:rsidRPr="00F36781">
              <w:rPr>
                <w:rFonts w:ascii="Arial" w:hAnsi="Arial" w:cs="Arial"/>
                <w:b/>
                <w:sz w:val="18"/>
              </w:rPr>
              <w:t>Costos (US$)</w:t>
            </w:r>
          </w:p>
        </w:tc>
        <w:tc>
          <w:tcPr>
            <w:tcW w:w="4228" w:type="dxa"/>
            <w:shd w:val="clear" w:color="auto" w:fill="BDD6EE" w:themeFill="accent1" w:themeFillTint="66"/>
          </w:tcPr>
          <w:p w:rsidR="00CC7E75" w:rsidRPr="00F36781" w:rsidRDefault="00CC7E75" w:rsidP="00EA40F8">
            <w:pPr>
              <w:pStyle w:val="ListParagraph"/>
              <w:spacing w:before="120" w:after="120"/>
              <w:ind w:left="0"/>
              <w:contextualSpacing w:val="0"/>
              <w:jc w:val="center"/>
              <w:rPr>
                <w:rFonts w:ascii="Arial" w:hAnsi="Arial" w:cs="Arial"/>
                <w:b/>
                <w:sz w:val="18"/>
              </w:rPr>
            </w:pPr>
            <w:r w:rsidRPr="00F36781">
              <w:rPr>
                <w:rFonts w:ascii="Arial" w:hAnsi="Arial" w:cs="Arial"/>
                <w:b/>
                <w:sz w:val="18"/>
              </w:rPr>
              <w:t>Monto</w:t>
            </w:r>
          </w:p>
        </w:tc>
      </w:tr>
      <w:tr w:rsidR="00CC7E75" w:rsidRPr="00F36781" w:rsidTr="00F36781">
        <w:tc>
          <w:tcPr>
            <w:tcW w:w="4106" w:type="dxa"/>
          </w:tcPr>
          <w:p w:rsidR="00CC7E75" w:rsidRPr="00F36781" w:rsidRDefault="00CC7E75" w:rsidP="007946A2">
            <w:pPr>
              <w:pStyle w:val="ListParagraph"/>
              <w:spacing w:before="120" w:after="120"/>
              <w:ind w:left="0"/>
              <w:contextualSpacing w:val="0"/>
              <w:jc w:val="both"/>
              <w:rPr>
                <w:rFonts w:ascii="Arial" w:hAnsi="Arial" w:cs="Arial"/>
                <w:sz w:val="18"/>
              </w:rPr>
            </w:pPr>
            <w:r w:rsidRPr="00F36781">
              <w:rPr>
                <w:rFonts w:ascii="Arial" w:hAnsi="Arial" w:cs="Arial"/>
                <w:sz w:val="18"/>
              </w:rPr>
              <w:t>1. Equipo técnico del Gobierno compuest</w:t>
            </w:r>
            <w:r w:rsidR="007946A2" w:rsidRPr="00F36781">
              <w:rPr>
                <w:rFonts w:ascii="Arial" w:hAnsi="Arial" w:cs="Arial"/>
                <w:sz w:val="18"/>
              </w:rPr>
              <w:t>o</w:t>
            </w:r>
            <w:r w:rsidRPr="00F36781">
              <w:rPr>
                <w:rFonts w:ascii="Arial" w:hAnsi="Arial" w:cs="Arial"/>
                <w:sz w:val="18"/>
              </w:rPr>
              <w:t xml:space="preserve"> de 10 especialistas que viene participando desde 2010 en el proceso de optimización de la nómina del Gobierno central (10 especialistas * US$ 24</w:t>
            </w:r>
            <w:r w:rsidR="007946A2" w:rsidRPr="00F36781">
              <w:rPr>
                <w:rFonts w:ascii="Arial" w:hAnsi="Arial" w:cs="Arial"/>
                <w:sz w:val="18"/>
              </w:rPr>
              <w:t>.</w:t>
            </w:r>
            <w:r w:rsidRPr="00F36781">
              <w:rPr>
                <w:rFonts w:ascii="Arial" w:hAnsi="Arial" w:cs="Arial"/>
                <w:sz w:val="18"/>
              </w:rPr>
              <w:t xml:space="preserve">000 anuales * 5 años)  </w:t>
            </w:r>
          </w:p>
        </w:tc>
        <w:tc>
          <w:tcPr>
            <w:tcW w:w="4228" w:type="dxa"/>
            <w:vAlign w:val="center"/>
          </w:tcPr>
          <w:p w:rsidR="00CC7E75" w:rsidRPr="00F36781" w:rsidRDefault="00CC7E75" w:rsidP="007946A2">
            <w:pPr>
              <w:pStyle w:val="ListParagraph"/>
              <w:spacing w:before="120" w:after="120"/>
              <w:ind w:left="0"/>
              <w:contextualSpacing w:val="0"/>
              <w:jc w:val="center"/>
              <w:rPr>
                <w:rFonts w:ascii="Arial" w:hAnsi="Arial" w:cs="Arial"/>
                <w:sz w:val="18"/>
              </w:rPr>
            </w:pPr>
            <w:r w:rsidRPr="00F36781">
              <w:rPr>
                <w:rFonts w:ascii="Arial" w:hAnsi="Arial" w:cs="Arial"/>
                <w:sz w:val="18"/>
              </w:rPr>
              <w:t>US$ 1</w:t>
            </w:r>
            <w:r w:rsidR="007946A2" w:rsidRPr="00F36781">
              <w:rPr>
                <w:rFonts w:ascii="Arial" w:hAnsi="Arial" w:cs="Arial"/>
                <w:sz w:val="18"/>
              </w:rPr>
              <w:t>.</w:t>
            </w:r>
            <w:r w:rsidRPr="00F36781">
              <w:rPr>
                <w:rFonts w:ascii="Arial" w:hAnsi="Arial" w:cs="Arial"/>
                <w:sz w:val="18"/>
              </w:rPr>
              <w:t>400</w:t>
            </w:r>
            <w:r w:rsidR="007946A2" w:rsidRPr="00F36781">
              <w:rPr>
                <w:rFonts w:ascii="Arial" w:hAnsi="Arial" w:cs="Arial"/>
                <w:sz w:val="18"/>
              </w:rPr>
              <w:t>.</w:t>
            </w:r>
            <w:r w:rsidRPr="00F36781">
              <w:rPr>
                <w:rFonts w:ascii="Arial" w:hAnsi="Arial" w:cs="Arial"/>
                <w:sz w:val="18"/>
              </w:rPr>
              <w:t>000</w:t>
            </w:r>
          </w:p>
        </w:tc>
      </w:tr>
      <w:tr w:rsidR="00CC7E75" w:rsidRPr="00F36781" w:rsidTr="00F36781">
        <w:tc>
          <w:tcPr>
            <w:tcW w:w="4106" w:type="dxa"/>
          </w:tcPr>
          <w:p w:rsidR="00CC7E75" w:rsidRPr="00F36781" w:rsidRDefault="00CC7E75" w:rsidP="00EA40F8">
            <w:pPr>
              <w:pStyle w:val="ListParagraph"/>
              <w:spacing w:before="120" w:after="120"/>
              <w:ind w:left="0"/>
              <w:contextualSpacing w:val="0"/>
              <w:jc w:val="both"/>
              <w:rPr>
                <w:rFonts w:ascii="Arial" w:hAnsi="Arial" w:cs="Arial"/>
                <w:sz w:val="18"/>
              </w:rPr>
            </w:pPr>
            <w:r w:rsidRPr="00F36781">
              <w:rPr>
                <w:rFonts w:ascii="Arial" w:hAnsi="Arial" w:cs="Arial"/>
                <w:sz w:val="18"/>
              </w:rPr>
              <w:t xml:space="preserve">2. Realización del censo y de 5 Consultorías de auditoria de la nómina  </w:t>
            </w:r>
          </w:p>
        </w:tc>
        <w:tc>
          <w:tcPr>
            <w:tcW w:w="4228" w:type="dxa"/>
            <w:vAlign w:val="center"/>
          </w:tcPr>
          <w:p w:rsidR="00CC7E75" w:rsidRPr="00F36781" w:rsidRDefault="00CC7E75" w:rsidP="007946A2">
            <w:pPr>
              <w:pStyle w:val="ListParagraph"/>
              <w:spacing w:before="120" w:after="120"/>
              <w:ind w:left="0"/>
              <w:contextualSpacing w:val="0"/>
              <w:jc w:val="center"/>
              <w:rPr>
                <w:rFonts w:ascii="Arial" w:hAnsi="Arial" w:cs="Arial"/>
                <w:sz w:val="18"/>
              </w:rPr>
            </w:pPr>
            <w:r w:rsidRPr="00F36781">
              <w:rPr>
                <w:rFonts w:ascii="Arial" w:hAnsi="Arial" w:cs="Arial"/>
                <w:sz w:val="18"/>
              </w:rPr>
              <w:t>US$ 2</w:t>
            </w:r>
            <w:r w:rsidR="007946A2" w:rsidRPr="00F36781">
              <w:rPr>
                <w:rFonts w:ascii="Arial" w:hAnsi="Arial" w:cs="Arial"/>
                <w:sz w:val="18"/>
              </w:rPr>
              <w:t>.</w:t>
            </w:r>
            <w:r w:rsidRPr="00F36781">
              <w:rPr>
                <w:rFonts w:ascii="Arial" w:hAnsi="Arial" w:cs="Arial"/>
                <w:sz w:val="18"/>
              </w:rPr>
              <w:t>000</w:t>
            </w:r>
            <w:r w:rsidR="007946A2" w:rsidRPr="00F36781">
              <w:rPr>
                <w:rFonts w:ascii="Arial" w:hAnsi="Arial" w:cs="Arial"/>
                <w:sz w:val="18"/>
              </w:rPr>
              <w:t>.</w:t>
            </w:r>
            <w:r w:rsidRPr="00F36781">
              <w:rPr>
                <w:rFonts w:ascii="Arial" w:hAnsi="Arial" w:cs="Arial"/>
                <w:sz w:val="18"/>
              </w:rPr>
              <w:t>000</w:t>
            </w:r>
          </w:p>
        </w:tc>
      </w:tr>
      <w:tr w:rsidR="00CC7E75" w:rsidRPr="00F36781" w:rsidTr="00F36781">
        <w:tc>
          <w:tcPr>
            <w:tcW w:w="4106" w:type="dxa"/>
          </w:tcPr>
          <w:p w:rsidR="00CC7E75" w:rsidRPr="00F36781" w:rsidRDefault="00CC7E75" w:rsidP="00EA40F8">
            <w:pPr>
              <w:pStyle w:val="ListParagraph"/>
              <w:spacing w:before="120" w:after="120"/>
              <w:ind w:left="0"/>
              <w:contextualSpacing w:val="0"/>
              <w:jc w:val="both"/>
              <w:rPr>
                <w:rFonts w:ascii="Arial" w:hAnsi="Arial" w:cs="Arial"/>
                <w:sz w:val="18"/>
              </w:rPr>
            </w:pPr>
            <w:r w:rsidRPr="00F36781">
              <w:rPr>
                <w:rFonts w:ascii="Arial" w:hAnsi="Arial" w:cs="Arial"/>
                <w:sz w:val="18"/>
              </w:rPr>
              <w:t>3. Contratación de consultorías externas para el apoyo de la modernización</w:t>
            </w:r>
          </w:p>
        </w:tc>
        <w:tc>
          <w:tcPr>
            <w:tcW w:w="4228" w:type="dxa"/>
            <w:vAlign w:val="center"/>
          </w:tcPr>
          <w:p w:rsidR="00CC7E75" w:rsidRPr="00F36781" w:rsidRDefault="00CC7E75" w:rsidP="007946A2">
            <w:pPr>
              <w:pStyle w:val="ListParagraph"/>
              <w:spacing w:before="120" w:after="120"/>
              <w:ind w:left="0"/>
              <w:contextualSpacing w:val="0"/>
              <w:jc w:val="center"/>
              <w:rPr>
                <w:rFonts w:ascii="Arial" w:hAnsi="Arial" w:cs="Arial"/>
                <w:sz w:val="18"/>
              </w:rPr>
            </w:pPr>
            <w:r w:rsidRPr="00F36781">
              <w:rPr>
                <w:rFonts w:ascii="Arial" w:hAnsi="Arial" w:cs="Arial"/>
                <w:sz w:val="18"/>
              </w:rPr>
              <w:t>US$ 1</w:t>
            </w:r>
            <w:r w:rsidR="007946A2" w:rsidRPr="00F36781">
              <w:rPr>
                <w:rFonts w:ascii="Arial" w:hAnsi="Arial" w:cs="Arial"/>
                <w:sz w:val="18"/>
              </w:rPr>
              <w:t>.</w:t>
            </w:r>
            <w:r w:rsidRPr="00F36781">
              <w:rPr>
                <w:rFonts w:ascii="Arial" w:hAnsi="Arial" w:cs="Arial"/>
                <w:sz w:val="18"/>
              </w:rPr>
              <w:t>000</w:t>
            </w:r>
            <w:r w:rsidR="007946A2" w:rsidRPr="00F36781">
              <w:rPr>
                <w:rFonts w:ascii="Arial" w:hAnsi="Arial" w:cs="Arial"/>
                <w:sz w:val="18"/>
              </w:rPr>
              <w:t>.</w:t>
            </w:r>
            <w:r w:rsidRPr="00F36781">
              <w:rPr>
                <w:rFonts w:ascii="Arial" w:hAnsi="Arial" w:cs="Arial"/>
                <w:sz w:val="18"/>
              </w:rPr>
              <w:t>000</w:t>
            </w:r>
          </w:p>
        </w:tc>
      </w:tr>
      <w:tr w:rsidR="00CC7E75" w:rsidRPr="00F36781" w:rsidTr="00F36781">
        <w:tc>
          <w:tcPr>
            <w:tcW w:w="4106" w:type="dxa"/>
          </w:tcPr>
          <w:p w:rsidR="00CC7E75" w:rsidRPr="00F36781" w:rsidRDefault="00CC7E75" w:rsidP="00EA40F8">
            <w:pPr>
              <w:pStyle w:val="ListParagraph"/>
              <w:spacing w:before="120" w:after="120"/>
              <w:ind w:left="0"/>
              <w:contextualSpacing w:val="0"/>
              <w:jc w:val="center"/>
              <w:rPr>
                <w:rFonts w:ascii="Arial" w:hAnsi="Arial" w:cs="Arial"/>
                <w:b/>
                <w:sz w:val="18"/>
              </w:rPr>
            </w:pPr>
            <w:r w:rsidRPr="00F36781">
              <w:rPr>
                <w:rFonts w:ascii="Arial" w:hAnsi="Arial" w:cs="Arial"/>
                <w:b/>
                <w:sz w:val="18"/>
              </w:rPr>
              <w:t>Total</w:t>
            </w:r>
          </w:p>
        </w:tc>
        <w:tc>
          <w:tcPr>
            <w:tcW w:w="4228" w:type="dxa"/>
            <w:vAlign w:val="center"/>
          </w:tcPr>
          <w:p w:rsidR="00CC7E75" w:rsidRPr="00F36781" w:rsidRDefault="00CC7E75" w:rsidP="007946A2">
            <w:pPr>
              <w:pStyle w:val="ListParagraph"/>
              <w:spacing w:before="120" w:after="120"/>
              <w:ind w:left="0"/>
              <w:contextualSpacing w:val="0"/>
              <w:jc w:val="center"/>
              <w:rPr>
                <w:rFonts w:ascii="Arial" w:hAnsi="Arial" w:cs="Arial"/>
                <w:b/>
                <w:sz w:val="18"/>
              </w:rPr>
            </w:pPr>
            <w:r w:rsidRPr="00F36781">
              <w:rPr>
                <w:rFonts w:ascii="Arial" w:hAnsi="Arial" w:cs="Arial"/>
                <w:b/>
                <w:sz w:val="18"/>
              </w:rPr>
              <w:t>US$ 4</w:t>
            </w:r>
            <w:r w:rsidR="007946A2" w:rsidRPr="00F36781">
              <w:rPr>
                <w:rFonts w:ascii="Arial" w:hAnsi="Arial" w:cs="Arial"/>
                <w:b/>
                <w:sz w:val="18"/>
              </w:rPr>
              <w:t>.</w:t>
            </w:r>
            <w:r w:rsidRPr="00F36781">
              <w:rPr>
                <w:rFonts w:ascii="Arial" w:hAnsi="Arial" w:cs="Arial"/>
                <w:b/>
                <w:sz w:val="18"/>
              </w:rPr>
              <w:t>400</w:t>
            </w:r>
            <w:r w:rsidR="007946A2" w:rsidRPr="00F36781">
              <w:rPr>
                <w:rFonts w:ascii="Arial" w:hAnsi="Arial" w:cs="Arial"/>
                <w:b/>
                <w:sz w:val="18"/>
              </w:rPr>
              <w:t>.</w:t>
            </w:r>
            <w:r w:rsidRPr="00F36781">
              <w:rPr>
                <w:rFonts w:ascii="Arial" w:hAnsi="Arial" w:cs="Arial"/>
                <w:b/>
                <w:sz w:val="18"/>
              </w:rPr>
              <w:t>000</w:t>
            </w:r>
          </w:p>
        </w:tc>
      </w:tr>
    </w:tbl>
    <w:p w:rsidR="000B1A4A" w:rsidRPr="002E1AE0" w:rsidRDefault="000B1A4A" w:rsidP="00CC7E75">
      <w:pPr>
        <w:pStyle w:val="ListParagraph"/>
        <w:spacing w:before="120" w:after="120" w:line="240" w:lineRule="auto"/>
        <w:ind w:left="1080"/>
        <w:contextualSpacing w:val="0"/>
        <w:jc w:val="both"/>
        <w:rPr>
          <w:rFonts w:ascii="Arial" w:hAnsi="Arial" w:cs="Arial"/>
        </w:rPr>
      </w:pPr>
    </w:p>
    <w:p w:rsidR="000B1A4A" w:rsidRPr="002E1AE0" w:rsidRDefault="000B1A4A">
      <w:pPr>
        <w:rPr>
          <w:rFonts w:ascii="Arial" w:hAnsi="Arial" w:cs="Arial"/>
        </w:rPr>
      </w:pPr>
      <w:r w:rsidRPr="002E1AE0">
        <w:rPr>
          <w:rFonts w:ascii="Arial" w:hAnsi="Arial" w:cs="Arial"/>
        </w:rPr>
        <w:lastRenderedPageBreak/>
        <w:br w:type="page"/>
      </w:r>
    </w:p>
    <w:p w:rsidR="00B96A3C" w:rsidRPr="002E1AE0" w:rsidRDefault="004B4229" w:rsidP="00B96A3C">
      <w:pPr>
        <w:pStyle w:val="Chapter"/>
        <w:rPr>
          <w:rFonts w:ascii="Arial" w:hAnsi="Arial" w:cs="Arial"/>
          <w:sz w:val="22"/>
          <w:szCs w:val="22"/>
        </w:rPr>
      </w:pPr>
      <w:r w:rsidRPr="002E1AE0">
        <w:rPr>
          <w:rFonts w:ascii="Arial" w:hAnsi="Arial" w:cs="Arial"/>
          <w:sz w:val="22"/>
          <w:szCs w:val="22"/>
        </w:rPr>
        <w:lastRenderedPageBreak/>
        <w:t>C</w:t>
      </w:r>
      <w:r w:rsidR="000E558D" w:rsidRPr="002E1AE0">
        <w:rPr>
          <w:rFonts w:ascii="Arial" w:hAnsi="Arial" w:cs="Arial"/>
          <w:sz w:val="22"/>
          <w:szCs w:val="22"/>
        </w:rPr>
        <w:t>á</w:t>
      </w:r>
      <w:r w:rsidRPr="002E1AE0">
        <w:rPr>
          <w:rFonts w:ascii="Arial" w:hAnsi="Arial" w:cs="Arial"/>
          <w:sz w:val="22"/>
          <w:szCs w:val="22"/>
        </w:rPr>
        <w:t xml:space="preserve">lculo de la Tasa Interna de Retorno (TIR) y del Valor Presente Neto (VPN). </w:t>
      </w:r>
      <w:bookmarkStart w:id="1" w:name="_Toc326336431"/>
      <w:bookmarkStart w:id="2" w:name="_Toc326339958"/>
    </w:p>
    <w:bookmarkEnd w:id="1"/>
    <w:bookmarkEnd w:id="2"/>
    <w:p w:rsidR="00B96A3C" w:rsidRPr="002E1AE0" w:rsidRDefault="00B96A3C" w:rsidP="00B96A3C">
      <w:pPr>
        <w:pStyle w:val="Paragraph"/>
        <w:tabs>
          <w:tab w:val="clear" w:pos="1296"/>
          <w:tab w:val="num" w:pos="990"/>
        </w:tabs>
        <w:ind w:left="900" w:hanging="900"/>
        <w:rPr>
          <w:rFonts w:ascii="Arial" w:hAnsi="Arial" w:cs="Arial"/>
          <w:sz w:val="22"/>
          <w:szCs w:val="22"/>
        </w:rPr>
      </w:pPr>
      <w:r w:rsidRPr="002E1AE0">
        <w:rPr>
          <w:rFonts w:ascii="Arial" w:hAnsi="Arial" w:cs="Arial"/>
          <w:sz w:val="22"/>
          <w:szCs w:val="22"/>
        </w:rPr>
        <w:t xml:space="preserve">Se realizó un análisis comparativo entre los costos y beneficios económicos/financieros del programa. El análisis consideró: (i) el aumento real de la recaudación del ISV como resultado de la implantación gradual de la factura electrónica, el cual disminuirá las irregularidades en el uso de facturas; (ii) la economía de recursos proveniente de la auditoría y optimización del registro de la nómina del Gobierno Central, con la eliminación definitiva de funcionarios fantasma y </w:t>
      </w:r>
      <w:r w:rsidR="000E558D" w:rsidRPr="002E1AE0">
        <w:rPr>
          <w:rFonts w:ascii="Arial" w:hAnsi="Arial" w:cs="Arial"/>
          <w:sz w:val="22"/>
          <w:szCs w:val="22"/>
        </w:rPr>
        <w:t xml:space="preserve">funcionarios </w:t>
      </w:r>
      <w:r w:rsidRPr="002E1AE0">
        <w:rPr>
          <w:rFonts w:ascii="Arial" w:hAnsi="Arial" w:cs="Arial"/>
          <w:sz w:val="22"/>
          <w:szCs w:val="22"/>
        </w:rPr>
        <w:t xml:space="preserve">sin funciones específicas; y (iii) la economía de recursos como resultado de la utilización </w:t>
      </w:r>
      <w:r w:rsidR="00282956">
        <w:rPr>
          <w:rFonts w:ascii="Arial" w:hAnsi="Arial" w:cs="Arial"/>
          <w:sz w:val="22"/>
          <w:szCs w:val="22"/>
        </w:rPr>
        <w:t>de</w:t>
      </w:r>
      <w:r w:rsidRPr="002E1AE0">
        <w:rPr>
          <w:rFonts w:ascii="Arial" w:hAnsi="Arial" w:cs="Arial"/>
          <w:sz w:val="22"/>
          <w:szCs w:val="22"/>
        </w:rPr>
        <w:t xml:space="preserve"> convenios marco y catálogos electrónicos para la realización de la compras públicas, l</w:t>
      </w:r>
      <w:r w:rsidR="00AC6511" w:rsidRPr="002E1AE0">
        <w:rPr>
          <w:rFonts w:ascii="Arial" w:hAnsi="Arial" w:cs="Arial"/>
          <w:sz w:val="22"/>
          <w:szCs w:val="22"/>
        </w:rPr>
        <w:t>a</w:t>
      </w:r>
      <w:r w:rsidRPr="002E1AE0">
        <w:rPr>
          <w:rFonts w:ascii="Arial" w:hAnsi="Arial" w:cs="Arial"/>
          <w:sz w:val="22"/>
          <w:szCs w:val="22"/>
        </w:rPr>
        <w:t xml:space="preserve"> cual posibilitará </w:t>
      </w:r>
      <w:r w:rsidR="00C47C78" w:rsidRPr="002E1AE0">
        <w:rPr>
          <w:rFonts w:ascii="Arial" w:hAnsi="Arial" w:cs="Arial"/>
          <w:sz w:val="22"/>
          <w:szCs w:val="22"/>
        </w:rPr>
        <w:t xml:space="preserve">una </w:t>
      </w:r>
      <w:r w:rsidRPr="002E1AE0">
        <w:rPr>
          <w:rFonts w:ascii="Arial" w:hAnsi="Arial" w:cs="Arial"/>
          <w:sz w:val="22"/>
          <w:szCs w:val="22"/>
        </w:rPr>
        <w:t xml:space="preserve">mejor planificación y estandarización de precios para las entidades del Gobierno Central. </w:t>
      </w:r>
    </w:p>
    <w:p w:rsidR="00B96A3C" w:rsidRPr="002E1AE0" w:rsidRDefault="00B96A3C" w:rsidP="00B96A3C">
      <w:pPr>
        <w:pStyle w:val="Paragraph"/>
        <w:tabs>
          <w:tab w:val="clear" w:pos="1296"/>
          <w:tab w:val="num" w:pos="990"/>
        </w:tabs>
        <w:ind w:left="900" w:hanging="900"/>
        <w:rPr>
          <w:rFonts w:ascii="Arial" w:hAnsi="Arial" w:cs="Arial"/>
          <w:sz w:val="22"/>
          <w:szCs w:val="22"/>
        </w:rPr>
      </w:pPr>
      <w:r w:rsidRPr="002E1AE0">
        <w:rPr>
          <w:rFonts w:ascii="Arial" w:hAnsi="Arial" w:cs="Arial"/>
          <w:sz w:val="22"/>
          <w:szCs w:val="22"/>
        </w:rPr>
        <w:t>Como se trata de un programa de políticas, para efecto</w:t>
      </w:r>
      <w:r w:rsidR="00C47C78" w:rsidRPr="002E1AE0">
        <w:rPr>
          <w:rFonts w:ascii="Arial" w:hAnsi="Arial" w:cs="Arial"/>
          <w:sz w:val="22"/>
          <w:szCs w:val="22"/>
        </w:rPr>
        <w:t>s</w:t>
      </w:r>
      <w:r w:rsidRPr="002E1AE0">
        <w:rPr>
          <w:rFonts w:ascii="Arial" w:hAnsi="Arial" w:cs="Arial"/>
          <w:sz w:val="22"/>
          <w:szCs w:val="22"/>
        </w:rPr>
        <w:t xml:space="preserve"> de</w:t>
      </w:r>
      <w:r w:rsidR="00C47C78" w:rsidRPr="002E1AE0">
        <w:rPr>
          <w:rFonts w:ascii="Arial" w:hAnsi="Arial" w:cs="Arial"/>
          <w:sz w:val="22"/>
          <w:szCs w:val="22"/>
        </w:rPr>
        <w:t>l</w:t>
      </w:r>
      <w:r w:rsidRPr="002E1AE0">
        <w:rPr>
          <w:rFonts w:ascii="Arial" w:hAnsi="Arial" w:cs="Arial"/>
          <w:sz w:val="22"/>
          <w:szCs w:val="22"/>
        </w:rPr>
        <w:t xml:space="preserve"> cálculo del beneficio, se consideraron </w:t>
      </w:r>
      <w:r w:rsidRPr="002E1AE0">
        <w:rPr>
          <w:rFonts w:ascii="Arial" w:hAnsi="Arial" w:cs="Arial"/>
          <w:sz w:val="22"/>
          <w:szCs w:val="22"/>
          <w:lang w:val="es-ES_tradnl"/>
        </w:rPr>
        <w:t>inversiones</w:t>
      </w:r>
      <w:r w:rsidRPr="002E1AE0">
        <w:rPr>
          <w:rFonts w:ascii="Arial" w:hAnsi="Arial" w:cs="Arial"/>
          <w:sz w:val="22"/>
          <w:szCs w:val="22"/>
        </w:rPr>
        <w:t xml:space="preserve"> realizadas por el Gobierno de Hon</w:t>
      </w:r>
      <w:r w:rsidR="00282956">
        <w:rPr>
          <w:rFonts w:ascii="Arial" w:hAnsi="Arial" w:cs="Arial"/>
          <w:sz w:val="22"/>
          <w:szCs w:val="22"/>
        </w:rPr>
        <w:t>duras con recursos propios y pré</w:t>
      </w:r>
      <w:r w:rsidRPr="002E1AE0">
        <w:rPr>
          <w:rFonts w:ascii="Arial" w:hAnsi="Arial" w:cs="Arial"/>
          <w:sz w:val="22"/>
          <w:szCs w:val="22"/>
        </w:rPr>
        <w:t xml:space="preserve">stamos de inversión, relacionados con las tres medidas, los cuales </w:t>
      </w:r>
      <w:r w:rsidR="00C47C78" w:rsidRPr="002E1AE0">
        <w:rPr>
          <w:rFonts w:ascii="Arial" w:hAnsi="Arial" w:cs="Arial"/>
          <w:sz w:val="22"/>
          <w:szCs w:val="22"/>
        </w:rPr>
        <w:t xml:space="preserve">ascendieron a </w:t>
      </w:r>
      <w:r w:rsidRPr="002E1AE0">
        <w:rPr>
          <w:rFonts w:ascii="Arial" w:hAnsi="Arial" w:cs="Arial"/>
          <w:sz w:val="22"/>
          <w:szCs w:val="22"/>
        </w:rPr>
        <w:t>US$33,7 millones. Utilizando una tasa de descuento de 12%, en un periodo de 10 años, se estima que el proyecto generará una Tasa Interna de Retorno (TIR) de</w:t>
      </w:r>
      <w:r w:rsidR="00E41C22" w:rsidRPr="002E1AE0">
        <w:rPr>
          <w:rFonts w:ascii="Arial" w:hAnsi="Arial" w:cs="Arial"/>
          <w:sz w:val="22"/>
          <w:szCs w:val="22"/>
        </w:rPr>
        <w:t>l</w:t>
      </w:r>
      <w:r w:rsidRPr="002E1AE0">
        <w:rPr>
          <w:rFonts w:ascii="Arial" w:hAnsi="Arial" w:cs="Arial"/>
          <w:sz w:val="22"/>
          <w:szCs w:val="22"/>
        </w:rPr>
        <w:t xml:space="preserve"> 51% al final de 2025, con un Valor Presente Neto (VPN) de US$44,6 millones. Las medidas consideradas son compatible</w:t>
      </w:r>
      <w:r w:rsidR="00E41C22" w:rsidRPr="002E1AE0">
        <w:rPr>
          <w:rFonts w:ascii="Arial" w:hAnsi="Arial" w:cs="Arial"/>
          <w:sz w:val="22"/>
          <w:szCs w:val="22"/>
        </w:rPr>
        <w:t>s</w:t>
      </w:r>
      <w:r w:rsidRPr="002E1AE0">
        <w:rPr>
          <w:rFonts w:ascii="Arial" w:hAnsi="Arial" w:cs="Arial"/>
          <w:sz w:val="22"/>
          <w:szCs w:val="22"/>
        </w:rPr>
        <w:t xml:space="preserve"> con las metas acordadas entre el Gobierno de Honduras y el Fondo Monetario Internacional bajo el programa Stand-By.</w:t>
      </w:r>
    </w:p>
    <w:p w:rsidR="00B96A3C" w:rsidRPr="002E1AE0" w:rsidRDefault="00FE7E14" w:rsidP="00FE7E14">
      <w:pPr>
        <w:pStyle w:val="Paragraph"/>
        <w:numPr>
          <w:ilvl w:val="0"/>
          <w:numId w:val="0"/>
        </w:numPr>
        <w:ind w:left="-630"/>
        <w:rPr>
          <w:rFonts w:ascii="Arial" w:hAnsi="Arial" w:cs="Arial"/>
          <w:b/>
          <w:sz w:val="22"/>
          <w:szCs w:val="22"/>
        </w:rPr>
      </w:pPr>
      <w:r w:rsidRPr="002E1AE0">
        <w:rPr>
          <w:rFonts w:ascii="Arial" w:hAnsi="Arial" w:cs="Arial"/>
          <w:noProof/>
          <w:sz w:val="22"/>
          <w:szCs w:val="22"/>
          <w:lang w:val="en-US"/>
        </w:rPr>
        <w:drawing>
          <wp:inline distT="0" distB="0" distL="0" distR="0" wp14:anchorId="5F139E38" wp14:editId="0EA9B2CC">
            <wp:extent cx="6837680" cy="2844800"/>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38805" cy="2845268"/>
                    </a:xfrm>
                    <a:prstGeom prst="rect">
                      <a:avLst/>
                    </a:prstGeom>
                    <a:noFill/>
                    <a:ln>
                      <a:noFill/>
                    </a:ln>
                  </pic:spPr>
                </pic:pic>
              </a:graphicData>
            </a:graphic>
          </wp:inline>
        </w:drawing>
      </w:r>
    </w:p>
    <w:p w:rsidR="00FE7E14" w:rsidRPr="002E1AE0" w:rsidRDefault="00FE7E14" w:rsidP="00FE7E14">
      <w:pPr>
        <w:pStyle w:val="Paragraph"/>
        <w:tabs>
          <w:tab w:val="clear" w:pos="1296"/>
          <w:tab w:val="num" w:pos="990"/>
        </w:tabs>
        <w:ind w:left="900" w:hanging="900"/>
        <w:rPr>
          <w:rFonts w:ascii="Arial" w:hAnsi="Arial" w:cs="Arial"/>
          <w:sz w:val="22"/>
          <w:szCs w:val="22"/>
        </w:rPr>
      </w:pPr>
      <w:r w:rsidRPr="002E1AE0">
        <w:rPr>
          <w:rFonts w:ascii="Arial" w:hAnsi="Arial" w:cs="Arial"/>
          <w:sz w:val="22"/>
          <w:szCs w:val="22"/>
        </w:rPr>
        <w:t>En vista de los resultados de la evaluación financiera realizada, se recomienda el a</w:t>
      </w:r>
      <w:r w:rsidR="00282956">
        <w:rPr>
          <w:rFonts w:ascii="Arial" w:hAnsi="Arial" w:cs="Arial"/>
          <w:sz w:val="22"/>
          <w:szCs w:val="22"/>
        </w:rPr>
        <w:t>poyo financiero y técnico del Banco</w:t>
      </w:r>
      <w:r w:rsidRPr="002E1AE0">
        <w:rPr>
          <w:rFonts w:ascii="Arial" w:hAnsi="Arial" w:cs="Arial"/>
          <w:sz w:val="22"/>
          <w:szCs w:val="22"/>
        </w:rPr>
        <w:t xml:space="preserve"> mediante el Programa de Apoyo a la Consolidación Fiscal (HO-L1103).</w:t>
      </w:r>
    </w:p>
    <w:p w:rsidR="009152FD" w:rsidRPr="002E1AE0" w:rsidRDefault="009152FD">
      <w:pPr>
        <w:rPr>
          <w:rFonts w:ascii="Arial" w:hAnsi="Arial" w:cs="Arial"/>
          <w:b/>
          <w:lang w:val="es-ES"/>
        </w:rPr>
      </w:pPr>
    </w:p>
    <w:p w:rsidR="00FE7E14" w:rsidRPr="002E1AE0" w:rsidRDefault="00FE7E14">
      <w:pPr>
        <w:rPr>
          <w:rFonts w:ascii="Arial" w:hAnsi="Arial" w:cs="Arial"/>
          <w:b/>
          <w:smallCaps/>
          <w:lang w:val="es-ES"/>
        </w:rPr>
      </w:pPr>
      <w:r w:rsidRPr="002E1AE0">
        <w:rPr>
          <w:rFonts w:ascii="Arial" w:hAnsi="Arial" w:cs="Arial"/>
        </w:rPr>
        <w:br w:type="page"/>
      </w:r>
    </w:p>
    <w:p w:rsidR="009152FD" w:rsidRPr="002E1AE0" w:rsidRDefault="009152FD" w:rsidP="009152FD">
      <w:pPr>
        <w:pStyle w:val="Chapter"/>
        <w:rPr>
          <w:rFonts w:ascii="Arial" w:hAnsi="Arial" w:cs="Arial"/>
          <w:sz w:val="22"/>
          <w:szCs w:val="22"/>
        </w:rPr>
      </w:pPr>
      <w:r w:rsidRPr="002E1AE0">
        <w:rPr>
          <w:rFonts w:ascii="Arial" w:hAnsi="Arial" w:cs="Arial"/>
          <w:sz w:val="22"/>
          <w:szCs w:val="22"/>
        </w:rPr>
        <w:lastRenderedPageBreak/>
        <w:t>Análisis de Sensibilidad</w:t>
      </w:r>
    </w:p>
    <w:p w:rsidR="009152FD" w:rsidRPr="002E1AE0" w:rsidRDefault="00282956" w:rsidP="009152FD">
      <w:pPr>
        <w:pStyle w:val="Paragraph"/>
        <w:rPr>
          <w:rFonts w:ascii="Arial" w:hAnsi="Arial" w:cs="Arial"/>
          <w:sz w:val="22"/>
          <w:szCs w:val="22"/>
        </w:rPr>
      </w:pPr>
      <w:r>
        <w:rPr>
          <w:rFonts w:ascii="Arial" w:hAnsi="Arial" w:cs="Arial"/>
          <w:sz w:val="22"/>
          <w:szCs w:val="22"/>
        </w:rPr>
        <w:t>Se consideran tres posibles</w:t>
      </w:r>
      <w:r w:rsidR="009152FD" w:rsidRPr="002E1AE0">
        <w:rPr>
          <w:rFonts w:ascii="Arial" w:hAnsi="Arial" w:cs="Arial"/>
          <w:sz w:val="22"/>
          <w:szCs w:val="22"/>
        </w:rPr>
        <w:t xml:space="preserve"> escenarios para </w:t>
      </w:r>
      <w:r w:rsidR="00933955" w:rsidRPr="002E1AE0">
        <w:rPr>
          <w:rFonts w:ascii="Arial" w:hAnsi="Arial" w:cs="Arial"/>
          <w:sz w:val="22"/>
          <w:szCs w:val="22"/>
        </w:rPr>
        <w:t>verificar</w:t>
      </w:r>
      <w:r w:rsidR="009152FD" w:rsidRPr="002E1AE0">
        <w:rPr>
          <w:rFonts w:ascii="Arial" w:hAnsi="Arial" w:cs="Arial"/>
          <w:sz w:val="22"/>
          <w:szCs w:val="22"/>
        </w:rPr>
        <w:t xml:space="preserve"> la robustez </w:t>
      </w:r>
      <w:r w:rsidR="00413D6F" w:rsidRPr="002E1AE0">
        <w:rPr>
          <w:rFonts w:ascii="Arial" w:hAnsi="Arial" w:cs="Arial"/>
          <w:sz w:val="22"/>
          <w:szCs w:val="22"/>
        </w:rPr>
        <w:t>de los beneficios</w:t>
      </w:r>
      <w:r w:rsidR="009152FD" w:rsidRPr="002E1AE0">
        <w:rPr>
          <w:rFonts w:ascii="Arial" w:hAnsi="Arial" w:cs="Arial"/>
          <w:sz w:val="22"/>
          <w:szCs w:val="22"/>
        </w:rPr>
        <w:t>:</w:t>
      </w:r>
    </w:p>
    <w:p w:rsidR="009152FD" w:rsidRPr="002E1AE0" w:rsidRDefault="00413D6F" w:rsidP="009152FD">
      <w:pPr>
        <w:pStyle w:val="subpar"/>
        <w:rPr>
          <w:rFonts w:ascii="Arial" w:hAnsi="Arial" w:cs="Arial"/>
          <w:sz w:val="22"/>
          <w:szCs w:val="22"/>
        </w:rPr>
      </w:pPr>
      <w:r w:rsidRPr="002E1AE0">
        <w:rPr>
          <w:rFonts w:ascii="Arial" w:hAnsi="Arial" w:cs="Arial"/>
          <w:sz w:val="22"/>
          <w:szCs w:val="22"/>
        </w:rPr>
        <w:t xml:space="preserve">Escenario 1 - </w:t>
      </w:r>
      <w:r w:rsidR="009152FD" w:rsidRPr="002E1AE0">
        <w:rPr>
          <w:rFonts w:ascii="Arial" w:hAnsi="Arial" w:cs="Arial"/>
          <w:sz w:val="22"/>
          <w:szCs w:val="22"/>
        </w:rPr>
        <w:t>La Administración Tributaria</w:t>
      </w:r>
      <w:r w:rsidR="00685A2D" w:rsidRPr="002E1AE0">
        <w:rPr>
          <w:rFonts w:ascii="Arial" w:hAnsi="Arial" w:cs="Arial"/>
          <w:sz w:val="22"/>
          <w:szCs w:val="22"/>
        </w:rPr>
        <w:t xml:space="preserve"> (AT)</w:t>
      </w:r>
      <w:r w:rsidR="009152FD" w:rsidRPr="002E1AE0">
        <w:rPr>
          <w:rFonts w:ascii="Arial" w:hAnsi="Arial" w:cs="Arial"/>
          <w:sz w:val="22"/>
          <w:szCs w:val="22"/>
        </w:rPr>
        <w:t xml:space="preserve"> no logr</w:t>
      </w:r>
      <w:r w:rsidR="00282956">
        <w:rPr>
          <w:rFonts w:ascii="Arial" w:hAnsi="Arial" w:cs="Arial"/>
          <w:sz w:val="22"/>
          <w:szCs w:val="22"/>
        </w:rPr>
        <w:t>e</w:t>
      </w:r>
      <w:r w:rsidR="009152FD" w:rsidRPr="002E1AE0">
        <w:rPr>
          <w:rFonts w:ascii="Arial" w:hAnsi="Arial" w:cs="Arial"/>
          <w:sz w:val="22"/>
          <w:szCs w:val="22"/>
        </w:rPr>
        <w:t xml:space="preserve"> la </w:t>
      </w:r>
      <w:r w:rsidR="00FC00B6" w:rsidRPr="002E1AE0">
        <w:rPr>
          <w:rFonts w:ascii="Arial" w:hAnsi="Arial" w:cs="Arial"/>
          <w:sz w:val="22"/>
          <w:szCs w:val="22"/>
        </w:rPr>
        <w:t>meta</w:t>
      </w:r>
      <w:r w:rsidR="009152FD" w:rsidRPr="002E1AE0">
        <w:rPr>
          <w:rFonts w:ascii="Arial" w:hAnsi="Arial" w:cs="Arial"/>
          <w:sz w:val="22"/>
          <w:szCs w:val="22"/>
        </w:rPr>
        <w:t xml:space="preserve"> de que</w:t>
      </w:r>
      <w:r w:rsidR="00282956">
        <w:rPr>
          <w:rFonts w:ascii="Arial" w:hAnsi="Arial" w:cs="Arial"/>
          <w:sz w:val="22"/>
          <w:szCs w:val="22"/>
        </w:rPr>
        <w:t xml:space="preserve"> el</w:t>
      </w:r>
      <w:r w:rsidR="009152FD" w:rsidRPr="002E1AE0">
        <w:rPr>
          <w:rFonts w:ascii="Arial" w:hAnsi="Arial" w:cs="Arial"/>
          <w:sz w:val="22"/>
          <w:szCs w:val="22"/>
        </w:rPr>
        <w:t xml:space="preserve"> 50% de los contribuyentes adopten la factura electrónica en el plazo planificado, ocurriendo un retraso de 2 años para el alcance de la meta</w:t>
      </w:r>
      <w:r w:rsidR="00282956">
        <w:rPr>
          <w:rFonts w:ascii="Arial" w:hAnsi="Arial" w:cs="Arial"/>
          <w:sz w:val="22"/>
          <w:szCs w:val="22"/>
        </w:rPr>
        <w:t>. E</w:t>
      </w:r>
      <w:r w:rsidR="009152FD" w:rsidRPr="002E1AE0">
        <w:rPr>
          <w:rFonts w:ascii="Arial" w:hAnsi="Arial" w:cs="Arial"/>
          <w:sz w:val="22"/>
          <w:szCs w:val="22"/>
        </w:rPr>
        <w:t xml:space="preserve">l beneficio empezaría en 2019 (en lugar de 2017), y solamente en 2022 se alcanzaría </w:t>
      </w:r>
      <w:r w:rsidR="00282956">
        <w:rPr>
          <w:rFonts w:ascii="Arial" w:hAnsi="Arial" w:cs="Arial"/>
          <w:sz w:val="22"/>
          <w:szCs w:val="22"/>
        </w:rPr>
        <w:t>el</w:t>
      </w:r>
      <w:r w:rsidR="009152FD" w:rsidRPr="002E1AE0">
        <w:rPr>
          <w:rFonts w:ascii="Arial" w:hAnsi="Arial" w:cs="Arial"/>
          <w:sz w:val="22"/>
          <w:szCs w:val="22"/>
        </w:rPr>
        <w:t xml:space="preserve"> 50% de los contribuyentes utilizando la factura electrónica. Este retraso </w:t>
      </w:r>
      <w:r w:rsidR="00FC00B6" w:rsidRPr="002E1AE0">
        <w:rPr>
          <w:rFonts w:ascii="Arial" w:hAnsi="Arial" w:cs="Arial"/>
          <w:sz w:val="22"/>
          <w:szCs w:val="22"/>
        </w:rPr>
        <w:t>pod</w:t>
      </w:r>
      <w:r w:rsidR="00282956">
        <w:rPr>
          <w:rFonts w:ascii="Arial" w:hAnsi="Arial" w:cs="Arial"/>
          <w:sz w:val="22"/>
          <w:szCs w:val="22"/>
        </w:rPr>
        <w:t>r</w:t>
      </w:r>
      <w:r w:rsidR="00FC00B6" w:rsidRPr="002E1AE0">
        <w:rPr>
          <w:rFonts w:ascii="Arial" w:hAnsi="Arial" w:cs="Arial"/>
          <w:sz w:val="22"/>
          <w:szCs w:val="22"/>
        </w:rPr>
        <w:t>ía ocurrir</w:t>
      </w:r>
      <w:r w:rsidR="009152FD" w:rsidRPr="002E1AE0">
        <w:rPr>
          <w:rFonts w:ascii="Arial" w:hAnsi="Arial" w:cs="Arial"/>
          <w:sz w:val="22"/>
          <w:szCs w:val="22"/>
        </w:rPr>
        <w:t xml:space="preserve"> como resultado del complicado proceso de migración de la DEI</w:t>
      </w:r>
      <w:r w:rsidR="00282956">
        <w:rPr>
          <w:rFonts w:ascii="Arial" w:hAnsi="Arial" w:cs="Arial"/>
          <w:sz w:val="22"/>
          <w:szCs w:val="22"/>
        </w:rPr>
        <w:t xml:space="preserve"> a la nueva organización, S</w:t>
      </w:r>
      <w:r w:rsidR="00FC00B6" w:rsidRPr="002E1AE0">
        <w:rPr>
          <w:rFonts w:ascii="Arial" w:hAnsi="Arial" w:cs="Arial"/>
          <w:sz w:val="22"/>
          <w:szCs w:val="22"/>
        </w:rPr>
        <w:t xml:space="preserve">AR, el cual requiere la implantación de un </w:t>
      </w:r>
      <w:r w:rsidR="00685A2D" w:rsidRPr="002E1AE0">
        <w:rPr>
          <w:rFonts w:ascii="Arial" w:hAnsi="Arial" w:cs="Arial"/>
          <w:sz w:val="22"/>
          <w:szCs w:val="22"/>
        </w:rPr>
        <w:t xml:space="preserve">significativo </w:t>
      </w:r>
      <w:r w:rsidR="00FC00B6" w:rsidRPr="002E1AE0">
        <w:rPr>
          <w:rFonts w:ascii="Arial" w:hAnsi="Arial" w:cs="Arial"/>
          <w:sz w:val="22"/>
          <w:szCs w:val="22"/>
        </w:rPr>
        <w:t xml:space="preserve">número de actividades con </w:t>
      </w:r>
      <w:r w:rsidR="00685A2D" w:rsidRPr="002E1AE0">
        <w:rPr>
          <w:rFonts w:ascii="Arial" w:hAnsi="Arial" w:cs="Arial"/>
          <w:sz w:val="22"/>
          <w:szCs w:val="22"/>
        </w:rPr>
        <w:t xml:space="preserve">alto </w:t>
      </w:r>
      <w:r w:rsidR="00FC00B6" w:rsidRPr="002E1AE0">
        <w:rPr>
          <w:rFonts w:ascii="Arial" w:hAnsi="Arial" w:cs="Arial"/>
          <w:sz w:val="22"/>
          <w:szCs w:val="22"/>
        </w:rPr>
        <w:t xml:space="preserve">grado de </w:t>
      </w:r>
      <w:r w:rsidR="00685A2D" w:rsidRPr="002E1AE0">
        <w:rPr>
          <w:rFonts w:ascii="Arial" w:hAnsi="Arial" w:cs="Arial"/>
          <w:sz w:val="22"/>
          <w:szCs w:val="22"/>
        </w:rPr>
        <w:t>dificultad</w:t>
      </w:r>
      <w:r w:rsidR="00FC00B6" w:rsidRPr="002E1AE0">
        <w:rPr>
          <w:rFonts w:ascii="Arial" w:hAnsi="Arial" w:cs="Arial"/>
          <w:sz w:val="22"/>
          <w:szCs w:val="22"/>
        </w:rPr>
        <w:t xml:space="preserve">, que </w:t>
      </w:r>
      <w:r w:rsidR="00A44CFB">
        <w:rPr>
          <w:rFonts w:ascii="Arial" w:hAnsi="Arial" w:cs="Arial"/>
          <w:sz w:val="22"/>
          <w:szCs w:val="22"/>
        </w:rPr>
        <w:t>a pesar de l</w:t>
      </w:r>
      <w:r w:rsidR="00FC00B6" w:rsidRPr="002E1AE0">
        <w:rPr>
          <w:rFonts w:ascii="Arial" w:hAnsi="Arial" w:cs="Arial"/>
          <w:sz w:val="22"/>
          <w:szCs w:val="22"/>
        </w:rPr>
        <w:t xml:space="preserve">a </w:t>
      </w:r>
      <w:r w:rsidR="00685A2D" w:rsidRPr="002E1AE0">
        <w:rPr>
          <w:rFonts w:ascii="Arial" w:hAnsi="Arial" w:cs="Arial"/>
          <w:sz w:val="22"/>
          <w:szCs w:val="22"/>
        </w:rPr>
        <w:t>minuciosa</w:t>
      </w:r>
      <w:r w:rsidR="00FC00B6" w:rsidRPr="002E1AE0">
        <w:rPr>
          <w:rFonts w:ascii="Arial" w:hAnsi="Arial" w:cs="Arial"/>
          <w:sz w:val="22"/>
          <w:szCs w:val="22"/>
        </w:rPr>
        <w:t xml:space="preserve"> planificación que llevada a cabo por el Gobierno y por el B</w:t>
      </w:r>
      <w:r w:rsidR="00A44CFB">
        <w:rPr>
          <w:rFonts w:ascii="Arial" w:hAnsi="Arial" w:cs="Arial"/>
          <w:sz w:val="22"/>
          <w:szCs w:val="22"/>
        </w:rPr>
        <w:t>anco</w:t>
      </w:r>
      <w:r w:rsidR="00FC00B6" w:rsidRPr="002E1AE0">
        <w:rPr>
          <w:rFonts w:ascii="Arial" w:hAnsi="Arial" w:cs="Arial"/>
          <w:sz w:val="22"/>
          <w:szCs w:val="22"/>
        </w:rPr>
        <w:t xml:space="preserve">, </w:t>
      </w:r>
      <w:r w:rsidR="00685A2D" w:rsidRPr="002E1AE0">
        <w:rPr>
          <w:rFonts w:ascii="Arial" w:hAnsi="Arial" w:cs="Arial"/>
          <w:sz w:val="22"/>
          <w:szCs w:val="22"/>
        </w:rPr>
        <w:t>podrían influir negativamente en el alcance de la implementación de la factura electrónica.</w:t>
      </w:r>
    </w:p>
    <w:p w:rsidR="00FC00B6" w:rsidRPr="002E1AE0" w:rsidRDefault="00413D6F" w:rsidP="009152FD">
      <w:pPr>
        <w:pStyle w:val="subpar"/>
        <w:rPr>
          <w:rFonts w:ascii="Arial" w:hAnsi="Arial" w:cs="Arial"/>
          <w:sz w:val="22"/>
          <w:szCs w:val="22"/>
        </w:rPr>
      </w:pPr>
      <w:r w:rsidRPr="002E1AE0">
        <w:rPr>
          <w:rFonts w:ascii="Arial" w:hAnsi="Arial" w:cs="Arial"/>
          <w:sz w:val="22"/>
          <w:szCs w:val="22"/>
        </w:rPr>
        <w:t xml:space="preserve">Escenario 2 - </w:t>
      </w:r>
      <w:r w:rsidR="00FC00B6" w:rsidRPr="002E1AE0">
        <w:rPr>
          <w:rFonts w:ascii="Arial" w:hAnsi="Arial" w:cs="Arial"/>
          <w:sz w:val="22"/>
          <w:szCs w:val="22"/>
        </w:rPr>
        <w:t xml:space="preserve">El Gobierno de Honduras decide que parte de la economía </w:t>
      </w:r>
      <w:r w:rsidR="00685A2D" w:rsidRPr="002E1AE0">
        <w:rPr>
          <w:rFonts w:ascii="Arial" w:hAnsi="Arial" w:cs="Arial"/>
          <w:sz w:val="22"/>
          <w:szCs w:val="22"/>
        </w:rPr>
        <w:t>lograda con los</w:t>
      </w:r>
      <w:r w:rsidR="00FC00B6" w:rsidRPr="002E1AE0">
        <w:rPr>
          <w:rFonts w:ascii="Arial" w:hAnsi="Arial" w:cs="Arial"/>
          <w:sz w:val="22"/>
          <w:szCs w:val="22"/>
        </w:rPr>
        <w:t xml:space="preserve"> recursos</w:t>
      </w:r>
      <w:r w:rsidR="00685A2D" w:rsidRPr="002E1AE0">
        <w:rPr>
          <w:rFonts w:ascii="Arial" w:hAnsi="Arial" w:cs="Arial"/>
          <w:sz w:val="22"/>
          <w:szCs w:val="22"/>
        </w:rPr>
        <w:t xml:space="preserve"> financieros</w:t>
      </w:r>
      <w:r w:rsidR="00FC00B6" w:rsidRPr="002E1AE0">
        <w:rPr>
          <w:rFonts w:ascii="Arial" w:hAnsi="Arial" w:cs="Arial"/>
          <w:sz w:val="22"/>
          <w:szCs w:val="22"/>
        </w:rPr>
        <w:t xml:space="preserve"> provenientes de la implantación de las medidas recomendadas por las auditorías en la nómina del Gobierno Central (</w:t>
      </w:r>
      <w:r w:rsidR="00A44CFB" w:rsidRPr="002E1AE0">
        <w:rPr>
          <w:rFonts w:ascii="Arial" w:hAnsi="Arial" w:cs="Arial"/>
          <w:sz w:val="22"/>
          <w:szCs w:val="22"/>
        </w:rPr>
        <w:t xml:space="preserve">funcionarios </w:t>
      </w:r>
      <w:r w:rsidR="00A44CFB">
        <w:rPr>
          <w:rFonts w:ascii="Arial" w:hAnsi="Arial" w:cs="Arial"/>
          <w:sz w:val="22"/>
          <w:szCs w:val="22"/>
        </w:rPr>
        <w:t>fantasma</w:t>
      </w:r>
      <w:r w:rsidR="00FC00B6" w:rsidRPr="002E1AE0">
        <w:rPr>
          <w:rFonts w:ascii="Arial" w:hAnsi="Arial" w:cs="Arial"/>
          <w:sz w:val="22"/>
          <w:szCs w:val="22"/>
        </w:rPr>
        <w:t xml:space="preserve"> y si</w:t>
      </w:r>
      <w:r w:rsidR="00A44CFB">
        <w:rPr>
          <w:rFonts w:ascii="Arial" w:hAnsi="Arial" w:cs="Arial"/>
          <w:sz w:val="22"/>
          <w:szCs w:val="22"/>
        </w:rPr>
        <w:t>n</w:t>
      </w:r>
      <w:r w:rsidR="00FC00B6" w:rsidRPr="002E1AE0">
        <w:rPr>
          <w:rFonts w:ascii="Arial" w:hAnsi="Arial" w:cs="Arial"/>
          <w:sz w:val="22"/>
          <w:szCs w:val="22"/>
        </w:rPr>
        <w:t xml:space="preserve"> asignación específica), sea utilizada para la contratación de</w:t>
      </w:r>
      <w:r w:rsidR="00A44CFB">
        <w:rPr>
          <w:rFonts w:ascii="Arial" w:hAnsi="Arial" w:cs="Arial"/>
          <w:sz w:val="22"/>
          <w:szCs w:val="22"/>
        </w:rPr>
        <w:t>l</w:t>
      </w:r>
      <w:r w:rsidR="00FC00B6" w:rsidRPr="002E1AE0">
        <w:rPr>
          <w:rFonts w:ascii="Arial" w:hAnsi="Arial" w:cs="Arial"/>
          <w:sz w:val="22"/>
          <w:szCs w:val="22"/>
        </w:rPr>
        <w:t xml:space="preserve"> 50% de las plazas eliminadas. Esto podría ocurrir como resultado de presiones políticas </w:t>
      </w:r>
      <w:r w:rsidR="00A44CFB">
        <w:rPr>
          <w:rFonts w:ascii="Arial" w:hAnsi="Arial" w:cs="Arial"/>
          <w:sz w:val="22"/>
          <w:szCs w:val="22"/>
        </w:rPr>
        <w:t>(e.g.</w:t>
      </w:r>
      <w:r w:rsidR="00FC00B6" w:rsidRPr="002E1AE0">
        <w:rPr>
          <w:rFonts w:ascii="Arial" w:hAnsi="Arial" w:cs="Arial"/>
          <w:sz w:val="22"/>
          <w:szCs w:val="22"/>
        </w:rPr>
        <w:t xml:space="preserve"> </w:t>
      </w:r>
      <w:r w:rsidR="00A44CFB" w:rsidRPr="002E1AE0">
        <w:rPr>
          <w:rFonts w:ascii="Arial" w:hAnsi="Arial" w:cs="Arial"/>
          <w:sz w:val="22"/>
          <w:szCs w:val="22"/>
        </w:rPr>
        <w:t>S</w:t>
      </w:r>
      <w:r w:rsidR="00FC00B6" w:rsidRPr="002E1AE0">
        <w:rPr>
          <w:rFonts w:ascii="Arial" w:hAnsi="Arial" w:cs="Arial"/>
          <w:sz w:val="22"/>
          <w:szCs w:val="22"/>
        </w:rPr>
        <w:t>indicatos</w:t>
      </w:r>
      <w:r w:rsidR="00A44CFB">
        <w:rPr>
          <w:rFonts w:ascii="Arial" w:hAnsi="Arial" w:cs="Arial"/>
          <w:sz w:val="22"/>
          <w:szCs w:val="22"/>
        </w:rPr>
        <w:t>)</w:t>
      </w:r>
      <w:r w:rsidR="00FC00B6" w:rsidRPr="002E1AE0">
        <w:rPr>
          <w:rFonts w:ascii="Arial" w:hAnsi="Arial" w:cs="Arial"/>
          <w:sz w:val="22"/>
          <w:szCs w:val="22"/>
        </w:rPr>
        <w:t xml:space="preserve">, así como de acciones en contra </w:t>
      </w:r>
      <w:r w:rsidR="00A44CFB">
        <w:rPr>
          <w:rFonts w:ascii="Arial" w:hAnsi="Arial" w:cs="Arial"/>
          <w:sz w:val="22"/>
          <w:szCs w:val="22"/>
        </w:rPr>
        <w:t>d</w:t>
      </w:r>
      <w:r w:rsidR="00FC00B6" w:rsidRPr="002E1AE0">
        <w:rPr>
          <w:rFonts w:ascii="Arial" w:hAnsi="Arial" w:cs="Arial"/>
          <w:sz w:val="22"/>
          <w:szCs w:val="22"/>
        </w:rPr>
        <w:t>el gobierno</w:t>
      </w:r>
      <w:r w:rsidRPr="002E1AE0">
        <w:rPr>
          <w:rFonts w:ascii="Arial" w:hAnsi="Arial" w:cs="Arial"/>
          <w:sz w:val="22"/>
          <w:szCs w:val="22"/>
        </w:rPr>
        <w:t xml:space="preserve"> l</w:t>
      </w:r>
      <w:r w:rsidR="00A44CFB">
        <w:rPr>
          <w:rFonts w:ascii="Arial" w:hAnsi="Arial" w:cs="Arial"/>
          <w:sz w:val="22"/>
          <w:szCs w:val="22"/>
        </w:rPr>
        <w:t>l</w:t>
      </w:r>
      <w:r w:rsidRPr="002E1AE0">
        <w:rPr>
          <w:rFonts w:ascii="Arial" w:hAnsi="Arial" w:cs="Arial"/>
          <w:sz w:val="22"/>
          <w:szCs w:val="22"/>
        </w:rPr>
        <w:t>evadas a cabo</w:t>
      </w:r>
      <w:r w:rsidR="00FC00B6" w:rsidRPr="002E1AE0">
        <w:rPr>
          <w:rFonts w:ascii="Arial" w:hAnsi="Arial" w:cs="Arial"/>
          <w:sz w:val="22"/>
          <w:szCs w:val="22"/>
        </w:rPr>
        <w:t xml:space="preserve"> por los funcionarios que </w:t>
      </w:r>
      <w:r w:rsidR="00A44CFB">
        <w:rPr>
          <w:rFonts w:ascii="Arial" w:hAnsi="Arial" w:cs="Arial"/>
          <w:sz w:val="22"/>
          <w:szCs w:val="22"/>
        </w:rPr>
        <w:t xml:space="preserve">por no </w:t>
      </w:r>
      <w:r w:rsidR="00FC00B6" w:rsidRPr="002E1AE0">
        <w:rPr>
          <w:rFonts w:ascii="Arial" w:hAnsi="Arial" w:cs="Arial"/>
          <w:sz w:val="22"/>
          <w:szCs w:val="22"/>
        </w:rPr>
        <w:t>te</w:t>
      </w:r>
      <w:r w:rsidR="00A44CFB">
        <w:rPr>
          <w:rFonts w:ascii="Arial" w:hAnsi="Arial" w:cs="Arial"/>
          <w:sz w:val="22"/>
          <w:szCs w:val="22"/>
        </w:rPr>
        <w:t>ner</w:t>
      </w:r>
      <w:r w:rsidR="00FC00B6" w:rsidRPr="002E1AE0">
        <w:rPr>
          <w:rFonts w:ascii="Arial" w:hAnsi="Arial" w:cs="Arial"/>
          <w:sz w:val="22"/>
          <w:szCs w:val="22"/>
        </w:rPr>
        <w:t xml:space="preserve"> asignación específica fueron de</w:t>
      </w:r>
      <w:r w:rsidR="00A44CFB">
        <w:rPr>
          <w:rFonts w:ascii="Arial" w:hAnsi="Arial" w:cs="Arial"/>
          <w:sz w:val="22"/>
          <w:szCs w:val="22"/>
        </w:rPr>
        <w:t>spedid</w:t>
      </w:r>
      <w:r w:rsidR="00FC00B6" w:rsidRPr="002E1AE0">
        <w:rPr>
          <w:rFonts w:ascii="Arial" w:hAnsi="Arial" w:cs="Arial"/>
          <w:sz w:val="22"/>
          <w:szCs w:val="22"/>
        </w:rPr>
        <w:t xml:space="preserve">os. </w:t>
      </w:r>
    </w:p>
    <w:p w:rsidR="00FC00B6" w:rsidRPr="002E1AE0" w:rsidRDefault="00413D6F" w:rsidP="009152FD">
      <w:pPr>
        <w:pStyle w:val="subpar"/>
        <w:rPr>
          <w:rFonts w:ascii="Arial" w:hAnsi="Arial" w:cs="Arial"/>
          <w:sz w:val="22"/>
          <w:szCs w:val="22"/>
        </w:rPr>
      </w:pPr>
      <w:r w:rsidRPr="002E1AE0">
        <w:rPr>
          <w:rFonts w:ascii="Arial" w:hAnsi="Arial" w:cs="Arial"/>
          <w:sz w:val="22"/>
          <w:szCs w:val="22"/>
        </w:rPr>
        <w:t xml:space="preserve">Escenario 3 - </w:t>
      </w:r>
      <w:r w:rsidR="00FC00B6" w:rsidRPr="002E1AE0">
        <w:rPr>
          <w:rFonts w:ascii="Arial" w:hAnsi="Arial" w:cs="Arial"/>
          <w:sz w:val="22"/>
          <w:szCs w:val="22"/>
        </w:rPr>
        <w:t xml:space="preserve">La ocurrencia de las dos </w:t>
      </w:r>
      <w:r w:rsidRPr="002E1AE0">
        <w:rPr>
          <w:rFonts w:ascii="Arial" w:hAnsi="Arial" w:cs="Arial"/>
          <w:sz w:val="22"/>
          <w:szCs w:val="22"/>
        </w:rPr>
        <w:t>escenarios</w:t>
      </w:r>
      <w:r w:rsidR="00FE7E14" w:rsidRPr="002E1AE0">
        <w:rPr>
          <w:rFonts w:ascii="Arial" w:hAnsi="Arial" w:cs="Arial"/>
          <w:sz w:val="22"/>
          <w:szCs w:val="22"/>
        </w:rPr>
        <w:t xml:space="preserve"> al mismo tiempo</w:t>
      </w:r>
      <w:r w:rsidR="00FC00B6" w:rsidRPr="002E1AE0">
        <w:rPr>
          <w:rFonts w:ascii="Arial" w:hAnsi="Arial" w:cs="Arial"/>
          <w:sz w:val="22"/>
          <w:szCs w:val="22"/>
        </w:rPr>
        <w:t>.</w:t>
      </w:r>
    </w:p>
    <w:p w:rsidR="00CE5214" w:rsidRPr="002E1AE0" w:rsidRDefault="00CE5214" w:rsidP="00CE5214">
      <w:pPr>
        <w:pStyle w:val="Paragraph"/>
        <w:rPr>
          <w:rFonts w:ascii="Arial" w:hAnsi="Arial" w:cs="Arial"/>
          <w:b/>
          <w:sz w:val="22"/>
          <w:szCs w:val="22"/>
        </w:rPr>
      </w:pPr>
      <w:r w:rsidRPr="002E1AE0">
        <w:rPr>
          <w:rFonts w:ascii="Arial" w:hAnsi="Arial" w:cs="Arial"/>
          <w:b/>
          <w:sz w:val="22"/>
          <w:szCs w:val="22"/>
        </w:rPr>
        <w:t>Escenario 1 - Retrasos de 2 años en el inicio de la implementación de la Factura Electrónica</w:t>
      </w:r>
      <w:r w:rsidR="007F7A2B" w:rsidRPr="002E1AE0">
        <w:rPr>
          <w:rFonts w:ascii="Arial" w:hAnsi="Arial" w:cs="Arial"/>
          <w:b/>
          <w:sz w:val="22"/>
          <w:szCs w:val="22"/>
        </w:rPr>
        <w:t xml:space="preserve">. </w:t>
      </w:r>
      <w:r w:rsidR="007F7A2B" w:rsidRPr="002E1AE0">
        <w:rPr>
          <w:rFonts w:ascii="Arial" w:hAnsi="Arial" w:cs="Arial"/>
          <w:sz w:val="22"/>
          <w:szCs w:val="22"/>
        </w:rPr>
        <w:t>El beneficio empezaría en 20</w:t>
      </w:r>
      <w:r w:rsidR="00263CBB" w:rsidRPr="002E1AE0">
        <w:rPr>
          <w:rFonts w:ascii="Arial" w:hAnsi="Arial" w:cs="Arial"/>
          <w:sz w:val="22"/>
          <w:szCs w:val="22"/>
        </w:rPr>
        <w:t>1</w:t>
      </w:r>
      <w:r w:rsidR="007F7A2B" w:rsidRPr="002E1AE0">
        <w:rPr>
          <w:rFonts w:ascii="Arial" w:hAnsi="Arial" w:cs="Arial"/>
          <w:sz w:val="22"/>
          <w:szCs w:val="22"/>
        </w:rPr>
        <w:t>9 en lugar de en 2017.</w:t>
      </w:r>
    </w:p>
    <w:p w:rsidR="00CE5214" w:rsidRPr="002E1AE0" w:rsidRDefault="007F7A2B" w:rsidP="00200EB7">
      <w:pPr>
        <w:pStyle w:val="Paragraph"/>
        <w:numPr>
          <w:ilvl w:val="0"/>
          <w:numId w:val="0"/>
        </w:numPr>
        <w:ind w:left="624"/>
        <w:rPr>
          <w:rFonts w:ascii="Arial" w:hAnsi="Arial" w:cs="Arial"/>
          <w:sz w:val="22"/>
          <w:szCs w:val="22"/>
        </w:rPr>
      </w:pPr>
      <w:r w:rsidRPr="002E1AE0">
        <w:rPr>
          <w:rFonts w:ascii="Arial" w:hAnsi="Arial" w:cs="Arial"/>
          <w:noProof/>
          <w:sz w:val="22"/>
          <w:szCs w:val="22"/>
          <w:lang w:val="en-US"/>
        </w:rPr>
        <w:drawing>
          <wp:inline distT="0" distB="0" distL="0" distR="0" wp14:anchorId="1F3CF788" wp14:editId="00F0D176">
            <wp:extent cx="5939942" cy="1684403"/>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6962" cy="1689229"/>
                    </a:xfrm>
                    <a:prstGeom prst="rect">
                      <a:avLst/>
                    </a:prstGeom>
                    <a:noFill/>
                    <a:ln>
                      <a:noFill/>
                    </a:ln>
                  </pic:spPr>
                </pic:pic>
              </a:graphicData>
            </a:graphic>
          </wp:inline>
        </w:drawing>
      </w:r>
    </w:p>
    <w:p w:rsidR="007F7A2B" w:rsidRPr="002E1AE0" w:rsidRDefault="007F7A2B" w:rsidP="007F7A2B">
      <w:pPr>
        <w:pStyle w:val="Paragraph"/>
        <w:numPr>
          <w:ilvl w:val="0"/>
          <w:numId w:val="0"/>
        </w:numPr>
        <w:ind w:left="-360"/>
        <w:rPr>
          <w:rFonts w:ascii="Arial" w:hAnsi="Arial" w:cs="Arial"/>
          <w:sz w:val="22"/>
          <w:szCs w:val="22"/>
        </w:rPr>
      </w:pPr>
    </w:p>
    <w:p w:rsidR="007F7A2B" w:rsidRPr="002E1AE0" w:rsidRDefault="00933955" w:rsidP="007F7A2B">
      <w:pPr>
        <w:pStyle w:val="Paragraph"/>
        <w:rPr>
          <w:rFonts w:ascii="Arial" w:hAnsi="Arial" w:cs="Arial"/>
          <w:sz w:val="22"/>
          <w:szCs w:val="22"/>
        </w:rPr>
      </w:pPr>
      <w:r w:rsidRPr="002E1AE0">
        <w:rPr>
          <w:rFonts w:ascii="Arial" w:hAnsi="Arial" w:cs="Arial"/>
          <w:sz w:val="22"/>
          <w:szCs w:val="22"/>
        </w:rPr>
        <w:t>Conforme</w:t>
      </w:r>
      <w:r w:rsidR="00B9517D">
        <w:rPr>
          <w:rFonts w:ascii="Arial" w:hAnsi="Arial" w:cs="Arial"/>
          <w:sz w:val="22"/>
          <w:szCs w:val="22"/>
        </w:rPr>
        <w:t xml:space="preserve"> el</w:t>
      </w:r>
      <w:r w:rsidRPr="002E1AE0">
        <w:rPr>
          <w:rFonts w:ascii="Arial" w:hAnsi="Arial" w:cs="Arial"/>
          <w:sz w:val="22"/>
          <w:szCs w:val="22"/>
        </w:rPr>
        <w:t xml:space="preserve"> </w:t>
      </w:r>
      <w:r w:rsidR="00B9517D">
        <w:rPr>
          <w:rFonts w:ascii="Arial" w:hAnsi="Arial" w:cs="Arial"/>
          <w:sz w:val="22"/>
          <w:szCs w:val="22"/>
        </w:rPr>
        <w:t>c</w:t>
      </w:r>
      <w:r w:rsidRPr="002E1AE0">
        <w:rPr>
          <w:rFonts w:ascii="Arial" w:hAnsi="Arial" w:cs="Arial"/>
          <w:sz w:val="22"/>
          <w:szCs w:val="22"/>
        </w:rPr>
        <w:t>uadro presentado a continuación, u</w:t>
      </w:r>
      <w:r w:rsidR="007F7A2B" w:rsidRPr="002E1AE0">
        <w:rPr>
          <w:rFonts w:ascii="Arial" w:hAnsi="Arial" w:cs="Arial"/>
          <w:sz w:val="22"/>
          <w:szCs w:val="22"/>
        </w:rPr>
        <w:t>tilizando una tasa de descuento de 12%, en un periodo de 10 años, se estima que el proyecto generará una TIR del 33% al final de 2025, con un VPN de US$34,7 millones.</w:t>
      </w:r>
    </w:p>
    <w:p w:rsidR="007F7A2B" w:rsidRPr="002E1AE0" w:rsidRDefault="007F7A2B" w:rsidP="007F7A2B">
      <w:pPr>
        <w:pStyle w:val="Paragraph"/>
        <w:numPr>
          <w:ilvl w:val="0"/>
          <w:numId w:val="0"/>
        </w:numPr>
        <w:ind w:left="-360"/>
        <w:rPr>
          <w:rFonts w:ascii="Arial" w:hAnsi="Arial" w:cs="Arial"/>
          <w:sz w:val="22"/>
          <w:szCs w:val="22"/>
        </w:rPr>
      </w:pPr>
      <w:r w:rsidRPr="002E1AE0">
        <w:rPr>
          <w:rFonts w:ascii="Arial" w:hAnsi="Arial" w:cs="Arial"/>
          <w:noProof/>
          <w:sz w:val="22"/>
          <w:szCs w:val="22"/>
          <w:lang w:val="en-US"/>
        </w:rPr>
        <w:lastRenderedPageBreak/>
        <w:drawing>
          <wp:inline distT="0" distB="0" distL="0" distR="0" wp14:anchorId="31A0400F" wp14:editId="6BC64F06">
            <wp:extent cx="6602095" cy="205740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28339" cy="2065578"/>
                    </a:xfrm>
                    <a:prstGeom prst="rect">
                      <a:avLst/>
                    </a:prstGeom>
                    <a:noFill/>
                    <a:ln>
                      <a:noFill/>
                    </a:ln>
                  </pic:spPr>
                </pic:pic>
              </a:graphicData>
            </a:graphic>
          </wp:inline>
        </w:drawing>
      </w:r>
    </w:p>
    <w:p w:rsidR="00BC71E0" w:rsidRPr="002E1AE0" w:rsidRDefault="00BC71E0" w:rsidP="00BC71E0">
      <w:pPr>
        <w:pStyle w:val="Paragraph"/>
        <w:rPr>
          <w:rFonts w:ascii="Arial" w:hAnsi="Arial" w:cs="Arial"/>
          <w:b/>
          <w:sz w:val="22"/>
          <w:szCs w:val="22"/>
        </w:rPr>
      </w:pPr>
      <w:r w:rsidRPr="002E1AE0">
        <w:rPr>
          <w:rFonts w:ascii="Arial" w:hAnsi="Arial" w:cs="Arial"/>
          <w:b/>
          <w:sz w:val="22"/>
          <w:szCs w:val="22"/>
        </w:rPr>
        <w:t>Escenario 2 - 50% del</w:t>
      </w:r>
      <w:r w:rsidR="005205F3">
        <w:rPr>
          <w:rFonts w:ascii="Arial" w:hAnsi="Arial" w:cs="Arial"/>
          <w:b/>
          <w:sz w:val="22"/>
          <w:szCs w:val="22"/>
        </w:rPr>
        <w:t xml:space="preserve"> ahorro logrado</w:t>
      </w:r>
      <w:r w:rsidRPr="002E1AE0">
        <w:rPr>
          <w:rFonts w:ascii="Arial" w:hAnsi="Arial" w:cs="Arial"/>
          <w:b/>
          <w:sz w:val="22"/>
          <w:szCs w:val="22"/>
        </w:rPr>
        <w:t xml:space="preserve"> con la implementación de </w:t>
      </w:r>
      <w:r w:rsidR="00933955" w:rsidRPr="002E1AE0">
        <w:rPr>
          <w:rFonts w:ascii="Arial" w:hAnsi="Arial" w:cs="Arial"/>
          <w:b/>
          <w:sz w:val="22"/>
          <w:szCs w:val="22"/>
        </w:rPr>
        <w:t>las auditorías</w:t>
      </w:r>
      <w:r w:rsidRPr="002E1AE0">
        <w:rPr>
          <w:rFonts w:ascii="Arial" w:hAnsi="Arial" w:cs="Arial"/>
          <w:b/>
          <w:sz w:val="22"/>
          <w:szCs w:val="22"/>
        </w:rPr>
        <w:t xml:space="preserve"> en la Nómina</w:t>
      </w:r>
      <w:r w:rsidR="00933955" w:rsidRPr="002E1AE0">
        <w:rPr>
          <w:rFonts w:ascii="Arial" w:hAnsi="Arial" w:cs="Arial"/>
          <w:b/>
          <w:sz w:val="22"/>
          <w:szCs w:val="22"/>
        </w:rPr>
        <w:t xml:space="preserve">, con la eliminación de </w:t>
      </w:r>
      <w:r w:rsidR="005205F3" w:rsidRPr="002E1AE0">
        <w:rPr>
          <w:rFonts w:ascii="Arial" w:hAnsi="Arial" w:cs="Arial"/>
          <w:b/>
          <w:sz w:val="22"/>
          <w:szCs w:val="22"/>
        </w:rPr>
        <w:t xml:space="preserve">funcionarios </w:t>
      </w:r>
      <w:r w:rsidR="00933955" w:rsidRPr="002E1AE0">
        <w:rPr>
          <w:rFonts w:ascii="Arial" w:hAnsi="Arial" w:cs="Arial"/>
          <w:b/>
          <w:sz w:val="22"/>
          <w:szCs w:val="22"/>
        </w:rPr>
        <w:t>fantasma y sin asignación específica,</w:t>
      </w:r>
      <w:r w:rsidRPr="002E1AE0">
        <w:rPr>
          <w:rFonts w:ascii="Arial" w:hAnsi="Arial" w:cs="Arial"/>
          <w:b/>
          <w:sz w:val="22"/>
          <w:szCs w:val="22"/>
        </w:rPr>
        <w:t xml:space="preserve"> sean utilizadas para </w:t>
      </w:r>
      <w:r w:rsidR="00933955" w:rsidRPr="002E1AE0">
        <w:rPr>
          <w:rFonts w:ascii="Arial" w:hAnsi="Arial" w:cs="Arial"/>
          <w:b/>
          <w:sz w:val="22"/>
          <w:szCs w:val="22"/>
        </w:rPr>
        <w:t xml:space="preserve">nuevas </w:t>
      </w:r>
      <w:r w:rsidRPr="002E1AE0">
        <w:rPr>
          <w:rFonts w:ascii="Arial" w:hAnsi="Arial" w:cs="Arial"/>
          <w:b/>
          <w:sz w:val="22"/>
          <w:szCs w:val="22"/>
        </w:rPr>
        <w:t>contrataciones, empezando en 2018</w:t>
      </w:r>
      <w:r w:rsidR="00933955" w:rsidRPr="002E1AE0">
        <w:rPr>
          <w:rFonts w:ascii="Arial" w:hAnsi="Arial" w:cs="Arial"/>
          <w:b/>
          <w:sz w:val="22"/>
          <w:szCs w:val="22"/>
        </w:rPr>
        <w:t>.</w:t>
      </w:r>
    </w:p>
    <w:p w:rsidR="00BC71E0" w:rsidRPr="002E1AE0" w:rsidRDefault="00BC71E0" w:rsidP="001E7183">
      <w:pPr>
        <w:pStyle w:val="Paragraph"/>
        <w:numPr>
          <w:ilvl w:val="0"/>
          <w:numId w:val="0"/>
        </w:numPr>
        <w:ind w:left="113"/>
        <w:rPr>
          <w:rFonts w:ascii="Arial" w:hAnsi="Arial" w:cs="Arial"/>
          <w:sz w:val="22"/>
          <w:szCs w:val="22"/>
        </w:rPr>
      </w:pPr>
      <w:r w:rsidRPr="002E1AE0">
        <w:rPr>
          <w:rFonts w:ascii="Arial" w:hAnsi="Arial" w:cs="Arial"/>
          <w:noProof/>
          <w:sz w:val="22"/>
          <w:szCs w:val="22"/>
          <w:lang w:val="en-US"/>
        </w:rPr>
        <w:drawing>
          <wp:inline distT="0" distB="0" distL="0" distR="0" wp14:anchorId="31D27AC6" wp14:editId="72BCDB10">
            <wp:extent cx="6233650" cy="1920834"/>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60097" cy="1928983"/>
                    </a:xfrm>
                    <a:prstGeom prst="rect">
                      <a:avLst/>
                    </a:prstGeom>
                    <a:noFill/>
                    <a:ln>
                      <a:noFill/>
                    </a:ln>
                  </pic:spPr>
                </pic:pic>
              </a:graphicData>
            </a:graphic>
          </wp:inline>
        </w:drawing>
      </w:r>
    </w:p>
    <w:p w:rsidR="00BC71E0" w:rsidRPr="002E1AE0" w:rsidRDefault="00BC71E0" w:rsidP="007F7A2B">
      <w:pPr>
        <w:pStyle w:val="Paragraph"/>
        <w:numPr>
          <w:ilvl w:val="0"/>
          <w:numId w:val="0"/>
        </w:numPr>
        <w:ind w:left="-360"/>
        <w:rPr>
          <w:rFonts w:ascii="Arial" w:hAnsi="Arial" w:cs="Arial"/>
          <w:sz w:val="22"/>
          <w:szCs w:val="22"/>
        </w:rPr>
      </w:pPr>
    </w:p>
    <w:p w:rsidR="00BC71E0" w:rsidRPr="002E1AE0" w:rsidRDefault="00933955" w:rsidP="00933955">
      <w:pPr>
        <w:pStyle w:val="Paragraph"/>
        <w:rPr>
          <w:rFonts w:ascii="Arial" w:hAnsi="Arial" w:cs="Arial"/>
          <w:sz w:val="22"/>
          <w:szCs w:val="22"/>
        </w:rPr>
      </w:pPr>
      <w:r w:rsidRPr="002E1AE0">
        <w:rPr>
          <w:rFonts w:ascii="Arial" w:hAnsi="Arial" w:cs="Arial"/>
          <w:sz w:val="22"/>
          <w:szCs w:val="22"/>
        </w:rPr>
        <w:t xml:space="preserve">Conforme </w:t>
      </w:r>
      <w:r w:rsidR="00006CDE">
        <w:rPr>
          <w:rFonts w:ascii="Arial" w:hAnsi="Arial" w:cs="Arial"/>
          <w:sz w:val="22"/>
          <w:szCs w:val="22"/>
        </w:rPr>
        <w:t>el cua</w:t>
      </w:r>
      <w:r w:rsidRPr="002E1AE0">
        <w:rPr>
          <w:rFonts w:ascii="Arial" w:hAnsi="Arial" w:cs="Arial"/>
          <w:sz w:val="22"/>
          <w:szCs w:val="22"/>
        </w:rPr>
        <w:t>dro presentado a continuación, u</w:t>
      </w:r>
      <w:r w:rsidR="00BC71E0" w:rsidRPr="002E1AE0">
        <w:rPr>
          <w:rFonts w:ascii="Arial" w:hAnsi="Arial" w:cs="Arial"/>
          <w:sz w:val="22"/>
          <w:szCs w:val="22"/>
        </w:rPr>
        <w:t>tilizando una tasa de descuento de 12%, en un periodo de 10 años, se estima que el proyecto generará una TIR del 30% al final de 2025, con un Valor Presente Neto (VPN) de US$32,4 millones.</w:t>
      </w:r>
    </w:p>
    <w:p w:rsidR="00933955" w:rsidRPr="002E1AE0" w:rsidRDefault="00933955" w:rsidP="00933955">
      <w:pPr>
        <w:pStyle w:val="Paragraph"/>
        <w:numPr>
          <w:ilvl w:val="0"/>
          <w:numId w:val="0"/>
        </w:numPr>
        <w:ind w:left="-450" w:firstLine="90"/>
        <w:rPr>
          <w:rFonts w:ascii="Arial" w:hAnsi="Arial" w:cs="Arial"/>
          <w:sz w:val="22"/>
          <w:szCs w:val="22"/>
        </w:rPr>
      </w:pPr>
    </w:p>
    <w:p w:rsidR="00BC71E0" w:rsidRPr="002E1AE0" w:rsidRDefault="00BC71E0" w:rsidP="00BC71E0">
      <w:pPr>
        <w:pStyle w:val="Paragraph"/>
        <w:numPr>
          <w:ilvl w:val="0"/>
          <w:numId w:val="0"/>
        </w:numPr>
        <w:ind w:left="-360"/>
        <w:rPr>
          <w:rFonts w:ascii="Arial" w:hAnsi="Arial" w:cs="Arial"/>
          <w:sz w:val="22"/>
          <w:szCs w:val="22"/>
        </w:rPr>
      </w:pPr>
      <w:r w:rsidRPr="002E1AE0">
        <w:rPr>
          <w:rFonts w:ascii="Arial" w:hAnsi="Arial" w:cs="Arial"/>
          <w:noProof/>
          <w:sz w:val="22"/>
          <w:szCs w:val="22"/>
          <w:lang w:val="en-US"/>
        </w:rPr>
        <w:drawing>
          <wp:inline distT="0" distB="0" distL="0" distR="0" wp14:anchorId="522CEC8C" wp14:editId="207B9ABE">
            <wp:extent cx="6766560" cy="19870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77437" cy="1990256"/>
                    </a:xfrm>
                    <a:prstGeom prst="rect">
                      <a:avLst/>
                    </a:prstGeom>
                    <a:noFill/>
                    <a:ln>
                      <a:noFill/>
                    </a:ln>
                  </pic:spPr>
                </pic:pic>
              </a:graphicData>
            </a:graphic>
          </wp:inline>
        </w:drawing>
      </w:r>
    </w:p>
    <w:p w:rsidR="00933955" w:rsidRPr="002E1AE0" w:rsidRDefault="00933955" w:rsidP="00BC71E0">
      <w:pPr>
        <w:pStyle w:val="Paragraph"/>
        <w:numPr>
          <w:ilvl w:val="0"/>
          <w:numId w:val="0"/>
        </w:numPr>
        <w:ind w:left="-360"/>
        <w:rPr>
          <w:rFonts w:ascii="Arial" w:hAnsi="Arial" w:cs="Arial"/>
          <w:sz w:val="22"/>
          <w:szCs w:val="22"/>
        </w:rPr>
      </w:pPr>
    </w:p>
    <w:p w:rsidR="00933955" w:rsidRPr="002E1AE0" w:rsidRDefault="00933955" w:rsidP="00933955">
      <w:pPr>
        <w:pStyle w:val="Paragraph"/>
        <w:rPr>
          <w:rFonts w:ascii="Arial" w:hAnsi="Arial" w:cs="Arial"/>
          <w:b/>
          <w:sz w:val="22"/>
          <w:szCs w:val="22"/>
        </w:rPr>
      </w:pPr>
      <w:r w:rsidRPr="002E1AE0">
        <w:rPr>
          <w:rFonts w:ascii="Arial" w:hAnsi="Arial" w:cs="Arial"/>
          <w:b/>
          <w:sz w:val="22"/>
          <w:szCs w:val="22"/>
        </w:rPr>
        <w:t>Escenario 3 – Ocurrencia de ambos escenarios: (i) Retrasos de 2 años en el inicio de la implementación de la Factura Electrónica</w:t>
      </w:r>
      <w:r w:rsidR="00006CDE">
        <w:rPr>
          <w:rFonts w:ascii="Arial" w:hAnsi="Arial" w:cs="Arial"/>
          <w:b/>
          <w:sz w:val="22"/>
          <w:szCs w:val="22"/>
        </w:rPr>
        <w:t>; y</w:t>
      </w:r>
      <w:r w:rsidRPr="002E1AE0">
        <w:rPr>
          <w:rFonts w:ascii="Arial" w:hAnsi="Arial" w:cs="Arial"/>
          <w:b/>
          <w:sz w:val="22"/>
          <w:szCs w:val="22"/>
        </w:rPr>
        <w:t xml:space="preserve"> (ii) 50% de</w:t>
      </w:r>
      <w:r w:rsidR="00006CDE">
        <w:rPr>
          <w:rFonts w:ascii="Arial" w:hAnsi="Arial" w:cs="Arial"/>
          <w:b/>
          <w:sz w:val="22"/>
          <w:szCs w:val="22"/>
        </w:rPr>
        <w:t>l ahorro logrado</w:t>
      </w:r>
      <w:r w:rsidRPr="002E1AE0">
        <w:rPr>
          <w:rFonts w:ascii="Arial" w:hAnsi="Arial" w:cs="Arial"/>
          <w:b/>
          <w:sz w:val="22"/>
          <w:szCs w:val="22"/>
        </w:rPr>
        <w:t xml:space="preserve"> con la implemen</w:t>
      </w:r>
      <w:r w:rsidR="00006CDE">
        <w:rPr>
          <w:rFonts w:ascii="Arial" w:hAnsi="Arial" w:cs="Arial"/>
          <w:b/>
          <w:sz w:val="22"/>
          <w:szCs w:val="22"/>
        </w:rPr>
        <w:t>tación de las auditorías en la n</w:t>
      </w:r>
      <w:r w:rsidRPr="002E1AE0">
        <w:rPr>
          <w:rFonts w:ascii="Arial" w:hAnsi="Arial" w:cs="Arial"/>
          <w:b/>
          <w:sz w:val="22"/>
          <w:szCs w:val="22"/>
        </w:rPr>
        <w:t>ómina, con l</w:t>
      </w:r>
      <w:r w:rsidR="00006CDE">
        <w:rPr>
          <w:rFonts w:ascii="Arial" w:hAnsi="Arial" w:cs="Arial"/>
          <w:b/>
          <w:sz w:val="22"/>
          <w:szCs w:val="22"/>
        </w:rPr>
        <w:t xml:space="preserve">a eliminación de </w:t>
      </w:r>
      <w:r w:rsidR="00006CDE" w:rsidRPr="002E1AE0">
        <w:rPr>
          <w:rFonts w:ascii="Arial" w:hAnsi="Arial" w:cs="Arial"/>
          <w:b/>
          <w:sz w:val="22"/>
          <w:szCs w:val="22"/>
        </w:rPr>
        <w:t>funcionarios</w:t>
      </w:r>
      <w:r w:rsidR="00006CDE">
        <w:rPr>
          <w:rFonts w:ascii="Arial" w:hAnsi="Arial" w:cs="Arial"/>
          <w:b/>
          <w:sz w:val="22"/>
          <w:szCs w:val="22"/>
        </w:rPr>
        <w:t xml:space="preserve"> fantasma y </w:t>
      </w:r>
      <w:r w:rsidRPr="002E1AE0">
        <w:rPr>
          <w:rFonts w:ascii="Arial" w:hAnsi="Arial" w:cs="Arial"/>
          <w:b/>
          <w:sz w:val="22"/>
          <w:szCs w:val="22"/>
        </w:rPr>
        <w:t>sin asignación específica, sean utilizadas para nuevas contrataciones, empezando en 2018.</w:t>
      </w:r>
    </w:p>
    <w:p w:rsidR="00933955" w:rsidRPr="002E1AE0" w:rsidRDefault="00933955" w:rsidP="00933955">
      <w:pPr>
        <w:pStyle w:val="Paragraph"/>
        <w:numPr>
          <w:ilvl w:val="0"/>
          <w:numId w:val="0"/>
        </w:numPr>
        <w:ind w:left="-360"/>
        <w:rPr>
          <w:rFonts w:ascii="Arial" w:hAnsi="Arial" w:cs="Arial"/>
          <w:b/>
          <w:sz w:val="22"/>
          <w:szCs w:val="22"/>
        </w:rPr>
      </w:pPr>
      <w:r w:rsidRPr="002E1AE0">
        <w:rPr>
          <w:rFonts w:ascii="Arial" w:hAnsi="Arial" w:cs="Arial"/>
          <w:noProof/>
          <w:sz w:val="22"/>
          <w:szCs w:val="22"/>
          <w:lang w:val="en-US"/>
        </w:rPr>
        <w:drawing>
          <wp:inline distT="0" distB="0" distL="0" distR="0" wp14:anchorId="40EC235F" wp14:editId="3E15BDC4">
            <wp:extent cx="6675755" cy="237978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02140" cy="2389191"/>
                    </a:xfrm>
                    <a:prstGeom prst="rect">
                      <a:avLst/>
                    </a:prstGeom>
                    <a:noFill/>
                    <a:ln>
                      <a:noFill/>
                    </a:ln>
                  </pic:spPr>
                </pic:pic>
              </a:graphicData>
            </a:graphic>
          </wp:inline>
        </w:drawing>
      </w:r>
    </w:p>
    <w:p w:rsidR="00933955" w:rsidRPr="002E1AE0" w:rsidRDefault="00933955" w:rsidP="00933955">
      <w:pPr>
        <w:pStyle w:val="Paragraph"/>
        <w:rPr>
          <w:rFonts w:ascii="Arial" w:hAnsi="Arial" w:cs="Arial"/>
          <w:sz w:val="22"/>
          <w:szCs w:val="22"/>
        </w:rPr>
      </w:pPr>
      <w:r w:rsidRPr="002E1AE0">
        <w:rPr>
          <w:rFonts w:ascii="Arial" w:hAnsi="Arial" w:cs="Arial"/>
          <w:sz w:val="22"/>
          <w:szCs w:val="22"/>
        </w:rPr>
        <w:t xml:space="preserve">Conforme </w:t>
      </w:r>
      <w:r w:rsidR="00454AFA">
        <w:rPr>
          <w:rFonts w:ascii="Arial" w:hAnsi="Arial" w:cs="Arial"/>
          <w:sz w:val="22"/>
          <w:szCs w:val="22"/>
        </w:rPr>
        <w:t>el c</w:t>
      </w:r>
      <w:r w:rsidRPr="002E1AE0">
        <w:rPr>
          <w:rFonts w:ascii="Arial" w:hAnsi="Arial" w:cs="Arial"/>
          <w:sz w:val="22"/>
          <w:szCs w:val="22"/>
        </w:rPr>
        <w:t>uadro a continuación, utilizando una tasa de descuento de 12%, en un periodo de 10 años, se estima que el proyecto generará una TIR del 9% al final de 2</w:t>
      </w:r>
      <w:r w:rsidR="00454AFA">
        <w:rPr>
          <w:rFonts w:ascii="Arial" w:hAnsi="Arial" w:cs="Arial"/>
          <w:sz w:val="22"/>
          <w:szCs w:val="22"/>
        </w:rPr>
        <w:t xml:space="preserve">025, con un </w:t>
      </w:r>
      <w:r w:rsidRPr="002E1AE0">
        <w:rPr>
          <w:rFonts w:ascii="Arial" w:hAnsi="Arial" w:cs="Arial"/>
          <w:sz w:val="22"/>
          <w:szCs w:val="22"/>
        </w:rPr>
        <w:t>VPN de US$22,5 millones.</w:t>
      </w:r>
    </w:p>
    <w:p w:rsidR="00933955" w:rsidRPr="002E1AE0" w:rsidRDefault="00933955" w:rsidP="00933955">
      <w:pPr>
        <w:pStyle w:val="Paragraph"/>
        <w:rPr>
          <w:rFonts w:ascii="Arial" w:hAnsi="Arial" w:cs="Arial"/>
          <w:b/>
          <w:sz w:val="22"/>
          <w:szCs w:val="22"/>
        </w:rPr>
      </w:pPr>
      <w:r w:rsidRPr="002E1AE0">
        <w:rPr>
          <w:rFonts w:ascii="Arial" w:hAnsi="Arial" w:cs="Arial"/>
          <w:b/>
          <w:sz w:val="22"/>
          <w:szCs w:val="22"/>
        </w:rPr>
        <w:t xml:space="preserve">Conclusión: </w:t>
      </w:r>
      <w:r w:rsidRPr="002E1AE0">
        <w:rPr>
          <w:rFonts w:ascii="Arial" w:hAnsi="Arial" w:cs="Arial"/>
          <w:sz w:val="22"/>
          <w:szCs w:val="22"/>
        </w:rPr>
        <w:t xml:space="preserve">De acuerdo con el cuadro </w:t>
      </w:r>
      <w:r w:rsidR="00454AFA">
        <w:rPr>
          <w:rFonts w:ascii="Arial" w:hAnsi="Arial" w:cs="Arial"/>
          <w:sz w:val="22"/>
          <w:szCs w:val="22"/>
        </w:rPr>
        <w:t>r</w:t>
      </w:r>
      <w:r w:rsidR="00413D6F" w:rsidRPr="002E1AE0">
        <w:rPr>
          <w:rFonts w:ascii="Arial" w:hAnsi="Arial" w:cs="Arial"/>
          <w:sz w:val="22"/>
          <w:szCs w:val="22"/>
        </w:rPr>
        <w:t xml:space="preserve">esumen </w:t>
      </w:r>
      <w:r w:rsidRPr="002E1AE0">
        <w:rPr>
          <w:rFonts w:ascii="Arial" w:hAnsi="Arial" w:cs="Arial"/>
          <w:sz w:val="22"/>
          <w:szCs w:val="22"/>
        </w:rPr>
        <w:t>a continuación, en el peor de los escenarios</w:t>
      </w:r>
      <w:r w:rsidR="00413D6F" w:rsidRPr="002E1AE0">
        <w:rPr>
          <w:rFonts w:ascii="Arial" w:hAnsi="Arial" w:cs="Arial"/>
          <w:sz w:val="22"/>
          <w:szCs w:val="22"/>
        </w:rPr>
        <w:t xml:space="preserve"> (3)</w:t>
      </w:r>
      <w:r w:rsidRPr="002E1AE0">
        <w:rPr>
          <w:rFonts w:ascii="Arial" w:hAnsi="Arial" w:cs="Arial"/>
          <w:sz w:val="22"/>
          <w:szCs w:val="22"/>
        </w:rPr>
        <w:t xml:space="preserve"> el Programa sigue presentando una T</w:t>
      </w:r>
      <w:r w:rsidR="00454AFA">
        <w:rPr>
          <w:rFonts w:ascii="Arial" w:hAnsi="Arial" w:cs="Arial"/>
          <w:sz w:val="22"/>
          <w:szCs w:val="22"/>
        </w:rPr>
        <w:t>IR po</w:t>
      </w:r>
      <w:r w:rsidRPr="002E1AE0">
        <w:rPr>
          <w:rFonts w:ascii="Arial" w:hAnsi="Arial" w:cs="Arial"/>
          <w:sz w:val="22"/>
          <w:szCs w:val="22"/>
        </w:rPr>
        <w:t>sitiva de 9%, así como un V</w:t>
      </w:r>
      <w:r w:rsidR="00454AFA">
        <w:rPr>
          <w:rFonts w:ascii="Arial" w:hAnsi="Arial" w:cs="Arial"/>
          <w:sz w:val="22"/>
          <w:szCs w:val="22"/>
        </w:rPr>
        <w:t>PN</w:t>
      </w:r>
      <w:r w:rsidRPr="002E1AE0">
        <w:rPr>
          <w:rFonts w:ascii="Arial" w:hAnsi="Arial" w:cs="Arial"/>
          <w:sz w:val="22"/>
          <w:szCs w:val="22"/>
        </w:rPr>
        <w:t xml:space="preserve"> de US$ 44,6 millones, lo que justifica las inversiones que apoyan las medidas de política contempladas en esta operación.    </w:t>
      </w:r>
    </w:p>
    <w:tbl>
      <w:tblPr>
        <w:tblStyle w:val="TableGrid"/>
        <w:tblW w:w="8241" w:type="dxa"/>
        <w:tblInd w:w="1384" w:type="dxa"/>
        <w:tblLook w:val="04A0" w:firstRow="1" w:lastRow="0" w:firstColumn="1" w:lastColumn="0" w:noHBand="0" w:noVBand="1"/>
      </w:tblPr>
      <w:tblGrid>
        <w:gridCol w:w="1418"/>
        <w:gridCol w:w="997"/>
        <w:gridCol w:w="1547"/>
        <w:gridCol w:w="1547"/>
        <w:gridCol w:w="2732"/>
      </w:tblGrid>
      <w:tr w:rsidR="00933955" w:rsidRPr="00454AFA" w:rsidTr="00454AFA">
        <w:trPr>
          <w:trHeight w:val="296"/>
        </w:trPr>
        <w:tc>
          <w:tcPr>
            <w:tcW w:w="8241" w:type="dxa"/>
            <w:gridSpan w:val="5"/>
            <w:shd w:val="clear" w:color="auto" w:fill="BDD6EE" w:themeFill="accent1" w:themeFillTint="66"/>
          </w:tcPr>
          <w:p w:rsidR="00933955" w:rsidRPr="00454AFA" w:rsidRDefault="00933955" w:rsidP="00933955">
            <w:pPr>
              <w:jc w:val="cente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Análisis de Sensibilidad</w:t>
            </w:r>
          </w:p>
          <w:p w:rsidR="00933955" w:rsidRPr="00454AFA" w:rsidRDefault="00933955" w:rsidP="00933955">
            <w:pPr>
              <w:jc w:val="cente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Resumen</w:t>
            </w:r>
          </w:p>
        </w:tc>
      </w:tr>
      <w:tr w:rsidR="00933955" w:rsidRPr="00454AFA" w:rsidTr="00454AFA">
        <w:trPr>
          <w:trHeight w:val="2636"/>
        </w:trPr>
        <w:tc>
          <w:tcPr>
            <w:tcW w:w="1418" w:type="dxa"/>
            <w:vAlign w:val="center"/>
          </w:tcPr>
          <w:p w:rsidR="00933955" w:rsidRPr="00454AFA" w:rsidRDefault="00933955" w:rsidP="00933955">
            <w:pP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Senarios</w:t>
            </w:r>
          </w:p>
        </w:tc>
        <w:tc>
          <w:tcPr>
            <w:tcW w:w="997" w:type="dxa"/>
            <w:vAlign w:val="center"/>
          </w:tcPr>
          <w:p w:rsidR="00933955" w:rsidRPr="00454AFA" w:rsidRDefault="00933955" w:rsidP="00933955">
            <w:pPr>
              <w:jc w:val="cente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Base</w:t>
            </w:r>
          </w:p>
        </w:tc>
        <w:tc>
          <w:tcPr>
            <w:tcW w:w="1547" w:type="dxa"/>
          </w:tcPr>
          <w:p w:rsidR="00933955" w:rsidRPr="00454AFA" w:rsidRDefault="00933955" w:rsidP="00933955">
            <w:pP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Escenario 1</w:t>
            </w:r>
          </w:p>
          <w:p w:rsidR="00933955" w:rsidRPr="00454AFA" w:rsidRDefault="00933955" w:rsidP="00933955">
            <w:pPr>
              <w:rPr>
                <w:rFonts w:ascii="Arial" w:eastAsia="Times New Roman" w:hAnsi="Arial" w:cs="Arial"/>
                <w:color w:val="000000"/>
                <w:sz w:val="18"/>
                <w:lang w:eastAsia="es-HN"/>
              </w:rPr>
            </w:pPr>
            <w:r w:rsidRPr="00454AFA">
              <w:rPr>
                <w:rFonts w:ascii="Arial" w:eastAsia="Times New Roman" w:hAnsi="Arial" w:cs="Arial"/>
                <w:color w:val="000000"/>
                <w:sz w:val="18"/>
                <w:lang w:eastAsia="es-HN"/>
              </w:rPr>
              <w:t>Retrasos de 2 años en el inicio de la implementación de la Factura Electrónica.</w:t>
            </w:r>
          </w:p>
        </w:tc>
        <w:tc>
          <w:tcPr>
            <w:tcW w:w="1547" w:type="dxa"/>
          </w:tcPr>
          <w:p w:rsidR="00933955" w:rsidRPr="00454AFA" w:rsidRDefault="00933955" w:rsidP="00933955">
            <w:pP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 xml:space="preserve">Escenario 2 </w:t>
            </w:r>
          </w:p>
          <w:p w:rsidR="00933955" w:rsidRPr="00454AFA" w:rsidRDefault="00933955" w:rsidP="00933955">
            <w:pPr>
              <w:rPr>
                <w:rFonts w:ascii="Arial" w:eastAsia="Times New Roman" w:hAnsi="Arial" w:cs="Arial"/>
                <w:color w:val="000000"/>
                <w:sz w:val="18"/>
                <w:lang w:eastAsia="es-HN"/>
              </w:rPr>
            </w:pPr>
            <w:r w:rsidRPr="00454AFA">
              <w:rPr>
                <w:rFonts w:ascii="Arial" w:eastAsia="Times New Roman" w:hAnsi="Arial" w:cs="Arial"/>
                <w:color w:val="000000"/>
                <w:sz w:val="18"/>
                <w:lang w:eastAsia="es-HN"/>
              </w:rPr>
              <w:t>50% de la economía lograda con la implementación de las auditorías en la Nómina sean utilizadas para nuevas contrataciones, empezando en 2018.</w:t>
            </w:r>
          </w:p>
        </w:tc>
        <w:tc>
          <w:tcPr>
            <w:tcW w:w="2732" w:type="dxa"/>
          </w:tcPr>
          <w:p w:rsidR="00933955" w:rsidRPr="00454AFA" w:rsidRDefault="00933955" w:rsidP="00933955">
            <w:pP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Escenario 3</w:t>
            </w:r>
          </w:p>
          <w:p w:rsidR="00933955" w:rsidRPr="00454AFA" w:rsidRDefault="00933955" w:rsidP="00933955">
            <w:pPr>
              <w:rPr>
                <w:rFonts w:ascii="Arial" w:eastAsia="Times New Roman" w:hAnsi="Arial" w:cs="Arial"/>
                <w:color w:val="000000"/>
                <w:sz w:val="18"/>
                <w:lang w:eastAsia="es-HN"/>
              </w:rPr>
            </w:pPr>
            <w:r w:rsidRPr="00454AFA">
              <w:rPr>
                <w:rFonts w:ascii="Arial" w:eastAsia="Times New Roman" w:hAnsi="Arial" w:cs="Arial"/>
                <w:color w:val="000000"/>
                <w:sz w:val="18"/>
                <w:lang w:eastAsia="es-HN"/>
              </w:rPr>
              <w:t>Ocurrencia de ambos escenarios:</w:t>
            </w:r>
          </w:p>
        </w:tc>
      </w:tr>
      <w:tr w:rsidR="00933955" w:rsidRPr="00454AFA" w:rsidTr="00454AFA">
        <w:trPr>
          <w:trHeight w:val="296"/>
        </w:trPr>
        <w:tc>
          <w:tcPr>
            <w:tcW w:w="1418" w:type="dxa"/>
          </w:tcPr>
          <w:p w:rsidR="00933955" w:rsidRPr="00454AFA" w:rsidRDefault="00933955" w:rsidP="00933955">
            <w:pPr>
              <w:rPr>
                <w:rFonts w:ascii="Arial" w:eastAsia="Times New Roman" w:hAnsi="Arial" w:cs="Arial"/>
                <w:b/>
                <w:color w:val="000000"/>
                <w:sz w:val="18"/>
                <w:lang w:eastAsia="es-HN"/>
              </w:rPr>
            </w:pPr>
            <w:r w:rsidRPr="00454AFA">
              <w:rPr>
                <w:rFonts w:ascii="Arial" w:eastAsia="Times New Roman" w:hAnsi="Arial" w:cs="Arial"/>
                <w:b/>
                <w:color w:val="000000"/>
                <w:sz w:val="18"/>
                <w:lang w:eastAsia="es-HN"/>
              </w:rPr>
              <w:t>TIR</w:t>
            </w:r>
            <w:r w:rsidRPr="00454AFA">
              <w:rPr>
                <w:rFonts w:ascii="Arial" w:eastAsia="Times New Roman" w:hAnsi="Arial" w:cs="Arial"/>
                <w:color w:val="000000"/>
                <w:sz w:val="18"/>
                <w:lang w:eastAsia="es-HN"/>
              </w:rPr>
              <w:t xml:space="preserve"> (%)</w:t>
            </w:r>
          </w:p>
        </w:tc>
        <w:tc>
          <w:tcPr>
            <w:tcW w:w="997"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51</w:t>
            </w:r>
          </w:p>
        </w:tc>
        <w:tc>
          <w:tcPr>
            <w:tcW w:w="1547"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33</w:t>
            </w:r>
          </w:p>
        </w:tc>
        <w:tc>
          <w:tcPr>
            <w:tcW w:w="1547"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30</w:t>
            </w:r>
          </w:p>
        </w:tc>
        <w:tc>
          <w:tcPr>
            <w:tcW w:w="2732"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9%</w:t>
            </w:r>
          </w:p>
        </w:tc>
      </w:tr>
      <w:tr w:rsidR="00933955" w:rsidRPr="00454AFA" w:rsidTr="00454AFA">
        <w:trPr>
          <w:trHeight w:val="296"/>
        </w:trPr>
        <w:tc>
          <w:tcPr>
            <w:tcW w:w="1418" w:type="dxa"/>
          </w:tcPr>
          <w:p w:rsidR="00933955" w:rsidRPr="00454AFA" w:rsidRDefault="00933955" w:rsidP="00933955">
            <w:pPr>
              <w:rPr>
                <w:rFonts w:ascii="Arial" w:eastAsia="Times New Roman" w:hAnsi="Arial" w:cs="Arial"/>
                <w:color w:val="000000"/>
                <w:sz w:val="18"/>
                <w:lang w:eastAsia="es-HN"/>
              </w:rPr>
            </w:pPr>
            <w:r w:rsidRPr="00454AFA">
              <w:rPr>
                <w:rFonts w:ascii="Arial" w:eastAsia="Times New Roman" w:hAnsi="Arial" w:cs="Arial"/>
                <w:b/>
                <w:color w:val="000000"/>
                <w:sz w:val="18"/>
                <w:lang w:eastAsia="es-HN"/>
              </w:rPr>
              <w:t xml:space="preserve">VPN </w:t>
            </w:r>
            <w:r w:rsidRPr="00454AFA">
              <w:rPr>
                <w:rFonts w:ascii="Arial" w:eastAsia="Times New Roman" w:hAnsi="Arial" w:cs="Arial"/>
                <w:color w:val="000000"/>
                <w:sz w:val="18"/>
                <w:lang w:eastAsia="es-HN"/>
              </w:rPr>
              <w:t>(millones US$)</w:t>
            </w:r>
          </w:p>
        </w:tc>
        <w:tc>
          <w:tcPr>
            <w:tcW w:w="997"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44,6</w:t>
            </w:r>
          </w:p>
        </w:tc>
        <w:tc>
          <w:tcPr>
            <w:tcW w:w="1547"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34,7</w:t>
            </w:r>
          </w:p>
        </w:tc>
        <w:tc>
          <w:tcPr>
            <w:tcW w:w="1547" w:type="dxa"/>
          </w:tcPr>
          <w:p w:rsidR="00933955" w:rsidRPr="00454AFA" w:rsidRDefault="00454AFA" w:rsidP="00933955">
            <w:pPr>
              <w:jc w:val="center"/>
              <w:rPr>
                <w:rFonts w:ascii="Arial" w:eastAsia="Times New Roman" w:hAnsi="Arial" w:cs="Arial"/>
                <w:color w:val="000000"/>
                <w:sz w:val="18"/>
                <w:lang w:eastAsia="es-HN"/>
              </w:rPr>
            </w:pPr>
            <w:r>
              <w:rPr>
                <w:rFonts w:ascii="Arial" w:eastAsia="Times New Roman" w:hAnsi="Arial" w:cs="Arial"/>
                <w:color w:val="000000"/>
                <w:sz w:val="18"/>
                <w:lang w:eastAsia="es-HN"/>
              </w:rPr>
              <w:t>32,</w:t>
            </w:r>
            <w:r w:rsidR="00933955" w:rsidRPr="00454AFA">
              <w:rPr>
                <w:rFonts w:ascii="Arial" w:eastAsia="Times New Roman" w:hAnsi="Arial" w:cs="Arial"/>
                <w:color w:val="000000"/>
                <w:sz w:val="18"/>
                <w:lang w:eastAsia="es-HN"/>
              </w:rPr>
              <w:t>4</w:t>
            </w:r>
          </w:p>
        </w:tc>
        <w:tc>
          <w:tcPr>
            <w:tcW w:w="2732" w:type="dxa"/>
          </w:tcPr>
          <w:p w:rsidR="00933955" w:rsidRPr="00454AFA" w:rsidRDefault="00933955" w:rsidP="00933955">
            <w:pPr>
              <w:jc w:val="center"/>
              <w:rPr>
                <w:rFonts w:ascii="Arial" w:eastAsia="Times New Roman" w:hAnsi="Arial" w:cs="Arial"/>
                <w:color w:val="000000"/>
                <w:sz w:val="18"/>
                <w:lang w:eastAsia="es-HN"/>
              </w:rPr>
            </w:pPr>
            <w:r w:rsidRPr="00454AFA">
              <w:rPr>
                <w:rFonts w:ascii="Arial" w:eastAsia="Times New Roman" w:hAnsi="Arial" w:cs="Arial"/>
                <w:color w:val="000000"/>
                <w:sz w:val="18"/>
                <w:lang w:eastAsia="es-HN"/>
              </w:rPr>
              <w:t>24,5</w:t>
            </w:r>
          </w:p>
        </w:tc>
      </w:tr>
    </w:tbl>
    <w:p w:rsidR="00933955" w:rsidRPr="002E1AE0" w:rsidRDefault="00933955" w:rsidP="00933955">
      <w:pPr>
        <w:pStyle w:val="Chapter"/>
        <w:numPr>
          <w:ilvl w:val="0"/>
          <w:numId w:val="0"/>
        </w:numPr>
        <w:ind w:firstLine="288"/>
        <w:jc w:val="left"/>
        <w:rPr>
          <w:rFonts w:ascii="Arial" w:hAnsi="Arial" w:cs="Arial"/>
          <w:sz w:val="22"/>
          <w:szCs w:val="22"/>
        </w:rPr>
      </w:pPr>
    </w:p>
    <w:p w:rsidR="00933955" w:rsidRPr="002E1AE0" w:rsidRDefault="00933955" w:rsidP="00BC71E0">
      <w:pPr>
        <w:pStyle w:val="Paragraph"/>
        <w:numPr>
          <w:ilvl w:val="0"/>
          <w:numId w:val="0"/>
        </w:numPr>
        <w:ind w:left="-360"/>
        <w:rPr>
          <w:rFonts w:ascii="Arial" w:hAnsi="Arial" w:cs="Arial"/>
          <w:sz w:val="22"/>
          <w:szCs w:val="22"/>
        </w:rPr>
      </w:pPr>
    </w:p>
    <w:sectPr w:rsidR="00933955" w:rsidRPr="002E1AE0" w:rsidSect="0066256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0FA" w:rsidRDefault="00E500FA" w:rsidP="00D842D4">
      <w:pPr>
        <w:spacing w:after="0" w:line="240" w:lineRule="auto"/>
      </w:pPr>
      <w:r>
        <w:separator/>
      </w:r>
    </w:p>
  </w:endnote>
  <w:endnote w:type="continuationSeparator" w:id="0">
    <w:p w:rsidR="00E500FA" w:rsidRDefault="00E500FA" w:rsidP="00D84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0FA" w:rsidRDefault="00E500FA" w:rsidP="00D842D4">
      <w:pPr>
        <w:spacing w:after="0" w:line="240" w:lineRule="auto"/>
      </w:pPr>
      <w:r>
        <w:separator/>
      </w:r>
    </w:p>
  </w:footnote>
  <w:footnote w:type="continuationSeparator" w:id="0">
    <w:p w:rsidR="00E500FA" w:rsidRDefault="00E500FA" w:rsidP="00D842D4">
      <w:pPr>
        <w:spacing w:after="0" w:line="240" w:lineRule="auto"/>
      </w:pPr>
      <w:r>
        <w:continuationSeparator/>
      </w:r>
    </w:p>
  </w:footnote>
  <w:footnote w:id="1">
    <w:p w:rsidR="00E500FA" w:rsidRPr="00642C16" w:rsidRDefault="00E500FA" w:rsidP="00FD683F">
      <w:pPr>
        <w:pStyle w:val="FootnoteText"/>
        <w:pBdr>
          <w:top w:val="single" w:sz="4" w:space="1" w:color="auto"/>
          <w:left w:val="single" w:sz="4" w:space="4" w:color="auto"/>
          <w:bottom w:val="single" w:sz="4" w:space="1" w:color="auto"/>
          <w:right w:val="single" w:sz="4" w:space="4" w:color="auto"/>
        </w:pBdr>
        <w:rPr>
          <w:lang w:val="es-ES"/>
        </w:rPr>
      </w:pPr>
      <w:r>
        <w:rPr>
          <w:rStyle w:val="FootnoteReference"/>
        </w:rPr>
        <w:footnoteRef/>
      </w:r>
      <w:r w:rsidRPr="00FD683F">
        <w:rPr>
          <w:lang w:val="es-ES"/>
        </w:rPr>
        <w:t xml:space="preserve"> </w:t>
      </w:r>
      <w:r>
        <w:rPr>
          <w:lang w:val="es-ES"/>
        </w:rPr>
        <w:t>En el c</w:t>
      </w:r>
      <w:r w:rsidRPr="00642C16">
        <w:rPr>
          <w:lang w:val="es-ES"/>
        </w:rPr>
        <w:t xml:space="preserve">aso </w:t>
      </w:r>
      <w:r>
        <w:rPr>
          <w:lang w:val="es-ES"/>
        </w:rPr>
        <w:t xml:space="preserve">de que </w:t>
      </w:r>
      <w:r w:rsidRPr="00642C16">
        <w:rPr>
          <w:lang w:val="es-ES"/>
        </w:rPr>
        <w:t xml:space="preserve">la </w:t>
      </w:r>
      <w:r>
        <w:rPr>
          <w:lang w:val="es-ES"/>
        </w:rPr>
        <w:t>factura</w:t>
      </w:r>
      <w:r w:rsidRPr="00642C16">
        <w:rPr>
          <w:lang w:val="es-ES"/>
        </w:rPr>
        <w:t xml:space="preserve"> electrónica fuera implementada </w:t>
      </w:r>
      <w:r>
        <w:rPr>
          <w:lang w:val="es-ES"/>
        </w:rPr>
        <w:t xml:space="preserve">en el 100% de </w:t>
      </w:r>
      <w:r w:rsidRPr="00642C16">
        <w:rPr>
          <w:lang w:val="es-ES"/>
        </w:rPr>
        <w:t>los contribuyentes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03921"/>
    <w:multiLevelType w:val="multilevel"/>
    <w:tmpl w:val="2BA6062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Times New Roman" w:hAnsi="Times New Roman" w:cs="Times New Roman" w:hint="default"/>
        <w:b w:val="0"/>
        <w:sz w:val="24"/>
        <w:szCs w:val="24"/>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F8A1C5F"/>
    <w:multiLevelType w:val="hybridMultilevel"/>
    <w:tmpl w:val="F9783B4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64C5303E"/>
    <w:multiLevelType w:val="multilevel"/>
    <w:tmpl w:val="E026D5C0"/>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34"/>
    <w:rsid w:val="00006CDE"/>
    <w:rsid w:val="00012B87"/>
    <w:rsid w:val="000138D2"/>
    <w:rsid w:val="00022472"/>
    <w:rsid w:val="00037DB1"/>
    <w:rsid w:val="00045260"/>
    <w:rsid w:val="00061233"/>
    <w:rsid w:val="000612EF"/>
    <w:rsid w:val="00065192"/>
    <w:rsid w:val="00070AC8"/>
    <w:rsid w:val="00080724"/>
    <w:rsid w:val="000A0C46"/>
    <w:rsid w:val="000B1A4A"/>
    <w:rsid w:val="000B3FA9"/>
    <w:rsid w:val="000B4752"/>
    <w:rsid w:val="000E0E59"/>
    <w:rsid w:val="000E558D"/>
    <w:rsid w:val="000F0025"/>
    <w:rsid w:val="001016AF"/>
    <w:rsid w:val="00105B16"/>
    <w:rsid w:val="00137301"/>
    <w:rsid w:val="001419F4"/>
    <w:rsid w:val="001425D1"/>
    <w:rsid w:val="001468FE"/>
    <w:rsid w:val="00146EC0"/>
    <w:rsid w:val="00157158"/>
    <w:rsid w:val="001939E0"/>
    <w:rsid w:val="001A4213"/>
    <w:rsid w:val="001A4BC0"/>
    <w:rsid w:val="001B4DB5"/>
    <w:rsid w:val="001B5D90"/>
    <w:rsid w:val="001C6EEC"/>
    <w:rsid w:val="001D406C"/>
    <w:rsid w:val="001E6328"/>
    <w:rsid w:val="001E7183"/>
    <w:rsid w:val="001F49D6"/>
    <w:rsid w:val="00200515"/>
    <w:rsid w:val="00200EB7"/>
    <w:rsid w:val="00203361"/>
    <w:rsid w:val="00212614"/>
    <w:rsid w:val="0022201D"/>
    <w:rsid w:val="00230C1F"/>
    <w:rsid w:val="00232319"/>
    <w:rsid w:val="00246B7F"/>
    <w:rsid w:val="00263CBB"/>
    <w:rsid w:val="00282956"/>
    <w:rsid w:val="002A65EA"/>
    <w:rsid w:val="002B0DD4"/>
    <w:rsid w:val="002C0AB8"/>
    <w:rsid w:val="002C2664"/>
    <w:rsid w:val="002C38A5"/>
    <w:rsid w:val="002D66EF"/>
    <w:rsid w:val="002E1AE0"/>
    <w:rsid w:val="00302B35"/>
    <w:rsid w:val="00303F34"/>
    <w:rsid w:val="003076AF"/>
    <w:rsid w:val="00314D44"/>
    <w:rsid w:val="00314EB8"/>
    <w:rsid w:val="00323803"/>
    <w:rsid w:val="0032471A"/>
    <w:rsid w:val="00332E00"/>
    <w:rsid w:val="00337C51"/>
    <w:rsid w:val="00343590"/>
    <w:rsid w:val="003440AE"/>
    <w:rsid w:val="00364CB3"/>
    <w:rsid w:val="00371917"/>
    <w:rsid w:val="00376F94"/>
    <w:rsid w:val="003855D1"/>
    <w:rsid w:val="00386B83"/>
    <w:rsid w:val="0038771C"/>
    <w:rsid w:val="00393E8A"/>
    <w:rsid w:val="003C252C"/>
    <w:rsid w:val="003D0D2F"/>
    <w:rsid w:val="003D6FED"/>
    <w:rsid w:val="003E5FE6"/>
    <w:rsid w:val="00407A33"/>
    <w:rsid w:val="00407F1C"/>
    <w:rsid w:val="00411B9F"/>
    <w:rsid w:val="00413D6F"/>
    <w:rsid w:val="004142B7"/>
    <w:rsid w:val="00424570"/>
    <w:rsid w:val="0042514B"/>
    <w:rsid w:val="0043308C"/>
    <w:rsid w:val="00443731"/>
    <w:rsid w:val="00444BFC"/>
    <w:rsid w:val="00447269"/>
    <w:rsid w:val="00451CD8"/>
    <w:rsid w:val="00454AFA"/>
    <w:rsid w:val="004572F4"/>
    <w:rsid w:val="00471248"/>
    <w:rsid w:val="00473207"/>
    <w:rsid w:val="00476C4A"/>
    <w:rsid w:val="00477BA0"/>
    <w:rsid w:val="004969DE"/>
    <w:rsid w:val="00497392"/>
    <w:rsid w:val="004B2D6D"/>
    <w:rsid w:val="004B4229"/>
    <w:rsid w:val="004B6345"/>
    <w:rsid w:val="004B74B0"/>
    <w:rsid w:val="004B7F14"/>
    <w:rsid w:val="004C0DC1"/>
    <w:rsid w:val="004C777A"/>
    <w:rsid w:val="004C7BB2"/>
    <w:rsid w:val="004E080C"/>
    <w:rsid w:val="004E0A2D"/>
    <w:rsid w:val="004E0C02"/>
    <w:rsid w:val="004F050E"/>
    <w:rsid w:val="004F1132"/>
    <w:rsid w:val="00500A86"/>
    <w:rsid w:val="005025B7"/>
    <w:rsid w:val="00502A1C"/>
    <w:rsid w:val="00516ED9"/>
    <w:rsid w:val="005205F3"/>
    <w:rsid w:val="00527041"/>
    <w:rsid w:val="0053297B"/>
    <w:rsid w:val="00534C43"/>
    <w:rsid w:val="00555755"/>
    <w:rsid w:val="0056268B"/>
    <w:rsid w:val="00572DF7"/>
    <w:rsid w:val="00584D26"/>
    <w:rsid w:val="00585D89"/>
    <w:rsid w:val="005916A0"/>
    <w:rsid w:val="00591A69"/>
    <w:rsid w:val="00593C57"/>
    <w:rsid w:val="005A7EA2"/>
    <w:rsid w:val="005B1C47"/>
    <w:rsid w:val="005B224F"/>
    <w:rsid w:val="005B3DF7"/>
    <w:rsid w:val="005B5441"/>
    <w:rsid w:val="005B5D0A"/>
    <w:rsid w:val="005C1C04"/>
    <w:rsid w:val="00600631"/>
    <w:rsid w:val="00612D8F"/>
    <w:rsid w:val="00627A58"/>
    <w:rsid w:val="00632FBB"/>
    <w:rsid w:val="0063666F"/>
    <w:rsid w:val="00644A83"/>
    <w:rsid w:val="00645F09"/>
    <w:rsid w:val="00646EBF"/>
    <w:rsid w:val="00655F3F"/>
    <w:rsid w:val="00662565"/>
    <w:rsid w:val="00685A2D"/>
    <w:rsid w:val="006943FE"/>
    <w:rsid w:val="006A0FF1"/>
    <w:rsid w:val="006A2552"/>
    <w:rsid w:val="006A3144"/>
    <w:rsid w:val="006A510D"/>
    <w:rsid w:val="006B309E"/>
    <w:rsid w:val="006B324D"/>
    <w:rsid w:val="006C555C"/>
    <w:rsid w:val="006C7D88"/>
    <w:rsid w:val="006D28AF"/>
    <w:rsid w:val="006D2F59"/>
    <w:rsid w:val="006E1930"/>
    <w:rsid w:val="006E5559"/>
    <w:rsid w:val="006E66E7"/>
    <w:rsid w:val="006E68E1"/>
    <w:rsid w:val="006F4360"/>
    <w:rsid w:val="00700CF6"/>
    <w:rsid w:val="0070718C"/>
    <w:rsid w:val="00707D03"/>
    <w:rsid w:val="00712B87"/>
    <w:rsid w:val="007150A6"/>
    <w:rsid w:val="00716894"/>
    <w:rsid w:val="00735D6D"/>
    <w:rsid w:val="007445AB"/>
    <w:rsid w:val="00754B1C"/>
    <w:rsid w:val="00755977"/>
    <w:rsid w:val="00785F41"/>
    <w:rsid w:val="0079275F"/>
    <w:rsid w:val="007946A2"/>
    <w:rsid w:val="007A32D8"/>
    <w:rsid w:val="007A6DE1"/>
    <w:rsid w:val="007A759D"/>
    <w:rsid w:val="007C44F3"/>
    <w:rsid w:val="007E0A7D"/>
    <w:rsid w:val="007E1F52"/>
    <w:rsid w:val="007F7A2B"/>
    <w:rsid w:val="008019DC"/>
    <w:rsid w:val="008248FF"/>
    <w:rsid w:val="00825CCF"/>
    <w:rsid w:val="00826907"/>
    <w:rsid w:val="008271F1"/>
    <w:rsid w:val="0083147C"/>
    <w:rsid w:val="00837656"/>
    <w:rsid w:val="00861FED"/>
    <w:rsid w:val="00877E55"/>
    <w:rsid w:val="008802F5"/>
    <w:rsid w:val="0088322A"/>
    <w:rsid w:val="00884162"/>
    <w:rsid w:val="00891AC5"/>
    <w:rsid w:val="00891B93"/>
    <w:rsid w:val="00897054"/>
    <w:rsid w:val="008A2B4C"/>
    <w:rsid w:val="008A325D"/>
    <w:rsid w:val="008A7282"/>
    <w:rsid w:val="008A754C"/>
    <w:rsid w:val="008B13FB"/>
    <w:rsid w:val="008B3FBC"/>
    <w:rsid w:val="008C278E"/>
    <w:rsid w:val="008C3AD6"/>
    <w:rsid w:val="008C4624"/>
    <w:rsid w:val="008D168E"/>
    <w:rsid w:val="008D2EE3"/>
    <w:rsid w:val="008E662B"/>
    <w:rsid w:val="008E79A3"/>
    <w:rsid w:val="00900647"/>
    <w:rsid w:val="009011E4"/>
    <w:rsid w:val="009022DD"/>
    <w:rsid w:val="009036A5"/>
    <w:rsid w:val="0091062F"/>
    <w:rsid w:val="009152FD"/>
    <w:rsid w:val="00917C2D"/>
    <w:rsid w:val="00921B05"/>
    <w:rsid w:val="0093030D"/>
    <w:rsid w:val="00932EEF"/>
    <w:rsid w:val="00933955"/>
    <w:rsid w:val="00955CB6"/>
    <w:rsid w:val="009710C0"/>
    <w:rsid w:val="009721BC"/>
    <w:rsid w:val="00976E65"/>
    <w:rsid w:val="00984018"/>
    <w:rsid w:val="00996BE0"/>
    <w:rsid w:val="009B1018"/>
    <w:rsid w:val="009B31BB"/>
    <w:rsid w:val="009D247C"/>
    <w:rsid w:val="009F5A35"/>
    <w:rsid w:val="00A0237A"/>
    <w:rsid w:val="00A12143"/>
    <w:rsid w:val="00A4010C"/>
    <w:rsid w:val="00A42074"/>
    <w:rsid w:val="00A44037"/>
    <w:rsid w:val="00A44CFB"/>
    <w:rsid w:val="00A555EE"/>
    <w:rsid w:val="00A61B2C"/>
    <w:rsid w:val="00A64B6B"/>
    <w:rsid w:val="00A70DB6"/>
    <w:rsid w:val="00A8139D"/>
    <w:rsid w:val="00A83590"/>
    <w:rsid w:val="00A86C69"/>
    <w:rsid w:val="00A87E0B"/>
    <w:rsid w:val="00A91E25"/>
    <w:rsid w:val="00A94852"/>
    <w:rsid w:val="00AC6511"/>
    <w:rsid w:val="00AD4713"/>
    <w:rsid w:val="00AD7DE5"/>
    <w:rsid w:val="00AE19F2"/>
    <w:rsid w:val="00AF08C5"/>
    <w:rsid w:val="00AF166A"/>
    <w:rsid w:val="00B03F20"/>
    <w:rsid w:val="00B13C7C"/>
    <w:rsid w:val="00B148CC"/>
    <w:rsid w:val="00B310B4"/>
    <w:rsid w:val="00B367DD"/>
    <w:rsid w:val="00B45E34"/>
    <w:rsid w:val="00B46763"/>
    <w:rsid w:val="00B650EA"/>
    <w:rsid w:val="00B76F26"/>
    <w:rsid w:val="00B9517D"/>
    <w:rsid w:val="00B96A3C"/>
    <w:rsid w:val="00BA167E"/>
    <w:rsid w:val="00BA3C1F"/>
    <w:rsid w:val="00BA3ECE"/>
    <w:rsid w:val="00BB30F8"/>
    <w:rsid w:val="00BB5C7B"/>
    <w:rsid w:val="00BB7ED9"/>
    <w:rsid w:val="00BC71E0"/>
    <w:rsid w:val="00BE7C83"/>
    <w:rsid w:val="00BF2363"/>
    <w:rsid w:val="00BF4550"/>
    <w:rsid w:val="00BF4ED8"/>
    <w:rsid w:val="00C03711"/>
    <w:rsid w:val="00C0433F"/>
    <w:rsid w:val="00C23CE8"/>
    <w:rsid w:val="00C3163C"/>
    <w:rsid w:val="00C40030"/>
    <w:rsid w:val="00C425C8"/>
    <w:rsid w:val="00C43E03"/>
    <w:rsid w:val="00C47C78"/>
    <w:rsid w:val="00C575D0"/>
    <w:rsid w:val="00C60BB5"/>
    <w:rsid w:val="00C64AA1"/>
    <w:rsid w:val="00C708AE"/>
    <w:rsid w:val="00C74A78"/>
    <w:rsid w:val="00C7759A"/>
    <w:rsid w:val="00C823DE"/>
    <w:rsid w:val="00C85BEE"/>
    <w:rsid w:val="00C93A55"/>
    <w:rsid w:val="00CB2E7F"/>
    <w:rsid w:val="00CB4539"/>
    <w:rsid w:val="00CB7354"/>
    <w:rsid w:val="00CC6A1E"/>
    <w:rsid w:val="00CC7E75"/>
    <w:rsid w:val="00CD4234"/>
    <w:rsid w:val="00CE5214"/>
    <w:rsid w:val="00CF1432"/>
    <w:rsid w:val="00CF24FB"/>
    <w:rsid w:val="00CF6F09"/>
    <w:rsid w:val="00D01A20"/>
    <w:rsid w:val="00D041AE"/>
    <w:rsid w:val="00D06AFD"/>
    <w:rsid w:val="00D20333"/>
    <w:rsid w:val="00D23439"/>
    <w:rsid w:val="00D23595"/>
    <w:rsid w:val="00D23A8D"/>
    <w:rsid w:val="00D24F82"/>
    <w:rsid w:val="00D26286"/>
    <w:rsid w:val="00D301A8"/>
    <w:rsid w:val="00D422D4"/>
    <w:rsid w:val="00D70397"/>
    <w:rsid w:val="00D714AC"/>
    <w:rsid w:val="00D842D4"/>
    <w:rsid w:val="00D90144"/>
    <w:rsid w:val="00D95258"/>
    <w:rsid w:val="00D9535F"/>
    <w:rsid w:val="00D9684F"/>
    <w:rsid w:val="00D972DF"/>
    <w:rsid w:val="00DA21D1"/>
    <w:rsid w:val="00DA28D0"/>
    <w:rsid w:val="00DA4B7F"/>
    <w:rsid w:val="00DB28E5"/>
    <w:rsid w:val="00DB53BF"/>
    <w:rsid w:val="00DC3A6F"/>
    <w:rsid w:val="00DC40D6"/>
    <w:rsid w:val="00DC4BD6"/>
    <w:rsid w:val="00DD07CA"/>
    <w:rsid w:val="00DD3E31"/>
    <w:rsid w:val="00DE322D"/>
    <w:rsid w:val="00E07B64"/>
    <w:rsid w:val="00E15F9C"/>
    <w:rsid w:val="00E32B46"/>
    <w:rsid w:val="00E41C22"/>
    <w:rsid w:val="00E4461F"/>
    <w:rsid w:val="00E500FA"/>
    <w:rsid w:val="00E50D53"/>
    <w:rsid w:val="00E5461B"/>
    <w:rsid w:val="00E6331B"/>
    <w:rsid w:val="00E639F4"/>
    <w:rsid w:val="00E71524"/>
    <w:rsid w:val="00E73D9D"/>
    <w:rsid w:val="00E76C97"/>
    <w:rsid w:val="00E829B6"/>
    <w:rsid w:val="00EA342B"/>
    <w:rsid w:val="00EA40F8"/>
    <w:rsid w:val="00EA7244"/>
    <w:rsid w:val="00EB7776"/>
    <w:rsid w:val="00EC3A6A"/>
    <w:rsid w:val="00EC45B4"/>
    <w:rsid w:val="00ED3979"/>
    <w:rsid w:val="00ED6129"/>
    <w:rsid w:val="00EE1FDE"/>
    <w:rsid w:val="00EE36AC"/>
    <w:rsid w:val="00F16282"/>
    <w:rsid w:val="00F27904"/>
    <w:rsid w:val="00F30F3D"/>
    <w:rsid w:val="00F30F4E"/>
    <w:rsid w:val="00F311D7"/>
    <w:rsid w:val="00F36781"/>
    <w:rsid w:val="00F41ACE"/>
    <w:rsid w:val="00F43899"/>
    <w:rsid w:val="00F47D74"/>
    <w:rsid w:val="00F51099"/>
    <w:rsid w:val="00F71874"/>
    <w:rsid w:val="00F7325D"/>
    <w:rsid w:val="00F80E98"/>
    <w:rsid w:val="00F82147"/>
    <w:rsid w:val="00F901E0"/>
    <w:rsid w:val="00F9142B"/>
    <w:rsid w:val="00FA3270"/>
    <w:rsid w:val="00FA3E53"/>
    <w:rsid w:val="00FA6E1C"/>
    <w:rsid w:val="00FB1123"/>
    <w:rsid w:val="00FC00B6"/>
    <w:rsid w:val="00FC15CE"/>
    <w:rsid w:val="00FC3891"/>
    <w:rsid w:val="00FD4110"/>
    <w:rsid w:val="00FD683F"/>
    <w:rsid w:val="00FE0052"/>
    <w:rsid w:val="00FE1AC7"/>
    <w:rsid w:val="00FE7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5258"/>
    <w:pPr>
      <w:ind w:left="720"/>
      <w:contextualSpacing/>
    </w:pPr>
  </w:style>
  <w:style w:type="table" w:styleId="TableGrid">
    <w:name w:val="Table Grid"/>
    <w:basedOn w:val="TableNormal"/>
    <w:uiPriority w:val="39"/>
    <w:rsid w:val="00971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3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2D8"/>
    <w:rPr>
      <w:rFonts w:ascii="Tahoma" w:hAnsi="Tahoma" w:cs="Tahoma"/>
      <w:sz w:val="16"/>
      <w:szCs w:val="16"/>
      <w:lang w:val="es-ES_tradnl"/>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single space"/>
    <w:basedOn w:val="Normal"/>
    <w:link w:val="FootnoteTextChar"/>
    <w:uiPriority w:val="99"/>
    <w:unhideWhenUsed/>
    <w:qFormat/>
    <w:rsid w:val="00D842D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D842D4"/>
    <w:rPr>
      <w:rFonts w:ascii="Times New Roman" w:hAnsi="Times New Roman" w:cs="Times New Roman"/>
      <w:spacing w:val="-3"/>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unhideWhenUsed/>
    <w:qFormat/>
    <w:rsid w:val="00D842D4"/>
    <w:rPr>
      <w:vertAlign w:val="superscript"/>
    </w:rPr>
  </w:style>
  <w:style w:type="paragraph" w:customStyle="1" w:styleId="Chapter">
    <w:name w:val="Chapter"/>
    <w:basedOn w:val="Normal"/>
    <w:next w:val="Normal"/>
    <w:link w:val="ChapterChar"/>
    <w:rsid w:val="00D842D4"/>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D842D4"/>
    <w:pPr>
      <w:numPr>
        <w:ilvl w:val="1"/>
        <w:numId w:val="1"/>
      </w:numPr>
      <w:spacing w:before="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rsid w:val="00D842D4"/>
    <w:rPr>
      <w:rFonts w:ascii="Times New Roman" w:hAnsi="Times New Roman" w:cs="Times New Roman"/>
      <w:sz w:val="24"/>
      <w:szCs w:val="24"/>
      <w:lang w:val="es-ES"/>
    </w:rPr>
  </w:style>
  <w:style w:type="paragraph" w:customStyle="1" w:styleId="subpar">
    <w:name w:val="subpar"/>
    <w:basedOn w:val="BodyTextIndent3"/>
    <w:rsid w:val="00D842D4"/>
    <w:pPr>
      <w:numPr>
        <w:ilvl w:val="2"/>
        <w:numId w:val="1"/>
      </w:numPr>
      <w:spacing w:before="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uiPriority w:val="99"/>
    <w:rsid w:val="00D842D4"/>
    <w:pPr>
      <w:numPr>
        <w:ilvl w:val="3"/>
      </w:numPr>
      <w:tabs>
        <w:tab w:val="clear" w:pos="1584"/>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D842D4"/>
    <w:pPr>
      <w:spacing w:after="120"/>
      <w:ind w:left="360"/>
    </w:pPr>
  </w:style>
  <w:style w:type="character" w:customStyle="1" w:styleId="BodyTextIndentChar">
    <w:name w:val="Body Text Indent Char"/>
    <w:basedOn w:val="DefaultParagraphFont"/>
    <w:link w:val="BodyTextIndent"/>
    <w:uiPriority w:val="99"/>
    <w:semiHidden/>
    <w:rsid w:val="00D842D4"/>
    <w:rPr>
      <w:lang w:val="es-ES_tradnl"/>
    </w:rPr>
  </w:style>
  <w:style w:type="paragraph" w:styleId="BodyTextIndent3">
    <w:name w:val="Body Text Indent 3"/>
    <w:basedOn w:val="Normal"/>
    <w:link w:val="BodyTextIndent3Char"/>
    <w:uiPriority w:val="99"/>
    <w:semiHidden/>
    <w:unhideWhenUsed/>
    <w:rsid w:val="00D842D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842D4"/>
    <w:rPr>
      <w:sz w:val="16"/>
      <w:szCs w:val="16"/>
      <w:lang w:val="es-ES_tradnl"/>
    </w:rPr>
  </w:style>
  <w:style w:type="character" w:customStyle="1" w:styleId="ChapterChar">
    <w:name w:val="Chapter Char"/>
    <w:basedOn w:val="DefaultParagraphFont"/>
    <w:link w:val="Chapter"/>
    <w:rsid w:val="00D842D4"/>
    <w:rPr>
      <w:rFonts w:ascii="Times New Roman" w:hAnsi="Times New Roman" w:cs="Times New Roman"/>
      <w:b/>
      <w:smallCaps/>
      <w:sz w:val="24"/>
      <w:szCs w:val="24"/>
      <w:lang w:val="es-ES"/>
    </w:rPr>
  </w:style>
  <w:style w:type="character" w:customStyle="1" w:styleId="NoSpacingChar">
    <w:name w:val="No Spacing Char"/>
    <w:link w:val="NoSpacing"/>
    <w:uiPriority w:val="1"/>
    <w:locked/>
    <w:rsid w:val="004C7BB2"/>
    <w:rPr>
      <w:rFonts w:ascii="Times New Roman" w:eastAsia="Times New Roman" w:hAnsi="Times New Roman" w:cs="Times New Roman"/>
      <w:lang w:val="pt-BR"/>
    </w:rPr>
  </w:style>
  <w:style w:type="paragraph" w:styleId="NoSpacing">
    <w:name w:val="No Spacing"/>
    <w:link w:val="NoSpacingChar"/>
    <w:uiPriority w:val="1"/>
    <w:qFormat/>
    <w:rsid w:val="004C7BB2"/>
    <w:pPr>
      <w:spacing w:after="0" w:line="240" w:lineRule="auto"/>
    </w:pPr>
    <w:rPr>
      <w:rFonts w:ascii="Times New Roman" w:eastAsia="Times New Roman" w:hAnsi="Times New Roman" w:cs="Times New Roman"/>
      <w:lang w:val="pt-BR"/>
    </w:rPr>
  </w:style>
  <w:style w:type="character" w:customStyle="1" w:styleId="ListParagraphChar">
    <w:name w:val="List Paragraph Char"/>
    <w:basedOn w:val="DefaultParagraphFont"/>
    <w:link w:val="ListParagraph"/>
    <w:uiPriority w:val="34"/>
    <w:locked/>
    <w:rsid w:val="004C7BB2"/>
    <w:rPr>
      <w:lang w:val="es-ES_tradnl"/>
    </w:rPr>
  </w:style>
  <w:style w:type="character" w:styleId="CommentReference">
    <w:name w:val="annotation reference"/>
    <w:basedOn w:val="DefaultParagraphFont"/>
    <w:unhideWhenUsed/>
    <w:rsid w:val="009F5A35"/>
    <w:rPr>
      <w:sz w:val="16"/>
      <w:szCs w:val="16"/>
    </w:rPr>
  </w:style>
  <w:style w:type="paragraph" w:styleId="CommentText">
    <w:name w:val="annotation text"/>
    <w:basedOn w:val="Normal"/>
    <w:link w:val="CommentTextChar"/>
    <w:unhideWhenUsed/>
    <w:rsid w:val="009F5A35"/>
    <w:pPr>
      <w:spacing w:line="240" w:lineRule="auto"/>
    </w:pPr>
    <w:rPr>
      <w:sz w:val="20"/>
      <w:szCs w:val="20"/>
    </w:rPr>
  </w:style>
  <w:style w:type="character" w:customStyle="1" w:styleId="CommentTextChar">
    <w:name w:val="Comment Text Char"/>
    <w:basedOn w:val="DefaultParagraphFont"/>
    <w:link w:val="CommentText"/>
    <w:rsid w:val="009F5A35"/>
    <w:rPr>
      <w:sz w:val="20"/>
      <w:szCs w:val="20"/>
      <w:lang w:val="es-ES_tradnl"/>
    </w:rPr>
  </w:style>
  <w:style w:type="paragraph" w:styleId="CommentSubject">
    <w:name w:val="annotation subject"/>
    <w:basedOn w:val="CommentText"/>
    <w:next w:val="CommentText"/>
    <w:link w:val="CommentSubjectChar"/>
    <w:uiPriority w:val="99"/>
    <w:semiHidden/>
    <w:unhideWhenUsed/>
    <w:rsid w:val="009F5A35"/>
    <w:rPr>
      <w:b/>
      <w:bCs/>
    </w:rPr>
  </w:style>
  <w:style w:type="character" w:customStyle="1" w:styleId="CommentSubjectChar">
    <w:name w:val="Comment Subject Char"/>
    <w:basedOn w:val="CommentTextChar"/>
    <w:link w:val="CommentSubject"/>
    <w:uiPriority w:val="99"/>
    <w:semiHidden/>
    <w:rsid w:val="009F5A35"/>
    <w:rPr>
      <w:b/>
      <w:bCs/>
      <w:sz w:val="20"/>
      <w:szCs w:val="20"/>
      <w:lang w:val="es-ES_tradnl"/>
    </w:rPr>
  </w:style>
  <w:style w:type="character" w:styleId="Hyperlink">
    <w:name w:val="Hyperlink"/>
    <w:basedOn w:val="DefaultParagraphFont"/>
    <w:uiPriority w:val="99"/>
    <w:unhideWhenUsed/>
    <w:rsid w:val="009F5A35"/>
    <w:rPr>
      <w:color w:val="0563C1" w:themeColor="hyperlink"/>
      <w:u w:val="single"/>
    </w:rPr>
  </w:style>
  <w:style w:type="paragraph" w:styleId="Footer">
    <w:name w:val="footer"/>
    <w:basedOn w:val="Normal"/>
    <w:link w:val="FooterChar"/>
    <w:rsid w:val="00FB112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FB1123"/>
    <w:rPr>
      <w:rFonts w:ascii="Times New Roman" w:eastAsia="Times New Roman" w:hAnsi="Times New Roman" w:cs="Times New Roman"/>
      <w:sz w:val="24"/>
      <w:szCs w:val="20"/>
      <w:lang w:val="es-ES_tradnl"/>
    </w:rPr>
  </w:style>
  <w:style w:type="paragraph" w:styleId="Revision">
    <w:name w:val="Revision"/>
    <w:hidden/>
    <w:uiPriority w:val="99"/>
    <w:semiHidden/>
    <w:rsid w:val="00877E55"/>
    <w:pPr>
      <w:spacing w:after="0" w:line="240" w:lineRule="auto"/>
    </w:pPr>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5258"/>
    <w:pPr>
      <w:ind w:left="720"/>
      <w:contextualSpacing/>
    </w:pPr>
  </w:style>
  <w:style w:type="table" w:styleId="TableGrid">
    <w:name w:val="Table Grid"/>
    <w:basedOn w:val="TableNormal"/>
    <w:uiPriority w:val="39"/>
    <w:rsid w:val="00971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3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2D8"/>
    <w:rPr>
      <w:rFonts w:ascii="Tahoma" w:hAnsi="Tahoma" w:cs="Tahoma"/>
      <w:sz w:val="16"/>
      <w:szCs w:val="16"/>
      <w:lang w:val="es-ES_tradnl"/>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single space"/>
    <w:basedOn w:val="Normal"/>
    <w:link w:val="FootnoteTextChar"/>
    <w:uiPriority w:val="99"/>
    <w:unhideWhenUsed/>
    <w:qFormat/>
    <w:rsid w:val="00D842D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D842D4"/>
    <w:rPr>
      <w:rFonts w:ascii="Times New Roman" w:hAnsi="Times New Roman" w:cs="Times New Roman"/>
      <w:spacing w:val="-3"/>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unhideWhenUsed/>
    <w:qFormat/>
    <w:rsid w:val="00D842D4"/>
    <w:rPr>
      <w:vertAlign w:val="superscript"/>
    </w:rPr>
  </w:style>
  <w:style w:type="paragraph" w:customStyle="1" w:styleId="Chapter">
    <w:name w:val="Chapter"/>
    <w:basedOn w:val="Normal"/>
    <w:next w:val="Normal"/>
    <w:link w:val="ChapterChar"/>
    <w:rsid w:val="00D842D4"/>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D842D4"/>
    <w:pPr>
      <w:numPr>
        <w:ilvl w:val="1"/>
        <w:numId w:val="1"/>
      </w:numPr>
      <w:spacing w:before="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rsid w:val="00D842D4"/>
    <w:rPr>
      <w:rFonts w:ascii="Times New Roman" w:hAnsi="Times New Roman" w:cs="Times New Roman"/>
      <w:sz w:val="24"/>
      <w:szCs w:val="24"/>
      <w:lang w:val="es-ES"/>
    </w:rPr>
  </w:style>
  <w:style w:type="paragraph" w:customStyle="1" w:styleId="subpar">
    <w:name w:val="subpar"/>
    <w:basedOn w:val="BodyTextIndent3"/>
    <w:rsid w:val="00D842D4"/>
    <w:pPr>
      <w:numPr>
        <w:ilvl w:val="2"/>
        <w:numId w:val="1"/>
      </w:numPr>
      <w:spacing w:before="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uiPriority w:val="99"/>
    <w:rsid w:val="00D842D4"/>
    <w:pPr>
      <w:numPr>
        <w:ilvl w:val="3"/>
      </w:numPr>
      <w:tabs>
        <w:tab w:val="clear" w:pos="1584"/>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D842D4"/>
    <w:pPr>
      <w:spacing w:after="120"/>
      <w:ind w:left="360"/>
    </w:pPr>
  </w:style>
  <w:style w:type="character" w:customStyle="1" w:styleId="BodyTextIndentChar">
    <w:name w:val="Body Text Indent Char"/>
    <w:basedOn w:val="DefaultParagraphFont"/>
    <w:link w:val="BodyTextIndent"/>
    <w:uiPriority w:val="99"/>
    <w:semiHidden/>
    <w:rsid w:val="00D842D4"/>
    <w:rPr>
      <w:lang w:val="es-ES_tradnl"/>
    </w:rPr>
  </w:style>
  <w:style w:type="paragraph" w:styleId="BodyTextIndent3">
    <w:name w:val="Body Text Indent 3"/>
    <w:basedOn w:val="Normal"/>
    <w:link w:val="BodyTextIndent3Char"/>
    <w:uiPriority w:val="99"/>
    <w:semiHidden/>
    <w:unhideWhenUsed/>
    <w:rsid w:val="00D842D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842D4"/>
    <w:rPr>
      <w:sz w:val="16"/>
      <w:szCs w:val="16"/>
      <w:lang w:val="es-ES_tradnl"/>
    </w:rPr>
  </w:style>
  <w:style w:type="character" w:customStyle="1" w:styleId="ChapterChar">
    <w:name w:val="Chapter Char"/>
    <w:basedOn w:val="DefaultParagraphFont"/>
    <w:link w:val="Chapter"/>
    <w:rsid w:val="00D842D4"/>
    <w:rPr>
      <w:rFonts w:ascii="Times New Roman" w:hAnsi="Times New Roman" w:cs="Times New Roman"/>
      <w:b/>
      <w:smallCaps/>
      <w:sz w:val="24"/>
      <w:szCs w:val="24"/>
      <w:lang w:val="es-ES"/>
    </w:rPr>
  </w:style>
  <w:style w:type="character" w:customStyle="1" w:styleId="NoSpacingChar">
    <w:name w:val="No Spacing Char"/>
    <w:link w:val="NoSpacing"/>
    <w:uiPriority w:val="1"/>
    <w:locked/>
    <w:rsid w:val="004C7BB2"/>
    <w:rPr>
      <w:rFonts w:ascii="Times New Roman" w:eastAsia="Times New Roman" w:hAnsi="Times New Roman" w:cs="Times New Roman"/>
      <w:lang w:val="pt-BR"/>
    </w:rPr>
  </w:style>
  <w:style w:type="paragraph" w:styleId="NoSpacing">
    <w:name w:val="No Spacing"/>
    <w:link w:val="NoSpacingChar"/>
    <w:uiPriority w:val="1"/>
    <w:qFormat/>
    <w:rsid w:val="004C7BB2"/>
    <w:pPr>
      <w:spacing w:after="0" w:line="240" w:lineRule="auto"/>
    </w:pPr>
    <w:rPr>
      <w:rFonts w:ascii="Times New Roman" w:eastAsia="Times New Roman" w:hAnsi="Times New Roman" w:cs="Times New Roman"/>
      <w:lang w:val="pt-BR"/>
    </w:rPr>
  </w:style>
  <w:style w:type="character" w:customStyle="1" w:styleId="ListParagraphChar">
    <w:name w:val="List Paragraph Char"/>
    <w:basedOn w:val="DefaultParagraphFont"/>
    <w:link w:val="ListParagraph"/>
    <w:uiPriority w:val="34"/>
    <w:locked/>
    <w:rsid w:val="004C7BB2"/>
    <w:rPr>
      <w:lang w:val="es-ES_tradnl"/>
    </w:rPr>
  </w:style>
  <w:style w:type="character" w:styleId="CommentReference">
    <w:name w:val="annotation reference"/>
    <w:basedOn w:val="DefaultParagraphFont"/>
    <w:unhideWhenUsed/>
    <w:rsid w:val="009F5A35"/>
    <w:rPr>
      <w:sz w:val="16"/>
      <w:szCs w:val="16"/>
    </w:rPr>
  </w:style>
  <w:style w:type="paragraph" w:styleId="CommentText">
    <w:name w:val="annotation text"/>
    <w:basedOn w:val="Normal"/>
    <w:link w:val="CommentTextChar"/>
    <w:unhideWhenUsed/>
    <w:rsid w:val="009F5A35"/>
    <w:pPr>
      <w:spacing w:line="240" w:lineRule="auto"/>
    </w:pPr>
    <w:rPr>
      <w:sz w:val="20"/>
      <w:szCs w:val="20"/>
    </w:rPr>
  </w:style>
  <w:style w:type="character" w:customStyle="1" w:styleId="CommentTextChar">
    <w:name w:val="Comment Text Char"/>
    <w:basedOn w:val="DefaultParagraphFont"/>
    <w:link w:val="CommentText"/>
    <w:rsid w:val="009F5A35"/>
    <w:rPr>
      <w:sz w:val="20"/>
      <w:szCs w:val="20"/>
      <w:lang w:val="es-ES_tradnl"/>
    </w:rPr>
  </w:style>
  <w:style w:type="paragraph" w:styleId="CommentSubject">
    <w:name w:val="annotation subject"/>
    <w:basedOn w:val="CommentText"/>
    <w:next w:val="CommentText"/>
    <w:link w:val="CommentSubjectChar"/>
    <w:uiPriority w:val="99"/>
    <w:semiHidden/>
    <w:unhideWhenUsed/>
    <w:rsid w:val="009F5A35"/>
    <w:rPr>
      <w:b/>
      <w:bCs/>
    </w:rPr>
  </w:style>
  <w:style w:type="character" w:customStyle="1" w:styleId="CommentSubjectChar">
    <w:name w:val="Comment Subject Char"/>
    <w:basedOn w:val="CommentTextChar"/>
    <w:link w:val="CommentSubject"/>
    <w:uiPriority w:val="99"/>
    <w:semiHidden/>
    <w:rsid w:val="009F5A35"/>
    <w:rPr>
      <w:b/>
      <w:bCs/>
      <w:sz w:val="20"/>
      <w:szCs w:val="20"/>
      <w:lang w:val="es-ES_tradnl"/>
    </w:rPr>
  </w:style>
  <w:style w:type="character" w:styleId="Hyperlink">
    <w:name w:val="Hyperlink"/>
    <w:basedOn w:val="DefaultParagraphFont"/>
    <w:uiPriority w:val="99"/>
    <w:unhideWhenUsed/>
    <w:rsid w:val="009F5A35"/>
    <w:rPr>
      <w:color w:val="0563C1" w:themeColor="hyperlink"/>
      <w:u w:val="single"/>
    </w:rPr>
  </w:style>
  <w:style w:type="paragraph" w:styleId="Footer">
    <w:name w:val="footer"/>
    <w:basedOn w:val="Normal"/>
    <w:link w:val="FooterChar"/>
    <w:rsid w:val="00FB112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FB1123"/>
    <w:rPr>
      <w:rFonts w:ascii="Times New Roman" w:eastAsia="Times New Roman" w:hAnsi="Times New Roman" w:cs="Times New Roman"/>
      <w:sz w:val="24"/>
      <w:szCs w:val="20"/>
      <w:lang w:val="es-ES_tradnl"/>
    </w:rPr>
  </w:style>
  <w:style w:type="paragraph" w:styleId="Revision">
    <w:name w:val="Revision"/>
    <w:hidden/>
    <w:uiPriority w:val="99"/>
    <w:semiHidden/>
    <w:rsid w:val="00877E55"/>
    <w:pPr>
      <w:spacing w:after="0" w:line="240" w:lineRule="auto"/>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9507">
      <w:bodyDiv w:val="1"/>
      <w:marLeft w:val="0"/>
      <w:marRight w:val="0"/>
      <w:marTop w:val="0"/>
      <w:marBottom w:val="0"/>
      <w:divBdr>
        <w:top w:val="none" w:sz="0" w:space="0" w:color="auto"/>
        <w:left w:val="none" w:sz="0" w:space="0" w:color="auto"/>
        <w:bottom w:val="none" w:sz="0" w:space="0" w:color="auto"/>
        <w:right w:val="none" w:sz="0" w:space="0" w:color="auto"/>
      </w:divBdr>
    </w:div>
    <w:div w:id="1004163460">
      <w:bodyDiv w:val="1"/>
      <w:marLeft w:val="0"/>
      <w:marRight w:val="0"/>
      <w:marTop w:val="0"/>
      <w:marBottom w:val="0"/>
      <w:divBdr>
        <w:top w:val="none" w:sz="0" w:space="0" w:color="auto"/>
        <w:left w:val="none" w:sz="0" w:space="0" w:color="auto"/>
        <w:bottom w:val="none" w:sz="0" w:space="0" w:color="auto"/>
        <w:right w:val="none" w:sz="0" w:space="0" w:color="auto"/>
      </w:divBdr>
    </w:div>
    <w:div w:id="1380011368">
      <w:bodyDiv w:val="1"/>
      <w:marLeft w:val="0"/>
      <w:marRight w:val="0"/>
      <w:marTop w:val="0"/>
      <w:marBottom w:val="0"/>
      <w:divBdr>
        <w:top w:val="none" w:sz="0" w:space="0" w:color="auto"/>
        <w:left w:val="none" w:sz="0" w:space="0" w:color="auto"/>
        <w:bottom w:val="none" w:sz="0" w:space="0" w:color="auto"/>
        <w:right w:val="none" w:sz="0" w:space="0" w:color="auto"/>
      </w:divBdr>
    </w:div>
    <w:div w:id="213509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emf"/><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image" Target="media/image2.png"/><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9F8AA1F14E844A99DFD5BFBA045701" ma:contentTypeVersion="27" ma:contentTypeDescription="A content type to manage public (operations) IDB documents" ma:contentTypeScope="" ma:versionID="a70c096f7ae51d456050f0c18d26741e">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39838502</IDBDocs_x0020_Number>
    <Document_x0020_Author xmlns="cdc7663a-08f0-4737-9e8c-148ce897a09c">Armendariz, Edna</Document_x0020_Author>
    <Operation_x0020_Type xmlns="cdc7663a-08f0-4737-9e8c-148ce897a09c" xsi:nil="true"/>
    <TaxCatchAll xmlns="cdc7663a-08f0-4737-9e8c-148ce897a09c">
      <Value>26</Value>
      <Value>10</Value>
      <Value>1</Value>
    </TaxCatchAll>
    <Fiscal_x0020_Year_x0020_IDB xmlns="cdc7663a-08f0-4737-9e8c-148ce897a09c">2015</Fiscal_x0020_Year_x0020_IDB>
    <Project_x0020_Number xmlns="cdc7663a-08f0-4737-9e8c-148ce897a09c">HO-L1103</Project_x0020_Number>
    <Package_x0020_Code xmlns="cdc7663a-08f0-4737-9e8c-148ce897a09c" xsi:nil="true"/>
    <Migration_x0020_Info xmlns="cdc7663a-08f0-4737-9e8c-148ce897a09c">&lt;div class="ExternalClass0D29D482FA4B4DE0B6D2F4857BAE712D"&gt;MS WORDLPLoan Proposal0N&lt;/div&gt;</Migration_x0020_Info>
    <Approval_x0020_Number xmlns="cdc7663a-08f0-4737-9e8c-148ce897a09c">3590/BL-HO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EZSHARE-2089386612-52</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false</Disclosed>
    <KP_x0020_Topics xmlns="cdc7663a-08f0-4737-9e8c-148ce897a09c" xsi:nil="true"/>
    <Editor1 xmlns="cdc7663a-08f0-4737-9e8c-148ce897a09c" xsi:nil="true"/>
    <_dlc_DocIdUrl xmlns="cdc7663a-08f0-4737-9e8c-148ce897a09c">
      <Url>https://idbg.sharepoint.com/teams/EZ-HO-LON/HO-L1103/_layouts/15/DocIdRedir.aspx?ID=EZSHARE-2089386612-52</Url>
      <Description>EZSHARE-2089386612-52</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3E4F8FD-8165-49CA-BC93-AAFFBACBCDF7}"/>
</file>

<file path=customXml/itemProps2.xml><?xml version="1.0" encoding="utf-8"?>
<ds:datastoreItem xmlns:ds="http://schemas.openxmlformats.org/officeDocument/2006/customXml" ds:itemID="{54D0D85D-40F7-4024-A9B6-17B353AE84CA}"/>
</file>

<file path=customXml/itemProps3.xml><?xml version="1.0" encoding="utf-8"?>
<ds:datastoreItem xmlns:ds="http://schemas.openxmlformats.org/officeDocument/2006/customXml" ds:itemID="{DD04053A-ED30-4E6E-B9F7-3C2A62781F20}"/>
</file>

<file path=customXml/itemProps4.xml><?xml version="1.0" encoding="utf-8"?>
<ds:datastoreItem xmlns:ds="http://schemas.openxmlformats.org/officeDocument/2006/customXml" ds:itemID="{B312CE8E-3303-4AB3-8271-D17B4B214DCF}"/>
</file>

<file path=customXml/itemProps5.xml><?xml version="1.0" encoding="utf-8"?>
<ds:datastoreItem xmlns:ds="http://schemas.openxmlformats.org/officeDocument/2006/customXml" ds:itemID="{47ECA2D9-7395-41F0-8A62-69D70D928498}"/>
</file>

<file path=customXml/itemProps6.xml><?xml version="1.0" encoding="utf-8"?>
<ds:datastoreItem xmlns:ds="http://schemas.openxmlformats.org/officeDocument/2006/customXml" ds:itemID="{D2B5408F-1E95-4DBB-BA23-8A2E238386C6}"/>
</file>

<file path=customXml/itemProps7.xml><?xml version="1.0" encoding="utf-8"?>
<ds:datastoreItem xmlns:ds="http://schemas.openxmlformats.org/officeDocument/2006/customXml" ds:itemID="{BF08F81F-416F-4F25-9ED5-99368DC87FB3}"/>
</file>

<file path=docProps/app.xml><?xml version="1.0" encoding="utf-8"?>
<Properties xmlns="http://schemas.openxmlformats.org/officeDocument/2006/extended-properties" xmlns:vt="http://schemas.openxmlformats.org/officeDocument/2006/docPropsVTypes">
  <Template>Normal.dotm</Template>
  <TotalTime>252</TotalTime>
  <Pages>25</Pages>
  <Words>6547</Words>
  <Characters>37318</Characters>
  <Application>Microsoft Office Word</Application>
  <DocSecurity>0</DocSecurity>
  <Lines>310</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Analisis Económico </dc:title>
  <dc:creator>Marcio Cracel</dc:creator>
  <cp:lastModifiedBy>IADB</cp:lastModifiedBy>
  <cp:revision>44</cp:revision>
  <dcterms:created xsi:type="dcterms:W3CDTF">2015-09-08T15:48:00Z</dcterms:created>
  <dcterms:modified xsi:type="dcterms:W3CDTF">2015-09-08T21:12:00Z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0x0101001A458A224826124E8B45B1D613300CFC00479F8AA1F14E844A99DFD5BFBA045701</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26;#Honduras|0dd9f989-602d-4742-8212-5c1b8b0b74d5</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Fiscal Issues and Public Finance</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3cdcd95f-f138-4502-ba04-8cc24dfa1321</vt:lpwstr>
  </property>
</Properties>
</file>