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C5104E">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C5104E" w:rsidRPr="00AF3F5E" w:rsidRDefault="002F4B49">
            <w:pPr>
              <w:spacing w:after="240"/>
              <w:rPr>
                <w:rFonts w:ascii="Arial" w:eastAsia="Times New Roman" w:hAnsi="Arial" w:cs="Arial"/>
              </w:rPr>
            </w:pPr>
            <w:r w:rsidRPr="00AF3F5E">
              <w:rPr>
                <w:rFonts w:ascii="Arial" w:eastAsia="Times New Roman" w:hAnsi="Arial" w:cs="Arial"/>
                <w:b/>
                <w:bCs/>
              </w:rPr>
              <w:t>SAFEGUARD POLICY FILTER REPORT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C5104E" w:rsidRPr="00AF3F5E">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C5104E" w:rsidRPr="00AF3F5E" w:rsidRDefault="00AF3F5E">
                  <w:pPr>
                    <w:rPr>
                      <w:rFonts w:ascii="Arial" w:eastAsia="Times New Roman" w:hAnsi="Arial" w:cs="Arial"/>
                      <w:b/>
                      <w:bCs/>
                      <w:sz w:val="27"/>
                      <w:szCs w:val="27"/>
                    </w:rPr>
                  </w:pPr>
                  <w:r w:rsidRPr="00AF3F5E">
                    <w:rPr>
                      <w:rFonts w:ascii="Arial" w:eastAsia="Times New Roman" w:hAnsi="Arial" w:cs="Arial"/>
                      <w:b/>
                      <w:bCs/>
                      <w:sz w:val="27"/>
                      <w:szCs w:val="27"/>
                    </w:rPr>
                    <w:t>Project Details</w:t>
                  </w:r>
                </w:p>
              </w:tc>
            </w:tr>
            <w:tr w:rsidR="00C5104E" w:rsidRPr="00AF3F5E">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REFORM / MODERNIZATION OF THE STATE-FISCAL POLICY FOR SUSTAINABILITY AND GROWTH</w:t>
                  </w:r>
                </w:p>
              </w:tc>
            </w:tr>
            <w:tr w:rsidR="00C5104E" w:rsidRPr="00AF3F5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Policy Based Loan (PBL)</w:t>
                  </w:r>
                </w:p>
              </w:tc>
            </w:tr>
            <w:tr w:rsidR="00C5104E" w:rsidRPr="00AF3F5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C5104E">
                  <w:pPr>
                    <w:rPr>
                      <w:rFonts w:ascii="Arial" w:eastAsia="Times New Roman" w:hAnsi="Arial" w:cs="Arial"/>
                      <w:sz w:val="20"/>
                      <w:szCs w:val="20"/>
                    </w:rPr>
                  </w:pPr>
                </w:p>
              </w:tc>
            </w:tr>
            <w:tr w:rsidR="00C5104E" w:rsidRPr="00AF3F5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Generic Checklist</w:t>
                  </w:r>
                </w:p>
              </w:tc>
            </w:tr>
            <w:tr w:rsidR="00C5104E" w:rsidRPr="00AF3F5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Armendariz, Edna (EDNAAR@iadb.org)</w:t>
                  </w:r>
                </w:p>
              </w:tc>
            </w:tr>
            <w:tr w:rsidR="00C5104E" w:rsidRPr="00AF3F5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Support to Fiscal Consolidation</w:t>
                  </w:r>
                </w:p>
              </w:tc>
            </w:tr>
            <w:tr w:rsidR="00C5104E" w:rsidRPr="00AF3F5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HO-L1103</w:t>
                  </w:r>
                </w:p>
              </w:tc>
            </w:tr>
            <w:tr w:rsidR="00C5104E" w:rsidRPr="00045AF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lang w:val="pt-BR"/>
                    </w:rPr>
                  </w:pPr>
                  <w:r w:rsidRPr="00AF3F5E">
                    <w:rPr>
                      <w:rFonts w:ascii="Arial" w:eastAsia="Times New Roman" w:hAnsi="Arial" w:cs="Arial"/>
                      <w:sz w:val="20"/>
                      <w:szCs w:val="20"/>
                      <w:lang w:val="pt-BR"/>
                    </w:rPr>
                    <w:t>Avila, Francy Dianela (FRANCYA@iadb.org)</w:t>
                  </w:r>
                </w:p>
              </w:tc>
            </w:tr>
            <w:tr w:rsidR="00C5104E" w:rsidRPr="00AF3F5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2015-07-13</w:t>
                  </w:r>
                </w:p>
              </w:tc>
            </w:tr>
          </w:tbl>
          <w:p w:rsidR="00C5104E" w:rsidRPr="00AF3F5E" w:rsidRDefault="00C5104E">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57"/>
              <w:gridCol w:w="4083"/>
              <w:gridCol w:w="3004"/>
            </w:tblGrid>
            <w:tr w:rsidR="00C5104E" w:rsidRPr="00AF3F5E">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C5104E" w:rsidRPr="00AF3F5E" w:rsidRDefault="00A40F52">
                  <w:pPr>
                    <w:rPr>
                      <w:rFonts w:ascii="Arial" w:eastAsia="Times New Roman" w:hAnsi="Arial" w:cs="Arial"/>
                      <w:b/>
                      <w:bCs/>
                      <w:sz w:val="27"/>
                      <w:szCs w:val="27"/>
                    </w:rPr>
                  </w:pPr>
                  <w:r w:rsidRPr="00AF3F5E">
                    <w:rPr>
                      <w:rFonts w:ascii="Arial" w:eastAsia="Times New Roman" w:hAnsi="Arial" w:cs="Arial"/>
                      <w:b/>
                      <w:bCs/>
                      <w:sz w:val="27"/>
                      <w:szCs w:val="27"/>
                    </w:rPr>
                    <w:t>Safeguard Policy Filter Results</w:t>
                  </w:r>
                </w:p>
              </w:tc>
            </w:tr>
            <w:tr w:rsidR="00C5104E" w:rsidRPr="00AF3F5E" w:rsidTr="00045AF4">
              <w:tc>
                <w:tcPr>
                  <w:tcW w:w="2700" w:type="dxa"/>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Loan Operation</w:t>
                  </w:r>
                </w:p>
              </w:tc>
            </w:tr>
            <w:tr w:rsidR="00C5104E" w:rsidRPr="00AF3F5E" w:rsidTr="00045AF4">
              <w:tc>
                <w:tcPr>
                  <w:tcW w:w="2700" w:type="dxa"/>
                  <w:vMerge w:val="restart"/>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hideMark/>
                </w:tcPr>
                <w:p w:rsidR="00C5104E" w:rsidRPr="00AF3F5E" w:rsidRDefault="00045AF4">
                  <w:pPr>
                    <w:rPr>
                      <w:rFonts w:ascii="Arial" w:eastAsia="Times New Roman" w:hAnsi="Arial" w:cs="Arial"/>
                      <w:b/>
                      <w:bCs/>
                      <w:sz w:val="20"/>
                      <w:szCs w:val="20"/>
                    </w:rPr>
                  </w:pPr>
                  <w:r>
                    <w:rPr>
                      <w:rFonts w:ascii="Arial" w:eastAsia="Times New Roman" w:hAnsi="Arial" w:cs="Arial"/>
                      <w:b/>
                      <w:bCs/>
                      <w:noProof/>
                      <w:sz w:val="20"/>
                      <w:szCs w:val="20"/>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4605655</wp:posOffset>
                            </wp:positionV>
                            <wp:extent cx="5924550" cy="6350"/>
                            <wp:effectExtent l="0" t="0" r="19050" b="31750"/>
                            <wp:wrapNone/>
                            <wp:docPr id="1" name="Straight Connector 1"/>
                            <wp:cNvGraphicFramePr/>
                            <a:graphic xmlns:a="http://schemas.openxmlformats.org/drawingml/2006/main">
                              <a:graphicData uri="http://schemas.microsoft.com/office/word/2010/wordprocessingShape">
                                <wps:wsp>
                                  <wps:cNvCnPr/>
                                  <wps:spPr>
                                    <a:xfrm flipV="1">
                                      <a:off x="0" y="0"/>
                                      <a:ext cx="59245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15pt,362.65pt" to="461.35pt,36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" strokecolor="black [3040]"/>
                        </w:pict>
                      </mc:Fallback>
                    </mc:AlternateContent>
                  </w:r>
                  <w:r w:rsidR="002F4B49" w:rsidRPr="00AF3F5E">
                    <w:rPr>
                      <w:rFonts w:ascii="Arial" w:eastAsia="Times New Roman" w:hAnsi="Arial" w:cs="Arial"/>
                      <w:b/>
                      <w:bCs/>
                      <w:sz w:val="20"/>
                      <w:szCs w:val="20"/>
                    </w:rPr>
                    <w:t>Safeguard Policy Items</w:t>
                  </w:r>
                  <w:r w:rsidR="002F4B49" w:rsidRPr="00AF3F5E">
                    <w:rPr>
                      <w:rFonts w:ascii="Arial" w:eastAsia="Times New Roman" w:hAnsi="Arial" w:cs="Arial"/>
                      <w:b/>
                      <w:bCs/>
                      <w:sz w:val="20"/>
                      <w:szCs w:val="20"/>
                    </w:rPr>
                    <w:br/>
                    <w:t xml:space="preserve">Identified </w:t>
                  </w:r>
                  <w:r w:rsidR="002F4B49" w:rsidRPr="00AF3F5E">
                    <w:rPr>
                      <w:rFonts w:ascii="Arial" w:eastAsia="Times New Roman" w:hAnsi="Arial" w:cs="Arial"/>
                      <w:b/>
                      <w:bCs/>
                      <w:color w:val="FF0000"/>
                      <w:sz w:val="20"/>
                      <w:szCs w:val="20"/>
                    </w:rPr>
                    <w:t>(Yes)</w:t>
                  </w:r>
                </w:p>
              </w:tc>
              <w:tc>
                <w:tcPr>
                  <w:tcW w:w="5700" w:type="dxa"/>
                  <w:tcBorders>
                    <w:top w:val="single" w:sz="4" w:space="0" w:color="auto"/>
                    <w:left w:val="single" w:sz="4" w:space="0" w:color="auto"/>
                    <w:bottom w:val="single" w:sz="4" w:space="0" w:color="auto"/>
                    <w:right w:val="single" w:sz="4" w:space="0" w:color="auto"/>
                  </w:tcBorders>
                  <w:tcMar>
                    <w:top w:w="15" w:type="dxa"/>
                    <w:left w:w="105" w:type="dxa"/>
                    <w:bottom w:w="300"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Type of operation for which disaster risk is most likely to be low .</w:t>
                  </w:r>
                </w:p>
              </w:tc>
              <w:tc>
                <w:tcPr>
                  <w:tcW w:w="1050" w:type="dxa"/>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hideMark/>
                </w:tcPr>
                <w:p w:rsidR="00C5104E" w:rsidRPr="00AF3F5E" w:rsidRDefault="002F4B49">
                  <w:pPr>
                    <w:rPr>
                      <w:rFonts w:ascii="Arial" w:eastAsia="Times New Roman" w:hAnsi="Arial" w:cs="Arial"/>
                      <w:color w:val="0000FF"/>
                      <w:sz w:val="20"/>
                      <w:szCs w:val="20"/>
                    </w:rPr>
                  </w:pPr>
                  <w:r w:rsidRPr="00AF3F5E">
                    <w:rPr>
                      <w:rFonts w:ascii="Arial" w:eastAsia="Times New Roman" w:hAnsi="Arial" w:cs="Arial"/>
                      <w:color w:val="0000FF"/>
                      <w:sz w:val="20"/>
                      <w:szCs w:val="20"/>
                    </w:rPr>
                    <w:t>(B.01) Disaster Risk Management Policy– OP-704</w:t>
                  </w:r>
                </w:p>
              </w:tc>
            </w:tr>
            <w:tr w:rsidR="00C5104E" w:rsidRPr="00AF3F5E" w:rsidTr="00045AF4">
              <w:tc>
                <w:tcPr>
                  <w:tcW w:w="0" w:type="auto"/>
                  <w:vMerge/>
                  <w:tcBorders>
                    <w:top w:val="single" w:sz="4" w:space="0" w:color="auto"/>
                    <w:left w:val="single" w:sz="4" w:space="0" w:color="auto"/>
                    <w:bottom w:val="single" w:sz="4" w:space="0" w:color="auto"/>
                    <w:right w:val="single" w:sz="4" w:space="0" w:color="auto"/>
                  </w:tcBorders>
                  <w:vAlign w:val="center"/>
                  <w:hideMark/>
                </w:tcPr>
                <w:p w:rsidR="00C5104E" w:rsidRPr="00AF3F5E" w:rsidRDefault="00C5104E">
                  <w:pPr>
                    <w:rPr>
                      <w:rFonts w:ascii="Arial" w:eastAsia="Times New Roman" w:hAnsi="Arial" w:cs="Arial"/>
                      <w:b/>
                      <w:bCs/>
                      <w:sz w:val="20"/>
                      <w:szCs w:val="20"/>
                    </w:rPr>
                  </w:pPr>
                </w:p>
              </w:tc>
              <w:tc>
                <w:tcPr>
                  <w:tcW w:w="5700" w:type="dxa"/>
                  <w:tcBorders>
                    <w:top w:val="single" w:sz="4" w:space="0" w:color="auto"/>
                    <w:left w:val="single" w:sz="4" w:space="0" w:color="auto"/>
                    <w:bottom w:val="single" w:sz="4" w:space="0" w:color="auto"/>
                    <w:right w:val="single" w:sz="4" w:space="0" w:color="auto"/>
                  </w:tcBorders>
                  <w:tcMar>
                    <w:top w:w="15" w:type="dxa"/>
                    <w:left w:w="105" w:type="dxa"/>
                    <w:bottom w:w="300"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The Bank will make available to the public the relevant Project documents.</w:t>
                  </w:r>
                </w:p>
              </w:tc>
              <w:tc>
                <w:tcPr>
                  <w:tcW w:w="0" w:type="auto"/>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hideMark/>
                </w:tcPr>
                <w:p w:rsidR="00C5104E" w:rsidRPr="00AF3F5E" w:rsidRDefault="002F4B49">
                  <w:pPr>
                    <w:rPr>
                      <w:rFonts w:ascii="Arial" w:eastAsia="Times New Roman" w:hAnsi="Arial" w:cs="Arial"/>
                      <w:color w:val="0000FF"/>
                      <w:sz w:val="20"/>
                      <w:szCs w:val="20"/>
                    </w:rPr>
                  </w:pPr>
                  <w:r w:rsidRPr="00AF3F5E">
                    <w:rPr>
                      <w:rFonts w:ascii="Arial" w:eastAsia="Times New Roman" w:hAnsi="Arial" w:cs="Arial"/>
                      <w:color w:val="0000FF"/>
                      <w:sz w:val="20"/>
                      <w:szCs w:val="20"/>
                    </w:rPr>
                    <w:t>(B.01) Access to Information Policy– OP-102</w:t>
                  </w:r>
                </w:p>
              </w:tc>
            </w:tr>
            <w:tr w:rsidR="00C5104E" w:rsidRPr="00AF3F5E" w:rsidTr="00045AF4">
              <w:trPr>
                <w:trHeight w:val="19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04E" w:rsidRPr="00AF3F5E" w:rsidRDefault="00C5104E">
                  <w:pPr>
                    <w:rPr>
                      <w:rFonts w:ascii="Arial" w:eastAsia="Times New Roman" w:hAnsi="Arial" w:cs="Arial"/>
                      <w:b/>
                      <w:bCs/>
                      <w:sz w:val="20"/>
                      <w:szCs w:val="20"/>
                    </w:rPr>
                  </w:pPr>
                </w:p>
              </w:tc>
              <w:tc>
                <w:tcPr>
                  <w:tcW w:w="5700" w:type="dxa"/>
                  <w:tcBorders>
                    <w:top w:val="single" w:sz="4" w:space="0" w:color="auto"/>
                    <w:left w:val="single" w:sz="4" w:space="0" w:color="auto"/>
                    <w:bottom w:val="single" w:sz="4" w:space="0" w:color="auto"/>
                    <w:right w:val="single" w:sz="4" w:space="0" w:color="auto"/>
                  </w:tcBorders>
                  <w:tcMar>
                    <w:top w:w="15" w:type="dxa"/>
                    <w:left w:w="105" w:type="dxa"/>
                    <w:bottom w:w="300"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hideMark/>
                </w:tcPr>
                <w:p w:rsidR="00C5104E" w:rsidRPr="00AF3F5E" w:rsidRDefault="002F4B49">
                  <w:pPr>
                    <w:rPr>
                      <w:rFonts w:ascii="Arial" w:eastAsia="Times New Roman" w:hAnsi="Arial" w:cs="Arial"/>
                      <w:color w:val="0000FF"/>
                      <w:sz w:val="20"/>
                      <w:szCs w:val="20"/>
                    </w:rPr>
                  </w:pPr>
                  <w:r w:rsidRPr="00AF3F5E">
                    <w:rPr>
                      <w:rFonts w:ascii="Arial" w:eastAsia="Times New Roman" w:hAnsi="Arial" w:cs="Arial"/>
                      <w:color w:val="0000FF"/>
                      <w:sz w:val="20"/>
                      <w:szCs w:val="20"/>
                    </w:rPr>
                    <w:t>(B.02)</w:t>
                  </w:r>
                </w:p>
              </w:tc>
            </w:tr>
            <w:tr w:rsidR="00C5104E" w:rsidRPr="00AF3F5E" w:rsidTr="00045AF4">
              <w:trPr>
                <w:trHeight w:val="9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04E" w:rsidRPr="00AF3F5E" w:rsidRDefault="00C5104E">
                  <w:pPr>
                    <w:rPr>
                      <w:rFonts w:ascii="Arial" w:eastAsia="Times New Roman" w:hAnsi="Arial" w:cs="Arial"/>
                      <w:b/>
                      <w:bCs/>
                      <w:sz w:val="20"/>
                      <w:szCs w:val="20"/>
                    </w:rPr>
                  </w:pPr>
                </w:p>
              </w:tc>
              <w:tc>
                <w:tcPr>
                  <w:tcW w:w="5700" w:type="dxa"/>
                  <w:tcBorders>
                    <w:top w:val="single" w:sz="4" w:space="0" w:color="auto"/>
                    <w:left w:val="single" w:sz="4" w:space="0" w:color="auto"/>
                    <w:bottom w:val="single" w:sz="4" w:space="0" w:color="auto"/>
                    <w:right w:val="single" w:sz="4" w:space="0" w:color="auto"/>
                  </w:tcBorders>
                  <w:tcMar>
                    <w:top w:w="15" w:type="dxa"/>
                    <w:left w:w="105" w:type="dxa"/>
                    <w:bottom w:w="300"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hideMark/>
                </w:tcPr>
                <w:p w:rsidR="00C5104E" w:rsidRPr="00AF3F5E" w:rsidRDefault="002F4B49">
                  <w:pPr>
                    <w:rPr>
                      <w:rFonts w:ascii="Arial" w:eastAsia="Times New Roman" w:hAnsi="Arial" w:cs="Arial"/>
                      <w:color w:val="0000FF"/>
                      <w:sz w:val="20"/>
                      <w:szCs w:val="20"/>
                    </w:rPr>
                  </w:pPr>
                  <w:r w:rsidRPr="00AF3F5E">
                    <w:rPr>
                      <w:rFonts w:ascii="Arial" w:eastAsia="Times New Roman" w:hAnsi="Arial" w:cs="Arial"/>
                      <w:color w:val="0000FF"/>
                      <w:sz w:val="20"/>
                      <w:szCs w:val="20"/>
                    </w:rPr>
                    <w:t>(B.03)</w:t>
                  </w:r>
                </w:p>
              </w:tc>
            </w:tr>
            <w:tr w:rsidR="00C5104E" w:rsidRPr="00AF3F5E" w:rsidTr="00045AF4">
              <w:tc>
                <w:tcPr>
                  <w:tcW w:w="0" w:type="auto"/>
                  <w:vMerge/>
                  <w:tcBorders>
                    <w:top w:val="single" w:sz="4" w:space="0" w:color="auto"/>
                    <w:left w:val="single" w:sz="4" w:space="0" w:color="auto"/>
                    <w:bottom w:val="single" w:sz="4" w:space="0" w:color="auto"/>
                    <w:right w:val="single" w:sz="4" w:space="0" w:color="auto"/>
                  </w:tcBorders>
                  <w:vAlign w:val="center"/>
                  <w:hideMark/>
                </w:tcPr>
                <w:p w:rsidR="00C5104E" w:rsidRPr="00AF3F5E" w:rsidRDefault="00C5104E">
                  <w:pPr>
                    <w:rPr>
                      <w:rFonts w:ascii="Arial" w:eastAsia="Times New Roman" w:hAnsi="Arial" w:cs="Arial"/>
                      <w:b/>
                      <w:bCs/>
                      <w:sz w:val="20"/>
                      <w:szCs w:val="20"/>
                    </w:rPr>
                  </w:pPr>
                </w:p>
              </w:tc>
              <w:tc>
                <w:tcPr>
                  <w:tcW w:w="5700" w:type="dxa"/>
                  <w:tcBorders>
                    <w:top w:val="single" w:sz="4" w:space="0" w:color="auto"/>
                    <w:left w:val="single" w:sz="4" w:space="0" w:color="auto"/>
                    <w:bottom w:val="single" w:sz="4" w:space="0" w:color="auto"/>
                    <w:right w:val="single" w:sz="4" w:space="0" w:color="auto"/>
                  </w:tcBorders>
                  <w:tcMar>
                    <w:top w:w="15" w:type="dxa"/>
                    <w:left w:w="105" w:type="dxa"/>
                    <w:bottom w:w="300"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hideMark/>
                </w:tcPr>
                <w:p w:rsidR="00C5104E" w:rsidRPr="00AF3F5E" w:rsidRDefault="002F4B49">
                  <w:pPr>
                    <w:rPr>
                      <w:rFonts w:ascii="Arial" w:eastAsia="Times New Roman" w:hAnsi="Arial" w:cs="Arial"/>
                      <w:color w:val="0000FF"/>
                      <w:sz w:val="20"/>
                      <w:szCs w:val="20"/>
                    </w:rPr>
                  </w:pPr>
                  <w:r w:rsidRPr="00AF3F5E">
                    <w:rPr>
                      <w:rFonts w:ascii="Arial" w:eastAsia="Times New Roman" w:hAnsi="Arial" w:cs="Arial"/>
                      <w:color w:val="0000FF"/>
                      <w:sz w:val="20"/>
                      <w:szCs w:val="20"/>
                    </w:rPr>
                    <w:t>(B.07)</w:t>
                  </w:r>
                </w:p>
              </w:tc>
            </w:tr>
            <w:tr w:rsidR="00C5104E" w:rsidRPr="00AF3F5E" w:rsidTr="00045AF4">
              <w:tc>
                <w:tcPr>
                  <w:tcW w:w="0" w:type="auto"/>
                  <w:vMerge/>
                  <w:tcBorders>
                    <w:top w:val="single" w:sz="4" w:space="0" w:color="auto"/>
                    <w:left w:val="single" w:sz="4" w:space="0" w:color="auto"/>
                    <w:bottom w:val="single" w:sz="4" w:space="0" w:color="auto"/>
                    <w:right w:val="single" w:sz="4" w:space="0" w:color="auto"/>
                  </w:tcBorders>
                  <w:vAlign w:val="center"/>
                  <w:hideMark/>
                </w:tcPr>
                <w:p w:rsidR="00C5104E" w:rsidRPr="00AF3F5E" w:rsidRDefault="00C5104E">
                  <w:pPr>
                    <w:rPr>
                      <w:rFonts w:ascii="Arial" w:eastAsia="Times New Roman" w:hAnsi="Arial" w:cs="Arial"/>
                      <w:b/>
                      <w:bCs/>
                      <w:sz w:val="20"/>
                      <w:szCs w:val="20"/>
                    </w:rPr>
                  </w:pPr>
                </w:p>
              </w:tc>
              <w:tc>
                <w:tcPr>
                  <w:tcW w:w="5700" w:type="dxa"/>
                  <w:tcBorders>
                    <w:top w:val="single" w:sz="4" w:space="0" w:color="auto"/>
                    <w:left w:val="single" w:sz="4" w:space="0" w:color="auto"/>
                    <w:bottom w:val="nil"/>
                    <w:right w:val="single" w:sz="4" w:space="0" w:color="auto"/>
                  </w:tcBorders>
                  <w:tcMar>
                    <w:top w:w="15" w:type="dxa"/>
                    <w:left w:w="105" w:type="dxa"/>
                    <w:bottom w:w="300" w:type="dxa"/>
                    <w:right w:w="105" w:type="dxa"/>
                  </w:tcMar>
                  <w:vAlign w:val="center"/>
                  <w:hideMark/>
                </w:tcPr>
                <w:p w:rsidR="00045AF4" w:rsidRDefault="002F4B49">
                  <w:pPr>
                    <w:rPr>
                      <w:rFonts w:ascii="Arial" w:eastAsia="Times New Roman" w:hAnsi="Arial" w:cs="Arial"/>
                      <w:sz w:val="20"/>
                      <w:szCs w:val="20"/>
                    </w:rPr>
                  </w:pPr>
                  <w:r w:rsidRPr="00AF3F5E">
                    <w:rPr>
                      <w:rFonts w:ascii="Arial" w:eastAsia="Times New Roman" w:hAnsi="Arial" w:cs="Arial"/>
                      <w:sz w:val="20"/>
                      <w:szCs w:val="20"/>
                    </w:rPr>
                    <w:t xml:space="preserve">Operation for which ex-ante impact classification may not be feasible. These </w:t>
                  </w:r>
                </w:p>
                <w:p w:rsidR="00045AF4" w:rsidRDefault="00045AF4">
                  <w:pPr>
                    <w:rPr>
                      <w:rFonts w:ascii="Arial" w:eastAsia="Times New Roman" w:hAnsi="Arial" w:cs="Arial"/>
                      <w:sz w:val="20"/>
                      <w:szCs w:val="20"/>
                    </w:rPr>
                  </w:pPr>
                </w:p>
                <w:p w:rsidR="00045AF4" w:rsidRDefault="002F4B49">
                  <w:pPr>
                    <w:rPr>
                      <w:rFonts w:ascii="Arial" w:eastAsia="Times New Roman" w:hAnsi="Arial" w:cs="Arial"/>
                      <w:sz w:val="20"/>
                      <w:szCs w:val="20"/>
                    </w:rPr>
                  </w:pPr>
                  <w:r w:rsidRPr="00AF3F5E">
                    <w:rPr>
                      <w:rFonts w:ascii="Arial" w:eastAsia="Times New Roman" w:hAnsi="Arial" w:cs="Arial"/>
                      <w:sz w:val="20"/>
                      <w:szCs w:val="20"/>
                    </w:rPr>
                    <w:t>loans are: Policy-based loa</w:t>
                  </w:r>
                  <w:r w:rsidR="00045AF4">
                    <w:rPr>
                      <w:rFonts w:ascii="Arial" w:eastAsia="Times New Roman" w:hAnsi="Arial" w:cs="Arial"/>
                      <w:sz w:val="20"/>
                      <w:szCs w:val="20"/>
                    </w:rPr>
                    <w:t>ns, Financial</w:t>
                  </w:r>
                </w:p>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Intermediaries (FIs) or loans that are based on performance criteria, sector-based approaches, or conditional credit lines for investment projects.</w:t>
                  </w:r>
                </w:p>
              </w:tc>
              <w:tc>
                <w:tcPr>
                  <w:tcW w:w="0" w:type="auto"/>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hideMark/>
                </w:tcPr>
                <w:p w:rsidR="00C5104E" w:rsidRPr="00AF3F5E" w:rsidRDefault="002F4B49">
                  <w:pPr>
                    <w:rPr>
                      <w:rFonts w:ascii="Arial" w:eastAsia="Times New Roman" w:hAnsi="Arial" w:cs="Arial"/>
                      <w:color w:val="0000FF"/>
                      <w:sz w:val="20"/>
                      <w:szCs w:val="20"/>
                    </w:rPr>
                  </w:pPr>
                  <w:r w:rsidRPr="00AF3F5E">
                    <w:rPr>
                      <w:rFonts w:ascii="Arial" w:eastAsia="Times New Roman" w:hAnsi="Arial" w:cs="Arial"/>
                      <w:color w:val="0000FF"/>
                      <w:sz w:val="20"/>
                      <w:szCs w:val="20"/>
                    </w:rPr>
                    <w:lastRenderedPageBreak/>
                    <w:t>(B.13)</w:t>
                  </w:r>
                </w:p>
              </w:tc>
            </w:tr>
            <w:tr w:rsidR="00C5104E" w:rsidRPr="00AF3F5E" w:rsidTr="00045AF4">
              <w:tc>
                <w:tcPr>
                  <w:tcW w:w="0" w:type="auto"/>
                  <w:vMerge/>
                  <w:tcBorders>
                    <w:top w:val="single" w:sz="4" w:space="0" w:color="auto"/>
                    <w:left w:val="single" w:sz="6" w:space="0" w:color="000000"/>
                    <w:bottom w:val="single" w:sz="6" w:space="0" w:color="000000"/>
                    <w:right w:val="single" w:sz="6" w:space="0" w:color="000000"/>
                  </w:tcBorders>
                  <w:vAlign w:val="center"/>
                  <w:hideMark/>
                </w:tcPr>
                <w:p w:rsidR="00C5104E" w:rsidRPr="00AF3F5E" w:rsidRDefault="00C5104E">
                  <w:pPr>
                    <w:rPr>
                      <w:rFonts w:ascii="Arial" w:eastAsia="Times New Roman" w:hAnsi="Arial" w:cs="Arial"/>
                      <w:b/>
                      <w:bCs/>
                      <w:sz w:val="20"/>
                      <w:szCs w:val="20"/>
                    </w:rPr>
                  </w:pPr>
                </w:p>
              </w:tc>
              <w:tc>
                <w:tcPr>
                  <w:tcW w:w="5700" w:type="dxa"/>
                  <w:tcBorders>
                    <w:top w:val="nil"/>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color w:val="0000FF"/>
                      <w:sz w:val="20"/>
                      <w:szCs w:val="20"/>
                    </w:rPr>
                  </w:pPr>
                  <w:r w:rsidRPr="00AF3F5E">
                    <w:rPr>
                      <w:rFonts w:ascii="Arial" w:eastAsia="Times New Roman" w:hAnsi="Arial" w:cs="Arial"/>
                      <w:color w:val="0000FF"/>
                      <w:sz w:val="20"/>
                      <w:szCs w:val="20"/>
                    </w:rPr>
                    <w:t>(B.17)</w:t>
                  </w:r>
                </w:p>
              </w:tc>
            </w:tr>
            <w:tr w:rsidR="00C5104E" w:rsidRPr="00AF3F5E">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Potential Safeguard Policy</w:t>
                  </w:r>
                  <w:r w:rsidRPr="00AF3F5E">
                    <w:rPr>
                      <w:rFonts w:ascii="Arial" w:eastAsia="Times New Roman" w:hAnsi="Arial" w:cs="Arial"/>
                      <w:b/>
                      <w:bCs/>
                      <w:sz w:val="20"/>
                      <w:szCs w:val="20"/>
                    </w:rPr>
                    <w:br/>
                    <w:t>Items</w:t>
                  </w:r>
                  <w:r w:rsidRPr="00AF3F5E">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C5104E" w:rsidRPr="00AF3F5E" w:rsidRDefault="002F4B49">
                  <w:pPr>
                    <w:spacing w:after="240"/>
                    <w:rPr>
                      <w:rFonts w:ascii="Arial" w:eastAsia="Times New Roman" w:hAnsi="Arial" w:cs="Arial"/>
                      <w:sz w:val="20"/>
                      <w:szCs w:val="20"/>
                    </w:rPr>
                  </w:pPr>
                  <w:r w:rsidRPr="00AF3F5E">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C5104E">
                  <w:pPr>
                    <w:rPr>
                      <w:rFonts w:ascii="Arial" w:eastAsia="Times New Roman" w:hAnsi="Arial" w:cs="Arial"/>
                      <w:sz w:val="20"/>
                      <w:szCs w:val="20"/>
                    </w:rPr>
                  </w:pPr>
                </w:p>
              </w:tc>
            </w:tr>
            <w:tr w:rsidR="00C5104E" w:rsidRPr="00AF3F5E">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spacing w:after="240"/>
                    <w:rPr>
                      <w:rFonts w:ascii="Arial" w:eastAsia="Times New Roman" w:hAnsi="Arial" w:cs="Arial"/>
                      <w:sz w:val="20"/>
                      <w:szCs w:val="20"/>
                    </w:rPr>
                  </w:pPr>
                  <w:r w:rsidRPr="00AF3F5E">
                    <w:rPr>
                      <w:rFonts w:ascii="Arial" w:eastAsia="Times New Roman" w:hAnsi="Arial" w:cs="Arial"/>
                      <w:sz w:val="20"/>
                      <w:szCs w:val="20"/>
                    </w:rPr>
                    <w:t>Operation has triggered 1 or more Policy Directives; please refer to appropriate Directive(s), including B13, for guidance. No project classification required. Submit Report and PP (or equivalent) to ESR.</w:t>
                  </w:r>
                  <w:r w:rsidRPr="00AF3F5E">
                    <w:rPr>
                      <w:rFonts w:ascii="Arial" w:eastAsia="Times New Roman" w:hAnsi="Arial" w:cs="Arial"/>
                      <w:sz w:val="20"/>
                      <w:szCs w:val="20"/>
                    </w:rPr>
                    <w:br/>
                  </w:r>
                  <w:r w:rsidRPr="00AF3F5E">
                    <w:rPr>
                      <w:rFonts w:ascii="Arial" w:eastAsia="Times New Roman" w:hAnsi="Arial" w:cs="Arial"/>
                      <w:sz w:val="20"/>
                      <w:szCs w:val="20"/>
                    </w:rPr>
                    <w:br/>
                  </w:r>
                </w:p>
              </w:tc>
            </w:tr>
            <w:tr w:rsidR="00C5104E" w:rsidRPr="00AF3F5E">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B.13 Potential Risks: No potential issues identified.</w:t>
                  </w:r>
                </w:p>
              </w:tc>
            </w:tr>
          </w:tbl>
          <w:p w:rsidR="00C5104E" w:rsidRPr="00AF3F5E" w:rsidRDefault="00C5104E">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C5104E" w:rsidRPr="00AF3F5E">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C5104E" w:rsidRPr="00AF3F5E" w:rsidRDefault="00A40F52">
                  <w:pPr>
                    <w:rPr>
                      <w:rFonts w:ascii="Arial" w:eastAsia="Times New Roman" w:hAnsi="Arial" w:cs="Arial"/>
                      <w:b/>
                      <w:bCs/>
                      <w:sz w:val="27"/>
                      <w:szCs w:val="27"/>
                    </w:rPr>
                  </w:pPr>
                  <w:r w:rsidRPr="00AF3F5E">
                    <w:rPr>
                      <w:rFonts w:ascii="Arial" w:eastAsia="Times New Roman" w:hAnsi="Arial" w:cs="Arial"/>
                      <w:b/>
                      <w:bCs/>
                      <w:sz w:val="27"/>
                      <w:szCs w:val="27"/>
                    </w:rPr>
                    <w:t>Assessor Details</w:t>
                  </w:r>
                </w:p>
              </w:tc>
            </w:tr>
            <w:tr w:rsidR="00C5104E" w:rsidRPr="00045AF4">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lang w:val="pt-BR"/>
                    </w:rPr>
                  </w:pPr>
                  <w:r w:rsidRPr="00AF3F5E">
                    <w:rPr>
                      <w:rFonts w:ascii="Arial" w:eastAsia="Times New Roman" w:hAnsi="Arial" w:cs="Arial"/>
                      <w:sz w:val="20"/>
                      <w:szCs w:val="20"/>
                      <w:lang w:val="pt-BR"/>
                    </w:rPr>
                    <w:t>Avila, Francy Dianela (FRANCYA@iadb.org)</w:t>
                  </w:r>
                </w:p>
              </w:tc>
            </w:tr>
            <w:tr w:rsidR="00C5104E" w:rsidRPr="00AF3F5E">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C5104E">
                  <w:pPr>
                    <w:rPr>
                      <w:rFonts w:ascii="Arial" w:eastAsia="Times New Roman" w:hAnsi="Arial" w:cs="Arial"/>
                      <w:sz w:val="20"/>
                      <w:szCs w:val="20"/>
                    </w:rPr>
                  </w:pPr>
                </w:p>
              </w:tc>
            </w:tr>
            <w:tr w:rsidR="00C5104E" w:rsidRPr="00AF3F5E">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t>2015-07-13</w:t>
                  </w:r>
                </w:p>
              </w:tc>
            </w:tr>
          </w:tbl>
          <w:p w:rsidR="00C5104E" w:rsidRPr="00AF3F5E" w:rsidRDefault="002F4B49">
            <w:pPr>
              <w:rPr>
                <w:rFonts w:ascii="Arial" w:eastAsia="Times New Roman" w:hAnsi="Arial" w:cs="Arial"/>
                <w:sz w:val="20"/>
                <w:szCs w:val="20"/>
              </w:rPr>
            </w:pPr>
            <w:r w:rsidRPr="00AF3F5E">
              <w:rPr>
                <w:rFonts w:ascii="Arial" w:eastAsia="Times New Roman" w:hAnsi="Arial" w:cs="Arial"/>
                <w:sz w:val="20"/>
                <w:szCs w:val="20"/>
              </w:rPr>
              <w:br/>
              <w:t> </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344"/>
            </w:tblGrid>
            <w:tr w:rsidR="00C5104E" w:rsidRPr="00AF3F5E">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C5104E" w:rsidRPr="00AF3F5E" w:rsidRDefault="00A40F52">
                  <w:pPr>
                    <w:rPr>
                      <w:rFonts w:ascii="Arial" w:eastAsia="Times New Roman" w:hAnsi="Arial" w:cs="Arial"/>
                      <w:b/>
                      <w:bCs/>
                      <w:sz w:val="27"/>
                      <w:szCs w:val="27"/>
                    </w:rPr>
                  </w:pPr>
                  <w:r w:rsidRPr="00AF3F5E">
                    <w:rPr>
                      <w:rFonts w:ascii="Arial" w:eastAsia="Times New Roman" w:hAnsi="Arial" w:cs="Arial"/>
                      <w:b/>
                      <w:bCs/>
                      <w:sz w:val="27"/>
                      <w:szCs w:val="27"/>
                    </w:rPr>
                    <w:t>Comments</w:t>
                  </w:r>
                </w:p>
              </w:tc>
            </w:tr>
            <w:tr w:rsidR="00C5104E" w:rsidRPr="00AF3F5E">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5104E" w:rsidRPr="00AF3F5E" w:rsidRDefault="002F4B49">
                  <w:pPr>
                    <w:rPr>
                      <w:rFonts w:ascii="Arial" w:eastAsia="Times New Roman" w:hAnsi="Arial" w:cs="Arial"/>
                      <w:b/>
                      <w:bCs/>
                      <w:sz w:val="20"/>
                      <w:szCs w:val="20"/>
                    </w:rPr>
                  </w:pPr>
                  <w:r w:rsidRPr="00AF3F5E">
                    <w:rPr>
                      <w:rFonts w:ascii="Arial" w:eastAsia="Times New Roman" w:hAnsi="Arial" w:cs="Arial"/>
                      <w:b/>
                      <w:bCs/>
                      <w:sz w:val="20"/>
                      <w:szCs w:val="20"/>
                    </w:rPr>
                    <w:t>No Comments</w:t>
                  </w:r>
                </w:p>
              </w:tc>
            </w:tr>
          </w:tbl>
          <w:p w:rsidR="00C5104E" w:rsidRPr="00AF3F5E" w:rsidRDefault="00C5104E">
            <w:pPr>
              <w:rPr>
                <w:rFonts w:ascii="Arial" w:eastAsia="Times New Roman" w:hAnsi="Arial" w:cs="Arial"/>
                <w:sz w:val="20"/>
                <w:szCs w:val="20"/>
              </w:rPr>
            </w:pPr>
          </w:p>
        </w:tc>
      </w:tr>
    </w:tbl>
    <w:p w:rsidR="00C5104E" w:rsidRDefault="00C5104E">
      <w:pPr>
        <w:rPr>
          <w:rFonts w:eastAsia="Times New Roman"/>
        </w:rPr>
      </w:pPr>
    </w:p>
    <w:sectPr w:rsidR="00C5104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F5E" w:rsidRDefault="00AF3F5E" w:rsidP="00AF3F5E">
      <w:r>
        <w:separator/>
      </w:r>
    </w:p>
  </w:endnote>
  <w:endnote w:type="continuationSeparator" w:id="0">
    <w:p w:rsidR="00AF3F5E" w:rsidRDefault="00AF3F5E" w:rsidP="00AF3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43B" w:rsidRDefault="00E354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43B" w:rsidRDefault="00E354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43B" w:rsidRDefault="00E354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F5E" w:rsidRDefault="00AF3F5E" w:rsidP="00AF3F5E">
      <w:r>
        <w:separator/>
      </w:r>
    </w:p>
  </w:footnote>
  <w:footnote w:type="continuationSeparator" w:id="0">
    <w:p w:rsidR="00AF3F5E" w:rsidRDefault="00AF3F5E" w:rsidP="00AF3F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43B" w:rsidRDefault="00E354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F5E" w:rsidRPr="00E3543B" w:rsidRDefault="00AF3F5E">
    <w:pPr>
      <w:pStyle w:val="Header"/>
      <w:jc w:val="right"/>
      <w:rPr>
        <w:rFonts w:ascii="Arial" w:hAnsi="Arial" w:cs="Arial"/>
        <w:sz w:val="18"/>
        <w:szCs w:val="18"/>
      </w:rPr>
    </w:pPr>
    <w:r w:rsidRPr="00E3543B">
      <w:rPr>
        <w:rFonts w:ascii="Arial" w:hAnsi="Arial" w:cs="Arial"/>
        <w:sz w:val="18"/>
        <w:szCs w:val="18"/>
      </w:rPr>
      <w:t>HO-L1103</w:t>
    </w:r>
  </w:p>
  <w:p w:rsidR="00AF3F5E" w:rsidRPr="00E3543B" w:rsidRDefault="00E3543B">
    <w:pPr>
      <w:pStyle w:val="Header"/>
      <w:jc w:val="right"/>
      <w:rPr>
        <w:rFonts w:ascii="Arial" w:hAnsi="Arial" w:cs="Arial"/>
        <w:sz w:val="18"/>
        <w:szCs w:val="18"/>
      </w:rPr>
    </w:pPr>
    <w:sdt>
      <w:sdtPr>
        <w:rPr>
          <w:rFonts w:ascii="Arial" w:hAnsi="Arial" w:cs="Arial"/>
          <w:sz w:val="18"/>
          <w:szCs w:val="18"/>
        </w:rPr>
        <w:id w:val="1477648756"/>
        <w:docPartObj>
          <w:docPartGallery w:val="Page Numbers (Top of Page)"/>
          <w:docPartUnique/>
        </w:docPartObj>
      </w:sdtPr>
      <w:sdtEndPr/>
      <w:sdtContent>
        <w:bookmarkStart w:id="0" w:name="_GoBack"/>
        <w:bookmarkEnd w:id="0"/>
        <w:r w:rsidR="00AF3F5E" w:rsidRPr="00E3543B">
          <w:rPr>
            <w:rFonts w:ascii="Arial" w:hAnsi="Arial" w:cs="Arial"/>
            <w:sz w:val="18"/>
            <w:szCs w:val="18"/>
          </w:rPr>
          <w:t xml:space="preserve">Page </w:t>
        </w:r>
        <w:r w:rsidR="00AF3F5E" w:rsidRPr="00E3543B">
          <w:rPr>
            <w:rFonts w:ascii="Arial" w:hAnsi="Arial" w:cs="Arial"/>
            <w:bCs/>
            <w:sz w:val="18"/>
            <w:szCs w:val="18"/>
          </w:rPr>
          <w:fldChar w:fldCharType="begin"/>
        </w:r>
        <w:r w:rsidR="00AF3F5E" w:rsidRPr="00E3543B">
          <w:rPr>
            <w:rFonts w:ascii="Arial" w:hAnsi="Arial" w:cs="Arial"/>
            <w:bCs/>
            <w:sz w:val="18"/>
            <w:szCs w:val="18"/>
          </w:rPr>
          <w:instrText xml:space="preserve"> PAGE </w:instrText>
        </w:r>
        <w:r w:rsidR="00AF3F5E" w:rsidRPr="00E3543B">
          <w:rPr>
            <w:rFonts w:ascii="Arial" w:hAnsi="Arial" w:cs="Arial"/>
            <w:bCs/>
            <w:sz w:val="18"/>
            <w:szCs w:val="18"/>
          </w:rPr>
          <w:fldChar w:fldCharType="separate"/>
        </w:r>
        <w:r>
          <w:rPr>
            <w:rFonts w:ascii="Arial" w:hAnsi="Arial" w:cs="Arial"/>
            <w:bCs/>
            <w:noProof/>
            <w:sz w:val="18"/>
            <w:szCs w:val="18"/>
          </w:rPr>
          <w:t>1</w:t>
        </w:r>
        <w:r w:rsidR="00AF3F5E" w:rsidRPr="00E3543B">
          <w:rPr>
            <w:rFonts w:ascii="Arial" w:hAnsi="Arial" w:cs="Arial"/>
            <w:bCs/>
            <w:sz w:val="18"/>
            <w:szCs w:val="18"/>
          </w:rPr>
          <w:fldChar w:fldCharType="end"/>
        </w:r>
        <w:r w:rsidR="00AF3F5E" w:rsidRPr="00E3543B">
          <w:rPr>
            <w:rFonts w:ascii="Arial" w:hAnsi="Arial" w:cs="Arial"/>
            <w:sz w:val="18"/>
            <w:szCs w:val="18"/>
          </w:rPr>
          <w:t xml:space="preserve"> of </w:t>
        </w:r>
        <w:r w:rsidR="00AF3F5E" w:rsidRPr="00E3543B">
          <w:rPr>
            <w:rFonts w:ascii="Arial" w:hAnsi="Arial" w:cs="Arial"/>
            <w:bCs/>
            <w:sz w:val="18"/>
            <w:szCs w:val="18"/>
          </w:rPr>
          <w:fldChar w:fldCharType="begin"/>
        </w:r>
        <w:r w:rsidR="00AF3F5E" w:rsidRPr="00E3543B">
          <w:rPr>
            <w:rFonts w:ascii="Arial" w:hAnsi="Arial" w:cs="Arial"/>
            <w:bCs/>
            <w:sz w:val="18"/>
            <w:szCs w:val="18"/>
          </w:rPr>
          <w:instrText xml:space="preserve"> NUMPAGES  </w:instrText>
        </w:r>
        <w:r w:rsidR="00AF3F5E" w:rsidRPr="00E3543B">
          <w:rPr>
            <w:rFonts w:ascii="Arial" w:hAnsi="Arial" w:cs="Arial"/>
            <w:bCs/>
            <w:sz w:val="18"/>
            <w:szCs w:val="18"/>
          </w:rPr>
          <w:fldChar w:fldCharType="separate"/>
        </w:r>
        <w:r>
          <w:rPr>
            <w:rFonts w:ascii="Arial" w:hAnsi="Arial" w:cs="Arial"/>
            <w:bCs/>
            <w:noProof/>
            <w:sz w:val="18"/>
            <w:szCs w:val="18"/>
          </w:rPr>
          <w:t>2</w:t>
        </w:r>
        <w:r w:rsidR="00AF3F5E" w:rsidRPr="00E3543B">
          <w:rPr>
            <w:rFonts w:ascii="Arial" w:hAnsi="Arial" w:cs="Arial"/>
            <w:bCs/>
            <w:sz w:val="18"/>
            <w:szCs w:val="18"/>
          </w:rPr>
          <w:fldChar w:fldCharType="end"/>
        </w:r>
      </w:sdtContent>
    </w:sdt>
  </w:p>
  <w:p w:rsidR="00AF3F5E" w:rsidRPr="00E3543B" w:rsidRDefault="00AF3F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43B" w:rsidRDefault="00E354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2F4B49"/>
    <w:rsid w:val="00045AF4"/>
    <w:rsid w:val="000645AA"/>
    <w:rsid w:val="002F4B49"/>
    <w:rsid w:val="00A40F52"/>
    <w:rsid w:val="00AF3F5E"/>
    <w:rsid w:val="00C5104E"/>
    <w:rsid w:val="00E3543B"/>
    <w:rsid w:val="00E47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hd w:val="clear" w:color="auto" w:fill="CCCCCC"/>
      <w:spacing w:before="100" w:beforeAutospacing="1" w:after="100" w:afterAutospacing="1"/>
    </w:pPr>
    <w:rPr>
      <w:b/>
      <w:bCs/>
      <w:sz w:val="27"/>
      <w:szCs w:val="27"/>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AF3F5E"/>
    <w:pPr>
      <w:tabs>
        <w:tab w:val="center" w:pos="4680"/>
        <w:tab w:val="right" w:pos="9360"/>
      </w:tabs>
    </w:pPr>
  </w:style>
  <w:style w:type="character" w:customStyle="1" w:styleId="HeaderChar">
    <w:name w:val="Header Char"/>
    <w:basedOn w:val="DefaultParagraphFont"/>
    <w:link w:val="Header"/>
    <w:uiPriority w:val="99"/>
    <w:rsid w:val="00AF3F5E"/>
    <w:rPr>
      <w:rFonts w:eastAsiaTheme="minorEastAsia"/>
      <w:sz w:val="24"/>
      <w:szCs w:val="24"/>
    </w:rPr>
  </w:style>
  <w:style w:type="paragraph" w:styleId="Footer">
    <w:name w:val="footer"/>
    <w:basedOn w:val="Normal"/>
    <w:link w:val="FooterChar"/>
    <w:uiPriority w:val="99"/>
    <w:unhideWhenUsed/>
    <w:rsid w:val="00AF3F5E"/>
    <w:pPr>
      <w:tabs>
        <w:tab w:val="center" w:pos="4680"/>
        <w:tab w:val="right" w:pos="9360"/>
      </w:tabs>
    </w:pPr>
  </w:style>
  <w:style w:type="character" w:customStyle="1" w:styleId="FooterChar">
    <w:name w:val="Footer Char"/>
    <w:basedOn w:val="DefaultParagraphFont"/>
    <w:link w:val="Footer"/>
    <w:uiPriority w:val="99"/>
    <w:rsid w:val="00AF3F5E"/>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hd w:val="clear" w:color="auto" w:fill="CCCCCC"/>
      <w:spacing w:before="100" w:beforeAutospacing="1" w:after="100" w:afterAutospacing="1"/>
    </w:pPr>
    <w:rPr>
      <w:b/>
      <w:bCs/>
      <w:sz w:val="27"/>
      <w:szCs w:val="27"/>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AF3F5E"/>
    <w:pPr>
      <w:tabs>
        <w:tab w:val="center" w:pos="4680"/>
        <w:tab w:val="right" w:pos="9360"/>
      </w:tabs>
    </w:pPr>
  </w:style>
  <w:style w:type="character" w:customStyle="1" w:styleId="HeaderChar">
    <w:name w:val="Header Char"/>
    <w:basedOn w:val="DefaultParagraphFont"/>
    <w:link w:val="Header"/>
    <w:uiPriority w:val="99"/>
    <w:rsid w:val="00AF3F5E"/>
    <w:rPr>
      <w:rFonts w:eastAsiaTheme="minorEastAsia"/>
      <w:sz w:val="24"/>
      <w:szCs w:val="24"/>
    </w:rPr>
  </w:style>
  <w:style w:type="paragraph" w:styleId="Footer">
    <w:name w:val="footer"/>
    <w:basedOn w:val="Normal"/>
    <w:link w:val="FooterChar"/>
    <w:uiPriority w:val="99"/>
    <w:unhideWhenUsed/>
    <w:rsid w:val="00AF3F5E"/>
    <w:pPr>
      <w:tabs>
        <w:tab w:val="center" w:pos="4680"/>
        <w:tab w:val="right" w:pos="9360"/>
      </w:tabs>
    </w:pPr>
  </w:style>
  <w:style w:type="character" w:customStyle="1" w:styleId="FooterChar">
    <w:name w:val="Footer Char"/>
    <w:basedOn w:val="DefaultParagraphFont"/>
    <w:link w:val="Footer"/>
    <w:uiPriority w:val="99"/>
    <w:rsid w:val="00AF3F5E"/>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39838521</IDBDocs_x0020_Number>
    <TaxCatchAll xmlns="cdc7663a-08f0-4737-9e8c-148ce897a09c">
      <Value>26</Value>
      <Value>10</Value>
      <Value>1</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3590/BL-HO</Approval_x0020_Number>
    <Document_x0020_Author xmlns="cdc7663a-08f0-4737-9e8c-148ce897a09c">Armendariz, Edna</Document_x0020_Author>
    <Fiscal_x0020_Year_x0020_IDB xmlns="cdc7663a-08f0-4737-9e8c-148ce897a09c">2015</Fiscal_x0020_Year_x0020_IDB>
    <Other_x0020_Author xmlns="cdc7663a-08f0-4737-9e8c-148ce897a09c" xsi:nil="true"/>
    <Project_x0020_Number xmlns="cdc7663a-08f0-4737-9e8c-148ce897a09c">HO-L1103</Project_x0020_Number>
    <Package_x0020_Code xmlns="cdc7663a-08f0-4737-9e8c-148ce897a09c" xsi:nil="true"/>
    <Key_x0020_Document xmlns="cdc7663a-08f0-4737-9e8c-148ce897a09c">false</Key_x0020_Document>
    <Migration_x0020_Info xmlns="cdc7663a-08f0-4737-9e8c-148ce897a09c">&lt;div class="ExternalClassB2AD4097620F43729CA7205B303696E6"&gt;MS WORDLPLoan Proposal0N&lt;/div&gt;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EZSHARE-2089386612-53</_dlc_DocId>
    <Publication_x0020_Type xmlns="cdc7663a-08f0-4737-9e8c-148ce897a09c" xsi:nil="true"/>
    <Issue_x0020_Date xmlns="cdc7663a-08f0-4737-9e8c-148ce897a09c" xsi:nil="true"/>
    <Webtopic xmlns="cdc7663a-08f0-4737-9e8c-148ce897a09c">Fiscal Issues and Public Finance</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https://idbg.sharepoint.com/teams/EZ-HO-LON/HO-L1103/_layouts/15/DocIdRedir.aspx?ID=EZSHARE-2089386612-53</Url>
      <Description>EZSHARE-2089386612-53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79F8AA1F14E844A99DFD5BFBA045701" ma:contentTypeVersion="27" ma:contentTypeDescription="A content type to manage public (operations) IDB documents" ma:contentTypeScope="" ma:versionID="a70c096f7ae51d456050f0c18d26741e">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2229EEA8-9F50-482E-89C2-F3CE84D0E14D}"/>
</file>

<file path=customXml/itemProps2.xml><?xml version="1.0" encoding="utf-8"?>
<ds:datastoreItem xmlns:ds="http://schemas.openxmlformats.org/officeDocument/2006/customXml" ds:itemID="{7320BB31-7D69-4AB5-BE1B-AC590123E42D}"/>
</file>

<file path=customXml/itemProps3.xml><?xml version="1.0" encoding="utf-8"?>
<ds:datastoreItem xmlns:ds="http://schemas.openxmlformats.org/officeDocument/2006/customXml" ds:itemID="{29DD6DA9-FBE1-446A-A1D2-EFF9D203F750}"/>
</file>

<file path=customXml/itemProps4.xml><?xml version="1.0" encoding="utf-8"?>
<ds:datastoreItem xmlns:ds="http://schemas.openxmlformats.org/officeDocument/2006/customXml" ds:itemID="{46700E14-EA0A-4FCC-A8A1-2D7F802F9F35}"/>
</file>

<file path=customXml/itemProps5.xml><?xml version="1.0" encoding="utf-8"?>
<ds:datastoreItem xmlns:ds="http://schemas.openxmlformats.org/officeDocument/2006/customXml" ds:itemID="{B818011B-0FDB-4371-84BA-26D99CF09965}"/>
</file>

<file path=customXml/itemProps6.xml><?xml version="1.0" encoding="utf-8"?>
<ds:datastoreItem xmlns:ds="http://schemas.openxmlformats.org/officeDocument/2006/customXml" ds:itemID="{466125DC-0D54-49EB-89B3-9AEE4D8A515C}"/>
</file>

<file path=docProps/app.xml><?xml version="1.0" encoding="utf-8"?>
<Properties xmlns="http://schemas.openxmlformats.org/officeDocument/2006/extended-properties" xmlns:vt="http://schemas.openxmlformats.org/officeDocument/2006/docPropsVTypes">
  <Template>Normal.dotm</Template>
  <TotalTime>1</TotalTime>
  <Pages>2</Pages>
  <Words>319</Words>
  <Characters>2189</Characters>
  <Application>Microsoft Office Word</Application>
  <DocSecurity>0</DocSecurity>
  <Lines>18</Lines>
  <Paragraphs>5</Paragraphs>
  <ScaleCrop>false</ScaleCrop>
  <Company>Inter-American Development Bank</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de Salvaguardias Socio Ambientales</dc:title>
  <dc:creator>Inter-American Development Bank</dc:creator>
  <cp:lastModifiedBy>IADB</cp:lastModifiedBy>
  <cp:revision>3</cp:revision>
  <dcterms:created xsi:type="dcterms:W3CDTF">2015-09-04T20:44:00Z</dcterms:created>
  <dcterms:modified xsi:type="dcterms:W3CDTF">2015-09-04T20:44:00Z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0x0101001A458A224826124E8B45B1D613300CFC00479F8AA1F14E844A99DFD5BFBA045701</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8" name="Country">
    <vt:lpwstr>26;#Honduras|0dd9f989-602d-4742-8212-5c1b8b0b74d5</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5fc1ee34-86a2-451f-8f68-b75499d8dbae</vt:lpwstr>
  </property>
</Properties>
</file>