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7.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B6C" w:rsidRPr="00007908" w:rsidRDefault="002869CA" w:rsidP="00051B6C">
      <w:pPr>
        <w:pStyle w:val="Default"/>
        <w:jc w:val="center"/>
        <w:rPr>
          <w:rFonts w:ascii="Arial" w:hAnsi="Arial" w:cs="Arial"/>
          <w:smallCaps/>
          <w:sz w:val="22"/>
          <w:szCs w:val="22"/>
          <w:lang w:val="es-ES_tradnl"/>
        </w:rPr>
      </w:pPr>
      <w:r w:rsidRPr="00007908">
        <w:rPr>
          <w:rFonts w:ascii="Arial" w:hAnsi="Arial" w:cs="Arial"/>
          <w:smallCaps/>
          <w:sz w:val="22"/>
          <w:szCs w:val="22"/>
          <w:lang w:val="es-ES_tradnl"/>
        </w:rPr>
        <w:t>Documento del Banco Interamericano de Desarrollo</w:t>
      </w:r>
    </w:p>
    <w:p w:rsidR="00051B6C" w:rsidRPr="00007908" w:rsidRDefault="00051B6C" w:rsidP="00051B6C">
      <w:pPr>
        <w:pStyle w:val="Default"/>
        <w:rPr>
          <w:rFonts w:ascii="Arial" w:hAnsi="Arial" w:cs="Arial"/>
          <w:sz w:val="19"/>
          <w:szCs w:val="19"/>
          <w:lang w:val="es-ES_tradnl"/>
        </w:rPr>
      </w:pPr>
    </w:p>
    <w:p w:rsidR="00051B6C" w:rsidRPr="00007908" w:rsidRDefault="00051B6C" w:rsidP="00051B6C">
      <w:pPr>
        <w:jc w:val="center"/>
        <w:rPr>
          <w:rFonts w:ascii="Arial" w:hAnsi="Arial" w:cs="Arial"/>
          <w:lang w:val="es-ES_tradnl"/>
        </w:rPr>
      </w:pPr>
    </w:p>
    <w:p w:rsidR="00051B6C" w:rsidRPr="00007908" w:rsidRDefault="00051B6C" w:rsidP="00051B6C">
      <w:pPr>
        <w:jc w:val="center"/>
        <w:rPr>
          <w:rFonts w:ascii="Arial" w:hAnsi="Arial" w:cs="Arial"/>
          <w:lang w:val="es-ES_tradnl"/>
        </w:rPr>
      </w:pPr>
    </w:p>
    <w:p w:rsidR="00051B6C" w:rsidRPr="00007908" w:rsidRDefault="00051B6C" w:rsidP="00051B6C">
      <w:pPr>
        <w:jc w:val="center"/>
        <w:rPr>
          <w:rFonts w:ascii="Arial" w:hAnsi="Arial" w:cs="Arial"/>
          <w:lang w:val="es-ES_tradnl"/>
        </w:rPr>
      </w:pPr>
    </w:p>
    <w:p w:rsidR="00051B6C" w:rsidRPr="00007908" w:rsidRDefault="00051B6C" w:rsidP="00051B6C">
      <w:pPr>
        <w:jc w:val="center"/>
        <w:rPr>
          <w:rFonts w:ascii="Arial" w:hAnsi="Arial" w:cs="Arial"/>
          <w:lang w:val="es-ES_tradnl"/>
        </w:rPr>
      </w:pPr>
    </w:p>
    <w:p w:rsidR="00051B6C" w:rsidRPr="00007908" w:rsidRDefault="00077A51" w:rsidP="00051B6C">
      <w:pPr>
        <w:jc w:val="center"/>
        <w:rPr>
          <w:rFonts w:ascii="Arial" w:hAnsi="Arial" w:cs="Arial"/>
          <w:b/>
          <w:smallCaps/>
          <w:sz w:val="28"/>
          <w:szCs w:val="28"/>
          <w:lang w:val="es-ES_tradnl"/>
        </w:rPr>
      </w:pPr>
      <w:r w:rsidRPr="00007908">
        <w:rPr>
          <w:rFonts w:ascii="Arial" w:hAnsi="Arial" w:cs="Arial"/>
          <w:b/>
          <w:smallCaps/>
          <w:sz w:val="28"/>
          <w:szCs w:val="28"/>
          <w:lang w:val="es-ES_tradnl"/>
        </w:rPr>
        <w:t>México</w:t>
      </w:r>
    </w:p>
    <w:p w:rsidR="00051B6C" w:rsidRPr="00007908" w:rsidRDefault="00051B6C" w:rsidP="00051B6C">
      <w:pPr>
        <w:pStyle w:val="Default"/>
        <w:jc w:val="center"/>
        <w:rPr>
          <w:rFonts w:ascii="Arial" w:hAnsi="Arial" w:cs="Arial"/>
          <w:b/>
          <w:smallCaps/>
          <w:color w:val="auto"/>
          <w:sz w:val="28"/>
          <w:szCs w:val="28"/>
          <w:lang w:val="es-ES_tradnl"/>
        </w:rPr>
      </w:pPr>
    </w:p>
    <w:p w:rsidR="00051B6C" w:rsidRPr="00007908" w:rsidRDefault="00051B6C" w:rsidP="00051B6C">
      <w:pPr>
        <w:pStyle w:val="Default"/>
        <w:jc w:val="center"/>
        <w:rPr>
          <w:rFonts w:ascii="Arial" w:hAnsi="Arial" w:cs="Arial"/>
          <w:b/>
          <w:smallCaps/>
          <w:color w:val="auto"/>
          <w:sz w:val="28"/>
          <w:szCs w:val="28"/>
          <w:lang w:val="es-ES_tradnl"/>
        </w:rPr>
      </w:pPr>
    </w:p>
    <w:p w:rsidR="00051B6C" w:rsidRPr="00007908" w:rsidRDefault="00051B6C" w:rsidP="00051B6C">
      <w:pPr>
        <w:pStyle w:val="Default"/>
        <w:jc w:val="center"/>
        <w:rPr>
          <w:rFonts w:ascii="Arial" w:hAnsi="Arial" w:cs="Arial"/>
          <w:b/>
          <w:smallCaps/>
          <w:color w:val="auto"/>
          <w:sz w:val="28"/>
          <w:szCs w:val="28"/>
          <w:lang w:val="es-ES_tradnl"/>
        </w:rPr>
      </w:pPr>
    </w:p>
    <w:p w:rsidR="00051B6C" w:rsidRPr="00007908" w:rsidRDefault="00051B6C" w:rsidP="00051B6C">
      <w:pPr>
        <w:tabs>
          <w:tab w:val="left" w:pos="1440"/>
          <w:tab w:val="left" w:pos="3060"/>
        </w:tabs>
        <w:rPr>
          <w:rFonts w:ascii="Arial" w:hAnsi="Arial" w:cs="Arial"/>
          <w:smallCaps/>
          <w:lang w:val="es-ES_tradnl"/>
        </w:rPr>
      </w:pPr>
    </w:p>
    <w:p w:rsidR="00565756" w:rsidRPr="00007908" w:rsidRDefault="00565756" w:rsidP="00857F1E">
      <w:pPr>
        <w:jc w:val="center"/>
        <w:rPr>
          <w:rFonts w:ascii="Arial" w:hAnsi="Arial" w:cs="Arial"/>
          <w:b/>
          <w:smallCaps/>
          <w:sz w:val="28"/>
          <w:szCs w:val="28"/>
          <w:lang w:val="es-ES"/>
        </w:rPr>
      </w:pPr>
      <w:r w:rsidRPr="00007908">
        <w:rPr>
          <w:rFonts w:ascii="Arial" w:hAnsi="Arial" w:cs="Arial"/>
          <w:b/>
          <w:smallCaps/>
          <w:sz w:val="28"/>
          <w:szCs w:val="28"/>
          <w:lang w:val="es-ES"/>
        </w:rPr>
        <w:t>Programa Financiero para la Inversión y Gestión de Riesgos en Proyectos de Gas y Energía Renovable</w:t>
      </w:r>
      <w:r w:rsidRPr="00007908">
        <w:rPr>
          <w:rFonts w:ascii="Arial" w:hAnsi="Arial" w:cs="Arial"/>
          <w:b/>
          <w:smallCaps/>
          <w:szCs w:val="24"/>
          <w:lang w:val="es-ES"/>
        </w:rPr>
        <w:t xml:space="preserve"> </w:t>
      </w:r>
    </w:p>
    <w:p w:rsidR="00565756" w:rsidRPr="00007908" w:rsidRDefault="00565756" w:rsidP="00565756">
      <w:pPr>
        <w:jc w:val="center"/>
        <w:rPr>
          <w:rFonts w:ascii="Arial" w:hAnsi="Arial" w:cs="Arial"/>
          <w:b/>
          <w:smallCaps/>
          <w:szCs w:val="28"/>
          <w:lang w:val="es-ES"/>
        </w:rPr>
      </w:pPr>
      <w:r w:rsidRPr="00007908">
        <w:rPr>
          <w:rFonts w:ascii="Arial" w:hAnsi="Arial" w:cs="Arial"/>
          <w:b/>
          <w:smallCaps/>
          <w:szCs w:val="28"/>
          <w:lang w:val="es-ES"/>
        </w:rPr>
        <w:t>(ME-L1172)</w:t>
      </w:r>
    </w:p>
    <w:p w:rsidR="00051B6C" w:rsidRPr="00007908" w:rsidRDefault="00051B6C" w:rsidP="00051B6C">
      <w:pPr>
        <w:autoSpaceDE w:val="0"/>
        <w:autoSpaceDN w:val="0"/>
        <w:adjustRightInd w:val="0"/>
        <w:spacing w:after="0" w:line="240" w:lineRule="auto"/>
        <w:rPr>
          <w:rFonts w:ascii="Arial" w:hAnsi="Arial" w:cs="Arial"/>
          <w:color w:val="000000"/>
          <w:sz w:val="24"/>
          <w:szCs w:val="24"/>
          <w:lang w:val="es-ES_tradnl"/>
        </w:rPr>
      </w:pPr>
    </w:p>
    <w:p w:rsidR="00857F1E" w:rsidRPr="00007908" w:rsidRDefault="00857F1E" w:rsidP="00051B6C">
      <w:pPr>
        <w:jc w:val="center"/>
        <w:rPr>
          <w:rFonts w:ascii="Arial" w:hAnsi="Arial" w:cs="Arial"/>
          <w:b/>
          <w:smallCaps/>
          <w:sz w:val="28"/>
          <w:szCs w:val="28"/>
          <w:lang w:val="es-ES_tradnl"/>
        </w:rPr>
      </w:pPr>
    </w:p>
    <w:p w:rsidR="00051B6C" w:rsidRPr="00007908" w:rsidRDefault="00051B6C" w:rsidP="00051B6C">
      <w:pPr>
        <w:jc w:val="center"/>
        <w:rPr>
          <w:rFonts w:ascii="Arial" w:hAnsi="Arial" w:cs="Arial"/>
          <w:b/>
          <w:smallCaps/>
          <w:sz w:val="28"/>
          <w:szCs w:val="28"/>
          <w:lang w:val="es-ES_tradnl"/>
        </w:rPr>
      </w:pPr>
    </w:p>
    <w:p w:rsidR="00051B6C" w:rsidRPr="00007908" w:rsidRDefault="00051B6C" w:rsidP="00051B6C">
      <w:pPr>
        <w:jc w:val="center"/>
        <w:rPr>
          <w:rFonts w:ascii="Arial" w:hAnsi="Arial" w:cs="Arial"/>
          <w:b/>
          <w:smallCaps/>
          <w:sz w:val="24"/>
          <w:szCs w:val="28"/>
          <w:lang w:val="es-ES_tradnl"/>
        </w:rPr>
      </w:pPr>
      <w:r w:rsidRPr="00007908">
        <w:rPr>
          <w:rFonts w:ascii="Arial" w:hAnsi="Arial" w:cs="Arial"/>
          <w:b/>
          <w:smallCaps/>
          <w:sz w:val="24"/>
          <w:szCs w:val="28"/>
          <w:lang w:val="es-ES_tradnl"/>
        </w:rPr>
        <w:t>Plan de Seguimiento Y Evaluación</w:t>
      </w:r>
    </w:p>
    <w:p w:rsidR="00051B6C" w:rsidRPr="00007908" w:rsidRDefault="00051B6C" w:rsidP="00051B6C">
      <w:pPr>
        <w:rPr>
          <w:rFonts w:ascii="Arial" w:hAnsi="Arial" w:cs="Arial"/>
          <w:lang w:val="es-ES_tradnl"/>
        </w:rPr>
      </w:pPr>
    </w:p>
    <w:p w:rsidR="00051B6C" w:rsidRPr="00007908" w:rsidRDefault="00051B6C" w:rsidP="00051B6C">
      <w:pPr>
        <w:rPr>
          <w:rFonts w:ascii="Arial" w:hAnsi="Arial" w:cs="Arial"/>
          <w:lang w:val="es-ES_tradnl"/>
        </w:rPr>
      </w:pPr>
    </w:p>
    <w:p w:rsidR="00051B6C" w:rsidRPr="00007908" w:rsidRDefault="00051B6C" w:rsidP="00051B6C">
      <w:pPr>
        <w:rPr>
          <w:rFonts w:ascii="Arial" w:hAnsi="Arial" w:cs="Arial"/>
          <w:lang w:val="es-ES_tradnl"/>
        </w:rPr>
      </w:pPr>
    </w:p>
    <w:p w:rsidR="002869CA" w:rsidRPr="00007908" w:rsidRDefault="002869CA" w:rsidP="00051B6C">
      <w:pPr>
        <w:rPr>
          <w:rFonts w:ascii="Arial" w:hAnsi="Arial" w:cs="Arial"/>
          <w:lang w:val="es-ES_tradnl"/>
        </w:rPr>
      </w:pPr>
    </w:p>
    <w:p w:rsidR="00E81FAF" w:rsidRPr="00007908" w:rsidRDefault="00E81FAF" w:rsidP="00E81FAF">
      <w:pPr>
        <w:rPr>
          <w:rFonts w:ascii="Arial" w:hAnsi="Arial" w:cs="Arial"/>
          <w:lang w:val="es-ES_tradnl"/>
        </w:rPr>
      </w:pPr>
    </w:p>
    <w:p w:rsidR="00E81FAF" w:rsidRPr="00007908" w:rsidRDefault="00E81FAF" w:rsidP="00E81FAF">
      <w:pPr>
        <w:pBdr>
          <w:top w:val="single" w:sz="4" w:space="1" w:color="auto"/>
          <w:left w:val="single" w:sz="4" w:space="4" w:color="auto"/>
          <w:bottom w:val="single" w:sz="4" w:space="1" w:color="auto"/>
          <w:right w:val="single" w:sz="4" w:space="4" w:color="auto"/>
        </w:pBdr>
        <w:jc w:val="both"/>
        <w:rPr>
          <w:rFonts w:ascii="Arial" w:hAnsi="Arial" w:cs="Arial"/>
          <w:sz w:val="20"/>
          <w:lang w:val="es-ES_tradnl"/>
        </w:rPr>
      </w:pPr>
      <w:r w:rsidRPr="00007908">
        <w:rPr>
          <w:rFonts w:ascii="Arial" w:hAnsi="Arial" w:cs="Arial"/>
          <w:sz w:val="20"/>
          <w:szCs w:val="24"/>
          <w:lang w:val="es-ES_tradnl"/>
        </w:rPr>
        <w:t>El documento fue preparado por el equipo de proyecto compuesto por: Joan Prats (IFD/CMF), Jefe de Equipo de Proyecto; Isabel Haro, Pablo Carrión y Annabella Gaggero (IFD/CMF).</w:t>
      </w:r>
    </w:p>
    <w:p w:rsidR="00E81FAF" w:rsidRPr="00007908" w:rsidRDefault="00E81FAF" w:rsidP="00BD084E">
      <w:pPr>
        <w:rPr>
          <w:rFonts w:ascii="Arial" w:hAnsi="Arial" w:cs="Arial"/>
          <w:b/>
          <w:smallCaps/>
          <w:lang w:val="es-ES_tradnl"/>
        </w:rPr>
        <w:sectPr w:rsidR="00E81FAF" w:rsidRPr="00007908" w:rsidSect="00AF2C5C">
          <w:headerReference w:type="even" r:id="rId9"/>
          <w:headerReference w:type="default" r:id="rId10"/>
          <w:footerReference w:type="default" r:id="rId11"/>
          <w:headerReference w:type="first" r:id="rId12"/>
          <w:pgSz w:w="12240" w:h="15840" w:code="1"/>
          <w:pgMar w:top="1440" w:right="1800" w:bottom="1440" w:left="1800" w:header="720" w:footer="720" w:gutter="0"/>
          <w:pgNumType w:fmt="lowerRoman"/>
          <w:cols w:space="720"/>
          <w:titlePg/>
          <w:docGrid w:linePitch="360"/>
        </w:sectPr>
      </w:pPr>
    </w:p>
    <w:p w:rsidR="00051B6C" w:rsidRPr="00007908" w:rsidRDefault="00051B6C" w:rsidP="00051B6C">
      <w:pPr>
        <w:spacing w:after="0"/>
        <w:jc w:val="center"/>
        <w:rPr>
          <w:rFonts w:ascii="Arial" w:hAnsi="Arial" w:cs="Arial"/>
          <w:b/>
          <w:smallCaps/>
          <w:sz w:val="24"/>
          <w:szCs w:val="24"/>
          <w:lang w:val="es-ES_tradnl"/>
        </w:rPr>
      </w:pPr>
      <w:r w:rsidRPr="00007908">
        <w:rPr>
          <w:rFonts w:ascii="Arial" w:hAnsi="Arial" w:cs="Arial"/>
          <w:b/>
          <w:smallCaps/>
          <w:sz w:val="24"/>
          <w:szCs w:val="24"/>
          <w:lang w:val="es-ES_tradnl"/>
        </w:rPr>
        <w:lastRenderedPageBreak/>
        <w:t>Índice</w:t>
      </w:r>
    </w:p>
    <w:p w:rsidR="00051B6C" w:rsidRPr="00007908" w:rsidRDefault="00051B6C" w:rsidP="00051B6C">
      <w:pPr>
        <w:spacing w:after="0"/>
        <w:rPr>
          <w:rFonts w:ascii="Arial" w:hAnsi="Arial" w:cs="Arial"/>
          <w:sz w:val="24"/>
          <w:szCs w:val="24"/>
          <w:lang w:val="es-ES_tradnl"/>
        </w:rPr>
      </w:pPr>
    </w:p>
    <w:p w:rsidR="00C823E0" w:rsidRPr="00F618D2" w:rsidRDefault="00051B6C">
      <w:pPr>
        <w:pStyle w:val="TOC1"/>
        <w:rPr>
          <w:rFonts w:ascii="Arial" w:eastAsiaTheme="minorEastAsia" w:hAnsi="Arial" w:cs="Arial"/>
          <w:b w:val="0"/>
          <w:smallCaps w:val="0"/>
          <w:sz w:val="20"/>
        </w:rPr>
      </w:pPr>
      <w:r w:rsidRPr="00F618D2">
        <w:rPr>
          <w:rFonts w:ascii="Arial" w:hAnsi="Arial" w:cs="Arial"/>
          <w:sz w:val="22"/>
        </w:rPr>
        <w:fldChar w:fldCharType="begin"/>
      </w:r>
      <w:r w:rsidRPr="00F618D2">
        <w:rPr>
          <w:rFonts w:ascii="Arial" w:hAnsi="Arial" w:cs="Arial"/>
          <w:sz w:val="22"/>
        </w:rPr>
        <w:instrText xml:space="preserve"> TOC \f \t "Chapter,1,FirstHeading,2,SecHeading,3" </w:instrText>
      </w:r>
      <w:r w:rsidRPr="00F618D2">
        <w:rPr>
          <w:rFonts w:ascii="Arial" w:hAnsi="Arial" w:cs="Arial"/>
          <w:sz w:val="22"/>
        </w:rPr>
        <w:fldChar w:fldCharType="separate"/>
      </w:r>
      <w:r w:rsidR="00C823E0" w:rsidRPr="00F618D2">
        <w:rPr>
          <w:rFonts w:ascii="Arial" w:hAnsi="Arial" w:cs="Arial"/>
          <w:sz w:val="22"/>
        </w:rPr>
        <w:t>I.</w:t>
      </w:r>
      <w:r w:rsidR="00C823E0" w:rsidRPr="00F618D2">
        <w:rPr>
          <w:rFonts w:ascii="Arial" w:eastAsiaTheme="minorEastAsia" w:hAnsi="Arial" w:cs="Arial"/>
          <w:b w:val="0"/>
          <w:smallCaps w:val="0"/>
          <w:sz w:val="20"/>
        </w:rPr>
        <w:tab/>
      </w:r>
      <w:r w:rsidR="00C823E0" w:rsidRPr="00F618D2">
        <w:rPr>
          <w:rFonts w:ascii="Arial" w:hAnsi="Arial" w:cs="Arial"/>
          <w:sz w:val="22"/>
        </w:rPr>
        <w:t>Introducción</w:t>
      </w:r>
      <w:r w:rsidR="00C823E0" w:rsidRPr="00F618D2">
        <w:rPr>
          <w:rFonts w:ascii="Arial" w:hAnsi="Arial" w:cs="Arial"/>
          <w:sz w:val="22"/>
        </w:rPr>
        <w:tab/>
      </w:r>
      <w:r w:rsidR="00C823E0" w:rsidRPr="00F618D2">
        <w:rPr>
          <w:rFonts w:ascii="Arial" w:hAnsi="Arial" w:cs="Arial"/>
          <w:sz w:val="22"/>
        </w:rPr>
        <w:fldChar w:fldCharType="begin"/>
      </w:r>
      <w:r w:rsidR="00C823E0" w:rsidRPr="00F618D2">
        <w:rPr>
          <w:rFonts w:ascii="Arial" w:hAnsi="Arial" w:cs="Arial"/>
          <w:sz w:val="22"/>
        </w:rPr>
        <w:instrText xml:space="preserve"> PAGEREF _Toc419987559 \h </w:instrText>
      </w:r>
      <w:r w:rsidR="00C823E0" w:rsidRPr="00F618D2">
        <w:rPr>
          <w:rFonts w:ascii="Arial" w:hAnsi="Arial" w:cs="Arial"/>
          <w:sz w:val="22"/>
        </w:rPr>
      </w:r>
      <w:r w:rsidR="00C823E0" w:rsidRPr="00F618D2">
        <w:rPr>
          <w:rFonts w:ascii="Arial" w:hAnsi="Arial" w:cs="Arial"/>
          <w:sz w:val="22"/>
        </w:rPr>
        <w:fldChar w:fldCharType="separate"/>
      </w:r>
      <w:r w:rsidR="00C823E0" w:rsidRPr="00F618D2">
        <w:rPr>
          <w:rFonts w:ascii="Arial" w:hAnsi="Arial" w:cs="Arial"/>
          <w:sz w:val="22"/>
        </w:rPr>
        <w:t>1</w:t>
      </w:r>
      <w:r w:rsidR="00C823E0" w:rsidRPr="00F618D2">
        <w:rPr>
          <w:rFonts w:ascii="Arial" w:hAnsi="Arial" w:cs="Arial"/>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A.</w:t>
      </w:r>
      <w:r w:rsidRPr="00F618D2">
        <w:rPr>
          <w:rFonts w:ascii="Arial" w:eastAsiaTheme="minorEastAsia" w:hAnsi="Arial" w:cs="Arial"/>
          <w:noProof/>
          <w:sz w:val="20"/>
          <w:lang w:val="es-ES_tradnl"/>
        </w:rPr>
        <w:tab/>
      </w:r>
      <w:r w:rsidRPr="00F618D2">
        <w:rPr>
          <w:rFonts w:ascii="Arial" w:hAnsi="Arial" w:cs="Arial"/>
          <w:noProof/>
          <w:sz w:val="22"/>
          <w:lang w:val="es-ES_tradnl"/>
        </w:rPr>
        <w:t>Marco General</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_Toc419987560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1</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B.</w:t>
      </w:r>
      <w:r w:rsidRPr="00F618D2">
        <w:rPr>
          <w:rFonts w:ascii="Arial" w:eastAsiaTheme="minorEastAsia" w:hAnsi="Arial" w:cs="Arial"/>
          <w:noProof/>
          <w:sz w:val="20"/>
          <w:lang w:val="es-ES_tradnl"/>
        </w:rPr>
        <w:tab/>
      </w:r>
      <w:r w:rsidRPr="00F618D2">
        <w:rPr>
          <w:rFonts w:ascii="Arial" w:hAnsi="Arial" w:cs="Arial"/>
          <w:noProof/>
          <w:sz w:val="22"/>
          <w:lang w:val="es-ES_tradnl"/>
        </w:rPr>
        <w:t>Detalle del Esquema de Ejecucion y Monitoreo</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_Toc419987561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2</w:t>
      </w:r>
      <w:r w:rsidRPr="00F618D2">
        <w:rPr>
          <w:rFonts w:ascii="Arial" w:hAnsi="Arial" w:cs="Arial"/>
          <w:noProof/>
          <w:sz w:val="22"/>
        </w:rPr>
        <w:fldChar w:fldCharType="end"/>
      </w:r>
    </w:p>
    <w:p w:rsidR="00C823E0" w:rsidRPr="00F618D2" w:rsidRDefault="00C823E0">
      <w:pPr>
        <w:pStyle w:val="TOC1"/>
        <w:rPr>
          <w:rFonts w:ascii="Arial" w:eastAsiaTheme="minorEastAsia" w:hAnsi="Arial" w:cs="Arial"/>
          <w:b w:val="0"/>
          <w:smallCaps w:val="0"/>
          <w:sz w:val="20"/>
        </w:rPr>
      </w:pPr>
      <w:r w:rsidRPr="00F618D2">
        <w:rPr>
          <w:rFonts w:ascii="Arial" w:hAnsi="Arial" w:cs="Arial"/>
          <w:sz w:val="22"/>
        </w:rPr>
        <w:t>II.</w:t>
      </w:r>
      <w:r w:rsidRPr="00F618D2">
        <w:rPr>
          <w:rFonts w:ascii="Arial" w:eastAsiaTheme="minorEastAsia" w:hAnsi="Arial" w:cs="Arial"/>
          <w:b w:val="0"/>
          <w:smallCaps w:val="0"/>
          <w:sz w:val="20"/>
        </w:rPr>
        <w:tab/>
      </w:r>
      <w:r w:rsidRPr="00F618D2">
        <w:rPr>
          <w:rFonts w:ascii="Arial" w:hAnsi="Arial" w:cs="Arial"/>
          <w:sz w:val="22"/>
        </w:rPr>
        <w:t>Monitoreo</w:t>
      </w:r>
      <w:r w:rsidRPr="00F618D2">
        <w:rPr>
          <w:rFonts w:ascii="Arial" w:hAnsi="Arial" w:cs="Arial"/>
          <w:sz w:val="22"/>
        </w:rPr>
        <w:tab/>
      </w:r>
      <w:r w:rsidRPr="00F618D2">
        <w:rPr>
          <w:rFonts w:ascii="Arial" w:hAnsi="Arial" w:cs="Arial"/>
          <w:sz w:val="22"/>
        </w:rPr>
        <w:fldChar w:fldCharType="begin"/>
      </w:r>
      <w:r w:rsidRPr="00F618D2">
        <w:rPr>
          <w:rFonts w:ascii="Arial" w:hAnsi="Arial" w:cs="Arial"/>
          <w:sz w:val="22"/>
        </w:rPr>
        <w:instrText xml:space="preserve"> PAGEREF _Toc419987562 \h </w:instrText>
      </w:r>
      <w:r w:rsidRPr="00F618D2">
        <w:rPr>
          <w:rFonts w:ascii="Arial" w:hAnsi="Arial" w:cs="Arial"/>
          <w:sz w:val="22"/>
        </w:rPr>
      </w:r>
      <w:r w:rsidRPr="00F618D2">
        <w:rPr>
          <w:rFonts w:ascii="Arial" w:hAnsi="Arial" w:cs="Arial"/>
          <w:sz w:val="22"/>
        </w:rPr>
        <w:fldChar w:fldCharType="separate"/>
      </w:r>
      <w:r w:rsidRPr="00F618D2">
        <w:rPr>
          <w:rFonts w:ascii="Arial" w:hAnsi="Arial" w:cs="Arial"/>
          <w:sz w:val="22"/>
        </w:rPr>
        <w:t>4</w:t>
      </w:r>
      <w:r w:rsidRPr="00F618D2">
        <w:rPr>
          <w:rFonts w:ascii="Arial" w:hAnsi="Arial" w:cs="Arial"/>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A.</w:t>
      </w:r>
      <w:r w:rsidRPr="00F618D2">
        <w:rPr>
          <w:rFonts w:ascii="Arial" w:eastAsiaTheme="minorEastAsia" w:hAnsi="Arial" w:cs="Arial"/>
          <w:noProof/>
          <w:sz w:val="20"/>
          <w:lang w:val="es-ES_tradnl"/>
        </w:rPr>
        <w:tab/>
      </w:r>
      <w:r w:rsidRPr="00F618D2">
        <w:rPr>
          <w:rFonts w:ascii="Arial" w:hAnsi="Arial" w:cs="Arial"/>
          <w:noProof/>
          <w:sz w:val="22"/>
          <w:lang w:val="es-ES_tradnl"/>
        </w:rPr>
        <w:t>Indicadores</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_Toc419987563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4</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B.</w:t>
      </w:r>
      <w:r w:rsidRPr="00F618D2">
        <w:rPr>
          <w:rFonts w:ascii="Arial" w:eastAsiaTheme="minorEastAsia" w:hAnsi="Arial" w:cs="Arial"/>
          <w:noProof/>
          <w:sz w:val="20"/>
          <w:lang w:val="es-ES_tradnl"/>
        </w:rPr>
        <w:tab/>
      </w:r>
      <w:r w:rsidRPr="00F618D2">
        <w:rPr>
          <w:rFonts w:ascii="Arial" w:hAnsi="Arial" w:cs="Arial"/>
          <w:noProof/>
          <w:sz w:val="22"/>
          <w:lang w:val="es-ES_tradnl"/>
        </w:rPr>
        <w:t>Recopilación de datos e instrumentos</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_Toc419987564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7</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C.</w:t>
      </w:r>
      <w:r w:rsidRPr="00F618D2">
        <w:rPr>
          <w:rFonts w:ascii="Arial" w:eastAsiaTheme="minorEastAsia" w:hAnsi="Arial" w:cs="Arial"/>
          <w:noProof/>
          <w:sz w:val="20"/>
          <w:lang w:val="es-ES_tradnl"/>
        </w:rPr>
        <w:tab/>
      </w:r>
      <w:r w:rsidRPr="00F618D2">
        <w:rPr>
          <w:rFonts w:ascii="Arial" w:hAnsi="Arial" w:cs="Arial"/>
          <w:noProof/>
          <w:sz w:val="22"/>
          <w:lang w:val="es-ES_tradnl"/>
        </w:rPr>
        <w:t>Presentación de informes</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_Toc419987565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7</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D.</w:t>
      </w:r>
      <w:r w:rsidRPr="00F618D2">
        <w:rPr>
          <w:rFonts w:ascii="Arial" w:eastAsiaTheme="minorEastAsia" w:hAnsi="Arial" w:cs="Arial"/>
          <w:noProof/>
          <w:sz w:val="20"/>
          <w:lang w:val="es-ES_tradnl"/>
        </w:rPr>
        <w:tab/>
      </w:r>
      <w:r w:rsidRPr="00F618D2">
        <w:rPr>
          <w:rFonts w:ascii="Arial" w:hAnsi="Arial" w:cs="Arial"/>
          <w:noProof/>
          <w:sz w:val="22"/>
          <w:lang w:val="es-ES_tradnl"/>
        </w:rPr>
        <w:t>Coordinación, plan de trabajo y presupuesto del seguimiento</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_Toc419987566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7</w:t>
      </w:r>
      <w:r w:rsidRPr="00F618D2">
        <w:rPr>
          <w:rFonts w:ascii="Arial" w:hAnsi="Arial" w:cs="Arial"/>
          <w:noProof/>
          <w:sz w:val="22"/>
        </w:rPr>
        <w:fldChar w:fldCharType="end"/>
      </w:r>
    </w:p>
    <w:p w:rsidR="00C823E0" w:rsidRPr="00F618D2" w:rsidRDefault="00C823E0">
      <w:pPr>
        <w:pStyle w:val="TOC1"/>
        <w:rPr>
          <w:rFonts w:ascii="Arial" w:eastAsiaTheme="minorEastAsia" w:hAnsi="Arial" w:cs="Arial"/>
          <w:b w:val="0"/>
          <w:smallCaps w:val="0"/>
          <w:sz w:val="20"/>
        </w:rPr>
      </w:pPr>
      <w:r w:rsidRPr="00F618D2">
        <w:rPr>
          <w:rFonts w:ascii="Arial" w:hAnsi="Arial" w:cs="Arial"/>
          <w:sz w:val="22"/>
        </w:rPr>
        <w:t>III.</w:t>
      </w:r>
      <w:r w:rsidRPr="00F618D2">
        <w:rPr>
          <w:rFonts w:ascii="Arial" w:eastAsiaTheme="minorEastAsia" w:hAnsi="Arial" w:cs="Arial"/>
          <w:b w:val="0"/>
          <w:smallCaps w:val="0"/>
          <w:sz w:val="20"/>
        </w:rPr>
        <w:tab/>
      </w:r>
      <w:r w:rsidRPr="00F618D2">
        <w:rPr>
          <w:rFonts w:ascii="Arial" w:hAnsi="Arial" w:cs="Arial"/>
          <w:sz w:val="22"/>
        </w:rPr>
        <w:t>Evaluación</w:t>
      </w:r>
      <w:r w:rsidRPr="00F618D2">
        <w:rPr>
          <w:rFonts w:ascii="Arial" w:hAnsi="Arial" w:cs="Arial"/>
          <w:sz w:val="22"/>
        </w:rPr>
        <w:tab/>
      </w:r>
      <w:r w:rsidRPr="00F618D2">
        <w:rPr>
          <w:rFonts w:ascii="Arial" w:hAnsi="Arial" w:cs="Arial"/>
          <w:sz w:val="22"/>
        </w:rPr>
        <w:fldChar w:fldCharType="begin"/>
      </w:r>
      <w:r w:rsidRPr="00F618D2">
        <w:rPr>
          <w:rFonts w:ascii="Arial" w:hAnsi="Arial" w:cs="Arial"/>
          <w:sz w:val="22"/>
        </w:rPr>
        <w:instrText xml:space="preserve"> PAGEREF _Toc419987567 \h </w:instrText>
      </w:r>
      <w:r w:rsidRPr="00F618D2">
        <w:rPr>
          <w:rFonts w:ascii="Arial" w:hAnsi="Arial" w:cs="Arial"/>
          <w:sz w:val="22"/>
        </w:rPr>
      </w:r>
      <w:r w:rsidRPr="00F618D2">
        <w:rPr>
          <w:rFonts w:ascii="Arial" w:hAnsi="Arial" w:cs="Arial"/>
          <w:sz w:val="22"/>
        </w:rPr>
        <w:fldChar w:fldCharType="separate"/>
      </w:r>
      <w:r w:rsidRPr="00F618D2">
        <w:rPr>
          <w:rFonts w:ascii="Arial" w:hAnsi="Arial" w:cs="Arial"/>
          <w:sz w:val="22"/>
        </w:rPr>
        <w:t>8</w:t>
      </w:r>
      <w:r w:rsidRPr="00F618D2">
        <w:rPr>
          <w:rFonts w:ascii="Arial" w:hAnsi="Arial" w:cs="Arial"/>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A.</w:t>
      </w:r>
      <w:r w:rsidRPr="00F618D2">
        <w:rPr>
          <w:rFonts w:ascii="Arial" w:eastAsiaTheme="minorEastAsia" w:hAnsi="Arial" w:cs="Arial"/>
          <w:noProof/>
          <w:sz w:val="20"/>
          <w:lang w:val="es-ES_tradnl"/>
        </w:rPr>
        <w:tab/>
      </w:r>
      <w:r w:rsidRPr="00F618D2">
        <w:rPr>
          <w:rFonts w:ascii="Arial" w:hAnsi="Arial" w:cs="Arial"/>
          <w:noProof/>
          <w:sz w:val="22"/>
          <w:lang w:val="es-ES_tradnl"/>
        </w:rPr>
        <w:t>Principales preguntas de evaluación</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_Toc419987568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8</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B.</w:t>
      </w:r>
      <w:r w:rsidRPr="00F618D2">
        <w:rPr>
          <w:rFonts w:ascii="Arial" w:eastAsiaTheme="minorEastAsia" w:hAnsi="Arial" w:cs="Arial"/>
          <w:noProof/>
          <w:sz w:val="20"/>
          <w:lang w:val="es-ES_tradnl"/>
        </w:rPr>
        <w:tab/>
      </w:r>
      <w:r w:rsidRPr="00F618D2">
        <w:rPr>
          <w:rFonts w:ascii="Arial" w:hAnsi="Arial" w:cs="Arial"/>
          <w:noProof/>
          <w:sz w:val="22"/>
          <w:lang w:val="es-ES_tradnl"/>
        </w:rPr>
        <w:t>Conocimiento existente</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_Toc419987569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9</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D.</w:t>
      </w:r>
      <w:r w:rsidRPr="00F618D2">
        <w:rPr>
          <w:rFonts w:ascii="Arial" w:eastAsiaTheme="minorEastAsia" w:hAnsi="Arial" w:cs="Arial"/>
          <w:noProof/>
          <w:sz w:val="20"/>
          <w:lang w:val="es-ES_tradnl"/>
        </w:rPr>
        <w:tab/>
      </w:r>
      <w:r w:rsidRPr="00F618D2">
        <w:rPr>
          <w:rFonts w:ascii="Arial" w:hAnsi="Arial" w:cs="Arial"/>
          <w:noProof/>
          <w:sz w:val="22"/>
          <w:lang w:val="es-ES_tradnl"/>
        </w:rPr>
        <w:t>Metodología de la evaluación</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_Toc419987570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11</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E.</w:t>
      </w:r>
      <w:r w:rsidRPr="00F618D2">
        <w:rPr>
          <w:rFonts w:ascii="Arial" w:eastAsiaTheme="minorEastAsia" w:hAnsi="Arial" w:cs="Arial"/>
          <w:noProof/>
          <w:sz w:val="20"/>
          <w:lang w:val="es-ES_tradnl"/>
        </w:rPr>
        <w:tab/>
      </w:r>
      <w:r w:rsidRPr="00F618D2">
        <w:rPr>
          <w:rFonts w:ascii="Arial" w:hAnsi="Arial" w:cs="Arial"/>
          <w:noProof/>
          <w:sz w:val="22"/>
          <w:lang w:val="es-ES_tradnl"/>
        </w:rPr>
        <w:t>Información de los resultados</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_Toc419987571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13</w:t>
      </w:r>
      <w:r w:rsidRPr="00F618D2">
        <w:rPr>
          <w:rFonts w:ascii="Arial" w:hAnsi="Arial" w:cs="Arial"/>
          <w:noProof/>
          <w:sz w:val="22"/>
        </w:rPr>
        <w:fldChar w:fldCharType="end"/>
      </w:r>
    </w:p>
    <w:p w:rsidR="00C823E0" w:rsidRPr="00F618D2" w:rsidRDefault="00C823E0">
      <w:pPr>
        <w:pStyle w:val="TOC2"/>
        <w:rPr>
          <w:rFonts w:ascii="Arial" w:eastAsiaTheme="minorEastAsia" w:hAnsi="Arial" w:cs="Arial"/>
          <w:noProof/>
          <w:sz w:val="20"/>
          <w:lang w:val="es-ES_tradnl"/>
        </w:rPr>
      </w:pPr>
      <w:r w:rsidRPr="00F618D2">
        <w:rPr>
          <w:rFonts w:ascii="Arial" w:hAnsi="Arial" w:cs="Arial"/>
          <w:noProof/>
          <w:sz w:val="22"/>
          <w:lang w:val="es-ES_tradnl"/>
        </w:rPr>
        <w:t>F.</w:t>
      </w:r>
      <w:r w:rsidRPr="00F618D2">
        <w:rPr>
          <w:rFonts w:ascii="Arial" w:eastAsiaTheme="minorEastAsia" w:hAnsi="Arial" w:cs="Arial"/>
          <w:noProof/>
          <w:sz w:val="20"/>
          <w:lang w:val="es-ES_tradnl"/>
        </w:rPr>
        <w:tab/>
      </w:r>
      <w:r w:rsidRPr="00F618D2">
        <w:rPr>
          <w:rFonts w:ascii="Arial" w:hAnsi="Arial" w:cs="Arial"/>
          <w:noProof/>
          <w:sz w:val="22"/>
          <w:lang w:val="es-ES_tradnl"/>
        </w:rPr>
        <w:t>Coordinación, plan de trabajo y presupuesto de la evaluación</w:t>
      </w:r>
      <w:r w:rsidRPr="00F618D2">
        <w:rPr>
          <w:rFonts w:ascii="Arial" w:hAnsi="Arial" w:cs="Arial"/>
          <w:noProof/>
          <w:sz w:val="22"/>
          <w:lang w:val="es-ES_tradnl"/>
        </w:rPr>
        <w:tab/>
      </w:r>
      <w:r w:rsidRPr="00F618D2">
        <w:rPr>
          <w:rFonts w:ascii="Arial" w:hAnsi="Arial" w:cs="Arial"/>
          <w:noProof/>
          <w:sz w:val="22"/>
        </w:rPr>
        <w:fldChar w:fldCharType="begin"/>
      </w:r>
      <w:r w:rsidRPr="00F618D2">
        <w:rPr>
          <w:rFonts w:ascii="Arial" w:hAnsi="Arial" w:cs="Arial"/>
          <w:noProof/>
          <w:sz w:val="22"/>
          <w:lang w:val="es-ES_tradnl"/>
        </w:rPr>
        <w:instrText xml:space="preserve"> PAGEREF _Toc419987572 \h </w:instrText>
      </w:r>
      <w:r w:rsidRPr="00F618D2">
        <w:rPr>
          <w:rFonts w:ascii="Arial" w:hAnsi="Arial" w:cs="Arial"/>
          <w:noProof/>
          <w:sz w:val="22"/>
        </w:rPr>
      </w:r>
      <w:r w:rsidRPr="00F618D2">
        <w:rPr>
          <w:rFonts w:ascii="Arial" w:hAnsi="Arial" w:cs="Arial"/>
          <w:noProof/>
          <w:sz w:val="22"/>
        </w:rPr>
        <w:fldChar w:fldCharType="separate"/>
      </w:r>
      <w:r w:rsidRPr="00F618D2">
        <w:rPr>
          <w:rFonts w:ascii="Arial" w:hAnsi="Arial" w:cs="Arial"/>
          <w:noProof/>
          <w:sz w:val="22"/>
          <w:lang w:val="es-ES_tradnl"/>
        </w:rPr>
        <w:t>13</w:t>
      </w:r>
      <w:r w:rsidRPr="00F618D2">
        <w:rPr>
          <w:rFonts w:ascii="Arial" w:hAnsi="Arial" w:cs="Arial"/>
          <w:noProof/>
          <w:sz w:val="22"/>
        </w:rPr>
        <w:fldChar w:fldCharType="end"/>
      </w:r>
    </w:p>
    <w:p w:rsidR="00051B6C" w:rsidRPr="00F618D2" w:rsidRDefault="00051B6C" w:rsidP="00B659E2">
      <w:pPr>
        <w:pStyle w:val="TOC3"/>
        <w:tabs>
          <w:tab w:val="clear" w:pos="8741"/>
          <w:tab w:val="right" w:leader="dot" w:pos="8640"/>
        </w:tabs>
        <w:rPr>
          <w:rFonts w:ascii="Arial" w:hAnsi="Arial" w:cs="Arial"/>
          <w:sz w:val="22"/>
          <w:lang w:val="es-ES_tradnl"/>
        </w:rPr>
        <w:sectPr w:rsidR="00051B6C" w:rsidRPr="00F618D2" w:rsidSect="00FA03F1">
          <w:headerReference w:type="default" r:id="rId13"/>
          <w:headerReference w:type="first" r:id="rId14"/>
          <w:type w:val="continuous"/>
          <w:pgSz w:w="12240" w:h="16340"/>
          <w:pgMar w:top="1440" w:right="1800" w:bottom="1440" w:left="1800" w:header="720" w:footer="720" w:gutter="0"/>
          <w:pgNumType w:fmt="lowerRoman" w:start="1"/>
          <w:cols w:space="720"/>
          <w:noEndnote/>
          <w:titlePg/>
          <w:docGrid w:linePitch="299"/>
        </w:sectPr>
      </w:pPr>
      <w:r w:rsidRPr="00F618D2">
        <w:rPr>
          <w:rFonts w:ascii="Arial" w:hAnsi="Arial" w:cs="Arial"/>
          <w:sz w:val="22"/>
          <w:lang w:val="es-ES_tradnl"/>
        </w:rPr>
        <w:fldChar w:fldCharType="end"/>
      </w:r>
    </w:p>
    <w:p w:rsidR="00051B6C" w:rsidRPr="00007908" w:rsidRDefault="00051B6C" w:rsidP="00051B6C">
      <w:pPr>
        <w:pStyle w:val="Chapter"/>
        <w:rPr>
          <w:rFonts w:ascii="Arial" w:hAnsi="Arial" w:cs="Arial"/>
          <w:lang w:val="es-ES_tradnl"/>
        </w:rPr>
      </w:pPr>
      <w:bookmarkStart w:id="0" w:name="_Toc300318302"/>
      <w:bookmarkStart w:id="1" w:name="_Toc331167632"/>
      <w:bookmarkStart w:id="2" w:name="_Toc419987559"/>
      <w:r w:rsidRPr="00007908">
        <w:rPr>
          <w:rFonts w:ascii="Arial" w:hAnsi="Arial" w:cs="Arial"/>
          <w:lang w:val="es-ES_tradnl"/>
        </w:rPr>
        <w:lastRenderedPageBreak/>
        <w:t>Introducción</w:t>
      </w:r>
      <w:bookmarkEnd w:id="0"/>
      <w:bookmarkEnd w:id="1"/>
      <w:bookmarkEnd w:id="2"/>
    </w:p>
    <w:p w:rsidR="007600C9" w:rsidRPr="00007908" w:rsidRDefault="00051B6C" w:rsidP="007600C9">
      <w:pPr>
        <w:pStyle w:val="FirstHeading"/>
        <w:ind w:left="720"/>
        <w:rPr>
          <w:rFonts w:ascii="Arial" w:hAnsi="Arial" w:cs="Arial"/>
          <w:noProof/>
          <w:sz w:val="22"/>
          <w:szCs w:val="22"/>
          <w:lang w:val="es-ES_tradnl"/>
        </w:rPr>
      </w:pPr>
      <w:r w:rsidRPr="00007908">
        <w:rPr>
          <w:rFonts w:ascii="Arial" w:hAnsi="Arial" w:cs="Arial"/>
          <w:noProof/>
          <w:sz w:val="22"/>
          <w:szCs w:val="22"/>
          <w:lang w:val="es-ES_tradnl"/>
        </w:rPr>
        <w:fldChar w:fldCharType="begin"/>
      </w:r>
      <w:r w:rsidRPr="00007908">
        <w:rPr>
          <w:rFonts w:ascii="Arial" w:hAnsi="Arial" w:cs="Arial"/>
          <w:noProof/>
          <w:sz w:val="22"/>
          <w:szCs w:val="22"/>
          <w:lang w:val="es-ES_tradnl"/>
        </w:rPr>
        <w:instrText xml:space="preserve"> SEQ "</w:instrText>
      </w:r>
      <w:r w:rsidRPr="00007908">
        <w:rPr>
          <w:rFonts w:ascii="Arial" w:hAnsi="Arial" w:cs="Arial"/>
          <w:noProof/>
          <w:sz w:val="22"/>
          <w:szCs w:val="22"/>
          <w:lang w:val="es-ES_tradnl"/>
        </w:rPr>
        <w:fldChar w:fldCharType="begin"/>
      </w:r>
      <w:r w:rsidRPr="00007908">
        <w:rPr>
          <w:rFonts w:ascii="Arial" w:hAnsi="Arial" w:cs="Arial"/>
          <w:noProof/>
          <w:sz w:val="22"/>
          <w:szCs w:val="22"/>
          <w:lang w:val="es-ES_tradnl"/>
        </w:rPr>
        <w:instrText xml:space="preserve"> SECTION  \* MERGEFORMAT </w:instrText>
      </w:r>
      <w:r w:rsidRPr="00007908">
        <w:rPr>
          <w:rFonts w:ascii="Arial" w:hAnsi="Arial" w:cs="Arial"/>
          <w:noProof/>
          <w:sz w:val="22"/>
          <w:szCs w:val="22"/>
          <w:lang w:val="es-ES_tradnl"/>
        </w:rPr>
        <w:fldChar w:fldCharType="separate"/>
      </w:r>
      <w:r w:rsidRPr="00007908">
        <w:rPr>
          <w:rFonts w:ascii="Arial" w:hAnsi="Arial" w:cs="Arial"/>
          <w:noProof/>
          <w:sz w:val="22"/>
          <w:szCs w:val="22"/>
          <w:lang w:val="es-ES_tradnl"/>
        </w:rPr>
        <w:instrText>3</w:instrText>
      </w:r>
      <w:r w:rsidRPr="00007908">
        <w:rPr>
          <w:rFonts w:ascii="Arial" w:hAnsi="Arial" w:cs="Arial"/>
          <w:noProof/>
          <w:sz w:val="22"/>
          <w:szCs w:val="22"/>
          <w:lang w:val="es-ES_tradnl"/>
        </w:rPr>
        <w:fldChar w:fldCharType="end"/>
      </w:r>
      <w:r w:rsidRPr="00007908">
        <w:rPr>
          <w:rFonts w:ascii="Arial" w:hAnsi="Arial" w:cs="Arial"/>
          <w:noProof/>
          <w:sz w:val="22"/>
          <w:szCs w:val="22"/>
          <w:lang w:val="es-ES_tradnl"/>
        </w:rPr>
        <w:instrText xml:space="preserve">#"\* ALPHABETIC \* MERGEFORMAT </w:instrText>
      </w:r>
      <w:r w:rsidRPr="00007908">
        <w:rPr>
          <w:rFonts w:ascii="Arial" w:hAnsi="Arial" w:cs="Arial"/>
          <w:noProof/>
          <w:sz w:val="22"/>
          <w:szCs w:val="22"/>
          <w:lang w:val="es-ES_tradnl"/>
        </w:rPr>
        <w:fldChar w:fldCharType="separate"/>
      </w:r>
      <w:bookmarkStart w:id="3" w:name="_Toc331167633"/>
      <w:bookmarkStart w:id="4" w:name="_Toc419987560"/>
      <w:r w:rsidRPr="00007908">
        <w:rPr>
          <w:rFonts w:ascii="Arial" w:hAnsi="Arial" w:cs="Arial"/>
          <w:noProof/>
          <w:sz w:val="22"/>
          <w:szCs w:val="22"/>
          <w:lang w:val="es-ES_tradnl"/>
        </w:rPr>
        <w:t>A</w:t>
      </w:r>
      <w:r w:rsidRPr="00007908">
        <w:rPr>
          <w:rFonts w:ascii="Arial" w:hAnsi="Arial" w:cs="Arial"/>
          <w:noProof/>
          <w:sz w:val="22"/>
          <w:szCs w:val="22"/>
          <w:lang w:val="es-ES_tradnl"/>
        </w:rPr>
        <w:fldChar w:fldCharType="end"/>
      </w:r>
      <w:r w:rsidRPr="00007908">
        <w:rPr>
          <w:rFonts w:ascii="Arial" w:hAnsi="Arial" w:cs="Arial"/>
          <w:noProof/>
          <w:sz w:val="22"/>
          <w:szCs w:val="22"/>
          <w:lang w:val="es-ES_tradnl"/>
        </w:rPr>
        <w:t>.</w:t>
      </w:r>
      <w:r w:rsidRPr="00007908">
        <w:rPr>
          <w:rFonts w:ascii="Arial" w:hAnsi="Arial" w:cs="Arial"/>
          <w:noProof/>
          <w:sz w:val="22"/>
          <w:szCs w:val="22"/>
          <w:lang w:val="es-ES_tradnl"/>
        </w:rPr>
        <w:tab/>
        <w:t>Marco General</w:t>
      </w:r>
      <w:bookmarkEnd w:id="3"/>
      <w:bookmarkEnd w:id="4"/>
    </w:p>
    <w:p w:rsidR="005652CC" w:rsidRPr="00F618D2" w:rsidRDefault="00C605F0" w:rsidP="005652CC">
      <w:pPr>
        <w:pStyle w:val="Paragraph"/>
        <w:numPr>
          <w:ilvl w:val="1"/>
          <w:numId w:val="3"/>
        </w:numPr>
        <w:tabs>
          <w:tab w:val="clear" w:pos="1746"/>
          <w:tab w:val="num" w:pos="720"/>
        </w:tabs>
        <w:ind w:left="720" w:hanging="720"/>
        <w:rPr>
          <w:rFonts w:ascii="Arial" w:hAnsi="Arial" w:cs="Arial"/>
          <w:sz w:val="22"/>
          <w:szCs w:val="22"/>
          <w:lang w:val="es-ES_tradnl"/>
        </w:rPr>
      </w:pPr>
      <w:bookmarkStart w:id="5" w:name="_Ref401226893"/>
      <w:r w:rsidRPr="00F618D2">
        <w:rPr>
          <w:rFonts w:ascii="Arial" w:hAnsi="Arial" w:cs="Arial"/>
          <w:sz w:val="22"/>
          <w:szCs w:val="22"/>
          <w:lang w:val="es-ES_tradnl"/>
        </w:rPr>
        <w:t>La operación ME-L1172 “Programa Financiero para la Inversión y Gestión de Riesgos en Proyectos de Gas y Energía Renovable” tiene como objetivo incrementar las inversiones en infraestructura de gas y de generación a partir de energías renovables para contribuir a elevar la eficiencia energética del sistema minimizando las emisiones de GEI en México.</w:t>
      </w:r>
    </w:p>
    <w:p w:rsidR="00C605F0" w:rsidRPr="00F618D2" w:rsidRDefault="005652CC" w:rsidP="00FB74C5">
      <w:pPr>
        <w:pStyle w:val="Paragraph"/>
        <w:numPr>
          <w:ilvl w:val="1"/>
          <w:numId w:val="3"/>
        </w:numPr>
        <w:tabs>
          <w:tab w:val="clear" w:pos="174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El crecimiento sostenible de México en los últimos años, unido a una ambiciosa agenda reformista destinada a reducir las restricciones a la competencia y mejorar el funcionamiento de los mercados, incrementará las perspectivas de crecimiento a medio plazo. Una de las piezas más importantes de las reformas estructurales impulsadas por </w:t>
      </w:r>
      <w:r w:rsidR="00817584" w:rsidRPr="00F618D2">
        <w:rPr>
          <w:rFonts w:ascii="Arial" w:hAnsi="Arial" w:cs="Arial"/>
          <w:sz w:val="22"/>
          <w:szCs w:val="22"/>
          <w:lang w:val="es-ES_tradnl"/>
        </w:rPr>
        <w:t xml:space="preserve">el </w:t>
      </w:r>
      <w:r w:rsidRPr="00F618D2">
        <w:rPr>
          <w:rFonts w:ascii="Arial" w:hAnsi="Arial" w:cs="Arial"/>
          <w:sz w:val="22"/>
          <w:szCs w:val="22"/>
          <w:lang w:val="es-ES_tradnl"/>
        </w:rPr>
        <w:t xml:space="preserve">Gobierno de México (GdM) ha sido la reforma del sector energético. Dentro del sector eléctrico, el gobierno asumió el compromiso de reducir de reducir sus emisiones de GEI en un 30% para 2020 y se propone alcanzar un 35% de la generación de energía eléctrica de fuentes no fósiles a 2024. Esta es una meta ambiciosa que se podría lograr con una fuerte inversión en ER y con la combinación en la matriz de cogeneración y gas. </w:t>
      </w:r>
    </w:p>
    <w:p w:rsidR="004301E9" w:rsidRPr="00F618D2" w:rsidRDefault="00F15A0B" w:rsidP="004301E9">
      <w:pPr>
        <w:pStyle w:val="Paragraph"/>
        <w:numPr>
          <w:ilvl w:val="1"/>
          <w:numId w:val="3"/>
        </w:numPr>
        <w:tabs>
          <w:tab w:val="clear" w:pos="1746"/>
          <w:tab w:val="num" w:pos="720"/>
        </w:tabs>
        <w:ind w:left="720" w:hanging="720"/>
        <w:rPr>
          <w:rFonts w:ascii="Arial" w:hAnsi="Arial" w:cs="Arial"/>
          <w:sz w:val="22"/>
          <w:szCs w:val="22"/>
          <w:lang w:val="es-ES_tradnl"/>
        </w:rPr>
      </w:pPr>
      <w:r w:rsidRPr="00F618D2">
        <w:rPr>
          <w:rFonts w:ascii="Arial" w:hAnsi="Arial" w:cs="Arial"/>
          <w:sz w:val="22"/>
          <w:szCs w:val="22"/>
          <w:lang w:val="es-ES_tradnl"/>
        </w:rPr>
        <w:t>Las grandes restricciones de financiamiento a las que se enfrenta México hace necesario desarrollar mecanismos que faciliten la financiación a largo plazo para proyectos de infraestructura. Dentro de las alternativas, la reforma financiera impulsada por el gobierno en 2013 reconoce el papel fundamental que tiene la Banca Pública de Desarrollo</w:t>
      </w:r>
      <w:r w:rsidR="00CE7053" w:rsidRPr="00F618D2">
        <w:rPr>
          <w:rStyle w:val="FootnoteReference"/>
          <w:rFonts w:ascii="Arial" w:hAnsi="Arial" w:cs="Arial"/>
          <w:sz w:val="22"/>
          <w:szCs w:val="22"/>
          <w:lang w:val="es-ES_tradnl"/>
        </w:rPr>
        <w:footnoteReference w:id="1"/>
      </w:r>
      <w:r w:rsidRPr="00F618D2">
        <w:rPr>
          <w:rFonts w:ascii="Arial" w:hAnsi="Arial" w:cs="Arial"/>
          <w:sz w:val="22"/>
          <w:szCs w:val="22"/>
          <w:lang w:val="es-ES_tradnl"/>
        </w:rPr>
        <w:t xml:space="preserve"> (BPD) como instrumento para promover el financiamiento a largo plazo, especialmente en los sectores estratégicos y más desatendidos por la banca comercial</w:t>
      </w:r>
      <w:r w:rsidR="004301E9" w:rsidRPr="00F618D2">
        <w:rPr>
          <w:rFonts w:ascii="Arial" w:hAnsi="Arial" w:cs="Arial"/>
          <w:sz w:val="22"/>
          <w:szCs w:val="22"/>
          <w:lang w:val="es-ES_tradnl"/>
        </w:rPr>
        <w:t>.</w:t>
      </w:r>
    </w:p>
    <w:p w:rsidR="004E0308" w:rsidRPr="00F618D2" w:rsidRDefault="007600C9" w:rsidP="004E0308">
      <w:pPr>
        <w:pStyle w:val="Paragraph"/>
        <w:numPr>
          <w:ilvl w:val="1"/>
          <w:numId w:val="3"/>
        </w:numPr>
        <w:tabs>
          <w:tab w:val="clear" w:pos="174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Dentro de las intervenciones previstas, el programa incide en </w:t>
      </w:r>
      <w:r w:rsidR="00FF7184" w:rsidRPr="00F618D2">
        <w:rPr>
          <w:rFonts w:ascii="Arial" w:hAnsi="Arial" w:cs="Arial"/>
          <w:sz w:val="22"/>
          <w:szCs w:val="22"/>
          <w:lang w:val="es-ES_tradnl"/>
        </w:rPr>
        <w:t>dos</w:t>
      </w:r>
      <w:r w:rsidRPr="00F618D2">
        <w:rPr>
          <w:rFonts w:ascii="Arial" w:hAnsi="Arial" w:cs="Arial"/>
          <w:sz w:val="22"/>
          <w:szCs w:val="22"/>
          <w:lang w:val="es-ES_tradnl"/>
        </w:rPr>
        <w:t xml:space="preserve"> áreas: generación de e</w:t>
      </w:r>
      <w:r w:rsidR="00FF7184" w:rsidRPr="00F618D2">
        <w:rPr>
          <w:rFonts w:ascii="Arial" w:hAnsi="Arial" w:cs="Arial"/>
          <w:sz w:val="22"/>
          <w:szCs w:val="22"/>
          <w:lang w:val="es-ES_tradnl"/>
        </w:rPr>
        <w:t>lectricidad mediante renovables y</w:t>
      </w:r>
      <w:r w:rsidRPr="00F618D2">
        <w:rPr>
          <w:rFonts w:ascii="Arial" w:hAnsi="Arial" w:cs="Arial"/>
          <w:sz w:val="22"/>
          <w:szCs w:val="22"/>
          <w:lang w:val="es-ES_tradnl"/>
        </w:rPr>
        <w:t xml:space="preserve"> cogeneración. En primer lugar, la diversidad de fuentes de energías renovables en México lo sitúa como un país de grandes oportunidades en esta área. Respecto al segundo punto, la cogeneración</w:t>
      </w:r>
      <w:r w:rsidRPr="00F618D2">
        <w:rPr>
          <w:rFonts w:ascii="Arial" w:hAnsi="Arial" w:cs="Arial"/>
          <w:sz w:val="22"/>
          <w:szCs w:val="22"/>
          <w:vertAlign w:val="superscript"/>
        </w:rPr>
        <w:footnoteReference w:id="2"/>
      </w:r>
      <w:r w:rsidRPr="00F618D2">
        <w:rPr>
          <w:rFonts w:ascii="Arial" w:hAnsi="Arial" w:cs="Arial"/>
          <w:sz w:val="22"/>
          <w:szCs w:val="22"/>
          <w:lang w:val="es-ES_tradnl"/>
        </w:rPr>
        <w:t xml:space="preserve"> contribuye también a reducir las emisiones de CO</w:t>
      </w:r>
      <w:r w:rsidRPr="00F618D2">
        <w:rPr>
          <w:rFonts w:ascii="Arial" w:hAnsi="Arial" w:cs="Arial"/>
          <w:sz w:val="22"/>
          <w:szCs w:val="22"/>
          <w:vertAlign w:val="subscript"/>
          <w:lang w:val="es-ES_tradnl"/>
        </w:rPr>
        <w:t>2</w:t>
      </w:r>
      <w:r w:rsidRPr="00F618D2">
        <w:rPr>
          <w:rFonts w:ascii="Arial" w:hAnsi="Arial" w:cs="Arial"/>
          <w:sz w:val="22"/>
          <w:szCs w:val="22"/>
          <w:lang w:val="es-ES_tradnl"/>
        </w:rPr>
        <w:t xml:space="preserve"> debido a su eficiente uso de la energía. </w:t>
      </w:r>
      <w:bookmarkEnd w:id="5"/>
      <w:r w:rsidR="006E1FD3" w:rsidRPr="00F618D2">
        <w:rPr>
          <w:rFonts w:ascii="Arial" w:hAnsi="Arial" w:cs="Arial"/>
          <w:sz w:val="22"/>
          <w:szCs w:val="22"/>
          <w:lang w:val="es-ES_tradnl"/>
        </w:rPr>
        <w:t xml:space="preserve">Ambas intervenciones se </w:t>
      </w:r>
      <w:r w:rsidRPr="00F618D2">
        <w:rPr>
          <w:rFonts w:ascii="Arial" w:hAnsi="Arial" w:cs="Arial"/>
          <w:sz w:val="22"/>
          <w:szCs w:val="22"/>
          <w:lang w:val="es-ES_tradnl"/>
        </w:rPr>
        <w:t>plantea</w:t>
      </w:r>
      <w:r w:rsidR="006E1FD3" w:rsidRPr="00F618D2">
        <w:rPr>
          <w:rFonts w:ascii="Arial" w:hAnsi="Arial" w:cs="Arial"/>
          <w:sz w:val="22"/>
          <w:szCs w:val="22"/>
          <w:lang w:val="es-ES_tradnl"/>
        </w:rPr>
        <w:t>n</w:t>
      </w:r>
      <w:r w:rsidRPr="00F618D2">
        <w:rPr>
          <w:rFonts w:ascii="Arial" w:hAnsi="Arial" w:cs="Arial"/>
          <w:sz w:val="22"/>
          <w:szCs w:val="22"/>
          <w:lang w:val="es-ES_tradnl"/>
        </w:rPr>
        <w:t xml:space="preserve"> en términos de disminución de la intensidad energética</w:t>
      </w:r>
      <w:r w:rsidR="0025251D" w:rsidRPr="00F618D2">
        <w:rPr>
          <w:rFonts w:ascii="Arial" w:hAnsi="Arial" w:cs="Arial"/>
          <w:sz w:val="22"/>
          <w:szCs w:val="22"/>
          <w:lang w:val="es-ES_tradnl"/>
        </w:rPr>
        <w:t xml:space="preserve"> y la reducción de las emisiones de GEI</w:t>
      </w:r>
      <w:r w:rsidRPr="00F618D2">
        <w:rPr>
          <w:rFonts w:ascii="Arial" w:hAnsi="Arial" w:cs="Arial"/>
          <w:sz w:val="22"/>
          <w:szCs w:val="22"/>
          <w:lang w:val="es-ES_tradnl"/>
        </w:rPr>
        <w:t>.</w:t>
      </w:r>
    </w:p>
    <w:p w:rsidR="00051B6C" w:rsidRPr="00F618D2" w:rsidRDefault="004E0308" w:rsidP="00044D3E">
      <w:pPr>
        <w:pStyle w:val="Paragraph"/>
        <w:numPr>
          <w:ilvl w:val="1"/>
          <w:numId w:val="3"/>
        </w:numPr>
        <w:tabs>
          <w:tab w:val="clear" w:pos="174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El programa consistirá en una Operación Global de Crédito y la ejecutará </w:t>
      </w:r>
      <w:r w:rsidR="00633C28" w:rsidRPr="00F618D2">
        <w:rPr>
          <w:rFonts w:ascii="Arial" w:hAnsi="Arial" w:cs="Arial"/>
          <w:sz w:val="22"/>
          <w:szCs w:val="22"/>
          <w:lang w:val="es-ES_tradnl"/>
        </w:rPr>
        <w:t xml:space="preserve">Bancomext, institución de Banca de Desarrollo que contará con la garantía de los Estados Unidos Mexicanos. Bancomext tiene entre sus </w:t>
      </w:r>
      <w:hyperlink r:id="rId15" w:history="1">
        <w:r w:rsidR="007E7701" w:rsidRPr="00F618D2">
          <w:rPr>
            <w:rStyle w:val="Hyperlink"/>
            <w:rFonts w:ascii="Arial" w:hAnsi="Arial" w:cs="Arial"/>
            <w:sz w:val="22"/>
            <w:szCs w:val="22"/>
            <w:lang w:val="es-ES_tradnl"/>
          </w:rPr>
          <w:t>sectores estratégicos</w:t>
        </w:r>
      </w:hyperlink>
      <w:r w:rsidR="00633C28" w:rsidRPr="00F618D2">
        <w:rPr>
          <w:rFonts w:ascii="Arial" w:hAnsi="Arial" w:cs="Arial"/>
          <w:sz w:val="22"/>
          <w:szCs w:val="22"/>
          <w:lang w:val="es-ES_tradnl"/>
        </w:rPr>
        <w:t xml:space="preserve"> el apoyo a proyectos que busquen el uso de energía limpia y eficiente</w:t>
      </w:r>
      <w:r w:rsidR="00044D3E" w:rsidRPr="00F618D2">
        <w:rPr>
          <w:rFonts w:ascii="Arial" w:hAnsi="Arial" w:cs="Arial"/>
          <w:sz w:val="22"/>
          <w:szCs w:val="22"/>
          <w:lang w:val="es-ES_tradnl"/>
        </w:rPr>
        <w:t>. Bancomext</w:t>
      </w:r>
      <w:r w:rsidR="00051B6C" w:rsidRPr="00F618D2">
        <w:rPr>
          <w:rFonts w:ascii="Arial" w:hAnsi="Arial" w:cs="Arial"/>
          <w:sz w:val="22"/>
          <w:szCs w:val="22"/>
          <w:lang w:val="es-ES_tradnl"/>
        </w:rPr>
        <w:t xml:space="preserve"> ejecutará el Programa en el marco de su actual estructura organizativa. Las normas que regirán la </w:t>
      </w:r>
      <w:r w:rsidR="00051B6C" w:rsidRPr="00F618D2">
        <w:rPr>
          <w:rFonts w:ascii="Arial" w:hAnsi="Arial" w:cs="Arial"/>
          <w:sz w:val="22"/>
          <w:szCs w:val="22"/>
          <w:lang w:val="es-ES_tradnl"/>
        </w:rPr>
        <w:lastRenderedPageBreak/>
        <w:t xml:space="preserve">ejecución del programa así como la participación de intermediarios financieros y la elegibilidad de los créditos individuales se establecerán en el ROP acordado entre el Banco y </w:t>
      </w:r>
      <w:r w:rsidR="0052099D" w:rsidRPr="00F618D2">
        <w:rPr>
          <w:rFonts w:ascii="Arial" w:hAnsi="Arial" w:cs="Arial"/>
          <w:sz w:val="22"/>
          <w:szCs w:val="22"/>
          <w:lang w:val="es-ES_tradnl"/>
        </w:rPr>
        <w:t>Bancomext</w:t>
      </w:r>
      <w:r w:rsidR="00051B6C" w:rsidRPr="00F618D2">
        <w:rPr>
          <w:rFonts w:ascii="Arial" w:hAnsi="Arial" w:cs="Arial"/>
          <w:sz w:val="22"/>
          <w:szCs w:val="22"/>
          <w:lang w:val="es-ES_tradnl"/>
        </w:rPr>
        <w:t xml:space="preserve">, de acuerdo con las normas y políticas de </w:t>
      </w:r>
      <w:r w:rsidR="0052099D" w:rsidRPr="00F618D2">
        <w:rPr>
          <w:rFonts w:ascii="Arial" w:hAnsi="Arial" w:cs="Arial"/>
          <w:sz w:val="22"/>
          <w:szCs w:val="22"/>
          <w:lang w:val="es-ES_tradnl"/>
        </w:rPr>
        <w:t>Bancomext</w:t>
      </w:r>
      <w:r w:rsidR="00051B6C" w:rsidRPr="00F618D2">
        <w:rPr>
          <w:rFonts w:ascii="Arial" w:hAnsi="Arial" w:cs="Arial"/>
          <w:sz w:val="22"/>
          <w:szCs w:val="22"/>
          <w:lang w:val="es-ES_tradnl"/>
        </w:rPr>
        <w:t xml:space="preserve"> y del Banco, y con las leyes y prácticas financieras del país. El Equipo Técnico será el responsable de la administración técnica y operativa del Programa. </w:t>
      </w:r>
    </w:p>
    <w:p w:rsidR="00051B6C" w:rsidRPr="00F618D2" w:rsidRDefault="00051B6C" w:rsidP="00051B6C">
      <w:pPr>
        <w:pStyle w:val="FirstHeading"/>
        <w:ind w:left="720"/>
        <w:rPr>
          <w:rFonts w:ascii="Arial" w:hAnsi="Arial" w:cs="Arial"/>
          <w:noProof/>
          <w:sz w:val="22"/>
          <w:szCs w:val="22"/>
          <w:lang w:val="es-ES_tradnl"/>
        </w:rPr>
      </w:pPr>
      <w:bookmarkStart w:id="6" w:name="_Toc419987561"/>
      <w:r w:rsidRPr="00F618D2">
        <w:rPr>
          <w:rFonts w:ascii="Arial" w:hAnsi="Arial" w:cs="Arial"/>
          <w:noProof/>
          <w:sz w:val="22"/>
          <w:szCs w:val="22"/>
          <w:lang w:val="es-ES_tradnl"/>
        </w:rPr>
        <w:t>B.</w:t>
      </w:r>
      <w:r w:rsidRPr="00F618D2">
        <w:rPr>
          <w:rFonts w:ascii="Arial" w:hAnsi="Arial" w:cs="Arial"/>
          <w:noProof/>
          <w:sz w:val="22"/>
          <w:szCs w:val="22"/>
          <w:lang w:val="es-ES_tradnl"/>
        </w:rPr>
        <w:tab/>
        <w:t>Detalle del Esquema de Ejecucion y Monitoreo</w:t>
      </w:r>
      <w:bookmarkEnd w:id="6"/>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Desde el punto de vista técnico y operativo, </w:t>
      </w:r>
      <w:r w:rsidR="00CE7053" w:rsidRPr="00F618D2">
        <w:rPr>
          <w:rFonts w:ascii="Arial" w:hAnsi="Arial" w:cs="Arial"/>
          <w:sz w:val="22"/>
          <w:szCs w:val="22"/>
          <w:lang w:val="es-ES_tradnl"/>
        </w:rPr>
        <w:t>Bancomext</w:t>
      </w:r>
      <w:r w:rsidRPr="00F618D2">
        <w:rPr>
          <w:rFonts w:ascii="Arial" w:hAnsi="Arial" w:cs="Arial"/>
          <w:sz w:val="22"/>
          <w:szCs w:val="22"/>
          <w:lang w:val="es-ES_tradnl"/>
        </w:rPr>
        <w:t xml:space="preserve"> utilizará su actual infraestructura y sistemas para la ejecución del programa, a través de las siguientes Direcciones:</w:t>
      </w:r>
    </w:p>
    <w:p w:rsidR="00051B6C" w:rsidRPr="00F618D2" w:rsidRDefault="00051B6C" w:rsidP="00051B6C">
      <w:pPr>
        <w:pStyle w:val="subpar"/>
        <w:rPr>
          <w:rFonts w:ascii="Arial" w:hAnsi="Arial" w:cs="Arial"/>
          <w:sz w:val="22"/>
          <w:szCs w:val="22"/>
          <w:lang w:val="es-ES_tradnl"/>
        </w:rPr>
      </w:pPr>
      <w:r w:rsidRPr="00F618D2">
        <w:rPr>
          <w:rFonts w:ascii="Arial" w:hAnsi="Arial" w:cs="Arial"/>
          <w:sz w:val="22"/>
          <w:szCs w:val="22"/>
          <w:lang w:val="es-ES_tradnl"/>
        </w:rPr>
        <w:t xml:space="preserve">La Dirección General Adjunta de </w:t>
      </w:r>
      <w:r w:rsidR="00070947" w:rsidRPr="00F618D2">
        <w:rPr>
          <w:rFonts w:ascii="Arial" w:hAnsi="Arial" w:cs="Arial"/>
          <w:sz w:val="22"/>
          <w:szCs w:val="22"/>
          <w:lang w:val="es-ES_tradnl"/>
        </w:rPr>
        <w:t xml:space="preserve">Administración y </w:t>
      </w:r>
      <w:r w:rsidRPr="00F618D2">
        <w:rPr>
          <w:rFonts w:ascii="Arial" w:hAnsi="Arial" w:cs="Arial"/>
          <w:sz w:val="22"/>
          <w:szCs w:val="22"/>
          <w:lang w:val="es-ES_tradnl"/>
        </w:rPr>
        <w:t>Finanzas servirá en calidad de Agente Financiero y se encargará de: (i) seleccionar las fuentes de fondeo y la optimi</w:t>
      </w:r>
      <w:r w:rsidRPr="00F618D2">
        <w:rPr>
          <w:rFonts w:ascii="Arial" w:hAnsi="Arial" w:cs="Arial"/>
          <w:sz w:val="22"/>
          <w:szCs w:val="22"/>
          <w:lang w:val="es-ES_tradnl"/>
        </w:rPr>
        <w:softHyphen/>
        <w:t xml:space="preserve">zación en la asignación de recursos en </w:t>
      </w:r>
      <w:r w:rsidR="00070947" w:rsidRPr="00F618D2">
        <w:rPr>
          <w:rFonts w:ascii="Arial" w:hAnsi="Arial" w:cs="Arial"/>
          <w:sz w:val="22"/>
          <w:szCs w:val="22"/>
          <w:lang w:val="es-ES_tradnl"/>
        </w:rPr>
        <w:t>Bancomext</w:t>
      </w:r>
      <w:r w:rsidRPr="00F618D2">
        <w:rPr>
          <w:rFonts w:ascii="Arial" w:hAnsi="Arial" w:cs="Arial"/>
          <w:sz w:val="22"/>
          <w:szCs w:val="22"/>
          <w:lang w:val="es-ES_tradnl"/>
        </w:rPr>
        <w:t>; (ii) administrar los recursos del préstamo; (iii) preparar los reportes financieros correspon</w:t>
      </w:r>
      <w:r w:rsidRPr="00F618D2">
        <w:rPr>
          <w:rFonts w:ascii="Arial" w:hAnsi="Arial" w:cs="Arial"/>
          <w:sz w:val="22"/>
          <w:szCs w:val="22"/>
          <w:lang w:val="es-ES_tradnl"/>
        </w:rPr>
        <w:softHyphen/>
        <w:t>dientes; y (iv) realizar solicitudes de desembolsos del préstamo y el corres</w:t>
      </w:r>
      <w:r w:rsidRPr="00F618D2">
        <w:rPr>
          <w:rFonts w:ascii="Arial" w:hAnsi="Arial" w:cs="Arial"/>
          <w:sz w:val="22"/>
          <w:szCs w:val="22"/>
          <w:lang w:val="es-ES_tradnl"/>
        </w:rPr>
        <w:softHyphen/>
        <w:t>pon</w:t>
      </w:r>
      <w:r w:rsidRPr="00F618D2">
        <w:rPr>
          <w:rFonts w:ascii="Arial" w:hAnsi="Arial" w:cs="Arial"/>
          <w:sz w:val="22"/>
          <w:szCs w:val="22"/>
          <w:lang w:val="es-ES_tradnl"/>
        </w:rPr>
        <w:softHyphen/>
        <w:t>diente servicio de la deuda.</w:t>
      </w:r>
    </w:p>
    <w:p w:rsidR="00051B6C" w:rsidRPr="00F618D2" w:rsidRDefault="000E4DAA" w:rsidP="00051B6C">
      <w:pPr>
        <w:pStyle w:val="subpar"/>
        <w:rPr>
          <w:rFonts w:ascii="Arial" w:hAnsi="Arial" w:cs="Arial"/>
          <w:sz w:val="22"/>
          <w:szCs w:val="22"/>
          <w:lang w:val="es-ES_tradnl"/>
        </w:rPr>
      </w:pPr>
      <w:r w:rsidRPr="00F618D2">
        <w:rPr>
          <w:rFonts w:ascii="Arial" w:hAnsi="Arial" w:cs="Arial"/>
          <w:sz w:val="22"/>
          <w:szCs w:val="22"/>
          <w:lang w:val="es-ES_tradnl"/>
        </w:rPr>
        <w:t xml:space="preserve">La Dirección General Adjunta de Relaciones Institucionales e </w:t>
      </w:r>
      <w:r w:rsidR="00051B6C" w:rsidRPr="00F618D2">
        <w:rPr>
          <w:rFonts w:ascii="Arial" w:hAnsi="Arial" w:cs="Arial"/>
          <w:sz w:val="22"/>
          <w:szCs w:val="22"/>
          <w:lang w:val="es-ES_tradnl"/>
        </w:rPr>
        <w:t>Internacionales</w:t>
      </w:r>
      <w:r w:rsidR="00051B6C" w:rsidRPr="00F618D2">
        <w:rPr>
          <w:rFonts w:ascii="Arial" w:hAnsi="Arial" w:cs="Arial"/>
          <w:bCs/>
          <w:color w:val="000000"/>
          <w:sz w:val="22"/>
          <w:szCs w:val="22"/>
          <w:lang w:val="es-ES_tradnl"/>
        </w:rPr>
        <w:t xml:space="preserve">, </w:t>
      </w:r>
      <w:r w:rsidR="00051B6C" w:rsidRPr="00F618D2">
        <w:rPr>
          <w:rFonts w:ascii="Arial" w:hAnsi="Arial" w:cs="Arial"/>
          <w:sz w:val="22"/>
          <w:szCs w:val="22"/>
          <w:lang w:val="es-ES_tradnl"/>
        </w:rPr>
        <w:t xml:space="preserve">en su  calidad de Unidad Coordinadora del Proyecto, será el canal de comunicación y contacto con el Banco. En este sentido, se encargará de las actividades de: (i) coordinación y supervisión de las acciones de los desarrolladores que reciban financiamiento; (ii) monitoreo del cumplimiento de los compromisos contractuales; y (iii) coordinación de las visitas y misiones de supervisión del Banco. </w:t>
      </w:r>
    </w:p>
    <w:p w:rsidR="00051B6C" w:rsidRPr="00F618D2" w:rsidRDefault="00051B6C" w:rsidP="00051B6C">
      <w:pPr>
        <w:pStyle w:val="subpar"/>
        <w:rPr>
          <w:rFonts w:ascii="Arial" w:hAnsi="Arial" w:cs="Arial"/>
          <w:sz w:val="22"/>
          <w:szCs w:val="22"/>
          <w:lang w:val="es-ES_tradnl"/>
        </w:rPr>
      </w:pPr>
      <w:r w:rsidRPr="00F618D2">
        <w:rPr>
          <w:rFonts w:ascii="Arial" w:hAnsi="Arial" w:cs="Arial"/>
          <w:sz w:val="22"/>
          <w:szCs w:val="22"/>
          <w:lang w:val="es-ES_tradnl"/>
        </w:rPr>
        <w:t>La</w:t>
      </w:r>
      <w:r w:rsidR="00A71CFC" w:rsidRPr="00F618D2">
        <w:rPr>
          <w:rFonts w:ascii="Arial" w:hAnsi="Arial" w:cs="Arial"/>
          <w:sz w:val="22"/>
          <w:szCs w:val="22"/>
          <w:lang w:val="es-ES_tradnl"/>
        </w:rPr>
        <w:t xml:space="preserve"> Dirección General Adjunta Financiera </w:t>
      </w:r>
      <w:r w:rsidR="0025251D" w:rsidRPr="00F618D2">
        <w:rPr>
          <w:rFonts w:ascii="Arial" w:hAnsi="Arial" w:cs="Arial"/>
          <w:sz w:val="22"/>
          <w:szCs w:val="22"/>
          <w:lang w:val="es-ES_tradnl"/>
        </w:rPr>
        <w:t>administrar</w:t>
      </w:r>
      <w:r w:rsidR="00A71CFC" w:rsidRPr="00F618D2">
        <w:rPr>
          <w:rFonts w:ascii="Arial" w:hAnsi="Arial" w:cs="Arial"/>
          <w:sz w:val="22"/>
          <w:szCs w:val="22"/>
          <w:lang w:val="es-ES_tradnl"/>
        </w:rPr>
        <w:t>á</w:t>
      </w:r>
      <w:r w:rsidR="0025251D" w:rsidRPr="00F618D2">
        <w:rPr>
          <w:rFonts w:ascii="Arial" w:hAnsi="Arial" w:cs="Arial"/>
          <w:sz w:val="22"/>
          <w:szCs w:val="22"/>
          <w:lang w:val="es-ES_tradnl"/>
        </w:rPr>
        <w:t xml:space="preserve"> </w:t>
      </w:r>
      <w:r w:rsidRPr="00F618D2">
        <w:rPr>
          <w:rFonts w:ascii="Arial" w:hAnsi="Arial" w:cs="Arial"/>
          <w:sz w:val="22"/>
          <w:szCs w:val="22"/>
          <w:lang w:val="es-ES_tradnl"/>
        </w:rPr>
        <w:t xml:space="preserve"> la aplicación de los recursos de fondeo del Programa de Financiamiento para </w:t>
      </w:r>
      <w:r w:rsidR="0025251D" w:rsidRPr="00F618D2">
        <w:rPr>
          <w:rFonts w:ascii="Arial" w:hAnsi="Arial" w:cs="Arial"/>
          <w:sz w:val="22"/>
          <w:szCs w:val="22"/>
          <w:lang w:val="es-ES_tradnl"/>
        </w:rPr>
        <w:t xml:space="preserve">la Eficiencia </w:t>
      </w:r>
      <w:r w:rsidR="007D7B6E" w:rsidRPr="00F618D2">
        <w:rPr>
          <w:rFonts w:ascii="Arial" w:hAnsi="Arial" w:cs="Arial"/>
          <w:sz w:val="22"/>
          <w:szCs w:val="22"/>
          <w:lang w:val="es-ES_tradnl"/>
        </w:rPr>
        <w:t>Energética</w:t>
      </w:r>
      <w:r w:rsidR="0025251D" w:rsidRPr="00F618D2">
        <w:rPr>
          <w:rFonts w:ascii="Arial" w:hAnsi="Arial" w:cs="Arial"/>
          <w:sz w:val="22"/>
          <w:szCs w:val="22"/>
          <w:lang w:val="es-ES_tradnl"/>
        </w:rPr>
        <w:t xml:space="preserve"> y las </w:t>
      </w:r>
      <w:r w:rsidR="007D7B6E" w:rsidRPr="00F618D2">
        <w:rPr>
          <w:rFonts w:ascii="Arial" w:hAnsi="Arial" w:cs="Arial"/>
          <w:sz w:val="22"/>
          <w:szCs w:val="22"/>
          <w:lang w:val="es-ES_tradnl"/>
        </w:rPr>
        <w:t>Energías</w:t>
      </w:r>
      <w:r w:rsidR="0025251D" w:rsidRPr="00F618D2">
        <w:rPr>
          <w:rFonts w:ascii="Arial" w:hAnsi="Arial" w:cs="Arial"/>
          <w:sz w:val="22"/>
          <w:szCs w:val="22"/>
          <w:lang w:val="es-ES_tradnl"/>
        </w:rPr>
        <w:t xml:space="preserve"> Limpias</w:t>
      </w:r>
      <w:r w:rsidR="006F2C7D" w:rsidRPr="00F618D2">
        <w:rPr>
          <w:rFonts w:ascii="Arial" w:hAnsi="Arial" w:cs="Arial"/>
          <w:sz w:val="22"/>
          <w:szCs w:val="22"/>
          <w:lang w:val="es-ES_tradnl"/>
        </w:rPr>
        <w:t xml:space="preserve"> (renovables y cogeneración), </w:t>
      </w:r>
      <w:r w:rsidRPr="00F618D2">
        <w:rPr>
          <w:rFonts w:ascii="Arial" w:hAnsi="Arial" w:cs="Arial"/>
          <w:sz w:val="22"/>
          <w:szCs w:val="22"/>
          <w:lang w:val="es-ES_tradnl"/>
        </w:rPr>
        <w:t>incluyendo del desarrollo de una cartera de proyectos bancables que podrían ser elegibles para los recursos del préstamo del Banco.</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Todas las operaciones otorgadas a beneficiarios elegibles que serán financiadas por medio del Programa deberán ser aprobadas por </w:t>
      </w:r>
      <w:r w:rsidR="00114423" w:rsidRPr="00F618D2">
        <w:rPr>
          <w:rFonts w:ascii="Arial" w:hAnsi="Arial" w:cs="Arial"/>
          <w:sz w:val="22"/>
          <w:szCs w:val="22"/>
          <w:lang w:val="es-ES_tradnl"/>
        </w:rPr>
        <w:t>Bancomext</w:t>
      </w:r>
      <w:r w:rsidRPr="00F618D2">
        <w:rPr>
          <w:rFonts w:ascii="Arial" w:hAnsi="Arial" w:cs="Arial"/>
          <w:sz w:val="22"/>
          <w:szCs w:val="22"/>
          <w:lang w:val="es-ES_tradnl"/>
        </w:rPr>
        <w:t xml:space="preserve"> conforme con el Contrato de Préstamo, el Reglamento Operativo y su normatividad aplicable. </w:t>
      </w:r>
      <w:bookmarkStart w:id="7" w:name="_Ref198614842"/>
    </w:p>
    <w:bookmarkEnd w:id="7"/>
    <w:p w:rsidR="00051B6C" w:rsidRPr="00F618D2" w:rsidRDefault="00051B6C" w:rsidP="00051B6C">
      <w:pPr>
        <w:pStyle w:val="Paragraph"/>
        <w:tabs>
          <w:tab w:val="clear" w:pos="2736"/>
          <w:tab w:val="num" w:pos="720"/>
        </w:tabs>
        <w:ind w:left="720" w:hanging="720"/>
        <w:rPr>
          <w:rFonts w:ascii="Arial" w:hAnsi="Arial" w:cs="Arial"/>
          <w:sz w:val="22"/>
          <w:szCs w:val="22"/>
          <w:lang w:val="es-ES"/>
        </w:rPr>
      </w:pPr>
      <w:r w:rsidRPr="00F618D2">
        <w:rPr>
          <w:rFonts w:ascii="Arial" w:hAnsi="Arial" w:cs="Arial"/>
          <w:sz w:val="22"/>
          <w:szCs w:val="22"/>
          <w:lang w:val="es-ES_tradnl"/>
        </w:rPr>
        <w:t xml:space="preserve">Será responsabilidad de </w:t>
      </w:r>
      <w:r w:rsidR="00114423" w:rsidRPr="00F618D2">
        <w:rPr>
          <w:rFonts w:ascii="Arial" w:hAnsi="Arial" w:cs="Arial"/>
          <w:sz w:val="22"/>
          <w:szCs w:val="22"/>
          <w:lang w:val="es-ES_tradnl"/>
        </w:rPr>
        <w:t>Bancomext</w:t>
      </w:r>
      <w:r w:rsidRPr="00F618D2">
        <w:rPr>
          <w:rFonts w:ascii="Arial" w:hAnsi="Arial" w:cs="Arial"/>
          <w:sz w:val="22"/>
          <w:szCs w:val="22"/>
          <w:lang w:val="es-ES_tradnl"/>
        </w:rPr>
        <w:t xml:space="preserve"> cerciorarse de la elegibilidad del beneficiario final para recibir financiamiento del Programa, así como de la elegibilidad del uso y destino del crédito final, y de vigilar por el cumplimiento de los requisitos establecidos en el Contrato de Préstamo, en el Reglamento Operativo y en las disposiciones legales correspondientes. </w:t>
      </w:r>
      <w:r w:rsidRPr="00F618D2">
        <w:rPr>
          <w:rFonts w:ascii="Arial" w:hAnsi="Arial" w:cs="Arial"/>
          <w:sz w:val="22"/>
          <w:szCs w:val="22"/>
          <w:lang w:val="es-ES"/>
        </w:rPr>
        <w:t xml:space="preserve">Para ser sujetos de crédito, </w:t>
      </w:r>
      <w:r w:rsidR="00C56A33" w:rsidRPr="00F618D2">
        <w:rPr>
          <w:rFonts w:ascii="Arial" w:hAnsi="Arial" w:cs="Arial"/>
          <w:sz w:val="22"/>
          <w:szCs w:val="22"/>
          <w:lang w:val="es-ES"/>
        </w:rPr>
        <w:t>Bancomext</w:t>
      </w:r>
      <w:r w:rsidRPr="00F618D2">
        <w:rPr>
          <w:rFonts w:ascii="Arial" w:hAnsi="Arial" w:cs="Arial"/>
          <w:sz w:val="22"/>
          <w:szCs w:val="22"/>
          <w:lang w:val="es-ES"/>
        </w:rPr>
        <w:t xml:space="preserve"> deberá velar por que los beneficiarios finales estén esta</w:t>
      </w:r>
      <w:r w:rsidRPr="00F618D2">
        <w:rPr>
          <w:rFonts w:ascii="Arial" w:hAnsi="Arial" w:cs="Arial"/>
          <w:sz w:val="22"/>
          <w:szCs w:val="22"/>
          <w:lang w:val="es-ES"/>
        </w:rPr>
        <w:softHyphen/>
        <w:t>ble</w:t>
      </w:r>
      <w:r w:rsidRPr="00F618D2">
        <w:rPr>
          <w:rFonts w:ascii="Arial" w:hAnsi="Arial" w:cs="Arial"/>
          <w:sz w:val="22"/>
          <w:szCs w:val="22"/>
          <w:lang w:val="es-ES"/>
        </w:rPr>
        <w:softHyphen/>
        <w:t>cidos legal</w:t>
      </w:r>
      <w:r w:rsidRPr="00F618D2">
        <w:rPr>
          <w:rFonts w:ascii="Arial" w:hAnsi="Arial" w:cs="Arial"/>
          <w:sz w:val="22"/>
          <w:szCs w:val="22"/>
          <w:lang w:val="es-ES"/>
        </w:rPr>
        <w:softHyphen/>
        <w:t>mente en el país, cuenten con capacidad administrativa, técnica, finan</w:t>
      </w:r>
      <w:r w:rsidRPr="00F618D2">
        <w:rPr>
          <w:rFonts w:ascii="Arial" w:hAnsi="Arial" w:cs="Arial"/>
          <w:sz w:val="22"/>
          <w:szCs w:val="22"/>
          <w:lang w:val="es-ES"/>
        </w:rPr>
        <w:softHyphen/>
        <w:t>ci</w:t>
      </w:r>
      <w:r w:rsidRPr="00F618D2">
        <w:rPr>
          <w:rFonts w:ascii="Arial" w:hAnsi="Arial" w:cs="Arial"/>
          <w:sz w:val="22"/>
          <w:szCs w:val="22"/>
          <w:lang w:val="es-ES"/>
        </w:rPr>
        <w:softHyphen/>
        <w:t>era y legal para la ejecu</w:t>
      </w:r>
      <w:r w:rsidRPr="00F618D2">
        <w:rPr>
          <w:rFonts w:ascii="Arial" w:hAnsi="Arial" w:cs="Arial"/>
          <w:sz w:val="22"/>
          <w:szCs w:val="22"/>
          <w:lang w:val="es-ES"/>
        </w:rPr>
        <w:softHyphen/>
        <w:t xml:space="preserve">ción de los proyectos financiados. </w:t>
      </w:r>
      <w:r w:rsidR="009440E3" w:rsidRPr="00F618D2">
        <w:rPr>
          <w:rFonts w:ascii="Arial" w:hAnsi="Arial" w:cs="Arial"/>
          <w:sz w:val="22"/>
          <w:szCs w:val="22"/>
          <w:lang w:val="es-ES"/>
        </w:rPr>
        <w:t>Bancomext</w:t>
      </w:r>
      <w:r w:rsidRPr="00F618D2">
        <w:rPr>
          <w:rFonts w:ascii="Arial" w:hAnsi="Arial" w:cs="Arial"/>
          <w:sz w:val="22"/>
          <w:szCs w:val="22"/>
          <w:lang w:val="es-ES"/>
        </w:rPr>
        <w:t>, de acuerdo a lo establecido en las Normas Generales y en el Contrato de Préstamo, permitirá al Banco o a sus representantes,  que inspeccione en cualquier momento el estado de ejecución del programa.</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La supervisión del respaldo de los desembolsos de gastos elegibles se realizará ex-post por parte del Banco. El Banco, en coordinación con </w:t>
      </w:r>
      <w:r w:rsidR="00897949" w:rsidRPr="00F618D2">
        <w:rPr>
          <w:rFonts w:ascii="Arial" w:hAnsi="Arial" w:cs="Arial"/>
          <w:sz w:val="22"/>
          <w:szCs w:val="22"/>
          <w:lang w:val="es-ES_tradnl"/>
        </w:rPr>
        <w:t>Bancomext</w:t>
      </w:r>
      <w:r w:rsidRPr="00F618D2">
        <w:rPr>
          <w:rFonts w:ascii="Arial" w:hAnsi="Arial" w:cs="Arial"/>
          <w:sz w:val="22"/>
          <w:szCs w:val="22"/>
          <w:lang w:val="es-ES_tradnl"/>
        </w:rPr>
        <w:t>, podrá programar visitas de inspección a los sub-prestatarios para verificar el cumplimiento de las condiciones contrac</w:t>
      </w:r>
      <w:r w:rsidRPr="00F618D2">
        <w:rPr>
          <w:rFonts w:ascii="Arial" w:hAnsi="Arial" w:cs="Arial"/>
          <w:sz w:val="22"/>
          <w:szCs w:val="22"/>
          <w:lang w:val="es-ES_tradnl"/>
        </w:rPr>
        <w:softHyphen/>
        <w:t xml:space="preserve">tuales del programa en cuanto al destino de los fondos. </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Las operaciones autorizadas que realice </w:t>
      </w:r>
      <w:r w:rsidR="00897949" w:rsidRPr="00F618D2">
        <w:rPr>
          <w:rFonts w:ascii="Arial" w:hAnsi="Arial" w:cs="Arial"/>
          <w:sz w:val="22"/>
          <w:szCs w:val="22"/>
          <w:lang w:val="es-ES_tradnl"/>
        </w:rPr>
        <w:t>Bancomext</w:t>
      </w:r>
      <w:r w:rsidRPr="00F618D2">
        <w:rPr>
          <w:rFonts w:ascii="Arial" w:hAnsi="Arial" w:cs="Arial"/>
          <w:sz w:val="22"/>
          <w:szCs w:val="22"/>
          <w:lang w:val="es-ES_tradnl"/>
        </w:rPr>
        <w:t xml:space="preserve"> y que se presenten al Banco, para ser reconocidas dentro del programa, deberán estar adecuadamente identificadas en los sistemas de contabilidad de </w:t>
      </w:r>
      <w:r w:rsidR="00897949" w:rsidRPr="00F618D2">
        <w:rPr>
          <w:rFonts w:ascii="Arial" w:hAnsi="Arial" w:cs="Arial"/>
          <w:sz w:val="22"/>
          <w:szCs w:val="22"/>
          <w:lang w:val="es-ES_tradnl"/>
        </w:rPr>
        <w:t>Bancomext</w:t>
      </w:r>
      <w:r w:rsidRPr="00F618D2">
        <w:rPr>
          <w:rFonts w:ascii="Arial" w:hAnsi="Arial" w:cs="Arial"/>
          <w:sz w:val="22"/>
          <w:szCs w:val="22"/>
          <w:lang w:val="es-ES_tradnl"/>
        </w:rPr>
        <w:t xml:space="preserve">. Los registros contables de los diferentes desembolsos realizados para ser reconocidos dentro del programa, deberán estar incluidos dentro de la contabilidad de </w:t>
      </w:r>
      <w:r w:rsidR="00897949" w:rsidRPr="00F618D2">
        <w:rPr>
          <w:rFonts w:ascii="Arial" w:hAnsi="Arial" w:cs="Arial"/>
          <w:sz w:val="22"/>
          <w:szCs w:val="22"/>
          <w:lang w:val="es-ES_tradnl"/>
        </w:rPr>
        <w:t>Bancomext</w:t>
      </w:r>
      <w:r w:rsidRPr="00F618D2">
        <w:rPr>
          <w:rFonts w:ascii="Arial" w:hAnsi="Arial" w:cs="Arial"/>
          <w:sz w:val="22"/>
          <w:szCs w:val="22"/>
          <w:lang w:val="es-ES_tradnl"/>
        </w:rPr>
        <w:t xml:space="preserve"> y ajustarse a lo señalado en los contratos de préstamo. Estos registros contables y los registros auxiliares correspondientes, deberán permitir identificar las condiciones financieras de la operación (moneda, plazo, tasas de interés), el valor del desembolso, las recuperaciones y su eventual re aplicación a los efectos del seguimiento del destino de las mismas, el saldo de la operación y la mora específica de la línea del programa, en caso de presentarse.</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A los efectos de mantener un adecuado control de los movimientos financieros y su correspondencia con los registros contables del programa, y como base para la preparación de los informes de avance financieros, se deberán establecer cuentas específicas a las cuales el Banco girará los recursos solicitados a través de las Solicitudes de Desembolso correspondientes.</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Las actividades de supervisión financiera del Programa incluyen las actividades que se detallan en el cuadro siguiente:</w:t>
      </w:r>
    </w:p>
    <w:tbl>
      <w:tblPr>
        <w:tblW w:w="8028" w:type="dxa"/>
        <w:jc w:val="right"/>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2687"/>
        <w:gridCol w:w="1421"/>
        <w:gridCol w:w="1190"/>
        <w:gridCol w:w="1182"/>
        <w:gridCol w:w="18"/>
      </w:tblGrid>
      <w:tr w:rsidR="00051B6C" w:rsidRPr="00007908" w:rsidTr="00097C57">
        <w:trPr>
          <w:gridAfter w:val="1"/>
          <w:wAfter w:w="18" w:type="dxa"/>
          <w:jc w:val="right"/>
        </w:trPr>
        <w:tc>
          <w:tcPr>
            <w:tcW w:w="8010" w:type="dxa"/>
            <w:gridSpan w:val="5"/>
            <w:tcBorders>
              <w:top w:val="nil"/>
              <w:left w:val="nil"/>
              <w:right w:val="nil"/>
            </w:tcBorders>
          </w:tcPr>
          <w:p w:rsidR="00051B6C" w:rsidRPr="00007908" w:rsidRDefault="00051B6C" w:rsidP="00AF2C5C">
            <w:pPr>
              <w:spacing w:before="120" w:after="120" w:line="240" w:lineRule="auto"/>
              <w:jc w:val="center"/>
              <w:rPr>
                <w:rFonts w:ascii="Arial" w:hAnsi="Arial" w:cs="Arial"/>
                <w:sz w:val="18"/>
                <w:szCs w:val="18"/>
                <w:lang w:val="es-ES"/>
              </w:rPr>
            </w:pPr>
            <w:r w:rsidRPr="00007908">
              <w:rPr>
                <w:rFonts w:ascii="Arial" w:hAnsi="Arial" w:cs="Arial"/>
                <w:b/>
                <w:szCs w:val="18"/>
                <w:lang w:val="es-ES"/>
              </w:rPr>
              <w:t xml:space="preserve">Cuadro 1.2: Plan de Supervisión Financiera del Banco a </w:t>
            </w:r>
            <w:r w:rsidR="004F7E0F" w:rsidRPr="00007908">
              <w:rPr>
                <w:rFonts w:ascii="Arial" w:hAnsi="Arial" w:cs="Arial"/>
                <w:b/>
                <w:szCs w:val="18"/>
                <w:lang w:val="es-ES"/>
              </w:rPr>
              <w:t>Bancomext</w:t>
            </w:r>
          </w:p>
        </w:tc>
      </w:tr>
      <w:tr w:rsidR="00051B6C" w:rsidRPr="00007908" w:rsidTr="00097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33"/>
          <w:jc w:val="right"/>
        </w:trPr>
        <w:tc>
          <w:tcPr>
            <w:tcW w:w="1530" w:type="dxa"/>
            <w:vMerge w:val="restart"/>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097C57">
            <w:pPr>
              <w:spacing w:after="0"/>
              <w:rPr>
                <w:rFonts w:ascii="Arial" w:hAnsi="Arial" w:cs="Arial"/>
                <w:b/>
                <w:bCs/>
                <w:sz w:val="18"/>
                <w:szCs w:val="18"/>
                <w:lang w:val="es-ES_tradnl"/>
              </w:rPr>
            </w:pPr>
            <w:r w:rsidRPr="00007908">
              <w:rPr>
                <w:rFonts w:ascii="Arial" w:hAnsi="Arial" w:cs="Arial"/>
                <w:b/>
                <w:bCs/>
                <w:sz w:val="18"/>
                <w:szCs w:val="18"/>
                <w:lang w:val="es-ES_tradnl"/>
              </w:rPr>
              <w:t>Actividad</w:t>
            </w:r>
            <w:r w:rsidR="00097C57" w:rsidRPr="00007908">
              <w:rPr>
                <w:rFonts w:ascii="Arial" w:hAnsi="Arial" w:cs="Arial"/>
                <w:b/>
                <w:bCs/>
                <w:sz w:val="18"/>
                <w:szCs w:val="18"/>
                <w:lang w:val="es-ES_tradnl"/>
              </w:rPr>
              <w:t>es</w:t>
            </w:r>
          </w:p>
        </w:tc>
        <w:tc>
          <w:tcPr>
            <w:tcW w:w="2687" w:type="dxa"/>
            <w:vMerge w:val="restart"/>
            <w:tcBorders>
              <w:left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jc w:val="center"/>
              <w:rPr>
                <w:rFonts w:ascii="Arial" w:hAnsi="Arial" w:cs="Arial"/>
                <w:b/>
                <w:bCs/>
                <w:sz w:val="18"/>
                <w:szCs w:val="18"/>
                <w:lang w:val="es-ES_tradnl"/>
              </w:rPr>
            </w:pPr>
            <w:r w:rsidRPr="00007908">
              <w:rPr>
                <w:rFonts w:ascii="Arial" w:hAnsi="Arial" w:cs="Arial"/>
                <w:b/>
                <w:bCs/>
                <w:sz w:val="18"/>
                <w:szCs w:val="18"/>
                <w:lang w:val="es-ES_tradnl"/>
              </w:rPr>
              <w:t>Naturaleza y alcance</w:t>
            </w:r>
          </w:p>
        </w:tc>
        <w:tc>
          <w:tcPr>
            <w:tcW w:w="1421" w:type="dxa"/>
            <w:vMerge w:val="restart"/>
            <w:tcBorders>
              <w:left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jc w:val="center"/>
              <w:rPr>
                <w:rFonts w:ascii="Arial" w:hAnsi="Arial" w:cs="Arial"/>
                <w:b/>
                <w:bCs/>
                <w:sz w:val="18"/>
                <w:szCs w:val="18"/>
                <w:lang w:val="es-ES_tradnl"/>
              </w:rPr>
            </w:pPr>
            <w:r w:rsidRPr="00007908">
              <w:rPr>
                <w:rFonts w:ascii="Arial" w:hAnsi="Arial" w:cs="Arial"/>
                <w:b/>
                <w:bCs/>
                <w:sz w:val="18"/>
                <w:szCs w:val="18"/>
                <w:lang w:val="es-ES_tradnl"/>
              </w:rPr>
              <w:t xml:space="preserve">Frecuencia </w:t>
            </w:r>
          </w:p>
        </w:tc>
        <w:tc>
          <w:tcPr>
            <w:tcW w:w="2390" w:type="dxa"/>
            <w:gridSpan w:val="3"/>
            <w:tcBorders>
              <w:top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jc w:val="center"/>
              <w:rPr>
                <w:rFonts w:ascii="Arial" w:hAnsi="Arial" w:cs="Arial"/>
                <w:b/>
                <w:sz w:val="18"/>
                <w:szCs w:val="18"/>
                <w:lang w:val="es-ES_tradnl"/>
              </w:rPr>
            </w:pPr>
            <w:r w:rsidRPr="00007908">
              <w:rPr>
                <w:rFonts w:ascii="Arial" w:hAnsi="Arial" w:cs="Arial"/>
                <w:b/>
                <w:sz w:val="18"/>
                <w:szCs w:val="18"/>
                <w:lang w:val="es-ES_tradnl"/>
              </w:rPr>
              <w:t>Responsable</w:t>
            </w:r>
          </w:p>
        </w:tc>
      </w:tr>
      <w:tr w:rsidR="00051B6C" w:rsidRPr="00007908" w:rsidTr="00097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152"/>
          <w:jc w:val="right"/>
        </w:trPr>
        <w:tc>
          <w:tcPr>
            <w:tcW w:w="1530" w:type="dxa"/>
            <w:vMerge/>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rPr>
                <w:rFonts w:ascii="Arial" w:hAnsi="Arial" w:cs="Arial"/>
                <w:b/>
                <w:bCs/>
                <w:sz w:val="18"/>
                <w:szCs w:val="18"/>
                <w:lang w:val="es-ES_tradnl"/>
              </w:rPr>
            </w:pPr>
          </w:p>
        </w:tc>
        <w:tc>
          <w:tcPr>
            <w:tcW w:w="2687" w:type="dxa"/>
            <w:vMerge/>
            <w:tcBorders>
              <w:left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rPr>
                <w:rFonts w:ascii="Arial" w:hAnsi="Arial" w:cs="Arial"/>
                <w:b/>
                <w:bCs/>
                <w:sz w:val="18"/>
                <w:szCs w:val="18"/>
                <w:lang w:val="es-ES_tradnl"/>
              </w:rPr>
            </w:pPr>
          </w:p>
        </w:tc>
        <w:tc>
          <w:tcPr>
            <w:tcW w:w="1421" w:type="dxa"/>
            <w:vMerge/>
            <w:tcBorders>
              <w:left w:val="single" w:sz="4" w:space="0" w:color="000000"/>
              <w:bottom w:val="single" w:sz="4" w:space="0" w:color="000000"/>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rPr>
                <w:rFonts w:ascii="Arial" w:hAnsi="Arial" w:cs="Arial"/>
                <w:b/>
                <w:bCs/>
                <w:sz w:val="18"/>
                <w:szCs w:val="18"/>
                <w:lang w:val="es-ES_tradnl"/>
              </w:rPr>
            </w:pPr>
          </w:p>
        </w:tc>
        <w:tc>
          <w:tcPr>
            <w:tcW w:w="1190" w:type="dxa"/>
            <w:tcBorders>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jc w:val="center"/>
              <w:rPr>
                <w:rFonts w:ascii="Arial" w:hAnsi="Arial" w:cs="Arial"/>
                <w:b/>
                <w:sz w:val="18"/>
                <w:szCs w:val="18"/>
                <w:lang w:val="es-ES_tradnl"/>
              </w:rPr>
            </w:pPr>
            <w:r w:rsidRPr="00007908">
              <w:rPr>
                <w:rFonts w:ascii="Arial" w:hAnsi="Arial" w:cs="Arial"/>
                <w:b/>
                <w:sz w:val="18"/>
                <w:szCs w:val="18"/>
                <w:lang w:val="es-ES_tradnl"/>
              </w:rPr>
              <w:t>Banco</w:t>
            </w:r>
          </w:p>
        </w:tc>
        <w:tc>
          <w:tcPr>
            <w:tcW w:w="1200" w:type="dxa"/>
            <w:gridSpan w:val="2"/>
            <w:tcBorders>
              <w:right w:val="single" w:sz="4" w:space="0" w:color="000000"/>
            </w:tcBorders>
            <w:shd w:val="clear" w:color="auto" w:fill="B8CCE4" w:themeFill="accent1" w:themeFillTint="66"/>
            <w:tcMar>
              <w:top w:w="0" w:type="dxa"/>
              <w:left w:w="108" w:type="dxa"/>
              <w:bottom w:w="0" w:type="dxa"/>
              <w:right w:w="108" w:type="dxa"/>
            </w:tcMar>
            <w:vAlign w:val="center"/>
          </w:tcPr>
          <w:p w:rsidR="00051B6C" w:rsidRPr="00007908" w:rsidRDefault="00051B6C" w:rsidP="00FA03F1">
            <w:pPr>
              <w:spacing w:after="0"/>
              <w:jc w:val="center"/>
              <w:rPr>
                <w:rFonts w:ascii="Arial" w:hAnsi="Arial" w:cs="Arial"/>
                <w:b/>
                <w:sz w:val="18"/>
                <w:szCs w:val="18"/>
                <w:lang w:val="es-ES_tradnl"/>
              </w:rPr>
            </w:pPr>
            <w:r w:rsidRPr="00007908">
              <w:rPr>
                <w:rFonts w:ascii="Arial" w:hAnsi="Arial" w:cs="Arial"/>
                <w:b/>
                <w:sz w:val="18"/>
                <w:szCs w:val="18"/>
                <w:lang w:val="es-ES_tradnl"/>
              </w:rPr>
              <w:t>Tercero</w:t>
            </w:r>
          </w:p>
        </w:tc>
      </w:tr>
      <w:tr w:rsidR="00097C57" w:rsidRPr="00007908" w:rsidTr="00097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96"/>
          <w:jc w:val="right"/>
        </w:trPr>
        <w:tc>
          <w:tcPr>
            <w:tcW w:w="1530" w:type="dxa"/>
            <w:vMerge w:val="restar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97C57" w:rsidRPr="00007908" w:rsidRDefault="00097C57" w:rsidP="00097C57">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Operacionales</w:t>
            </w:r>
          </w:p>
        </w:tc>
        <w:tc>
          <w:tcPr>
            <w:tcW w:w="2687" w:type="dxa"/>
            <w:tcBorders>
              <w:top w:val="single" w:sz="8"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Revisión avance técnico de actividades crediticias</w:t>
            </w:r>
          </w:p>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Desembolsos. Visitas de inspección a las obras en base a muestras</w:t>
            </w:r>
          </w:p>
        </w:tc>
        <w:tc>
          <w:tcPr>
            <w:tcW w:w="1421" w:type="dxa"/>
            <w:tcBorders>
              <w:top w:val="single" w:sz="8" w:space="0" w:color="000000"/>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Anual</w:t>
            </w:r>
          </w:p>
        </w:tc>
        <w:tc>
          <w:tcPr>
            <w:tcW w:w="1190" w:type="dxa"/>
            <w:tcBorders>
              <w:top w:val="single" w:sz="8" w:space="0" w:color="000000"/>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Equipo Fidu.-Fin. y técnico</w:t>
            </w:r>
          </w:p>
        </w:tc>
        <w:tc>
          <w:tcPr>
            <w:tcW w:w="1200" w:type="dxa"/>
            <w:gridSpan w:val="2"/>
            <w:tcBorders>
              <w:top w:val="single" w:sz="8" w:space="0" w:color="000000"/>
              <w:bottom w:val="single" w:sz="4" w:space="0" w:color="000000"/>
              <w:right w:val="single" w:sz="8"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r>
      <w:tr w:rsidR="00097C57" w:rsidRPr="00007908" w:rsidTr="00097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890"/>
          <w:jc w:val="right"/>
        </w:trPr>
        <w:tc>
          <w:tcPr>
            <w:tcW w:w="1530"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c>
          <w:tcPr>
            <w:tcW w:w="2687" w:type="dxa"/>
            <w:tcBorders>
              <w:bottom w:val="single" w:sz="4" w:space="0" w:color="000000"/>
              <w:right w:val="single" w:sz="4" w:space="0" w:color="000000"/>
            </w:tcBorders>
            <w:shd w:val="clear" w:color="auto" w:fill="FFFFFF"/>
            <w:noWrap/>
            <w:tcMar>
              <w:top w:w="0" w:type="dxa"/>
              <w:left w:w="108" w:type="dxa"/>
              <w:bottom w:w="0" w:type="dxa"/>
              <w:right w:w="108" w:type="dxa"/>
            </w:tcMar>
            <w:vAlign w:val="bottom"/>
          </w:tcPr>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Visita para revisión /validación de los procesos de control para el adecuado registro y seguimiento de actividades elegibles.</w:t>
            </w:r>
          </w:p>
        </w:tc>
        <w:tc>
          <w:tcPr>
            <w:tcW w:w="1421" w:type="dxa"/>
            <w:tcBorders>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BI-Anual</w:t>
            </w:r>
          </w:p>
        </w:tc>
        <w:tc>
          <w:tcPr>
            <w:tcW w:w="1190" w:type="dxa"/>
            <w:tcBorders>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Equipo Fidu.-Fin</w:t>
            </w:r>
          </w:p>
        </w:tc>
        <w:tc>
          <w:tcPr>
            <w:tcW w:w="1200" w:type="dxa"/>
            <w:gridSpan w:val="2"/>
            <w:tcBorders>
              <w:bottom w:val="single" w:sz="4" w:space="0" w:color="000000"/>
              <w:right w:val="single" w:sz="8"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Auditor Externo</w:t>
            </w:r>
          </w:p>
        </w:tc>
      </w:tr>
      <w:tr w:rsidR="00097C57" w:rsidRPr="00007908" w:rsidTr="00097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3"/>
          <w:jc w:val="right"/>
        </w:trPr>
        <w:tc>
          <w:tcPr>
            <w:tcW w:w="1530" w:type="dxa"/>
            <w:vMerge w:val="restart"/>
            <w:tcBorders>
              <w:top w:val="single" w:sz="4" w:space="0" w:color="auto"/>
              <w:left w:val="single" w:sz="8" w:space="0" w:color="000000"/>
              <w:right w:val="single" w:sz="4" w:space="0" w:color="000000"/>
            </w:tcBorders>
            <w:shd w:val="clear" w:color="auto" w:fill="auto"/>
            <w:tcMar>
              <w:top w:w="0" w:type="dxa"/>
              <w:left w:w="108" w:type="dxa"/>
              <w:bottom w:w="0" w:type="dxa"/>
              <w:right w:w="108" w:type="dxa"/>
            </w:tcMar>
            <w:vAlign w:val="center"/>
          </w:tcPr>
          <w:p w:rsidR="00097C57" w:rsidRPr="00007908" w:rsidRDefault="00097C57" w:rsidP="00097C57">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Financieras </w:t>
            </w:r>
          </w:p>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 </w:t>
            </w:r>
          </w:p>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 </w:t>
            </w:r>
          </w:p>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 </w:t>
            </w:r>
          </w:p>
        </w:tc>
        <w:tc>
          <w:tcPr>
            <w:tcW w:w="2687" w:type="dxa"/>
            <w:tcBorders>
              <w:bottom w:val="single" w:sz="4" w:space="0" w:color="000000"/>
              <w:right w:val="single" w:sz="4" w:space="0" w:color="000000"/>
            </w:tcBorders>
            <w:shd w:val="clear" w:color="auto" w:fill="FFFFFF"/>
            <w:noWrap/>
            <w:tcMar>
              <w:top w:w="0" w:type="dxa"/>
              <w:left w:w="108" w:type="dxa"/>
              <w:bottom w:w="0" w:type="dxa"/>
              <w:right w:w="108" w:type="dxa"/>
            </w:tcMar>
            <w:vAlign w:val="bottom"/>
          </w:tcPr>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Revisión ex - post de desembolsos y Auditoría Financiera</w:t>
            </w:r>
          </w:p>
        </w:tc>
        <w:tc>
          <w:tcPr>
            <w:tcW w:w="1421" w:type="dxa"/>
            <w:tcBorders>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Anual</w:t>
            </w:r>
          </w:p>
        </w:tc>
        <w:tc>
          <w:tcPr>
            <w:tcW w:w="1190" w:type="dxa"/>
            <w:tcBorders>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c>
          <w:tcPr>
            <w:tcW w:w="1200" w:type="dxa"/>
            <w:gridSpan w:val="2"/>
            <w:tcBorders>
              <w:bottom w:val="single" w:sz="4" w:space="0" w:color="000000"/>
              <w:right w:val="single" w:sz="8"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Auditor Externo</w:t>
            </w:r>
          </w:p>
        </w:tc>
      </w:tr>
      <w:tr w:rsidR="00097C57" w:rsidRPr="00007908" w:rsidTr="001676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56"/>
          <w:jc w:val="right"/>
        </w:trPr>
        <w:tc>
          <w:tcPr>
            <w:tcW w:w="1530" w:type="dxa"/>
            <w:vMerge/>
            <w:tcBorders>
              <w:left w:val="single" w:sz="8"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c>
          <w:tcPr>
            <w:tcW w:w="2687" w:type="dxa"/>
            <w:tcBorders>
              <w:bottom w:val="single" w:sz="4" w:space="0" w:color="auto"/>
              <w:right w:val="single" w:sz="4" w:space="0" w:color="000000"/>
            </w:tcBorders>
            <w:shd w:val="clear" w:color="auto" w:fill="FFFFFF"/>
            <w:noWrap/>
            <w:tcMar>
              <w:top w:w="0" w:type="dxa"/>
              <w:left w:w="108" w:type="dxa"/>
              <w:bottom w:w="0" w:type="dxa"/>
              <w:right w:w="108" w:type="dxa"/>
            </w:tcMar>
            <w:vAlign w:val="bottom"/>
          </w:tcPr>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Revisión de solicitudes de desembolsos e informes anexos</w:t>
            </w:r>
          </w:p>
        </w:tc>
        <w:tc>
          <w:tcPr>
            <w:tcW w:w="1421" w:type="dxa"/>
            <w:tcBorders>
              <w:bottom w:val="single" w:sz="4" w:space="0" w:color="auto"/>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Periódica</w:t>
            </w:r>
          </w:p>
        </w:tc>
        <w:tc>
          <w:tcPr>
            <w:tcW w:w="1190" w:type="dxa"/>
            <w:tcBorders>
              <w:bottom w:val="single" w:sz="4" w:space="0" w:color="auto"/>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Equipo Fidu.-Fin</w:t>
            </w:r>
          </w:p>
        </w:tc>
        <w:tc>
          <w:tcPr>
            <w:tcW w:w="1200" w:type="dxa"/>
            <w:gridSpan w:val="2"/>
            <w:tcBorders>
              <w:bottom w:val="single" w:sz="4" w:space="0" w:color="auto"/>
              <w:right w:val="single" w:sz="8"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r>
      <w:tr w:rsidR="00097C57" w:rsidRPr="00007908" w:rsidTr="001676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817"/>
          <w:jc w:val="right"/>
        </w:trPr>
        <w:tc>
          <w:tcPr>
            <w:tcW w:w="1530" w:type="dxa"/>
            <w:vMerge w:val="restart"/>
            <w:tcBorders>
              <w:top w:val="single" w:sz="4" w:space="0" w:color="auto"/>
              <w:left w:val="single" w:sz="8" w:space="0" w:color="000000"/>
              <w:right w:val="single" w:sz="4" w:space="0" w:color="000000"/>
            </w:tcBorders>
            <w:shd w:val="clear" w:color="auto" w:fill="auto"/>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c>
          <w:tcPr>
            <w:tcW w:w="2687" w:type="dxa"/>
            <w:tcBorders>
              <w:top w:val="single" w:sz="4" w:space="0" w:color="auto"/>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Presentación de estados financieros auditados</w:t>
            </w:r>
          </w:p>
        </w:tc>
        <w:tc>
          <w:tcPr>
            <w:tcW w:w="1421" w:type="dxa"/>
            <w:tcBorders>
              <w:top w:val="single" w:sz="4" w:space="0" w:color="auto"/>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Anual</w:t>
            </w:r>
          </w:p>
        </w:tc>
        <w:tc>
          <w:tcPr>
            <w:tcW w:w="1190" w:type="dxa"/>
            <w:tcBorders>
              <w:top w:val="single" w:sz="4" w:space="0" w:color="auto"/>
              <w:bottom w:val="single" w:sz="4"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Equipo Fidu.-Fin. y técnico</w:t>
            </w:r>
          </w:p>
        </w:tc>
        <w:tc>
          <w:tcPr>
            <w:tcW w:w="1200" w:type="dxa"/>
            <w:gridSpan w:val="2"/>
            <w:tcBorders>
              <w:top w:val="single" w:sz="4" w:space="0" w:color="auto"/>
              <w:bottom w:val="single" w:sz="4" w:space="0" w:color="000000"/>
              <w:right w:val="single" w:sz="8"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Ejecutor/ Auditor Externo</w:t>
            </w:r>
          </w:p>
        </w:tc>
      </w:tr>
      <w:tr w:rsidR="00097C57" w:rsidRPr="00007908" w:rsidTr="00097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773"/>
          <w:jc w:val="right"/>
        </w:trPr>
        <w:tc>
          <w:tcPr>
            <w:tcW w:w="1530" w:type="dxa"/>
            <w:vMerge/>
            <w:tcBorders>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c>
          <w:tcPr>
            <w:tcW w:w="2687" w:type="dxa"/>
            <w:tcBorders>
              <w:bottom w:val="single" w:sz="8"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rPr>
                <w:rFonts w:ascii="Arial" w:hAnsi="Arial" w:cs="Arial"/>
                <w:color w:val="000000"/>
                <w:sz w:val="18"/>
                <w:szCs w:val="18"/>
                <w:lang w:val="es-ES_tradnl"/>
              </w:rPr>
            </w:pPr>
            <w:r w:rsidRPr="00007908">
              <w:rPr>
                <w:rFonts w:ascii="Arial" w:hAnsi="Arial" w:cs="Arial"/>
                <w:color w:val="000000"/>
                <w:sz w:val="18"/>
                <w:szCs w:val="18"/>
                <w:lang w:val="es-ES_tradnl"/>
              </w:rPr>
              <w:t>Condiciones previas al primer desembolso</w:t>
            </w:r>
          </w:p>
        </w:tc>
        <w:tc>
          <w:tcPr>
            <w:tcW w:w="1421" w:type="dxa"/>
            <w:tcBorders>
              <w:bottom w:val="single" w:sz="8"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Una vez</w:t>
            </w:r>
          </w:p>
        </w:tc>
        <w:tc>
          <w:tcPr>
            <w:tcW w:w="1190" w:type="dxa"/>
            <w:tcBorders>
              <w:bottom w:val="single" w:sz="8" w:space="0" w:color="000000"/>
              <w:right w:val="single" w:sz="4"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r w:rsidRPr="00007908">
              <w:rPr>
                <w:rFonts w:ascii="Arial" w:hAnsi="Arial" w:cs="Arial"/>
                <w:color w:val="000000"/>
                <w:sz w:val="18"/>
                <w:szCs w:val="18"/>
                <w:lang w:val="es-ES_tradnl"/>
              </w:rPr>
              <w:t>Equipo Técnico y Fidu.-Fin</w:t>
            </w:r>
          </w:p>
        </w:tc>
        <w:tc>
          <w:tcPr>
            <w:tcW w:w="1200" w:type="dxa"/>
            <w:gridSpan w:val="2"/>
            <w:tcBorders>
              <w:bottom w:val="single" w:sz="8" w:space="0" w:color="000000"/>
              <w:right w:val="single" w:sz="8" w:space="0" w:color="000000"/>
            </w:tcBorders>
            <w:shd w:val="clear" w:color="auto" w:fill="FFFFFF"/>
            <w:noWrap/>
            <w:tcMar>
              <w:top w:w="0" w:type="dxa"/>
              <w:left w:w="108" w:type="dxa"/>
              <w:bottom w:w="0" w:type="dxa"/>
              <w:right w:w="108" w:type="dxa"/>
            </w:tcMar>
            <w:vAlign w:val="center"/>
          </w:tcPr>
          <w:p w:rsidR="00097C57" w:rsidRPr="00007908" w:rsidRDefault="00097C57" w:rsidP="00FA03F1">
            <w:pPr>
              <w:spacing w:after="0"/>
              <w:jc w:val="center"/>
              <w:rPr>
                <w:rFonts w:ascii="Arial" w:hAnsi="Arial" w:cs="Arial"/>
                <w:color w:val="000000"/>
                <w:sz w:val="18"/>
                <w:szCs w:val="18"/>
                <w:lang w:val="es-ES_tradnl"/>
              </w:rPr>
            </w:pPr>
          </w:p>
        </w:tc>
      </w:tr>
    </w:tbl>
    <w:p w:rsidR="00051B6C" w:rsidRPr="00007908" w:rsidRDefault="00051B6C" w:rsidP="00051B6C">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 xml:space="preserve">Adicionalmente, como parte del monitoreo, el Banco podrá realizar el seguimiento y verificación de la utilización de los recursos por parte de los desarrolladores </w:t>
      </w:r>
      <w:r w:rsidR="006F2C7D" w:rsidRPr="00007908">
        <w:rPr>
          <w:rFonts w:ascii="Arial" w:hAnsi="Arial" w:cs="Arial"/>
          <w:sz w:val="22"/>
          <w:lang w:val="es-ES_tradnl"/>
        </w:rPr>
        <w:t xml:space="preserve">y empresas </w:t>
      </w:r>
      <w:r w:rsidRPr="00007908">
        <w:rPr>
          <w:rFonts w:ascii="Arial" w:hAnsi="Arial" w:cs="Arial"/>
          <w:sz w:val="22"/>
          <w:lang w:val="es-ES_tradnl"/>
        </w:rPr>
        <w:t xml:space="preserve">elegibles, a cuyo efecto </w:t>
      </w:r>
      <w:r w:rsidR="00A33168" w:rsidRPr="00007908">
        <w:rPr>
          <w:rFonts w:ascii="Arial" w:hAnsi="Arial" w:cs="Arial"/>
          <w:sz w:val="22"/>
          <w:lang w:val="es-ES_tradnl"/>
        </w:rPr>
        <w:t>Bancomext</w:t>
      </w:r>
      <w:r w:rsidRPr="00007908">
        <w:rPr>
          <w:rFonts w:ascii="Arial" w:hAnsi="Arial" w:cs="Arial"/>
          <w:sz w:val="22"/>
          <w:lang w:val="es-ES_tradnl"/>
        </w:rPr>
        <w:t xml:space="preserve"> se compromete en colaborar para facilitar la ejecución de los trabajos respectivos. A estos efectos, el Banco podrá contratar las oportunas consultorías técnicas que, en adición a las auditorías financieras del programa por parte de los auditores externos independientes del programa, verificarán la elegibilidad de </w:t>
      </w:r>
      <w:r w:rsidR="006F2C7D" w:rsidRPr="00007908">
        <w:rPr>
          <w:rFonts w:ascii="Arial" w:hAnsi="Arial" w:cs="Arial"/>
          <w:sz w:val="22"/>
          <w:lang w:val="es-ES_tradnl"/>
        </w:rPr>
        <w:t xml:space="preserve">préstamos y </w:t>
      </w:r>
      <w:r w:rsidRPr="00007908">
        <w:rPr>
          <w:rFonts w:ascii="Arial" w:hAnsi="Arial" w:cs="Arial"/>
          <w:sz w:val="22"/>
          <w:lang w:val="es-ES_tradnl"/>
        </w:rPr>
        <w:t>subpréstamos.</w:t>
      </w:r>
    </w:p>
    <w:p w:rsidR="00200EE5" w:rsidRDefault="00200EE5" w:rsidP="00200EE5">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 xml:space="preserve">El programa será ejecutado a través de </w:t>
      </w:r>
      <w:r w:rsidR="000D7F56" w:rsidRPr="00007908">
        <w:rPr>
          <w:rFonts w:ascii="Arial" w:hAnsi="Arial" w:cs="Arial"/>
          <w:sz w:val="22"/>
          <w:lang w:val="es-ES_tradnl"/>
        </w:rPr>
        <w:t>un único componente c</w:t>
      </w:r>
      <w:r w:rsidRPr="00007908">
        <w:rPr>
          <w:rFonts w:ascii="Arial" w:hAnsi="Arial" w:cs="Arial"/>
          <w:sz w:val="22"/>
          <w:lang w:val="es-ES_tradnl"/>
        </w:rPr>
        <w:t>uyos costos se indican a continuación:</w:t>
      </w:r>
    </w:p>
    <w:p w:rsidR="00F618D2" w:rsidRPr="00007908" w:rsidRDefault="00F618D2" w:rsidP="00F618D2">
      <w:pPr>
        <w:pStyle w:val="Chapter"/>
        <w:numPr>
          <w:ilvl w:val="0"/>
          <w:numId w:val="0"/>
        </w:numPr>
        <w:ind w:firstLine="288"/>
        <w:jc w:val="left"/>
        <w:rPr>
          <w:lang w:val="es-ES_tradnl"/>
        </w:rPr>
      </w:pPr>
    </w:p>
    <w:tbl>
      <w:tblPr>
        <w:tblStyle w:val="TableGrid1"/>
        <w:tblW w:w="9630" w:type="dxa"/>
        <w:tblInd w:w="108" w:type="dxa"/>
        <w:tblLayout w:type="fixed"/>
        <w:tblLook w:val="04A0" w:firstRow="1" w:lastRow="0" w:firstColumn="1" w:lastColumn="0" w:noHBand="0" w:noVBand="1"/>
      </w:tblPr>
      <w:tblGrid>
        <w:gridCol w:w="1602"/>
        <w:gridCol w:w="2268"/>
        <w:gridCol w:w="1710"/>
        <w:gridCol w:w="990"/>
        <w:gridCol w:w="22"/>
        <w:gridCol w:w="968"/>
        <w:gridCol w:w="45"/>
        <w:gridCol w:w="945"/>
        <w:gridCol w:w="67"/>
        <w:gridCol w:w="1013"/>
      </w:tblGrid>
      <w:tr w:rsidR="00765A60" w:rsidRPr="00007908" w:rsidTr="00007908">
        <w:tc>
          <w:tcPr>
            <w:tcW w:w="1602" w:type="dxa"/>
            <w:tcBorders>
              <w:top w:val="nil"/>
              <w:left w:val="nil"/>
              <w:bottom w:val="single" w:sz="4" w:space="0" w:color="auto"/>
              <w:right w:val="nil"/>
            </w:tcBorders>
          </w:tcPr>
          <w:p w:rsidR="00765A60" w:rsidRPr="00007908" w:rsidRDefault="00765A60" w:rsidP="0051689A">
            <w:pPr>
              <w:spacing w:before="80" w:after="80"/>
              <w:jc w:val="center"/>
              <w:outlineLvl w:val="1"/>
              <w:rPr>
                <w:rFonts w:ascii="Arial" w:hAnsi="Arial" w:cs="Arial"/>
                <w:b/>
                <w:szCs w:val="24"/>
                <w:lang w:val="es-ES_tradnl"/>
              </w:rPr>
            </w:pPr>
          </w:p>
        </w:tc>
        <w:tc>
          <w:tcPr>
            <w:tcW w:w="8028" w:type="dxa"/>
            <w:gridSpan w:val="9"/>
            <w:tcBorders>
              <w:top w:val="nil"/>
              <w:left w:val="nil"/>
              <w:bottom w:val="single" w:sz="4" w:space="0" w:color="auto"/>
              <w:right w:val="nil"/>
            </w:tcBorders>
            <w:shd w:val="clear" w:color="auto" w:fill="auto"/>
          </w:tcPr>
          <w:p w:rsidR="00765A60" w:rsidRPr="00007908" w:rsidRDefault="00765A60" w:rsidP="0051689A">
            <w:pPr>
              <w:spacing w:before="80" w:after="80"/>
              <w:jc w:val="center"/>
              <w:outlineLvl w:val="1"/>
              <w:rPr>
                <w:rFonts w:ascii="Arial" w:hAnsi="Arial" w:cs="Arial"/>
                <w:b/>
                <w:szCs w:val="24"/>
                <w:lang w:val="es-ES_tradnl"/>
              </w:rPr>
            </w:pPr>
            <w:r w:rsidRPr="00007908">
              <w:rPr>
                <w:rFonts w:ascii="Arial" w:hAnsi="Arial" w:cs="Arial"/>
                <w:b/>
                <w:szCs w:val="24"/>
                <w:lang w:val="es-ES_tradnl"/>
              </w:rPr>
              <w:t>Cuadro 1.1. Costos del programa por producto (millones de USD)</w:t>
            </w:r>
          </w:p>
        </w:tc>
      </w:tr>
      <w:tr w:rsidR="00765A60" w:rsidRPr="00007908" w:rsidTr="00007908">
        <w:tc>
          <w:tcPr>
            <w:tcW w:w="3870" w:type="dxa"/>
            <w:gridSpan w:val="2"/>
            <w:tcBorders>
              <w:bottom w:val="single" w:sz="4" w:space="0" w:color="auto"/>
            </w:tcBorders>
            <w:shd w:val="clear" w:color="auto" w:fill="D9D9D9" w:themeFill="background1" w:themeFillShade="D9"/>
          </w:tcPr>
          <w:p w:rsidR="00765A60" w:rsidRPr="00007908" w:rsidRDefault="00765A60" w:rsidP="0051689A">
            <w:pPr>
              <w:spacing w:before="80" w:after="80"/>
              <w:jc w:val="both"/>
              <w:outlineLvl w:val="1"/>
              <w:rPr>
                <w:rFonts w:ascii="Arial" w:hAnsi="Arial" w:cs="Arial"/>
                <w:szCs w:val="24"/>
                <w:lang w:val="es-ES_tradnl"/>
              </w:rPr>
            </w:pPr>
            <w:r w:rsidRPr="00007908">
              <w:rPr>
                <w:rFonts w:ascii="Arial" w:hAnsi="Arial" w:cs="Arial"/>
                <w:szCs w:val="24"/>
                <w:lang w:val="es-ES_tradnl"/>
              </w:rPr>
              <w:t>Componente</w:t>
            </w:r>
          </w:p>
        </w:tc>
        <w:tc>
          <w:tcPr>
            <w:tcW w:w="1710" w:type="dxa"/>
            <w:tcBorders>
              <w:bottom w:val="single" w:sz="4" w:space="0" w:color="auto"/>
            </w:tcBorders>
            <w:shd w:val="clear" w:color="auto" w:fill="D9D9D9" w:themeFill="background1" w:themeFillShade="D9"/>
          </w:tcPr>
          <w:p w:rsidR="00765A60" w:rsidRPr="00007908" w:rsidRDefault="00765A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Organismo</w:t>
            </w:r>
          </w:p>
        </w:tc>
        <w:tc>
          <w:tcPr>
            <w:tcW w:w="990" w:type="dxa"/>
            <w:tcBorders>
              <w:bottom w:val="single" w:sz="4" w:space="0" w:color="auto"/>
            </w:tcBorders>
            <w:shd w:val="clear" w:color="auto" w:fill="D9D9D9" w:themeFill="background1" w:themeFillShade="D9"/>
          </w:tcPr>
          <w:p w:rsidR="00765A60" w:rsidRPr="00007908" w:rsidRDefault="00765A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Y1</w:t>
            </w:r>
          </w:p>
        </w:tc>
        <w:tc>
          <w:tcPr>
            <w:tcW w:w="990" w:type="dxa"/>
            <w:gridSpan w:val="2"/>
            <w:tcBorders>
              <w:bottom w:val="single" w:sz="4" w:space="0" w:color="auto"/>
            </w:tcBorders>
            <w:shd w:val="clear" w:color="auto" w:fill="D9D9D9" w:themeFill="background1" w:themeFillShade="D9"/>
          </w:tcPr>
          <w:p w:rsidR="00765A60" w:rsidRPr="00007908" w:rsidRDefault="00765A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Y2</w:t>
            </w:r>
          </w:p>
        </w:tc>
        <w:tc>
          <w:tcPr>
            <w:tcW w:w="990" w:type="dxa"/>
            <w:gridSpan w:val="2"/>
            <w:tcBorders>
              <w:bottom w:val="single" w:sz="4" w:space="0" w:color="auto"/>
            </w:tcBorders>
            <w:shd w:val="clear" w:color="auto" w:fill="D9D9D9" w:themeFill="background1" w:themeFillShade="D9"/>
          </w:tcPr>
          <w:p w:rsidR="00765A60" w:rsidRPr="00007908" w:rsidRDefault="00765A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Y3</w:t>
            </w:r>
          </w:p>
        </w:tc>
        <w:tc>
          <w:tcPr>
            <w:tcW w:w="1080" w:type="dxa"/>
            <w:gridSpan w:val="2"/>
            <w:tcBorders>
              <w:bottom w:val="single" w:sz="4" w:space="0" w:color="auto"/>
            </w:tcBorders>
            <w:shd w:val="clear" w:color="auto" w:fill="D9D9D9" w:themeFill="background1" w:themeFillShade="D9"/>
          </w:tcPr>
          <w:p w:rsidR="00765A60" w:rsidRPr="00007908" w:rsidRDefault="00765A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Total</w:t>
            </w:r>
          </w:p>
        </w:tc>
      </w:tr>
      <w:tr w:rsidR="008350ED" w:rsidRPr="00007908" w:rsidTr="0051689A">
        <w:trPr>
          <w:trHeight w:val="542"/>
        </w:trPr>
        <w:tc>
          <w:tcPr>
            <w:tcW w:w="3870" w:type="dxa"/>
            <w:gridSpan w:val="2"/>
            <w:vMerge w:val="restart"/>
            <w:vAlign w:val="center"/>
          </w:tcPr>
          <w:p w:rsidR="008350ED" w:rsidRPr="00007908" w:rsidRDefault="008350ED" w:rsidP="008052D7">
            <w:pPr>
              <w:spacing w:before="80" w:after="80"/>
              <w:outlineLvl w:val="1"/>
              <w:rPr>
                <w:rFonts w:ascii="Arial" w:hAnsi="Arial" w:cs="Arial"/>
                <w:szCs w:val="24"/>
                <w:lang w:val="es-ES_tradnl"/>
              </w:rPr>
            </w:pPr>
            <w:r w:rsidRPr="00007908">
              <w:rPr>
                <w:rFonts w:ascii="Arial" w:hAnsi="Arial" w:cs="Arial"/>
                <w:szCs w:val="24"/>
                <w:lang w:val="es-ES_tradnl"/>
              </w:rPr>
              <w:t>Proyectos de ER financiados con recursos del programa</w:t>
            </w:r>
          </w:p>
        </w:tc>
        <w:tc>
          <w:tcPr>
            <w:tcW w:w="1710" w:type="dxa"/>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BID</w:t>
            </w:r>
          </w:p>
        </w:tc>
        <w:tc>
          <w:tcPr>
            <w:tcW w:w="1012" w:type="dxa"/>
            <w:gridSpan w:val="2"/>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68.5</w:t>
            </w:r>
          </w:p>
        </w:tc>
        <w:tc>
          <w:tcPr>
            <w:tcW w:w="1013" w:type="dxa"/>
            <w:gridSpan w:val="2"/>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3</w:t>
            </w:r>
            <w:r w:rsidR="00CC2CE9" w:rsidRPr="00007908">
              <w:rPr>
                <w:rFonts w:ascii="Arial" w:hAnsi="Arial" w:cs="Arial"/>
                <w:szCs w:val="24"/>
                <w:lang w:val="es-ES_tradnl"/>
              </w:rPr>
              <w:t>1.</w:t>
            </w:r>
            <w:r w:rsidRPr="00007908">
              <w:rPr>
                <w:rFonts w:ascii="Arial" w:hAnsi="Arial" w:cs="Arial"/>
                <w:szCs w:val="24"/>
                <w:lang w:val="es-ES_tradnl"/>
              </w:rPr>
              <w:t>5</w:t>
            </w:r>
          </w:p>
        </w:tc>
        <w:tc>
          <w:tcPr>
            <w:tcW w:w="1012" w:type="dxa"/>
            <w:gridSpan w:val="2"/>
            <w:vAlign w:val="center"/>
          </w:tcPr>
          <w:p w:rsidR="008350ED" w:rsidRPr="00007908" w:rsidRDefault="008350ED"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0</w:t>
            </w:r>
          </w:p>
        </w:tc>
        <w:tc>
          <w:tcPr>
            <w:tcW w:w="1013" w:type="dxa"/>
            <w:vAlign w:val="center"/>
          </w:tcPr>
          <w:p w:rsidR="008350ED" w:rsidRPr="00007908" w:rsidRDefault="008350ED"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100</w:t>
            </w:r>
          </w:p>
        </w:tc>
      </w:tr>
      <w:tr w:rsidR="008350ED" w:rsidRPr="00007908" w:rsidTr="0051689A">
        <w:trPr>
          <w:trHeight w:val="541"/>
        </w:trPr>
        <w:tc>
          <w:tcPr>
            <w:tcW w:w="3870" w:type="dxa"/>
            <w:gridSpan w:val="2"/>
            <w:vMerge/>
            <w:vAlign w:val="center"/>
          </w:tcPr>
          <w:p w:rsidR="008350ED" w:rsidRPr="00007908" w:rsidRDefault="008350ED" w:rsidP="008052D7">
            <w:pPr>
              <w:spacing w:before="80" w:after="80"/>
              <w:outlineLvl w:val="1"/>
              <w:rPr>
                <w:rFonts w:ascii="Arial" w:hAnsi="Arial" w:cs="Arial"/>
                <w:szCs w:val="24"/>
                <w:lang w:val="es-ES_tradnl"/>
              </w:rPr>
            </w:pPr>
          </w:p>
        </w:tc>
        <w:tc>
          <w:tcPr>
            <w:tcW w:w="1710" w:type="dxa"/>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Capital propio</w:t>
            </w:r>
          </w:p>
        </w:tc>
        <w:tc>
          <w:tcPr>
            <w:tcW w:w="1012" w:type="dxa"/>
            <w:gridSpan w:val="2"/>
            <w:vAlign w:val="center"/>
          </w:tcPr>
          <w:p w:rsidR="008350ED" w:rsidRPr="00007908" w:rsidRDefault="00F321DF"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49.2</w:t>
            </w:r>
          </w:p>
        </w:tc>
        <w:tc>
          <w:tcPr>
            <w:tcW w:w="1013" w:type="dxa"/>
            <w:gridSpan w:val="2"/>
            <w:vAlign w:val="center"/>
          </w:tcPr>
          <w:p w:rsidR="008350ED" w:rsidRPr="00007908" w:rsidRDefault="00F321DF"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26.8</w:t>
            </w:r>
          </w:p>
        </w:tc>
        <w:tc>
          <w:tcPr>
            <w:tcW w:w="1012" w:type="dxa"/>
            <w:gridSpan w:val="2"/>
            <w:vAlign w:val="center"/>
          </w:tcPr>
          <w:p w:rsidR="008350ED" w:rsidRPr="00007908" w:rsidRDefault="00F321DF"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0</w:t>
            </w:r>
          </w:p>
        </w:tc>
        <w:tc>
          <w:tcPr>
            <w:tcW w:w="1013" w:type="dxa"/>
            <w:vAlign w:val="center"/>
          </w:tcPr>
          <w:p w:rsidR="008350ED" w:rsidRPr="00007908" w:rsidRDefault="00F321DF"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76</w:t>
            </w:r>
          </w:p>
        </w:tc>
      </w:tr>
      <w:tr w:rsidR="008350ED" w:rsidRPr="00007908" w:rsidTr="0051689A">
        <w:trPr>
          <w:trHeight w:val="541"/>
        </w:trPr>
        <w:tc>
          <w:tcPr>
            <w:tcW w:w="3870" w:type="dxa"/>
            <w:gridSpan w:val="2"/>
            <w:vMerge/>
            <w:vAlign w:val="center"/>
          </w:tcPr>
          <w:p w:rsidR="008350ED" w:rsidRPr="00007908" w:rsidRDefault="008350ED" w:rsidP="008052D7">
            <w:pPr>
              <w:spacing w:before="80" w:after="80"/>
              <w:outlineLvl w:val="1"/>
              <w:rPr>
                <w:rFonts w:ascii="Arial" w:hAnsi="Arial" w:cs="Arial"/>
                <w:szCs w:val="24"/>
                <w:lang w:val="es-ES_tradnl"/>
              </w:rPr>
            </w:pPr>
          </w:p>
        </w:tc>
        <w:tc>
          <w:tcPr>
            <w:tcW w:w="1710" w:type="dxa"/>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Banca comercial</w:t>
            </w:r>
          </w:p>
        </w:tc>
        <w:tc>
          <w:tcPr>
            <w:tcW w:w="1012" w:type="dxa"/>
            <w:gridSpan w:val="2"/>
            <w:vAlign w:val="center"/>
          </w:tcPr>
          <w:p w:rsidR="008350ED" w:rsidRPr="00007908" w:rsidRDefault="00CC2CE9"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109.3</w:t>
            </w:r>
          </w:p>
        </w:tc>
        <w:tc>
          <w:tcPr>
            <w:tcW w:w="1013" w:type="dxa"/>
            <w:gridSpan w:val="2"/>
            <w:vAlign w:val="center"/>
          </w:tcPr>
          <w:p w:rsidR="008350ED" w:rsidRPr="00007908" w:rsidRDefault="00CC2CE9"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45.7</w:t>
            </w:r>
          </w:p>
        </w:tc>
        <w:tc>
          <w:tcPr>
            <w:tcW w:w="1012" w:type="dxa"/>
            <w:gridSpan w:val="2"/>
            <w:vAlign w:val="center"/>
          </w:tcPr>
          <w:p w:rsidR="008350ED" w:rsidRPr="00007908" w:rsidRDefault="00CC2CE9"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0</w:t>
            </w:r>
          </w:p>
        </w:tc>
        <w:tc>
          <w:tcPr>
            <w:tcW w:w="1013" w:type="dxa"/>
            <w:vAlign w:val="center"/>
          </w:tcPr>
          <w:p w:rsidR="008350ED" w:rsidRPr="00007908" w:rsidRDefault="00CC2CE9"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155</w:t>
            </w:r>
          </w:p>
        </w:tc>
      </w:tr>
      <w:tr w:rsidR="008350ED" w:rsidRPr="00007908" w:rsidTr="00D04B54">
        <w:trPr>
          <w:trHeight w:val="541"/>
        </w:trPr>
        <w:tc>
          <w:tcPr>
            <w:tcW w:w="3870" w:type="dxa"/>
            <w:gridSpan w:val="2"/>
            <w:vMerge/>
            <w:vAlign w:val="center"/>
          </w:tcPr>
          <w:p w:rsidR="008350ED" w:rsidRPr="00007908" w:rsidRDefault="008350ED" w:rsidP="008052D7">
            <w:pPr>
              <w:spacing w:before="80" w:after="80"/>
              <w:outlineLvl w:val="1"/>
              <w:rPr>
                <w:rFonts w:ascii="Arial" w:hAnsi="Arial" w:cs="Arial"/>
                <w:szCs w:val="24"/>
                <w:lang w:val="es-ES_tradnl"/>
              </w:rPr>
            </w:pPr>
          </w:p>
        </w:tc>
        <w:tc>
          <w:tcPr>
            <w:tcW w:w="1710" w:type="dxa"/>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Total</w:t>
            </w:r>
          </w:p>
        </w:tc>
        <w:tc>
          <w:tcPr>
            <w:tcW w:w="1012" w:type="dxa"/>
            <w:gridSpan w:val="2"/>
            <w:vAlign w:val="center"/>
          </w:tcPr>
          <w:p w:rsidR="008350ED" w:rsidRPr="00007908" w:rsidRDefault="008478D4"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227</w:t>
            </w:r>
          </w:p>
        </w:tc>
        <w:tc>
          <w:tcPr>
            <w:tcW w:w="1013" w:type="dxa"/>
            <w:gridSpan w:val="2"/>
            <w:vAlign w:val="center"/>
          </w:tcPr>
          <w:p w:rsidR="008350ED" w:rsidRPr="00007908" w:rsidRDefault="008478D4"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104</w:t>
            </w:r>
          </w:p>
        </w:tc>
        <w:tc>
          <w:tcPr>
            <w:tcW w:w="1012" w:type="dxa"/>
            <w:gridSpan w:val="2"/>
            <w:vAlign w:val="center"/>
          </w:tcPr>
          <w:p w:rsidR="008350ED" w:rsidRPr="00007908" w:rsidRDefault="008478D4"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0</w:t>
            </w:r>
          </w:p>
        </w:tc>
        <w:tc>
          <w:tcPr>
            <w:tcW w:w="1013" w:type="dxa"/>
            <w:vAlign w:val="center"/>
          </w:tcPr>
          <w:p w:rsidR="008350ED" w:rsidRPr="00007908" w:rsidRDefault="008478D4"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331</w:t>
            </w:r>
          </w:p>
        </w:tc>
      </w:tr>
      <w:tr w:rsidR="008350ED" w:rsidRPr="00007908" w:rsidTr="0051689A">
        <w:trPr>
          <w:trHeight w:val="542"/>
        </w:trPr>
        <w:tc>
          <w:tcPr>
            <w:tcW w:w="3870" w:type="dxa"/>
            <w:gridSpan w:val="2"/>
            <w:vMerge w:val="restart"/>
            <w:vAlign w:val="center"/>
          </w:tcPr>
          <w:p w:rsidR="008350ED" w:rsidRPr="00007908" w:rsidRDefault="008350ED" w:rsidP="0051689A">
            <w:pPr>
              <w:spacing w:before="80" w:after="80"/>
              <w:outlineLvl w:val="1"/>
              <w:rPr>
                <w:rFonts w:ascii="Arial" w:hAnsi="Arial" w:cs="Arial"/>
                <w:szCs w:val="24"/>
                <w:lang w:val="es-ES_tradnl"/>
              </w:rPr>
            </w:pPr>
            <w:r w:rsidRPr="00007908">
              <w:rPr>
                <w:rFonts w:ascii="Arial" w:hAnsi="Arial" w:cs="Arial"/>
                <w:szCs w:val="24"/>
                <w:lang w:val="es-ES_tradnl"/>
              </w:rPr>
              <w:t>Proyectos de cogeneración financiados con recursos del programa</w:t>
            </w:r>
          </w:p>
        </w:tc>
        <w:tc>
          <w:tcPr>
            <w:tcW w:w="1710" w:type="dxa"/>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BID</w:t>
            </w:r>
          </w:p>
        </w:tc>
        <w:tc>
          <w:tcPr>
            <w:tcW w:w="1012" w:type="dxa"/>
            <w:gridSpan w:val="2"/>
            <w:tcBorders>
              <w:bottom w:val="single" w:sz="4" w:space="0" w:color="auto"/>
            </w:tcBorders>
            <w:vAlign w:val="center"/>
          </w:tcPr>
          <w:p w:rsidR="008350ED" w:rsidRPr="00007908" w:rsidRDefault="008350ED"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40</w:t>
            </w:r>
          </w:p>
        </w:tc>
        <w:tc>
          <w:tcPr>
            <w:tcW w:w="1013" w:type="dxa"/>
            <w:gridSpan w:val="2"/>
            <w:tcBorders>
              <w:bottom w:val="single" w:sz="4" w:space="0" w:color="auto"/>
            </w:tcBorders>
            <w:vAlign w:val="center"/>
          </w:tcPr>
          <w:p w:rsidR="008350ED" w:rsidRPr="00007908" w:rsidRDefault="008350ED"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20</w:t>
            </w:r>
          </w:p>
        </w:tc>
        <w:tc>
          <w:tcPr>
            <w:tcW w:w="1012" w:type="dxa"/>
            <w:gridSpan w:val="2"/>
            <w:tcBorders>
              <w:bottom w:val="single" w:sz="4" w:space="0" w:color="auto"/>
            </w:tcBorders>
            <w:vAlign w:val="center"/>
          </w:tcPr>
          <w:p w:rsidR="008350ED" w:rsidRPr="00007908" w:rsidRDefault="008350ED"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40</w:t>
            </w:r>
          </w:p>
        </w:tc>
        <w:tc>
          <w:tcPr>
            <w:tcW w:w="1013" w:type="dxa"/>
            <w:tcBorders>
              <w:bottom w:val="single" w:sz="4" w:space="0" w:color="auto"/>
            </w:tcBorders>
            <w:vAlign w:val="center"/>
          </w:tcPr>
          <w:p w:rsidR="008350ED" w:rsidRPr="00007908" w:rsidRDefault="008350ED"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100</w:t>
            </w:r>
          </w:p>
        </w:tc>
      </w:tr>
      <w:tr w:rsidR="008350ED" w:rsidRPr="00007908" w:rsidTr="0051689A">
        <w:trPr>
          <w:trHeight w:val="541"/>
        </w:trPr>
        <w:tc>
          <w:tcPr>
            <w:tcW w:w="3870" w:type="dxa"/>
            <w:gridSpan w:val="2"/>
            <w:vMerge/>
            <w:vAlign w:val="center"/>
          </w:tcPr>
          <w:p w:rsidR="008350ED" w:rsidRPr="00007908" w:rsidRDefault="008350ED" w:rsidP="0051689A">
            <w:pPr>
              <w:spacing w:before="80" w:after="80"/>
              <w:outlineLvl w:val="1"/>
              <w:rPr>
                <w:rFonts w:ascii="Arial" w:hAnsi="Arial" w:cs="Arial"/>
                <w:szCs w:val="24"/>
                <w:lang w:val="es-ES_tradnl"/>
              </w:rPr>
            </w:pPr>
          </w:p>
        </w:tc>
        <w:tc>
          <w:tcPr>
            <w:tcW w:w="1710" w:type="dxa"/>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Capital propio</w:t>
            </w:r>
          </w:p>
        </w:tc>
        <w:tc>
          <w:tcPr>
            <w:tcW w:w="1012"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40</w:t>
            </w:r>
          </w:p>
        </w:tc>
        <w:tc>
          <w:tcPr>
            <w:tcW w:w="1013"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20</w:t>
            </w:r>
          </w:p>
        </w:tc>
        <w:tc>
          <w:tcPr>
            <w:tcW w:w="1012"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40</w:t>
            </w:r>
          </w:p>
        </w:tc>
        <w:tc>
          <w:tcPr>
            <w:tcW w:w="1013" w:type="dxa"/>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100</w:t>
            </w:r>
          </w:p>
        </w:tc>
      </w:tr>
      <w:tr w:rsidR="008350ED" w:rsidRPr="00007908" w:rsidTr="0051689A">
        <w:trPr>
          <w:trHeight w:val="541"/>
        </w:trPr>
        <w:tc>
          <w:tcPr>
            <w:tcW w:w="3870" w:type="dxa"/>
            <w:gridSpan w:val="2"/>
            <w:vMerge/>
            <w:vAlign w:val="center"/>
          </w:tcPr>
          <w:p w:rsidR="008350ED" w:rsidRPr="00007908" w:rsidRDefault="008350ED" w:rsidP="0051689A">
            <w:pPr>
              <w:spacing w:before="80" w:after="80"/>
              <w:outlineLvl w:val="1"/>
              <w:rPr>
                <w:rFonts w:ascii="Arial" w:hAnsi="Arial" w:cs="Arial"/>
                <w:szCs w:val="24"/>
                <w:lang w:val="es-ES_tradnl"/>
              </w:rPr>
            </w:pPr>
          </w:p>
        </w:tc>
        <w:tc>
          <w:tcPr>
            <w:tcW w:w="1710" w:type="dxa"/>
            <w:tcBorders>
              <w:bottom w:val="single" w:sz="4" w:space="0" w:color="auto"/>
            </w:tcBorders>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Banca comercial</w:t>
            </w:r>
          </w:p>
        </w:tc>
        <w:tc>
          <w:tcPr>
            <w:tcW w:w="1012"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120</w:t>
            </w:r>
          </w:p>
        </w:tc>
        <w:tc>
          <w:tcPr>
            <w:tcW w:w="1013"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60</w:t>
            </w:r>
          </w:p>
        </w:tc>
        <w:tc>
          <w:tcPr>
            <w:tcW w:w="1012"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120</w:t>
            </w:r>
          </w:p>
        </w:tc>
        <w:tc>
          <w:tcPr>
            <w:tcW w:w="1013" w:type="dxa"/>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300</w:t>
            </w:r>
          </w:p>
        </w:tc>
      </w:tr>
      <w:tr w:rsidR="008350ED" w:rsidRPr="00007908" w:rsidTr="00D04B54">
        <w:trPr>
          <w:trHeight w:val="541"/>
        </w:trPr>
        <w:tc>
          <w:tcPr>
            <w:tcW w:w="3870" w:type="dxa"/>
            <w:gridSpan w:val="2"/>
            <w:vMerge/>
            <w:tcBorders>
              <w:bottom w:val="single" w:sz="4" w:space="0" w:color="auto"/>
            </w:tcBorders>
            <w:vAlign w:val="center"/>
          </w:tcPr>
          <w:p w:rsidR="008350ED" w:rsidRPr="00007908" w:rsidRDefault="008350ED" w:rsidP="0051689A">
            <w:pPr>
              <w:spacing w:before="80" w:after="80"/>
              <w:outlineLvl w:val="1"/>
              <w:rPr>
                <w:rFonts w:ascii="Arial" w:hAnsi="Arial" w:cs="Arial"/>
                <w:szCs w:val="24"/>
                <w:lang w:val="es-ES_tradnl"/>
              </w:rPr>
            </w:pPr>
          </w:p>
        </w:tc>
        <w:tc>
          <w:tcPr>
            <w:tcW w:w="1710" w:type="dxa"/>
            <w:tcBorders>
              <w:bottom w:val="single" w:sz="4" w:space="0" w:color="auto"/>
            </w:tcBorders>
            <w:vAlign w:val="center"/>
          </w:tcPr>
          <w:p w:rsidR="008350ED" w:rsidRPr="00007908" w:rsidRDefault="008350ED" w:rsidP="00D04B54">
            <w:pPr>
              <w:spacing w:before="80" w:after="80"/>
              <w:jc w:val="center"/>
              <w:outlineLvl w:val="1"/>
              <w:rPr>
                <w:rFonts w:ascii="Arial" w:hAnsi="Arial" w:cs="Arial"/>
                <w:szCs w:val="24"/>
                <w:lang w:val="es-ES_tradnl"/>
              </w:rPr>
            </w:pPr>
            <w:r w:rsidRPr="00007908">
              <w:rPr>
                <w:rFonts w:ascii="Arial" w:hAnsi="Arial" w:cs="Arial"/>
                <w:szCs w:val="24"/>
                <w:lang w:val="es-ES_tradnl"/>
              </w:rPr>
              <w:t>Total</w:t>
            </w:r>
          </w:p>
        </w:tc>
        <w:tc>
          <w:tcPr>
            <w:tcW w:w="1012"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200</w:t>
            </w:r>
          </w:p>
        </w:tc>
        <w:tc>
          <w:tcPr>
            <w:tcW w:w="1013"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100</w:t>
            </w:r>
          </w:p>
        </w:tc>
        <w:tc>
          <w:tcPr>
            <w:tcW w:w="1012" w:type="dxa"/>
            <w:gridSpan w:val="2"/>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200</w:t>
            </w:r>
          </w:p>
        </w:tc>
        <w:tc>
          <w:tcPr>
            <w:tcW w:w="1013" w:type="dxa"/>
            <w:tcBorders>
              <w:bottom w:val="single" w:sz="4" w:space="0" w:color="auto"/>
            </w:tcBorders>
            <w:vAlign w:val="center"/>
          </w:tcPr>
          <w:p w:rsidR="008350ED" w:rsidRPr="00007908" w:rsidRDefault="00E57B60" w:rsidP="0051689A">
            <w:pPr>
              <w:spacing w:before="80" w:after="80"/>
              <w:jc w:val="center"/>
              <w:outlineLvl w:val="1"/>
              <w:rPr>
                <w:rFonts w:ascii="Arial" w:hAnsi="Arial" w:cs="Arial"/>
                <w:szCs w:val="24"/>
                <w:lang w:val="es-ES_tradnl"/>
              </w:rPr>
            </w:pPr>
            <w:r w:rsidRPr="00007908">
              <w:rPr>
                <w:rFonts w:ascii="Arial" w:hAnsi="Arial" w:cs="Arial"/>
                <w:szCs w:val="24"/>
                <w:lang w:val="es-ES_tradnl"/>
              </w:rPr>
              <w:t>500</w:t>
            </w:r>
          </w:p>
        </w:tc>
      </w:tr>
    </w:tbl>
    <w:p w:rsidR="00051B6C" w:rsidRPr="00007908" w:rsidRDefault="008578C6" w:rsidP="00051B6C">
      <w:pPr>
        <w:pStyle w:val="Chapter"/>
        <w:rPr>
          <w:rFonts w:ascii="Arial" w:hAnsi="Arial" w:cs="Arial"/>
          <w:lang w:val="es-ES_tradnl"/>
        </w:rPr>
      </w:pPr>
      <w:bookmarkStart w:id="8" w:name="_Toc419987562"/>
      <w:r w:rsidRPr="00007908">
        <w:rPr>
          <w:rFonts w:ascii="Arial" w:hAnsi="Arial" w:cs="Arial"/>
          <w:lang w:val="es-ES_tradnl"/>
        </w:rPr>
        <w:t>Monitoreo</w:t>
      </w:r>
      <w:bookmarkEnd w:id="8"/>
    </w:p>
    <w:p w:rsidR="00051B6C" w:rsidRPr="00007908" w:rsidRDefault="00051B6C" w:rsidP="00051B6C">
      <w:pPr>
        <w:pStyle w:val="FirstHeading"/>
        <w:ind w:left="720"/>
        <w:rPr>
          <w:rFonts w:ascii="Arial" w:hAnsi="Arial" w:cs="Arial"/>
          <w:noProof/>
          <w:sz w:val="22"/>
          <w:lang w:val="es-ES_tradnl"/>
        </w:rPr>
      </w:pPr>
      <w:bookmarkStart w:id="9" w:name="_Toc300318304"/>
      <w:bookmarkStart w:id="10" w:name="_Toc331167635"/>
      <w:bookmarkStart w:id="11" w:name="_Toc419987563"/>
      <w:r w:rsidRPr="00007908">
        <w:rPr>
          <w:rFonts w:ascii="Arial" w:hAnsi="Arial" w:cs="Arial"/>
          <w:noProof/>
          <w:sz w:val="22"/>
          <w:lang w:val="es-ES_tradnl"/>
        </w:rPr>
        <w:t>A.</w:t>
      </w:r>
      <w:r w:rsidRPr="00007908">
        <w:rPr>
          <w:rFonts w:ascii="Arial" w:hAnsi="Arial" w:cs="Arial"/>
          <w:noProof/>
          <w:sz w:val="22"/>
          <w:lang w:val="es-ES_tradnl"/>
        </w:rPr>
        <w:tab/>
        <w:t>Indicadores</w:t>
      </w:r>
      <w:bookmarkEnd w:id="9"/>
      <w:bookmarkEnd w:id="10"/>
      <w:bookmarkEnd w:id="11"/>
      <w:r w:rsidRPr="00007908">
        <w:rPr>
          <w:rFonts w:ascii="Arial" w:hAnsi="Arial" w:cs="Arial"/>
          <w:noProof/>
          <w:sz w:val="22"/>
          <w:lang w:val="es-ES_tradnl"/>
        </w:rPr>
        <w:t xml:space="preserve"> </w:t>
      </w:r>
    </w:p>
    <w:p w:rsidR="00B63E64" w:rsidRPr="00007908" w:rsidRDefault="00051B6C" w:rsidP="00E03E9E">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 xml:space="preserve">Los indicadores a los que se dará seguimiento son los que recoge la Matriz de Resultados y que a su vez serán incluidos en el </w:t>
      </w:r>
      <w:r w:rsidRPr="00007908">
        <w:rPr>
          <w:rFonts w:ascii="Arial" w:hAnsi="Arial" w:cs="Arial"/>
          <w:i/>
          <w:sz w:val="22"/>
          <w:lang w:val="es-ES_tradnl"/>
        </w:rPr>
        <w:t>Progress Monitoring Report</w:t>
      </w:r>
      <w:r w:rsidRPr="00007908">
        <w:rPr>
          <w:rFonts w:ascii="Arial" w:hAnsi="Arial" w:cs="Arial"/>
          <w:sz w:val="22"/>
          <w:lang w:val="es-ES_tradnl"/>
        </w:rPr>
        <w:t xml:space="preserve"> (PMR) del programa. El cuadro 2.1 los sintetiza y establece la fuente y frecuencia de la recogida y proceso de información.</w:t>
      </w:r>
    </w:p>
    <w:tbl>
      <w:tblPr>
        <w:tblW w:w="83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520"/>
        <w:gridCol w:w="1350"/>
        <w:gridCol w:w="2340"/>
      </w:tblGrid>
      <w:tr w:rsidR="00051B6C" w:rsidRPr="00007908" w:rsidTr="00FA03F1">
        <w:tc>
          <w:tcPr>
            <w:tcW w:w="8370" w:type="dxa"/>
            <w:gridSpan w:val="4"/>
            <w:tcBorders>
              <w:top w:val="nil"/>
              <w:left w:val="nil"/>
              <w:right w:val="nil"/>
            </w:tcBorders>
          </w:tcPr>
          <w:p w:rsidR="00051B6C" w:rsidRPr="00007908" w:rsidRDefault="00051B6C" w:rsidP="003D086E">
            <w:pPr>
              <w:spacing w:before="120" w:after="0"/>
              <w:jc w:val="center"/>
              <w:rPr>
                <w:rFonts w:ascii="Arial" w:hAnsi="Arial" w:cs="Arial"/>
                <w:lang w:val="es-ES"/>
              </w:rPr>
            </w:pPr>
            <w:r w:rsidRPr="00007908">
              <w:rPr>
                <w:rFonts w:ascii="Arial" w:hAnsi="Arial" w:cs="Arial"/>
                <w:b/>
                <w:lang w:val="es-ES"/>
              </w:rPr>
              <w:t>Cuadro 2.1: Indicadores de seguimiento</w:t>
            </w:r>
          </w:p>
        </w:tc>
      </w:tr>
      <w:tr w:rsidR="00051B6C" w:rsidRPr="00007908" w:rsidTr="00FA03F1">
        <w:tc>
          <w:tcPr>
            <w:tcW w:w="2160" w:type="dxa"/>
            <w:shd w:val="clear" w:color="auto" w:fill="B8CCE4" w:themeFill="accent1" w:themeFillTint="66"/>
            <w:vAlign w:val="center"/>
          </w:tcPr>
          <w:p w:rsidR="00051B6C" w:rsidRPr="00007908" w:rsidRDefault="00051B6C" w:rsidP="00FA03F1">
            <w:pPr>
              <w:spacing w:before="60" w:after="60" w:line="240" w:lineRule="auto"/>
              <w:jc w:val="center"/>
              <w:rPr>
                <w:rFonts w:ascii="Arial" w:hAnsi="Arial" w:cs="Arial"/>
                <w:b/>
                <w:sz w:val="18"/>
                <w:lang w:val="es-ES"/>
              </w:rPr>
            </w:pPr>
            <w:r w:rsidRPr="00007908">
              <w:rPr>
                <w:rFonts w:ascii="Arial" w:hAnsi="Arial" w:cs="Arial"/>
                <w:b/>
                <w:sz w:val="18"/>
                <w:lang w:val="es-ES"/>
              </w:rPr>
              <w:t>Indicador</w:t>
            </w:r>
          </w:p>
        </w:tc>
        <w:tc>
          <w:tcPr>
            <w:tcW w:w="2520" w:type="dxa"/>
            <w:shd w:val="clear" w:color="auto" w:fill="B8CCE4" w:themeFill="accent1" w:themeFillTint="66"/>
            <w:vAlign w:val="center"/>
          </w:tcPr>
          <w:p w:rsidR="00051B6C" w:rsidRPr="00007908" w:rsidRDefault="00051B6C" w:rsidP="00FA03F1">
            <w:pPr>
              <w:spacing w:before="60" w:after="60" w:line="240" w:lineRule="auto"/>
              <w:jc w:val="center"/>
              <w:rPr>
                <w:rFonts w:ascii="Arial" w:hAnsi="Arial" w:cs="Arial"/>
                <w:b/>
                <w:sz w:val="18"/>
                <w:lang w:val="es-ES"/>
              </w:rPr>
            </w:pPr>
            <w:r w:rsidRPr="00007908">
              <w:rPr>
                <w:rFonts w:ascii="Arial" w:hAnsi="Arial" w:cs="Arial"/>
                <w:b/>
                <w:sz w:val="18"/>
                <w:lang w:val="es-ES"/>
              </w:rPr>
              <w:t>Descripción</w:t>
            </w:r>
          </w:p>
        </w:tc>
        <w:tc>
          <w:tcPr>
            <w:tcW w:w="1350" w:type="dxa"/>
            <w:shd w:val="clear" w:color="auto" w:fill="B8CCE4" w:themeFill="accent1" w:themeFillTint="66"/>
            <w:vAlign w:val="center"/>
          </w:tcPr>
          <w:p w:rsidR="00051B6C" w:rsidRPr="00007908" w:rsidRDefault="00051B6C" w:rsidP="00FA03F1">
            <w:pPr>
              <w:spacing w:before="60" w:after="60" w:line="240" w:lineRule="auto"/>
              <w:jc w:val="center"/>
              <w:rPr>
                <w:rFonts w:ascii="Arial" w:hAnsi="Arial" w:cs="Arial"/>
                <w:b/>
                <w:sz w:val="18"/>
                <w:lang w:val="es-ES"/>
              </w:rPr>
            </w:pPr>
            <w:r w:rsidRPr="00007908">
              <w:rPr>
                <w:rFonts w:ascii="Arial" w:hAnsi="Arial" w:cs="Arial"/>
                <w:b/>
                <w:sz w:val="18"/>
                <w:lang w:val="es-ES"/>
              </w:rPr>
              <w:t>Frecuencia de medición</w:t>
            </w:r>
          </w:p>
        </w:tc>
        <w:tc>
          <w:tcPr>
            <w:tcW w:w="2340" w:type="dxa"/>
            <w:shd w:val="clear" w:color="auto" w:fill="B8CCE4" w:themeFill="accent1" w:themeFillTint="66"/>
            <w:vAlign w:val="center"/>
          </w:tcPr>
          <w:p w:rsidR="00051B6C" w:rsidRPr="00007908" w:rsidRDefault="00051B6C" w:rsidP="00FA03F1">
            <w:pPr>
              <w:spacing w:before="60" w:after="60" w:line="240" w:lineRule="auto"/>
              <w:jc w:val="center"/>
              <w:rPr>
                <w:rFonts w:ascii="Arial" w:hAnsi="Arial" w:cs="Arial"/>
                <w:b/>
                <w:sz w:val="18"/>
                <w:lang w:val="es-ES"/>
              </w:rPr>
            </w:pPr>
            <w:r w:rsidRPr="00007908">
              <w:rPr>
                <w:rFonts w:ascii="Arial" w:hAnsi="Arial" w:cs="Arial"/>
                <w:b/>
                <w:sz w:val="18"/>
                <w:lang w:val="es-ES"/>
              </w:rPr>
              <w:t>Fuente de verificación</w:t>
            </w:r>
          </w:p>
        </w:tc>
      </w:tr>
      <w:tr w:rsidR="00051B6C" w:rsidRPr="00007908" w:rsidTr="002034DF">
        <w:trPr>
          <w:trHeight w:val="719"/>
        </w:trPr>
        <w:tc>
          <w:tcPr>
            <w:tcW w:w="2160" w:type="dxa"/>
          </w:tcPr>
          <w:p w:rsidR="00051B6C" w:rsidRPr="00007908" w:rsidRDefault="00DF443C"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 xml:space="preserve">Créditos otorgados a proyectos de generación a partir de Energías Renovables (ER) con recursos del programa.  </w:t>
            </w:r>
          </w:p>
        </w:tc>
        <w:tc>
          <w:tcPr>
            <w:tcW w:w="2520" w:type="dxa"/>
          </w:tcPr>
          <w:p w:rsidR="00051B6C" w:rsidRPr="00007908" w:rsidRDefault="00DF443C"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Contabiliza los préstamos para proyectos de ER financiados con recursos del programa, cuya construcción haya sido puesta en marcha.</w:t>
            </w:r>
          </w:p>
        </w:tc>
        <w:tc>
          <w:tcPr>
            <w:tcW w:w="1350" w:type="dxa"/>
          </w:tcPr>
          <w:p w:rsidR="00051B6C" w:rsidRPr="00007908" w:rsidRDefault="00051B6C"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Semestral y al final de la ejecución del Programa</w:t>
            </w:r>
          </w:p>
        </w:tc>
        <w:tc>
          <w:tcPr>
            <w:tcW w:w="2340" w:type="dxa"/>
          </w:tcPr>
          <w:p w:rsidR="00051B6C" w:rsidRPr="00007908" w:rsidRDefault="007329B4"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 xml:space="preserve">Informes periódicos de </w:t>
            </w:r>
            <w:r w:rsidR="00DF443C" w:rsidRPr="00007908">
              <w:rPr>
                <w:rFonts w:ascii="Arial" w:hAnsi="Arial" w:cs="Arial"/>
                <w:sz w:val="20"/>
                <w:szCs w:val="20"/>
                <w:lang w:val="es-ES_tradnl"/>
              </w:rPr>
              <w:t>Bancomext</w:t>
            </w:r>
            <w:r w:rsidRPr="00007908">
              <w:rPr>
                <w:rFonts w:ascii="Arial" w:hAnsi="Arial" w:cs="Arial"/>
                <w:sz w:val="20"/>
                <w:szCs w:val="20"/>
                <w:lang w:val="es-ES_tradnl"/>
              </w:rPr>
              <w:t xml:space="preserve"> sobre el programa</w:t>
            </w:r>
          </w:p>
        </w:tc>
      </w:tr>
      <w:tr w:rsidR="00051B6C" w:rsidRPr="00007908" w:rsidTr="002034DF">
        <w:trPr>
          <w:trHeight w:val="1070"/>
        </w:trPr>
        <w:tc>
          <w:tcPr>
            <w:tcW w:w="2160" w:type="dxa"/>
          </w:tcPr>
          <w:p w:rsidR="00051B6C" w:rsidRPr="00007908" w:rsidRDefault="003155A8"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Créditos otorgados a proyectos de cogeneración con recursos del programa.</w:t>
            </w:r>
          </w:p>
        </w:tc>
        <w:tc>
          <w:tcPr>
            <w:tcW w:w="2520" w:type="dxa"/>
          </w:tcPr>
          <w:p w:rsidR="00051B6C" w:rsidRPr="00007908" w:rsidRDefault="003155A8" w:rsidP="0052094B">
            <w:pPr>
              <w:spacing w:after="60"/>
              <w:jc w:val="both"/>
              <w:rPr>
                <w:rFonts w:ascii="Arial" w:hAnsi="Arial" w:cs="Arial"/>
                <w:sz w:val="20"/>
                <w:szCs w:val="20"/>
                <w:lang w:val="es-ES_tradnl"/>
              </w:rPr>
            </w:pPr>
            <w:r w:rsidRPr="00007908">
              <w:rPr>
                <w:rFonts w:ascii="Arial" w:hAnsi="Arial" w:cs="Arial"/>
                <w:sz w:val="20"/>
                <w:szCs w:val="20"/>
                <w:lang w:val="es-ES_tradnl"/>
              </w:rPr>
              <w:t>Contabiliza los préstamos para proyectos de cogeneración cofinanciados con recursos del programa, cuya instalación haya sido puesta en marcha.</w:t>
            </w:r>
          </w:p>
        </w:tc>
        <w:tc>
          <w:tcPr>
            <w:tcW w:w="1350" w:type="dxa"/>
          </w:tcPr>
          <w:p w:rsidR="00051B6C" w:rsidRPr="00007908" w:rsidRDefault="00051B6C"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Semestral y al final de la ejecución del Programa</w:t>
            </w:r>
          </w:p>
        </w:tc>
        <w:tc>
          <w:tcPr>
            <w:tcW w:w="2340" w:type="dxa"/>
          </w:tcPr>
          <w:p w:rsidR="00051B6C" w:rsidRPr="00007908" w:rsidRDefault="007329B4"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 xml:space="preserve">Informes periódicos de </w:t>
            </w:r>
            <w:r w:rsidR="00DF443C" w:rsidRPr="00007908">
              <w:rPr>
                <w:rFonts w:ascii="Arial" w:hAnsi="Arial" w:cs="Arial"/>
                <w:sz w:val="20"/>
                <w:szCs w:val="20"/>
                <w:lang w:val="es-ES_tradnl"/>
              </w:rPr>
              <w:t>Bancomext</w:t>
            </w:r>
            <w:r w:rsidRPr="00007908">
              <w:rPr>
                <w:rFonts w:ascii="Arial" w:hAnsi="Arial" w:cs="Arial"/>
                <w:sz w:val="20"/>
                <w:szCs w:val="20"/>
                <w:lang w:val="es-ES_tradnl"/>
              </w:rPr>
              <w:t xml:space="preserve"> sobre el programa</w:t>
            </w:r>
          </w:p>
        </w:tc>
      </w:tr>
      <w:tr w:rsidR="003155A8" w:rsidRPr="00007908" w:rsidTr="00007908">
        <w:trPr>
          <w:trHeight w:val="3086"/>
        </w:trPr>
        <w:tc>
          <w:tcPr>
            <w:tcW w:w="2160" w:type="dxa"/>
          </w:tcPr>
          <w:p w:rsidR="003155A8" w:rsidRPr="00007908" w:rsidRDefault="001D434B" w:rsidP="00007908">
            <w:pPr>
              <w:spacing w:after="0" w:line="240" w:lineRule="auto"/>
              <w:jc w:val="both"/>
              <w:rPr>
                <w:rFonts w:ascii="Arial" w:hAnsi="Arial" w:cs="Arial"/>
                <w:sz w:val="20"/>
                <w:szCs w:val="20"/>
                <w:lang w:val="es-ES_tradnl"/>
              </w:rPr>
            </w:pPr>
            <w:r w:rsidRPr="00007908">
              <w:rPr>
                <w:rFonts w:ascii="Arial" w:hAnsi="Arial" w:cs="Arial"/>
                <w:sz w:val="20"/>
                <w:szCs w:val="20"/>
                <w:lang w:val="es-ES_tradnl"/>
              </w:rPr>
              <w:t>Valor total de la inversión apalancada con recursos del programa.</w:t>
            </w:r>
          </w:p>
        </w:tc>
        <w:tc>
          <w:tcPr>
            <w:tcW w:w="2520" w:type="dxa"/>
          </w:tcPr>
          <w:p w:rsidR="003155A8" w:rsidRPr="00007908" w:rsidRDefault="001D434B" w:rsidP="00007908">
            <w:pPr>
              <w:spacing w:after="0"/>
              <w:ind w:left="-18"/>
              <w:rPr>
                <w:rFonts w:ascii="Arial" w:hAnsi="Arial" w:cs="Arial"/>
                <w:sz w:val="20"/>
                <w:szCs w:val="20"/>
                <w:lang w:val="es-ES_tradnl"/>
              </w:rPr>
            </w:pPr>
            <w:r w:rsidRPr="00007908">
              <w:rPr>
                <w:rFonts w:ascii="Arial" w:hAnsi="Arial" w:cs="Arial"/>
                <w:sz w:val="20"/>
                <w:szCs w:val="20"/>
                <w:lang w:val="es-ES_tradnl"/>
              </w:rPr>
              <w:t>Mide el valor total de la inversión (cofinanciamiento más capital de inversionistas) apalancada con recursos del programa. Estimaciones en base a inversión total promedio de los proyectos de ER y Cogeneración.</w:t>
            </w:r>
          </w:p>
        </w:tc>
        <w:tc>
          <w:tcPr>
            <w:tcW w:w="1350" w:type="dxa"/>
          </w:tcPr>
          <w:p w:rsidR="003155A8" w:rsidRPr="00007908" w:rsidRDefault="003155A8" w:rsidP="00007908">
            <w:pPr>
              <w:spacing w:after="0" w:line="240" w:lineRule="auto"/>
              <w:jc w:val="both"/>
              <w:rPr>
                <w:rFonts w:ascii="Arial" w:hAnsi="Arial" w:cs="Arial"/>
                <w:sz w:val="20"/>
                <w:szCs w:val="20"/>
                <w:lang w:val="es-ES_tradnl"/>
              </w:rPr>
            </w:pPr>
            <w:r w:rsidRPr="00007908">
              <w:rPr>
                <w:rFonts w:ascii="Arial" w:hAnsi="Arial" w:cs="Arial"/>
                <w:sz w:val="20"/>
                <w:szCs w:val="20"/>
                <w:lang w:val="es-ES_tradnl"/>
              </w:rPr>
              <w:t>Semestral y al final de la ejecución del Programa</w:t>
            </w:r>
          </w:p>
        </w:tc>
        <w:tc>
          <w:tcPr>
            <w:tcW w:w="2340" w:type="dxa"/>
          </w:tcPr>
          <w:p w:rsidR="003155A8" w:rsidRPr="00007908" w:rsidRDefault="003155A8" w:rsidP="00007908">
            <w:pPr>
              <w:spacing w:after="0"/>
              <w:ind w:left="-75"/>
              <w:jc w:val="both"/>
              <w:rPr>
                <w:rFonts w:ascii="Arial" w:hAnsi="Arial" w:cs="Arial"/>
                <w:sz w:val="20"/>
                <w:szCs w:val="20"/>
                <w:lang w:val="es-ES_tradnl"/>
              </w:rPr>
            </w:pPr>
            <w:r w:rsidRPr="00007908">
              <w:rPr>
                <w:rFonts w:ascii="Arial" w:hAnsi="Arial" w:cs="Arial"/>
                <w:sz w:val="20"/>
                <w:szCs w:val="20"/>
                <w:lang w:val="es-ES_tradnl"/>
              </w:rPr>
              <w:t>Fuente: Informe de Bancomext sobre el programa.</w:t>
            </w:r>
          </w:p>
        </w:tc>
      </w:tr>
      <w:tr w:rsidR="00E54445" w:rsidRPr="00007908" w:rsidTr="00FA03F1">
        <w:trPr>
          <w:trHeight w:val="440"/>
        </w:trPr>
        <w:tc>
          <w:tcPr>
            <w:tcW w:w="2160" w:type="dxa"/>
          </w:tcPr>
          <w:p w:rsidR="00E54445" w:rsidRPr="00007908" w:rsidRDefault="00F11520"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Aumento en la potencia neta de electricidad a partir de proyectos de ER y Cogeneración a gas financiados con recursos del programa que entran en operación.</w:t>
            </w:r>
          </w:p>
        </w:tc>
        <w:tc>
          <w:tcPr>
            <w:tcW w:w="2520" w:type="dxa"/>
          </w:tcPr>
          <w:p w:rsidR="00E54445" w:rsidRPr="00007908" w:rsidRDefault="007329B4"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Contabiliza, en base a un factor de planta promedio, la generación de electricidad que se obtendría a partir de los proyectos de ER y Cogeneración que se cofinanciarían con recursos del Programa.</w:t>
            </w:r>
          </w:p>
        </w:tc>
        <w:tc>
          <w:tcPr>
            <w:tcW w:w="1350" w:type="dxa"/>
          </w:tcPr>
          <w:p w:rsidR="00E54445" w:rsidRPr="00007908" w:rsidRDefault="00E54445"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Semestral y al final de la ejecución del Programa</w:t>
            </w:r>
          </w:p>
        </w:tc>
        <w:tc>
          <w:tcPr>
            <w:tcW w:w="2340" w:type="dxa"/>
          </w:tcPr>
          <w:p w:rsidR="00CF620D" w:rsidRPr="00007908" w:rsidRDefault="007329B4"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 xml:space="preserve">Informe de </w:t>
            </w:r>
            <w:r w:rsidR="00DF443C" w:rsidRPr="00007908">
              <w:rPr>
                <w:rFonts w:ascii="Arial" w:hAnsi="Arial" w:cs="Arial"/>
                <w:sz w:val="20"/>
                <w:szCs w:val="20"/>
                <w:lang w:val="es-ES_tradnl"/>
              </w:rPr>
              <w:t xml:space="preserve">Bancomext </w:t>
            </w:r>
            <w:r w:rsidRPr="00007908">
              <w:rPr>
                <w:rFonts w:ascii="Arial" w:hAnsi="Arial" w:cs="Arial"/>
                <w:sz w:val="20"/>
                <w:szCs w:val="20"/>
                <w:lang w:val="es-ES_tradnl"/>
              </w:rPr>
              <w:t>sobre el programa. Se podrán verificar los valores a medida que se implemente el programa con información de la CRE y de la CFE.</w:t>
            </w:r>
          </w:p>
        </w:tc>
      </w:tr>
      <w:tr w:rsidR="00051B6C" w:rsidRPr="00007908" w:rsidTr="00FA03F1">
        <w:tc>
          <w:tcPr>
            <w:tcW w:w="2160" w:type="dxa"/>
            <w:tcBorders>
              <w:top w:val="single" w:sz="4" w:space="0" w:color="auto"/>
              <w:left w:val="single" w:sz="4" w:space="0" w:color="auto"/>
              <w:bottom w:val="single" w:sz="4" w:space="0" w:color="auto"/>
              <w:right w:val="single" w:sz="4" w:space="0" w:color="auto"/>
            </w:tcBorders>
          </w:tcPr>
          <w:p w:rsidR="00051B6C" w:rsidRPr="00007908" w:rsidRDefault="00311FCE"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Emisiones de gases de efecto invernadero evitadas y red</w:t>
            </w:r>
            <w:r w:rsidR="001F1AFC" w:rsidRPr="00007908">
              <w:rPr>
                <w:rFonts w:ascii="Arial" w:hAnsi="Arial" w:cs="Arial"/>
                <w:sz w:val="20"/>
                <w:szCs w:val="20"/>
                <w:lang w:val="es-ES_tradnl"/>
              </w:rPr>
              <w:t xml:space="preserve">ucidas con los proyectos de ER </w:t>
            </w:r>
            <w:r w:rsidRPr="00007908">
              <w:rPr>
                <w:rFonts w:ascii="Arial" w:hAnsi="Arial" w:cs="Arial"/>
                <w:sz w:val="20"/>
                <w:szCs w:val="20"/>
                <w:lang w:val="es-ES_tradnl"/>
              </w:rPr>
              <w:t>financiados con recursos del programa</w:t>
            </w:r>
          </w:p>
        </w:tc>
        <w:tc>
          <w:tcPr>
            <w:tcW w:w="2520" w:type="dxa"/>
            <w:tcBorders>
              <w:top w:val="single" w:sz="4" w:space="0" w:color="auto"/>
              <w:left w:val="single" w:sz="4" w:space="0" w:color="auto"/>
              <w:bottom w:val="single" w:sz="4" w:space="0" w:color="auto"/>
              <w:right w:val="single" w:sz="4" w:space="0" w:color="auto"/>
            </w:tcBorders>
          </w:tcPr>
          <w:p w:rsidR="00051B6C" w:rsidRPr="00007908" w:rsidRDefault="00CF620D"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Calcula la reducción de emisiones en miles de T CO2e</w:t>
            </w:r>
            <w:r w:rsidR="007D215D" w:rsidRPr="00007908">
              <w:rPr>
                <w:rFonts w:ascii="Arial" w:hAnsi="Arial" w:cs="Arial"/>
                <w:sz w:val="20"/>
                <w:szCs w:val="20"/>
                <w:lang w:val="es-ES_tradnl"/>
              </w:rPr>
              <w:t xml:space="preserve"> </w:t>
            </w:r>
            <w:r w:rsidR="00B41DDD" w:rsidRPr="00007908">
              <w:rPr>
                <w:rFonts w:ascii="Arial" w:hAnsi="Arial" w:cs="Arial"/>
                <w:sz w:val="20"/>
                <w:szCs w:val="20"/>
                <w:lang w:val="es-ES_tradnl"/>
              </w:rPr>
              <w:t xml:space="preserve">evitadas </w:t>
            </w:r>
            <w:r w:rsidRPr="00007908">
              <w:rPr>
                <w:rFonts w:ascii="Arial" w:hAnsi="Arial" w:cs="Arial"/>
                <w:sz w:val="20"/>
                <w:szCs w:val="20"/>
                <w:lang w:val="es-ES_tradnl"/>
              </w:rPr>
              <w:t xml:space="preserve">en base a la </w:t>
            </w:r>
            <w:r w:rsidR="00FB2C78" w:rsidRPr="00007908">
              <w:rPr>
                <w:rFonts w:ascii="Arial" w:hAnsi="Arial" w:cs="Arial"/>
                <w:sz w:val="20"/>
                <w:szCs w:val="20"/>
                <w:lang w:val="es-ES_tradnl"/>
              </w:rPr>
              <w:t xml:space="preserve">generación </w:t>
            </w:r>
            <w:r w:rsidR="00B41DDD" w:rsidRPr="00007908">
              <w:rPr>
                <w:rFonts w:ascii="Arial" w:hAnsi="Arial" w:cs="Arial"/>
                <w:sz w:val="20"/>
                <w:szCs w:val="20"/>
                <w:lang w:val="es-ES_tradnl"/>
              </w:rPr>
              <w:t xml:space="preserve">promedio anual </w:t>
            </w:r>
            <w:r w:rsidR="00FB2C78" w:rsidRPr="00007908">
              <w:rPr>
                <w:rFonts w:ascii="Arial" w:hAnsi="Arial" w:cs="Arial"/>
                <w:sz w:val="20"/>
                <w:szCs w:val="20"/>
                <w:lang w:val="es-ES_tradnl"/>
              </w:rPr>
              <w:t xml:space="preserve">de la nueva capacidad instalada </w:t>
            </w:r>
            <w:r w:rsidRPr="00007908">
              <w:rPr>
                <w:rFonts w:ascii="Arial" w:hAnsi="Arial" w:cs="Arial"/>
                <w:sz w:val="20"/>
                <w:szCs w:val="20"/>
                <w:lang w:val="es-ES_tradnl"/>
              </w:rPr>
              <w:t xml:space="preserve"> que se consigue con los proyectos financiados</w:t>
            </w:r>
            <w:r w:rsidR="00FB2C78" w:rsidRPr="00007908">
              <w:rPr>
                <w:rFonts w:ascii="Arial" w:hAnsi="Arial" w:cs="Arial"/>
                <w:sz w:val="20"/>
                <w:szCs w:val="20"/>
                <w:lang w:val="es-ES_tradnl"/>
              </w:rPr>
              <w:t xml:space="preserve"> de ER y</w:t>
            </w:r>
            <w:r w:rsidR="00311FCE" w:rsidRPr="00007908">
              <w:rPr>
                <w:rFonts w:ascii="Arial" w:hAnsi="Arial" w:cs="Arial"/>
                <w:sz w:val="20"/>
                <w:szCs w:val="20"/>
                <w:lang w:val="es-ES_tradnl"/>
              </w:rPr>
              <w:t xml:space="preserve"> </w:t>
            </w:r>
            <w:r w:rsidR="00D93B74" w:rsidRPr="00007908">
              <w:rPr>
                <w:rFonts w:ascii="Arial" w:hAnsi="Arial" w:cs="Arial"/>
                <w:sz w:val="20"/>
                <w:szCs w:val="20"/>
                <w:lang w:val="es-ES_tradnl"/>
              </w:rPr>
              <w:t>Cogeneración</w:t>
            </w:r>
            <w:r w:rsidR="00311FCE" w:rsidRPr="00007908">
              <w:rPr>
                <w:rFonts w:ascii="Arial" w:hAnsi="Arial" w:cs="Arial"/>
                <w:sz w:val="20"/>
                <w:szCs w:val="20"/>
                <w:lang w:val="es-ES_tradnl"/>
              </w:rPr>
              <w:t xml:space="preserve">; </w:t>
            </w:r>
          </w:p>
        </w:tc>
        <w:tc>
          <w:tcPr>
            <w:tcW w:w="1350" w:type="dxa"/>
            <w:tcBorders>
              <w:top w:val="single" w:sz="4" w:space="0" w:color="auto"/>
              <w:left w:val="single" w:sz="4" w:space="0" w:color="auto"/>
              <w:bottom w:val="single" w:sz="4" w:space="0" w:color="auto"/>
              <w:right w:val="single" w:sz="4" w:space="0" w:color="auto"/>
            </w:tcBorders>
          </w:tcPr>
          <w:p w:rsidR="00051B6C" w:rsidRPr="00007908" w:rsidRDefault="00FB2C78"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 xml:space="preserve">Anual </w:t>
            </w:r>
            <w:r w:rsidR="00051B6C" w:rsidRPr="00007908">
              <w:rPr>
                <w:rFonts w:ascii="Arial" w:hAnsi="Arial" w:cs="Arial"/>
                <w:sz w:val="20"/>
                <w:szCs w:val="20"/>
                <w:lang w:val="es-ES_tradnl"/>
              </w:rPr>
              <w:t xml:space="preserve">y al final de la ejecución del </w:t>
            </w:r>
            <w:r w:rsidR="00417504" w:rsidRPr="00007908">
              <w:rPr>
                <w:rFonts w:ascii="Arial" w:hAnsi="Arial" w:cs="Arial"/>
                <w:sz w:val="20"/>
                <w:szCs w:val="20"/>
                <w:lang w:val="es-ES_tradnl"/>
              </w:rPr>
              <w:t>p</w:t>
            </w:r>
            <w:r w:rsidR="00051B6C" w:rsidRPr="00007908">
              <w:rPr>
                <w:rFonts w:ascii="Arial" w:hAnsi="Arial" w:cs="Arial"/>
                <w:sz w:val="20"/>
                <w:szCs w:val="20"/>
                <w:lang w:val="es-ES_tradnl"/>
              </w:rPr>
              <w:t>rograma</w:t>
            </w:r>
          </w:p>
        </w:tc>
        <w:tc>
          <w:tcPr>
            <w:tcW w:w="2340" w:type="dxa"/>
            <w:tcBorders>
              <w:top w:val="single" w:sz="4" w:space="0" w:color="auto"/>
              <w:left w:val="single" w:sz="4" w:space="0" w:color="auto"/>
              <w:bottom w:val="single" w:sz="4" w:space="0" w:color="auto"/>
              <w:right w:val="single" w:sz="4" w:space="0" w:color="auto"/>
            </w:tcBorders>
          </w:tcPr>
          <w:p w:rsidR="00051B6C" w:rsidRPr="00007908" w:rsidRDefault="00311FCE" w:rsidP="0052094B">
            <w:pPr>
              <w:spacing w:before="60" w:after="60" w:line="240" w:lineRule="auto"/>
              <w:jc w:val="both"/>
              <w:rPr>
                <w:rFonts w:ascii="Arial" w:hAnsi="Arial" w:cs="Arial"/>
                <w:sz w:val="20"/>
                <w:szCs w:val="20"/>
                <w:lang w:val="es-ES_tradnl"/>
              </w:rPr>
            </w:pPr>
            <w:r w:rsidRPr="00007908">
              <w:rPr>
                <w:rFonts w:ascii="Arial" w:hAnsi="Arial" w:cs="Arial"/>
                <w:sz w:val="20"/>
                <w:szCs w:val="20"/>
                <w:lang w:val="es-ES_tradnl"/>
              </w:rPr>
              <w:t xml:space="preserve">Informe de </w:t>
            </w:r>
            <w:r w:rsidR="00DF443C" w:rsidRPr="00007908">
              <w:rPr>
                <w:rFonts w:ascii="Arial" w:hAnsi="Arial" w:cs="Arial"/>
                <w:sz w:val="20"/>
                <w:szCs w:val="20"/>
                <w:lang w:val="es-ES_tradnl"/>
              </w:rPr>
              <w:t xml:space="preserve">Bancomext </w:t>
            </w:r>
            <w:r w:rsidRPr="00007908">
              <w:rPr>
                <w:rFonts w:ascii="Arial" w:hAnsi="Arial" w:cs="Arial"/>
                <w:sz w:val="20"/>
                <w:szCs w:val="20"/>
                <w:lang w:val="es-ES_tradnl"/>
              </w:rPr>
              <w:t>sobre el programa e información oficial sobre los factores de conversión y emisiones de GEI de México</w:t>
            </w:r>
            <w:r w:rsidR="007D215D" w:rsidRPr="00007908">
              <w:rPr>
                <w:rFonts w:ascii="Arial" w:hAnsi="Arial" w:cs="Arial"/>
                <w:sz w:val="20"/>
                <w:szCs w:val="20"/>
                <w:lang w:val="es-ES_tradnl"/>
              </w:rPr>
              <w:t xml:space="preserve"> para ER</w:t>
            </w:r>
            <w:r w:rsidRPr="00007908">
              <w:rPr>
                <w:rFonts w:ascii="Arial" w:hAnsi="Arial" w:cs="Arial"/>
                <w:sz w:val="20"/>
                <w:szCs w:val="20"/>
                <w:lang w:val="es-ES_tradnl"/>
              </w:rPr>
              <w:t>.</w:t>
            </w:r>
          </w:p>
        </w:tc>
      </w:tr>
    </w:tbl>
    <w:p w:rsidR="00051B6C" w:rsidRPr="00007908" w:rsidRDefault="00051B6C" w:rsidP="00EF0621">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Cabe resaltar que los proyectos financiados por el programa pueden tener impactos y riesgos ambientales y/o sociales adversos potencialmente significativos, que requieren de un sistema efectivo de evaluación para su adecuada mitigación y gestión. Para mitigar estos riesgos, se establecerá un marco de gestión ambiental y social (MGAS) que permitirá identificar los potenciales riesgos asociados con los proyectos elegibles bajo el programa y asegurar que los beneficiarios de los financiamientos implementen medidas de evaluación, prevención y mitigación consistentes con las políticas de salvaguardas del Banco. Dicha estrategia buscará maximizar la alineación del uso de sistemas nacionales y estará lista para su incorporación al ROP, siendo por tanto requisito para el primer desembolso. Para implementar la estrategia de gestión socio</w:t>
      </w:r>
      <w:r w:rsidR="00B41DDD" w:rsidRPr="00007908">
        <w:rPr>
          <w:rFonts w:ascii="Arial" w:hAnsi="Arial" w:cs="Arial"/>
          <w:sz w:val="22"/>
          <w:lang w:val="es-ES_tradnl"/>
        </w:rPr>
        <w:t>-</w:t>
      </w:r>
      <w:r w:rsidRPr="00007908">
        <w:rPr>
          <w:rFonts w:ascii="Arial" w:hAnsi="Arial" w:cs="Arial"/>
          <w:sz w:val="22"/>
          <w:lang w:val="es-ES_tradnl"/>
        </w:rPr>
        <w:t xml:space="preserve">ambiental, </w:t>
      </w:r>
      <w:r w:rsidR="008A19C5" w:rsidRPr="00007908">
        <w:rPr>
          <w:rFonts w:ascii="Arial" w:hAnsi="Arial" w:cs="Arial"/>
          <w:sz w:val="22"/>
          <w:lang w:val="es-ES_tradnl"/>
        </w:rPr>
        <w:t>Bancomext</w:t>
      </w:r>
      <w:r w:rsidRPr="00007908">
        <w:rPr>
          <w:rFonts w:ascii="Arial" w:hAnsi="Arial" w:cs="Arial"/>
          <w:sz w:val="22"/>
          <w:lang w:val="es-ES_tradnl"/>
        </w:rPr>
        <w:t xml:space="preserve">: (i) acordará con el Banco un MGAS acorde con  los lineamientos del IGAS que será incluido en el ROP; (ii) establecerá los arreglos inter institucionales necesarios para implementar el MGAS; </w:t>
      </w:r>
      <w:r w:rsidR="00B41DDD" w:rsidRPr="00007908">
        <w:rPr>
          <w:rFonts w:ascii="Arial" w:hAnsi="Arial" w:cs="Arial"/>
          <w:sz w:val="22"/>
          <w:lang w:val="es-ES_tradnl"/>
        </w:rPr>
        <w:t xml:space="preserve">y </w:t>
      </w:r>
      <w:r w:rsidRPr="00007908">
        <w:rPr>
          <w:rFonts w:ascii="Arial" w:hAnsi="Arial" w:cs="Arial"/>
          <w:sz w:val="22"/>
          <w:lang w:val="es-ES_tradnl"/>
        </w:rPr>
        <w:t xml:space="preserve">(iii) </w:t>
      </w:r>
      <w:r w:rsidR="00B41DDD" w:rsidRPr="00007908">
        <w:rPr>
          <w:rFonts w:ascii="Arial" w:hAnsi="Arial" w:cs="Arial"/>
          <w:sz w:val="22"/>
          <w:lang w:val="es-ES_tradnl"/>
        </w:rPr>
        <w:t xml:space="preserve">se </w:t>
      </w:r>
      <w:r w:rsidRPr="00007908">
        <w:rPr>
          <w:rFonts w:ascii="Arial" w:hAnsi="Arial" w:cs="Arial"/>
          <w:sz w:val="22"/>
          <w:lang w:val="es-ES_tradnl"/>
        </w:rPr>
        <w:t>asegurará que los proyectos financiados por el programa sean ejecutados de acuerdo a los requisitos del MGAS. En este sentido, el programa será ejecutado de acuerdo a las condiciones socio</w:t>
      </w:r>
      <w:r w:rsidR="00B41DDD" w:rsidRPr="00007908">
        <w:rPr>
          <w:rFonts w:ascii="Arial" w:hAnsi="Arial" w:cs="Arial"/>
          <w:sz w:val="22"/>
          <w:lang w:val="es-ES_tradnl"/>
        </w:rPr>
        <w:t>-</w:t>
      </w:r>
      <w:r w:rsidRPr="00007908">
        <w:rPr>
          <w:rFonts w:ascii="Arial" w:hAnsi="Arial" w:cs="Arial"/>
          <w:sz w:val="22"/>
          <w:lang w:val="es-ES_tradnl"/>
        </w:rPr>
        <w:t xml:space="preserve">ambientales descritas en el IGAS para lo cual se deberá también dar seguimiento, si bien no como parte del esquema de resultados del programa sino como complemento a éste, al </w:t>
      </w:r>
      <w:r w:rsidR="00AF2C5C" w:rsidRPr="00007908">
        <w:rPr>
          <w:rFonts w:ascii="Arial" w:hAnsi="Arial" w:cs="Arial"/>
          <w:sz w:val="22"/>
          <w:lang w:val="es-ES_tradnl"/>
        </w:rPr>
        <w:t>nivel de desempeño socio</w:t>
      </w:r>
      <w:r w:rsidRPr="00007908">
        <w:rPr>
          <w:rFonts w:ascii="Arial" w:hAnsi="Arial" w:cs="Arial"/>
          <w:sz w:val="22"/>
          <w:lang w:val="es-ES_tradnl"/>
        </w:rPr>
        <w:t>ambiental según los criterios del MGAS, debiendo incluirse este aspecto en los Informes Anuales sobre el avance de la ejecución.</w:t>
      </w:r>
    </w:p>
    <w:p w:rsidR="00051B6C" w:rsidRPr="00007908" w:rsidRDefault="00051B6C" w:rsidP="00051B6C">
      <w:pPr>
        <w:pStyle w:val="FirstHeading"/>
        <w:ind w:left="720"/>
        <w:rPr>
          <w:rFonts w:ascii="Arial" w:hAnsi="Arial" w:cs="Arial"/>
          <w:noProof/>
          <w:sz w:val="22"/>
          <w:lang w:val="es-ES_tradnl"/>
        </w:rPr>
      </w:pPr>
      <w:bookmarkStart w:id="12" w:name="_Toc300318305"/>
      <w:bookmarkStart w:id="13" w:name="_Toc331167636"/>
      <w:bookmarkStart w:id="14" w:name="_Toc419987564"/>
      <w:r w:rsidRPr="00007908">
        <w:rPr>
          <w:rFonts w:ascii="Arial" w:hAnsi="Arial" w:cs="Arial"/>
          <w:noProof/>
          <w:sz w:val="22"/>
          <w:lang w:val="es-ES_tradnl"/>
        </w:rPr>
        <w:t>B.</w:t>
      </w:r>
      <w:r w:rsidRPr="00007908">
        <w:rPr>
          <w:rFonts w:ascii="Arial" w:hAnsi="Arial" w:cs="Arial"/>
          <w:noProof/>
          <w:sz w:val="22"/>
          <w:lang w:val="es-ES_tradnl"/>
        </w:rPr>
        <w:tab/>
        <w:t xml:space="preserve">Recopilación de </w:t>
      </w:r>
      <w:r w:rsidR="00B63E64" w:rsidRPr="00007908">
        <w:rPr>
          <w:rFonts w:ascii="Arial" w:hAnsi="Arial" w:cs="Arial"/>
          <w:noProof/>
          <w:sz w:val="22"/>
          <w:lang w:val="es-ES_tradnl"/>
        </w:rPr>
        <w:t>D</w:t>
      </w:r>
      <w:r w:rsidRPr="00007908">
        <w:rPr>
          <w:rFonts w:ascii="Arial" w:hAnsi="Arial" w:cs="Arial"/>
          <w:noProof/>
          <w:sz w:val="22"/>
          <w:lang w:val="es-ES_tradnl"/>
        </w:rPr>
        <w:t xml:space="preserve">atos e </w:t>
      </w:r>
      <w:r w:rsidR="00B63E64" w:rsidRPr="00007908">
        <w:rPr>
          <w:rFonts w:ascii="Arial" w:hAnsi="Arial" w:cs="Arial"/>
          <w:noProof/>
          <w:sz w:val="22"/>
          <w:lang w:val="es-ES_tradnl"/>
        </w:rPr>
        <w:t>I</w:t>
      </w:r>
      <w:r w:rsidRPr="00007908">
        <w:rPr>
          <w:rFonts w:ascii="Arial" w:hAnsi="Arial" w:cs="Arial"/>
          <w:noProof/>
          <w:sz w:val="22"/>
          <w:lang w:val="es-ES_tradnl"/>
        </w:rPr>
        <w:t>nstrumentos</w:t>
      </w:r>
      <w:bookmarkEnd w:id="12"/>
      <w:bookmarkEnd w:id="13"/>
      <w:bookmarkEnd w:id="14"/>
      <w:r w:rsidRPr="00007908">
        <w:rPr>
          <w:rFonts w:ascii="Arial" w:hAnsi="Arial" w:cs="Arial"/>
          <w:noProof/>
          <w:sz w:val="22"/>
          <w:lang w:val="es-ES_tradnl"/>
        </w:rPr>
        <w:t xml:space="preserve"> </w:t>
      </w:r>
    </w:p>
    <w:p w:rsidR="00051B6C" w:rsidRPr="00007908" w:rsidRDefault="0035553A" w:rsidP="000B3125">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Bancomext</w:t>
      </w:r>
      <w:r w:rsidR="00051B6C" w:rsidRPr="00007908">
        <w:rPr>
          <w:rFonts w:ascii="Arial" w:hAnsi="Arial" w:cs="Arial"/>
          <w:sz w:val="22"/>
          <w:lang w:val="es-ES_tradnl"/>
        </w:rPr>
        <w:t xml:space="preserve"> se encargará de recopilar los datos necesarios de las fuentes de información y presentarlos a través de los informes semestrales al BID. Los sistemas de información y bases de datos existentes en </w:t>
      </w:r>
      <w:r w:rsidRPr="00007908">
        <w:rPr>
          <w:rFonts w:ascii="Arial" w:hAnsi="Arial" w:cs="Arial"/>
          <w:sz w:val="22"/>
          <w:lang w:val="es-ES_tradnl"/>
        </w:rPr>
        <w:t>Bancomext</w:t>
      </w:r>
      <w:r w:rsidR="00051B6C" w:rsidRPr="00007908">
        <w:rPr>
          <w:rFonts w:ascii="Arial" w:hAnsi="Arial" w:cs="Arial"/>
          <w:sz w:val="22"/>
          <w:lang w:val="es-ES_tradnl"/>
        </w:rPr>
        <w:t xml:space="preserve"> se consideran suficientes para el seguimiento de los indicadores escogidos, si bien se cuenta con registros de instituciones como la Comisión Federal de Electricidad (CFE) o la Comisión Reguladora de Energía (CRE), que podrían servir para corroborar o ampliar la información en caso sea necesario.</w:t>
      </w:r>
      <w:r w:rsidR="000B3125" w:rsidRPr="00007908">
        <w:rPr>
          <w:rFonts w:ascii="Arial" w:hAnsi="Arial" w:cs="Arial"/>
          <w:sz w:val="22"/>
          <w:lang w:val="es-ES_tradnl"/>
        </w:rPr>
        <w:t xml:space="preserve"> La Dirección General Adjunta de Relaciones Institucionales e </w:t>
      </w:r>
      <w:r w:rsidR="00051B6C" w:rsidRPr="00007908">
        <w:rPr>
          <w:rFonts w:ascii="Arial" w:hAnsi="Arial" w:cs="Arial"/>
          <w:sz w:val="22"/>
          <w:lang w:val="es-ES_tradnl"/>
        </w:rPr>
        <w:t xml:space="preserve">Internacionales actuará como coordinador en la elaboración de los informes y como enlace con el Banco.  </w:t>
      </w:r>
    </w:p>
    <w:p w:rsidR="00051B6C" w:rsidRPr="00007908" w:rsidRDefault="00051B6C" w:rsidP="00051B6C">
      <w:pPr>
        <w:pStyle w:val="FirstHeading"/>
        <w:ind w:left="720"/>
        <w:rPr>
          <w:rFonts w:ascii="Arial" w:hAnsi="Arial" w:cs="Arial"/>
          <w:noProof/>
          <w:sz w:val="22"/>
          <w:lang w:val="es-ES_tradnl"/>
        </w:rPr>
      </w:pPr>
      <w:bookmarkStart w:id="15" w:name="_Toc300318306"/>
      <w:bookmarkStart w:id="16" w:name="_Toc331167637"/>
      <w:bookmarkStart w:id="17" w:name="_Toc419987565"/>
      <w:r w:rsidRPr="00007908">
        <w:rPr>
          <w:rFonts w:ascii="Arial" w:hAnsi="Arial" w:cs="Arial"/>
          <w:noProof/>
          <w:sz w:val="22"/>
          <w:lang w:val="es-ES_tradnl"/>
        </w:rPr>
        <w:t>C.</w:t>
      </w:r>
      <w:r w:rsidRPr="00007908">
        <w:rPr>
          <w:rFonts w:ascii="Arial" w:hAnsi="Arial" w:cs="Arial"/>
          <w:noProof/>
          <w:sz w:val="22"/>
          <w:lang w:val="es-ES_tradnl"/>
        </w:rPr>
        <w:tab/>
        <w:t xml:space="preserve">Presentación de </w:t>
      </w:r>
      <w:r w:rsidR="00B63E64" w:rsidRPr="00007908">
        <w:rPr>
          <w:rFonts w:ascii="Arial" w:hAnsi="Arial" w:cs="Arial"/>
          <w:noProof/>
          <w:sz w:val="22"/>
          <w:lang w:val="es-ES_tradnl"/>
        </w:rPr>
        <w:t>I</w:t>
      </w:r>
      <w:r w:rsidRPr="00007908">
        <w:rPr>
          <w:rFonts w:ascii="Arial" w:hAnsi="Arial" w:cs="Arial"/>
          <w:noProof/>
          <w:sz w:val="22"/>
          <w:lang w:val="es-ES_tradnl"/>
        </w:rPr>
        <w:t>nformes</w:t>
      </w:r>
      <w:bookmarkEnd w:id="15"/>
      <w:bookmarkEnd w:id="16"/>
      <w:bookmarkEnd w:id="17"/>
      <w:r w:rsidRPr="00007908">
        <w:rPr>
          <w:rFonts w:ascii="Arial" w:hAnsi="Arial" w:cs="Arial"/>
          <w:noProof/>
          <w:sz w:val="22"/>
          <w:lang w:val="es-ES_tradnl"/>
        </w:rPr>
        <w:t xml:space="preserve"> </w:t>
      </w:r>
    </w:p>
    <w:p w:rsidR="00051B6C" w:rsidRPr="00007908" w:rsidRDefault="00051B6C" w:rsidP="00051B6C">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 xml:space="preserve">El Programa contempla la operación de un Sistema de Recolección de Indicadores de Seguimiento. </w:t>
      </w:r>
      <w:r w:rsidR="00841EC7" w:rsidRPr="00007908">
        <w:rPr>
          <w:rFonts w:ascii="Arial" w:hAnsi="Arial" w:cs="Arial"/>
          <w:sz w:val="22"/>
          <w:lang w:val="es-ES_tradnl"/>
        </w:rPr>
        <w:t>Bancomext</w:t>
      </w:r>
      <w:r w:rsidRPr="00007908">
        <w:rPr>
          <w:rFonts w:ascii="Arial" w:hAnsi="Arial" w:cs="Arial"/>
          <w:sz w:val="22"/>
          <w:lang w:val="es-ES_tradnl"/>
        </w:rPr>
        <w:t xml:space="preserve"> reportará al Banco a través de Informes Anuales la evolución de dichos indicadores. Sobre la base de las conclusiones de dichos informes, </w:t>
      </w:r>
      <w:r w:rsidR="00841EC7" w:rsidRPr="00007908">
        <w:rPr>
          <w:rFonts w:ascii="Arial" w:hAnsi="Arial" w:cs="Arial"/>
          <w:sz w:val="22"/>
          <w:lang w:val="es-ES_tradnl"/>
        </w:rPr>
        <w:t>Bancomext</w:t>
      </w:r>
      <w:r w:rsidRPr="00007908">
        <w:rPr>
          <w:rFonts w:ascii="Arial" w:hAnsi="Arial" w:cs="Arial"/>
          <w:sz w:val="22"/>
          <w:lang w:val="es-ES_tradnl"/>
        </w:rPr>
        <w:t xml:space="preserve"> y el Banco podrían acordar introducir medidas de ajuste al programa.</w:t>
      </w:r>
    </w:p>
    <w:p w:rsidR="00051B6C" w:rsidRPr="00007908" w:rsidRDefault="00051B6C" w:rsidP="00051B6C">
      <w:pPr>
        <w:pStyle w:val="Paragraph"/>
        <w:tabs>
          <w:tab w:val="clear" w:pos="2736"/>
          <w:tab w:val="num" w:pos="720"/>
        </w:tabs>
        <w:ind w:left="720" w:hanging="720"/>
        <w:rPr>
          <w:rFonts w:ascii="Arial" w:hAnsi="Arial" w:cs="Arial"/>
          <w:sz w:val="22"/>
          <w:lang w:val="es-ES_tradnl"/>
        </w:rPr>
      </w:pPr>
      <w:r w:rsidRPr="00007908">
        <w:rPr>
          <w:rFonts w:ascii="Arial" w:hAnsi="Arial" w:cs="Arial"/>
          <w:sz w:val="22"/>
          <w:lang w:val="es-ES_tradnl"/>
        </w:rPr>
        <w:t xml:space="preserve">Los informes semestrales de avance que </w:t>
      </w:r>
      <w:r w:rsidR="004F7E0F" w:rsidRPr="00007908">
        <w:rPr>
          <w:rFonts w:ascii="Arial" w:hAnsi="Arial" w:cs="Arial"/>
          <w:sz w:val="22"/>
          <w:lang w:val="es-ES_tradnl"/>
        </w:rPr>
        <w:t>Bancomext</w:t>
      </w:r>
      <w:r w:rsidRPr="00007908">
        <w:rPr>
          <w:rFonts w:ascii="Arial" w:hAnsi="Arial" w:cs="Arial"/>
          <w:sz w:val="22"/>
          <w:lang w:val="es-ES_tradnl"/>
        </w:rPr>
        <w:t xml:space="preserve"> presentará al Banco deberán incluir la evolución de los indicadores de seguimiento de resultados del Programa, así como información contable-financiera sobre el manejo de los recursos y la situación de la/s cuenta/s especial/es utilizada/s para el manejo de los recursos del Programa. El Banco podrá solicitar informes adicionales que considere adecuados o procedentes.</w:t>
      </w:r>
    </w:p>
    <w:p w:rsidR="00051B6C" w:rsidRPr="00007908" w:rsidRDefault="00051B6C" w:rsidP="00051B6C">
      <w:pPr>
        <w:pStyle w:val="FirstHeading"/>
        <w:ind w:left="720"/>
        <w:rPr>
          <w:rFonts w:ascii="Arial" w:hAnsi="Arial" w:cs="Arial"/>
          <w:noProof/>
          <w:sz w:val="22"/>
          <w:lang w:val="es-ES_tradnl"/>
        </w:rPr>
      </w:pPr>
      <w:bookmarkStart w:id="18" w:name="_Toc300318307"/>
      <w:bookmarkStart w:id="19" w:name="_Toc331167638"/>
      <w:bookmarkStart w:id="20" w:name="_Toc419987566"/>
      <w:r w:rsidRPr="00007908">
        <w:rPr>
          <w:rFonts w:ascii="Arial" w:hAnsi="Arial" w:cs="Arial"/>
          <w:noProof/>
          <w:sz w:val="22"/>
          <w:lang w:val="es-ES_tradnl"/>
        </w:rPr>
        <w:t>D.</w:t>
      </w:r>
      <w:r w:rsidRPr="00007908">
        <w:rPr>
          <w:rFonts w:ascii="Arial" w:hAnsi="Arial" w:cs="Arial"/>
          <w:noProof/>
          <w:sz w:val="22"/>
          <w:lang w:val="es-ES_tradnl"/>
        </w:rPr>
        <w:tab/>
        <w:t xml:space="preserve">Coordinación, </w:t>
      </w:r>
      <w:r w:rsidR="00B63E64" w:rsidRPr="00007908">
        <w:rPr>
          <w:rFonts w:ascii="Arial" w:hAnsi="Arial" w:cs="Arial"/>
          <w:noProof/>
          <w:sz w:val="22"/>
          <w:lang w:val="es-ES_tradnl"/>
        </w:rPr>
        <w:t>P</w:t>
      </w:r>
      <w:r w:rsidRPr="00007908">
        <w:rPr>
          <w:rFonts w:ascii="Arial" w:hAnsi="Arial" w:cs="Arial"/>
          <w:noProof/>
          <w:sz w:val="22"/>
          <w:lang w:val="es-ES_tradnl"/>
        </w:rPr>
        <w:t xml:space="preserve">lan de </w:t>
      </w:r>
      <w:r w:rsidR="00B63E64" w:rsidRPr="00007908">
        <w:rPr>
          <w:rFonts w:ascii="Arial" w:hAnsi="Arial" w:cs="Arial"/>
          <w:noProof/>
          <w:sz w:val="22"/>
          <w:lang w:val="es-ES_tradnl"/>
        </w:rPr>
        <w:t>T</w:t>
      </w:r>
      <w:r w:rsidRPr="00007908">
        <w:rPr>
          <w:rFonts w:ascii="Arial" w:hAnsi="Arial" w:cs="Arial"/>
          <w:noProof/>
          <w:sz w:val="22"/>
          <w:lang w:val="es-ES_tradnl"/>
        </w:rPr>
        <w:t xml:space="preserve">rabajo y </w:t>
      </w:r>
      <w:r w:rsidR="00B63E64" w:rsidRPr="00007908">
        <w:rPr>
          <w:rFonts w:ascii="Arial" w:hAnsi="Arial" w:cs="Arial"/>
          <w:noProof/>
          <w:sz w:val="22"/>
          <w:lang w:val="es-ES_tradnl"/>
        </w:rPr>
        <w:t xml:space="preserve">Presupuesto </w:t>
      </w:r>
      <w:r w:rsidRPr="00007908">
        <w:rPr>
          <w:rFonts w:ascii="Arial" w:hAnsi="Arial" w:cs="Arial"/>
          <w:noProof/>
          <w:sz w:val="22"/>
          <w:lang w:val="es-ES_tradnl"/>
        </w:rPr>
        <w:t xml:space="preserve">del </w:t>
      </w:r>
      <w:r w:rsidR="00B63E64" w:rsidRPr="00007908">
        <w:rPr>
          <w:rFonts w:ascii="Arial" w:hAnsi="Arial" w:cs="Arial"/>
          <w:noProof/>
          <w:sz w:val="22"/>
          <w:lang w:val="es-ES_tradnl"/>
        </w:rPr>
        <w:t>Seguimiento</w:t>
      </w:r>
      <w:bookmarkEnd w:id="18"/>
      <w:bookmarkEnd w:id="19"/>
      <w:bookmarkEnd w:id="20"/>
      <w:r w:rsidRPr="00007908">
        <w:rPr>
          <w:rFonts w:ascii="Arial" w:hAnsi="Arial" w:cs="Arial"/>
          <w:noProof/>
          <w:sz w:val="22"/>
          <w:lang w:val="es-ES_tradnl"/>
        </w:rPr>
        <w:t xml:space="preserve"> </w:t>
      </w:r>
    </w:p>
    <w:p w:rsidR="00051B6C" w:rsidRPr="00007908" w:rsidRDefault="0083666B" w:rsidP="00051B6C">
      <w:pPr>
        <w:pStyle w:val="Paragraph"/>
        <w:tabs>
          <w:tab w:val="clear" w:pos="2736"/>
          <w:tab w:val="num" w:pos="720"/>
        </w:tabs>
        <w:ind w:left="720" w:hanging="720"/>
        <w:rPr>
          <w:rFonts w:ascii="Arial" w:hAnsi="Arial" w:cs="Arial"/>
          <w:sz w:val="22"/>
          <w:lang w:val="es-ES_tradnl"/>
        </w:rPr>
      </w:pPr>
      <w:bookmarkStart w:id="21" w:name="_Ref369790670"/>
      <w:r w:rsidRPr="00007908">
        <w:rPr>
          <w:rFonts w:ascii="Arial" w:hAnsi="Arial" w:cs="Arial"/>
          <w:sz w:val="22"/>
          <w:lang w:val="es-ES_tradnl"/>
        </w:rPr>
        <w:t>Bancomext</w:t>
      </w:r>
      <w:r w:rsidR="00051B6C" w:rsidRPr="00007908">
        <w:rPr>
          <w:rFonts w:ascii="Arial" w:hAnsi="Arial" w:cs="Arial"/>
          <w:sz w:val="22"/>
          <w:lang w:val="es-ES_tradnl"/>
        </w:rPr>
        <w:t xml:space="preserve"> será responsable de la supervisión y coordinación técnica y administrativa del Programa y será responsable de reportar los informes anuales de ejecución y cualquier informe adicional y documentación que sean requeridos por el Banco. La programación de las actividades de seguimiento del Programa se presenta en el cuadro 2.2.</w:t>
      </w:r>
      <w:bookmarkEnd w:id="21"/>
    </w:p>
    <w:p w:rsidR="00051B6C" w:rsidRPr="00007908" w:rsidRDefault="00051B6C" w:rsidP="00C5361D">
      <w:pPr>
        <w:spacing w:before="120" w:after="120" w:line="240" w:lineRule="auto"/>
        <w:ind w:left="274"/>
        <w:jc w:val="center"/>
        <w:rPr>
          <w:rFonts w:ascii="Arial" w:hAnsi="Arial" w:cs="Arial"/>
          <w:b/>
          <w:lang w:val="es-ES_tradnl"/>
        </w:rPr>
      </w:pPr>
      <w:r w:rsidRPr="00007908">
        <w:rPr>
          <w:rFonts w:ascii="Arial" w:hAnsi="Arial" w:cs="Arial"/>
          <w:b/>
          <w:lang w:val="es-ES_tradnl"/>
        </w:rPr>
        <w:t>Cuadro 2.2: Plan de Trabajo de Seguimiento</w:t>
      </w:r>
    </w:p>
    <w:tbl>
      <w:tblPr>
        <w:tblW w:w="790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4"/>
        <w:gridCol w:w="652"/>
        <w:gridCol w:w="653"/>
        <w:gridCol w:w="652"/>
        <w:gridCol w:w="653"/>
        <w:gridCol w:w="1728"/>
      </w:tblGrid>
      <w:tr w:rsidR="00051B6C" w:rsidRPr="00007908" w:rsidTr="00C5361D">
        <w:trPr>
          <w:jc w:val="right"/>
        </w:trPr>
        <w:tc>
          <w:tcPr>
            <w:tcW w:w="3564" w:type="dxa"/>
            <w:shd w:val="clear" w:color="auto" w:fill="B8CCE4" w:themeFill="accent1" w:themeFillTint="66"/>
          </w:tcPr>
          <w:p w:rsidR="00051B6C" w:rsidRPr="00007908" w:rsidRDefault="00051B6C" w:rsidP="00C5361D">
            <w:pPr>
              <w:spacing w:before="60" w:after="60"/>
              <w:jc w:val="center"/>
              <w:rPr>
                <w:rFonts w:ascii="Arial" w:hAnsi="Arial" w:cs="Arial"/>
                <w:b/>
                <w:sz w:val="18"/>
                <w:szCs w:val="18"/>
                <w:lang w:val="es-ES"/>
              </w:rPr>
            </w:pPr>
            <w:r w:rsidRPr="00007908">
              <w:rPr>
                <w:rFonts w:ascii="Arial" w:hAnsi="Arial" w:cs="Arial"/>
                <w:b/>
                <w:sz w:val="18"/>
                <w:szCs w:val="18"/>
                <w:lang w:val="es-ES"/>
              </w:rPr>
              <w:t>Actividades</w:t>
            </w:r>
          </w:p>
        </w:tc>
        <w:tc>
          <w:tcPr>
            <w:tcW w:w="652" w:type="dxa"/>
            <w:shd w:val="clear" w:color="auto" w:fill="B8CCE4" w:themeFill="accent1" w:themeFillTint="66"/>
          </w:tcPr>
          <w:p w:rsidR="00051B6C" w:rsidRPr="00007908" w:rsidRDefault="00051B6C" w:rsidP="00C5361D">
            <w:pPr>
              <w:spacing w:before="60" w:after="60"/>
              <w:jc w:val="center"/>
              <w:rPr>
                <w:rFonts w:ascii="Arial" w:hAnsi="Arial" w:cs="Arial"/>
                <w:b/>
                <w:sz w:val="18"/>
                <w:szCs w:val="18"/>
                <w:lang w:val="es-ES"/>
              </w:rPr>
            </w:pPr>
            <w:r w:rsidRPr="00007908">
              <w:rPr>
                <w:rFonts w:ascii="Arial" w:hAnsi="Arial" w:cs="Arial"/>
                <w:b/>
                <w:sz w:val="18"/>
                <w:szCs w:val="18"/>
                <w:lang w:val="es-ES"/>
              </w:rPr>
              <w:t>Y1</w:t>
            </w:r>
          </w:p>
        </w:tc>
        <w:tc>
          <w:tcPr>
            <w:tcW w:w="653" w:type="dxa"/>
            <w:shd w:val="clear" w:color="auto" w:fill="B8CCE4" w:themeFill="accent1" w:themeFillTint="66"/>
          </w:tcPr>
          <w:p w:rsidR="00051B6C" w:rsidRPr="00007908" w:rsidRDefault="00051B6C" w:rsidP="00C5361D">
            <w:pPr>
              <w:spacing w:before="60" w:after="60"/>
              <w:jc w:val="center"/>
              <w:rPr>
                <w:rFonts w:ascii="Arial" w:hAnsi="Arial" w:cs="Arial"/>
                <w:b/>
                <w:sz w:val="18"/>
                <w:szCs w:val="18"/>
                <w:lang w:val="es-ES"/>
              </w:rPr>
            </w:pPr>
            <w:r w:rsidRPr="00007908">
              <w:rPr>
                <w:rFonts w:ascii="Arial" w:hAnsi="Arial" w:cs="Arial"/>
                <w:b/>
                <w:sz w:val="18"/>
                <w:szCs w:val="18"/>
                <w:lang w:val="es-ES"/>
              </w:rPr>
              <w:t>Y2</w:t>
            </w:r>
          </w:p>
        </w:tc>
        <w:tc>
          <w:tcPr>
            <w:tcW w:w="652" w:type="dxa"/>
            <w:shd w:val="clear" w:color="auto" w:fill="B8CCE4" w:themeFill="accent1" w:themeFillTint="66"/>
          </w:tcPr>
          <w:p w:rsidR="00051B6C" w:rsidRPr="00007908" w:rsidRDefault="00051B6C" w:rsidP="00C5361D">
            <w:pPr>
              <w:spacing w:before="60" w:after="60"/>
              <w:jc w:val="center"/>
              <w:rPr>
                <w:rFonts w:ascii="Arial" w:hAnsi="Arial" w:cs="Arial"/>
                <w:b/>
                <w:sz w:val="18"/>
                <w:szCs w:val="18"/>
                <w:lang w:val="es-ES"/>
              </w:rPr>
            </w:pPr>
            <w:r w:rsidRPr="00007908">
              <w:rPr>
                <w:rFonts w:ascii="Arial" w:hAnsi="Arial" w:cs="Arial"/>
                <w:b/>
                <w:sz w:val="18"/>
                <w:szCs w:val="18"/>
                <w:lang w:val="es-ES"/>
              </w:rPr>
              <w:t>Y3</w:t>
            </w:r>
          </w:p>
        </w:tc>
        <w:tc>
          <w:tcPr>
            <w:tcW w:w="653" w:type="dxa"/>
            <w:shd w:val="clear" w:color="auto" w:fill="B8CCE4" w:themeFill="accent1" w:themeFillTint="66"/>
          </w:tcPr>
          <w:p w:rsidR="00051B6C" w:rsidRPr="00007908" w:rsidRDefault="00051B6C" w:rsidP="00C5361D">
            <w:pPr>
              <w:spacing w:before="60" w:after="60"/>
              <w:jc w:val="center"/>
              <w:rPr>
                <w:rFonts w:ascii="Arial" w:hAnsi="Arial" w:cs="Arial"/>
                <w:b/>
                <w:sz w:val="18"/>
                <w:szCs w:val="18"/>
                <w:lang w:val="es-ES"/>
              </w:rPr>
            </w:pPr>
            <w:r w:rsidRPr="00007908">
              <w:rPr>
                <w:rFonts w:ascii="Arial" w:hAnsi="Arial" w:cs="Arial"/>
                <w:b/>
                <w:sz w:val="18"/>
                <w:szCs w:val="18"/>
                <w:lang w:val="es-ES"/>
              </w:rPr>
              <w:t>Y4</w:t>
            </w:r>
          </w:p>
        </w:tc>
        <w:tc>
          <w:tcPr>
            <w:tcW w:w="1728" w:type="dxa"/>
            <w:shd w:val="clear" w:color="auto" w:fill="B8CCE4" w:themeFill="accent1" w:themeFillTint="66"/>
          </w:tcPr>
          <w:p w:rsidR="00051B6C" w:rsidRPr="00007908" w:rsidRDefault="00051B6C" w:rsidP="00C5361D">
            <w:pPr>
              <w:spacing w:before="60" w:after="60"/>
              <w:jc w:val="center"/>
              <w:rPr>
                <w:rFonts w:ascii="Arial" w:hAnsi="Arial" w:cs="Arial"/>
                <w:b/>
                <w:sz w:val="18"/>
                <w:szCs w:val="18"/>
                <w:lang w:val="es-ES"/>
              </w:rPr>
            </w:pPr>
            <w:r w:rsidRPr="00007908">
              <w:rPr>
                <w:rFonts w:ascii="Arial" w:hAnsi="Arial" w:cs="Arial"/>
                <w:b/>
                <w:sz w:val="18"/>
                <w:szCs w:val="18"/>
                <w:lang w:val="es-ES"/>
              </w:rPr>
              <w:t>Responsable</w:t>
            </w:r>
          </w:p>
        </w:tc>
      </w:tr>
      <w:tr w:rsidR="00051B6C" w:rsidRPr="00007908" w:rsidTr="00C5361D">
        <w:trPr>
          <w:jc w:val="right"/>
        </w:trPr>
        <w:tc>
          <w:tcPr>
            <w:tcW w:w="3564" w:type="dxa"/>
          </w:tcPr>
          <w:p w:rsidR="00051B6C" w:rsidRPr="00007908" w:rsidRDefault="00051B6C" w:rsidP="00C5361D">
            <w:pPr>
              <w:spacing w:before="60" w:after="60"/>
              <w:rPr>
                <w:rFonts w:ascii="Arial" w:hAnsi="Arial" w:cs="Arial"/>
                <w:sz w:val="18"/>
                <w:szCs w:val="18"/>
                <w:lang w:val="es-ES"/>
              </w:rPr>
            </w:pPr>
            <w:r w:rsidRPr="00007908">
              <w:rPr>
                <w:rFonts w:ascii="Arial" w:hAnsi="Arial" w:cs="Arial"/>
                <w:sz w:val="18"/>
                <w:szCs w:val="18"/>
                <w:lang w:val="es-ES"/>
              </w:rPr>
              <w:t xml:space="preserve">Reuniones de coordinación </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2</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2</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2</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2</w:t>
            </w:r>
          </w:p>
        </w:tc>
        <w:tc>
          <w:tcPr>
            <w:tcW w:w="1728" w:type="dxa"/>
          </w:tcPr>
          <w:p w:rsidR="00051B6C" w:rsidRPr="00007908" w:rsidRDefault="0083666B" w:rsidP="00C5361D">
            <w:pPr>
              <w:spacing w:before="60" w:after="60"/>
              <w:rPr>
                <w:rFonts w:ascii="Arial" w:hAnsi="Arial" w:cs="Arial"/>
                <w:sz w:val="18"/>
                <w:szCs w:val="18"/>
                <w:lang w:val="es-ES"/>
              </w:rPr>
            </w:pPr>
            <w:r w:rsidRPr="00007908">
              <w:rPr>
                <w:rFonts w:ascii="Arial" w:hAnsi="Arial" w:cs="Arial"/>
                <w:sz w:val="18"/>
                <w:szCs w:val="18"/>
                <w:lang w:val="es-ES"/>
              </w:rPr>
              <w:t>Bancomext</w:t>
            </w:r>
            <w:r w:rsidR="00051B6C" w:rsidRPr="00007908">
              <w:rPr>
                <w:rFonts w:ascii="Arial" w:hAnsi="Arial" w:cs="Arial"/>
                <w:sz w:val="18"/>
                <w:szCs w:val="18"/>
                <w:lang w:val="es-ES"/>
              </w:rPr>
              <w:t>/BID</w:t>
            </w:r>
          </w:p>
        </w:tc>
      </w:tr>
      <w:tr w:rsidR="0017197F" w:rsidRPr="00007908" w:rsidTr="00C5361D">
        <w:trPr>
          <w:jc w:val="right"/>
        </w:trPr>
        <w:tc>
          <w:tcPr>
            <w:tcW w:w="3564" w:type="dxa"/>
            <w:vAlign w:val="center"/>
          </w:tcPr>
          <w:p w:rsidR="0017197F" w:rsidRPr="00007908" w:rsidRDefault="0017197F" w:rsidP="00C5361D">
            <w:pPr>
              <w:spacing w:before="60" w:after="60"/>
              <w:rPr>
                <w:rFonts w:ascii="Arial" w:hAnsi="Arial" w:cs="Arial"/>
                <w:sz w:val="18"/>
                <w:szCs w:val="18"/>
                <w:lang w:val="es-ES"/>
              </w:rPr>
            </w:pPr>
            <w:r w:rsidRPr="00007908">
              <w:rPr>
                <w:rFonts w:ascii="Arial" w:hAnsi="Arial" w:cs="Arial"/>
                <w:sz w:val="18"/>
                <w:szCs w:val="18"/>
                <w:lang w:val="es-ES"/>
              </w:rPr>
              <w:t>Preparación de los informes semestrales</w:t>
            </w:r>
            <w:r w:rsidR="00417504" w:rsidRPr="00007908">
              <w:rPr>
                <w:rFonts w:ascii="Arial" w:hAnsi="Arial" w:cs="Arial"/>
                <w:sz w:val="18"/>
                <w:szCs w:val="18"/>
                <w:lang w:val="es-ES"/>
              </w:rPr>
              <w:t xml:space="preserve"> </w:t>
            </w:r>
            <w:r w:rsidRPr="00007908">
              <w:rPr>
                <w:rFonts w:ascii="Arial" w:hAnsi="Arial" w:cs="Arial"/>
                <w:sz w:val="18"/>
                <w:szCs w:val="18"/>
                <w:lang w:val="es-ES"/>
              </w:rPr>
              <w:t>sobre el avance de la ejecución</w:t>
            </w:r>
          </w:p>
        </w:tc>
        <w:tc>
          <w:tcPr>
            <w:tcW w:w="652" w:type="dxa"/>
            <w:vAlign w:val="center"/>
          </w:tcPr>
          <w:p w:rsidR="0017197F" w:rsidRPr="00007908" w:rsidRDefault="0017197F"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3" w:type="dxa"/>
            <w:vAlign w:val="center"/>
          </w:tcPr>
          <w:p w:rsidR="0017197F" w:rsidRPr="00007908" w:rsidRDefault="0017197F"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2" w:type="dxa"/>
            <w:vAlign w:val="center"/>
          </w:tcPr>
          <w:p w:rsidR="0017197F" w:rsidRPr="00007908" w:rsidRDefault="0017197F"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3" w:type="dxa"/>
            <w:vAlign w:val="center"/>
          </w:tcPr>
          <w:p w:rsidR="0017197F" w:rsidRPr="00007908" w:rsidRDefault="0017197F"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1728" w:type="dxa"/>
          </w:tcPr>
          <w:p w:rsidR="0017197F" w:rsidRPr="00007908" w:rsidRDefault="0083666B" w:rsidP="00C5361D">
            <w:pPr>
              <w:spacing w:before="60" w:after="60"/>
              <w:rPr>
                <w:rFonts w:ascii="Arial" w:hAnsi="Arial" w:cs="Arial"/>
                <w:sz w:val="18"/>
                <w:szCs w:val="18"/>
                <w:lang w:val="es-ES"/>
              </w:rPr>
            </w:pPr>
            <w:r w:rsidRPr="00007908">
              <w:rPr>
                <w:rFonts w:ascii="Arial" w:hAnsi="Arial" w:cs="Arial"/>
                <w:sz w:val="18"/>
                <w:szCs w:val="18"/>
                <w:lang w:val="es-ES"/>
              </w:rPr>
              <w:t>Bancomext</w:t>
            </w:r>
          </w:p>
        </w:tc>
      </w:tr>
      <w:tr w:rsidR="00051B6C" w:rsidRPr="00007908" w:rsidTr="00C5361D">
        <w:trPr>
          <w:jc w:val="right"/>
        </w:trPr>
        <w:tc>
          <w:tcPr>
            <w:tcW w:w="3564" w:type="dxa"/>
            <w:vAlign w:val="center"/>
          </w:tcPr>
          <w:p w:rsidR="00051B6C" w:rsidRPr="00007908" w:rsidRDefault="00051B6C" w:rsidP="00C5361D">
            <w:pPr>
              <w:spacing w:before="60" w:after="60"/>
              <w:rPr>
                <w:rFonts w:ascii="Arial" w:hAnsi="Arial" w:cs="Arial"/>
                <w:sz w:val="18"/>
                <w:szCs w:val="18"/>
                <w:lang w:val="es-ES"/>
              </w:rPr>
            </w:pPr>
            <w:r w:rsidRPr="00007908">
              <w:rPr>
                <w:rFonts w:ascii="Arial" w:hAnsi="Arial" w:cs="Arial"/>
                <w:sz w:val="18"/>
                <w:szCs w:val="18"/>
                <w:lang w:val="es-ES"/>
              </w:rPr>
              <w:t>Preparación de los informes anuales sobre el avance de la ejecución</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1728" w:type="dxa"/>
          </w:tcPr>
          <w:p w:rsidR="00051B6C" w:rsidRPr="00007908" w:rsidRDefault="0083666B" w:rsidP="00C5361D">
            <w:pPr>
              <w:spacing w:before="60" w:after="60"/>
              <w:rPr>
                <w:rFonts w:ascii="Arial" w:hAnsi="Arial" w:cs="Arial"/>
                <w:sz w:val="18"/>
                <w:szCs w:val="18"/>
                <w:lang w:val="es-ES"/>
              </w:rPr>
            </w:pPr>
            <w:r w:rsidRPr="00007908">
              <w:rPr>
                <w:rFonts w:ascii="Arial" w:hAnsi="Arial" w:cs="Arial"/>
                <w:sz w:val="18"/>
                <w:szCs w:val="18"/>
                <w:lang w:val="es-ES"/>
              </w:rPr>
              <w:t>Bancomext</w:t>
            </w:r>
          </w:p>
        </w:tc>
      </w:tr>
      <w:tr w:rsidR="00051B6C" w:rsidRPr="00007908" w:rsidTr="00C5361D">
        <w:trPr>
          <w:jc w:val="right"/>
        </w:trPr>
        <w:tc>
          <w:tcPr>
            <w:tcW w:w="3564" w:type="dxa"/>
          </w:tcPr>
          <w:p w:rsidR="00051B6C" w:rsidRPr="00007908" w:rsidRDefault="00051B6C" w:rsidP="00C5361D">
            <w:pPr>
              <w:spacing w:before="60" w:after="60"/>
              <w:rPr>
                <w:rFonts w:ascii="Arial" w:hAnsi="Arial" w:cs="Arial"/>
                <w:sz w:val="18"/>
                <w:szCs w:val="18"/>
                <w:lang w:val="es-ES"/>
              </w:rPr>
            </w:pPr>
            <w:r w:rsidRPr="00007908">
              <w:rPr>
                <w:rFonts w:ascii="Arial" w:hAnsi="Arial" w:cs="Arial"/>
                <w:sz w:val="18"/>
                <w:szCs w:val="18"/>
                <w:lang w:val="es-ES"/>
              </w:rPr>
              <w:t>Auditorías de ejecución</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0</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1728" w:type="dxa"/>
          </w:tcPr>
          <w:p w:rsidR="00051B6C" w:rsidRPr="00007908" w:rsidRDefault="0083666B" w:rsidP="00C5361D">
            <w:pPr>
              <w:spacing w:before="60" w:after="60"/>
              <w:rPr>
                <w:rFonts w:ascii="Arial" w:hAnsi="Arial" w:cs="Arial"/>
                <w:sz w:val="18"/>
                <w:szCs w:val="18"/>
                <w:lang w:val="es-ES"/>
              </w:rPr>
            </w:pPr>
            <w:r w:rsidRPr="00007908">
              <w:rPr>
                <w:rFonts w:ascii="Arial" w:hAnsi="Arial" w:cs="Arial"/>
                <w:sz w:val="18"/>
                <w:szCs w:val="18"/>
                <w:lang w:val="es-ES"/>
              </w:rPr>
              <w:t>Bancomext</w:t>
            </w:r>
            <w:r w:rsidR="00051B6C" w:rsidRPr="00007908">
              <w:rPr>
                <w:rFonts w:ascii="Arial" w:hAnsi="Arial" w:cs="Arial"/>
                <w:sz w:val="18"/>
                <w:szCs w:val="18"/>
                <w:lang w:val="es-ES"/>
              </w:rPr>
              <w:t>/BID</w:t>
            </w:r>
          </w:p>
        </w:tc>
      </w:tr>
      <w:tr w:rsidR="00051B6C" w:rsidRPr="00007908" w:rsidTr="00C5361D">
        <w:trPr>
          <w:jc w:val="right"/>
        </w:trPr>
        <w:tc>
          <w:tcPr>
            <w:tcW w:w="3564" w:type="dxa"/>
          </w:tcPr>
          <w:p w:rsidR="00051B6C" w:rsidRPr="00007908" w:rsidRDefault="00051B6C" w:rsidP="00C5361D">
            <w:pPr>
              <w:spacing w:before="60" w:after="60"/>
              <w:rPr>
                <w:rFonts w:ascii="Arial" w:hAnsi="Arial" w:cs="Arial"/>
                <w:sz w:val="18"/>
                <w:szCs w:val="18"/>
                <w:lang w:val="es-ES"/>
              </w:rPr>
            </w:pPr>
            <w:r w:rsidRPr="00007908">
              <w:rPr>
                <w:rFonts w:ascii="Arial" w:hAnsi="Arial" w:cs="Arial"/>
                <w:sz w:val="18"/>
                <w:szCs w:val="18"/>
                <w:lang w:val="es-ES"/>
              </w:rPr>
              <w:t>Informe Final</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0</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0</w:t>
            </w:r>
          </w:p>
        </w:tc>
        <w:tc>
          <w:tcPr>
            <w:tcW w:w="652"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0</w:t>
            </w:r>
          </w:p>
        </w:tc>
        <w:tc>
          <w:tcPr>
            <w:tcW w:w="653" w:type="dxa"/>
            <w:vAlign w:val="center"/>
          </w:tcPr>
          <w:p w:rsidR="00051B6C" w:rsidRPr="00007908" w:rsidRDefault="00051B6C" w:rsidP="00C5361D">
            <w:pPr>
              <w:spacing w:before="60" w:after="60"/>
              <w:jc w:val="center"/>
              <w:rPr>
                <w:rFonts w:ascii="Arial" w:hAnsi="Arial" w:cs="Arial"/>
                <w:sz w:val="18"/>
                <w:szCs w:val="18"/>
                <w:lang w:val="es-ES"/>
              </w:rPr>
            </w:pPr>
            <w:r w:rsidRPr="00007908">
              <w:rPr>
                <w:rFonts w:ascii="Arial" w:hAnsi="Arial" w:cs="Arial"/>
                <w:sz w:val="18"/>
                <w:szCs w:val="18"/>
                <w:lang w:val="es-ES"/>
              </w:rPr>
              <w:t>1</w:t>
            </w:r>
          </w:p>
        </w:tc>
        <w:tc>
          <w:tcPr>
            <w:tcW w:w="1728" w:type="dxa"/>
          </w:tcPr>
          <w:p w:rsidR="00051B6C" w:rsidRPr="00007908" w:rsidRDefault="0083666B" w:rsidP="00C5361D">
            <w:pPr>
              <w:spacing w:before="60" w:after="60"/>
              <w:rPr>
                <w:rFonts w:ascii="Arial" w:hAnsi="Arial" w:cs="Arial"/>
                <w:sz w:val="18"/>
                <w:szCs w:val="18"/>
                <w:lang w:val="es-ES"/>
              </w:rPr>
            </w:pPr>
            <w:r w:rsidRPr="00007908">
              <w:rPr>
                <w:rFonts w:ascii="Arial" w:hAnsi="Arial" w:cs="Arial"/>
                <w:sz w:val="18"/>
                <w:szCs w:val="18"/>
                <w:lang w:val="es-ES"/>
              </w:rPr>
              <w:t>Bancomext</w:t>
            </w:r>
          </w:p>
        </w:tc>
      </w:tr>
    </w:tbl>
    <w:p w:rsidR="00051B6C" w:rsidRPr="00F618D2" w:rsidRDefault="00051B6C" w:rsidP="00C5361D">
      <w:pPr>
        <w:pStyle w:val="Paragraph"/>
        <w:tabs>
          <w:tab w:val="clear" w:pos="2736"/>
          <w:tab w:val="num" w:pos="720"/>
        </w:tabs>
        <w:spacing w:before="240"/>
        <w:ind w:left="720" w:hanging="720"/>
        <w:rPr>
          <w:rFonts w:ascii="Arial" w:hAnsi="Arial" w:cs="Arial"/>
          <w:sz w:val="22"/>
          <w:lang w:val="es-ES_tradnl"/>
        </w:rPr>
      </w:pPr>
      <w:r w:rsidRPr="00F618D2">
        <w:rPr>
          <w:rFonts w:ascii="Arial" w:hAnsi="Arial" w:cs="Arial"/>
          <w:b/>
          <w:sz w:val="22"/>
          <w:lang w:val="es-ES_tradnl"/>
        </w:rPr>
        <w:t xml:space="preserve">Presupuesto del seguimiento. </w:t>
      </w:r>
      <w:r w:rsidRPr="00F618D2">
        <w:rPr>
          <w:rFonts w:ascii="Arial" w:hAnsi="Arial" w:cs="Arial"/>
          <w:sz w:val="22"/>
          <w:lang w:val="es-ES_tradnl"/>
        </w:rPr>
        <w:t xml:space="preserve">Los costos de las actividades de seguimiento definidas en este plan son principalmente costos del personal del BID y de </w:t>
      </w:r>
      <w:r w:rsidR="00FD48DF" w:rsidRPr="00F618D2">
        <w:rPr>
          <w:rFonts w:ascii="Arial" w:hAnsi="Arial" w:cs="Arial"/>
          <w:sz w:val="22"/>
          <w:lang w:val="es-ES"/>
        </w:rPr>
        <w:t>Bancomext</w:t>
      </w:r>
      <w:r w:rsidR="00FD48DF" w:rsidRPr="00F618D2">
        <w:rPr>
          <w:rFonts w:ascii="Arial" w:hAnsi="Arial" w:cs="Arial"/>
          <w:sz w:val="22"/>
          <w:lang w:val="es-ES_tradnl"/>
        </w:rPr>
        <w:t xml:space="preserve"> </w:t>
      </w:r>
      <w:r w:rsidRPr="00F618D2">
        <w:rPr>
          <w:rFonts w:ascii="Arial" w:hAnsi="Arial" w:cs="Arial"/>
          <w:sz w:val="22"/>
          <w:lang w:val="es-ES_tradnl"/>
        </w:rPr>
        <w:t xml:space="preserve">involucrado en el equipo de trabajo, los </w:t>
      </w:r>
      <w:r w:rsidR="0017197F" w:rsidRPr="00F618D2">
        <w:rPr>
          <w:rFonts w:ascii="Arial" w:hAnsi="Arial" w:cs="Arial"/>
          <w:sz w:val="22"/>
          <w:lang w:val="es-ES_tradnl"/>
        </w:rPr>
        <w:t xml:space="preserve">cuales </w:t>
      </w:r>
      <w:r w:rsidRPr="00F618D2">
        <w:rPr>
          <w:rFonts w:ascii="Arial" w:hAnsi="Arial" w:cs="Arial"/>
          <w:sz w:val="22"/>
          <w:lang w:val="es-ES_tradnl"/>
        </w:rPr>
        <w:t xml:space="preserve">serán cubiertos por los costos regulares de operación y administración de ambas instituciones, sin requerir un presupuesto adicional para este fin. </w:t>
      </w:r>
      <w:r w:rsidR="00FD48DF" w:rsidRPr="00F618D2">
        <w:rPr>
          <w:rFonts w:ascii="Arial" w:hAnsi="Arial" w:cs="Arial"/>
          <w:sz w:val="22"/>
          <w:lang w:val="es-ES"/>
        </w:rPr>
        <w:t>Bancomext</w:t>
      </w:r>
      <w:r w:rsidR="00FD48DF" w:rsidRPr="00F618D2">
        <w:rPr>
          <w:rFonts w:ascii="Arial" w:hAnsi="Arial" w:cs="Arial"/>
          <w:sz w:val="22"/>
          <w:lang w:val="es-ES_tradnl"/>
        </w:rPr>
        <w:t xml:space="preserve"> </w:t>
      </w:r>
      <w:r w:rsidRPr="00F618D2">
        <w:rPr>
          <w:rFonts w:ascii="Arial" w:hAnsi="Arial" w:cs="Arial"/>
          <w:sz w:val="22"/>
          <w:lang w:val="es-ES_tradnl"/>
        </w:rPr>
        <w:t xml:space="preserve">tiene una estructura suficientemente dimensionada y tiene acceso a recursos suficientes para garantizar el cumplimiento de todas las tareas y compromisos que se han previsto en el presente Plan de Seguimiento y Evaluación. Específicamente, el Banco dedicaría 0,5 FTE anuales para el seguimiento del programa, y </w:t>
      </w:r>
      <w:r w:rsidR="00FD48DF" w:rsidRPr="00F618D2">
        <w:rPr>
          <w:rFonts w:ascii="Arial" w:hAnsi="Arial" w:cs="Arial"/>
          <w:sz w:val="22"/>
          <w:lang w:val="es-ES_tradnl"/>
        </w:rPr>
        <w:t xml:space="preserve">Bancomext </w:t>
      </w:r>
      <w:r w:rsidRPr="00F618D2">
        <w:rPr>
          <w:rFonts w:ascii="Arial" w:hAnsi="Arial" w:cs="Arial"/>
          <w:sz w:val="22"/>
          <w:lang w:val="es-ES_tradnl"/>
        </w:rPr>
        <w:t>dedicaría el equivalente a 1 FTE.</w:t>
      </w:r>
    </w:p>
    <w:p w:rsidR="00051B6C" w:rsidRPr="00007908" w:rsidRDefault="00051B6C" w:rsidP="00051B6C">
      <w:pPr>
        <w:pStyle w:val="Chapter"/>
        <w:rPr>
          <w:rFonts w:ascii="Arial" w:hAnsi="Arial" w:cs="Arial"/>
        </w:rPr>
      </w:pPr>
      <w:bookmarkStart w:id="22" w:name="_Toc300318308"/>
      <w:bookmarkStart w:id="23" w:name="_Toc331167639"/>
      <w:bookmarkStart w:id="24" w:name="_Toc419987567"/>
      <w:r w:rsidRPr="00007908">
        <w:rPr>
          <w:rFonts w:ascii="Arial" w:hAnsi="Arial" w:cs="Arial"/>
        </w:rPr>
        <w:t>Evaluación</w:t>
      </w:r>
      <w:bookmarkEnd w:id="22"/>
      <w:bookmarkEnd w:id="23"/>
      <w:bookmarkEnd w:id="24"/>
      <w:r w:rsidRPr="00007908">
        <w:rPr>
          <w:rFonts w:ascii="Arial" w:hAnsi="Arial" w:cs="Arial"/>
        </w:rPr>
        <w:t xml:space="preserve"> </w:t>
      </w:r>
    </w:p>
    <w:bookmarkStart w:id="25" w:name="_Toc300318309"/>
    <w:p w:rsidR="00051B6C" w:rsidRPr="00F618D2" w:rsidRDefault="00051B6C" w:rsidP="00051B6C">
      <w:pPr>
        <w:pStyle w:val="FirstHeading"/>
        <w:ind w:left="720"/>
        <w:rPr>
          <w:rFonts w:ascii="Arial" w:hAnsi="Arial" w:cs="Arial"/>
          <w:sz w:val="22"/>
          <w:lang w:val="es-ES_tradnl"/>
        </w:rPr>
      </w:pPr>
      <w:r w:rsidRPr="00007908">
        <w:rPr>
          <w:rFonts w:ascii="Arial" w:hAnsi="Arial" w:cs="Arial"/>
          <w:lang w:val="es-ES_tradnl"/>
        </w:rPr>
        <w:fldChar w:fldCharType="begin"/>
      </w:r>
      <w:r w:rsidRPr="00007908">
        <w:rPr>
          <w:rFonts w:ascii="Arial" w:hAnsi="Arial" w:cs="Arial"/>
          <w:lang w:val="es-ES_tradnl"/>
        </w:rPr>
        <w:instrText xml:space="preserve"> SEQ "</w:instrText>
      </w:r>
      <w:r w:rsidR="00AF2C5C" w:rsidRPr="00007908">
        <w:rPr>
          <w:rFonts w:ascii="Arial" w:hAnsi="Arial" w:cs="Arial"/>
        </w:rPr>
        <w:fldChar w:fldCharType="begin"/>
      </w:r>
      <w:r w:rsidR="00AF2C5C" w:rsidRPr="00007908">
        <w:rPr>
          <w:rFonts w:ascii="Arial" w:hAnsi="Arial" w:cs="Arial"/>
        </w:rPr>
        <w:instrText xml:space="preserve"> SECTION  \* MERGEFORMAT </w:instrText>
      </w:r>
      <w:r w:rsidR="00AF2C5C" w:rsidRPr="00007908">
        <w:rPr>
          <w:rFonts w:ascii="Arial" w:hAnsi="Arial" w:cs="Arial"/>
        </w:rPr>
        <w:fldChar w:fldCharType="separate"/>
      </w:r>
      <w:r w:rsidRPr="00007908">
        <w:rPr>
          <w:rFonts w:ascii="Arial" w:hAnsi="Arial" w:cs="Arial"/>
          <w:lang w:val="es-ES_tradnl"/>
        </w:rPr>
        <w:instrText>4</w:instrText>
      </w:r>
      <w:r w:rsidR="00AF2C5C" w:rsidRPr="00007908">
        <w:rPr>
          <w:rFonts w:ascii="Arial" w:hAnsi="Arial" w:cs="Arial"/>
          <w:lang w:val="es-ES_tradnl"/>
        </w:rPr>
        <w:fldChar w:fldCharType="end"/>
      </w:r>
      <w:r w:rsidRPr="00007908">
        <w:rPr>
          <w:rFonts w:ascii="Arial" w:hAnsi="Arial" w:cs="Arial"/>
          <w:lang w:val="es-ES_tradnl"/>
        </w:rPr>
        <w:instrText xml:space="preserve">#"\* ALPHABETIC \* MERGEFORMAT </w:instrText>
      </w:r>
      <w:r w:rsidRPr="00007908">
        <w:rPr>
          <w:rFonts w:ascii="Arial" w:hAnsi="Arial" w:cs="Arial"/>
          <w:lang w:val="es-ES_tradnl"/>
        </w:rPr>
        <w:fldChar w:fldCharType="separate"/>
      </w:r>
      <w:bookmarkStart w:id="26" w:name="_Toc331167640"/>
      <w:bookmarkStart w:id="27" w:name="_Toc419987568"/>
      <w:r w:rsidRPr="00007908">
        <w:rPr>
          <w:rFonts w:ascii="Arial" w:hAnsi="Arial" w:cs="Arial"/>
          <w:noProof/>
          <w:lang w:val="es-ES_tradnl"/>
        </w:rPr>
        <w:t>A</w:t>
      </w:r>
      <w:r w:rsidRPr="00007908">
        <w:rPr>
          <w:rFonts w:ascii="Arial" w:hAnsi="Arial" w:cs="Arial"/>
          <w:lang w:val="es-ES_tradnl"/>
        </w:rPr>
        <w:fldChar w:fldCharType="end"/>
      </w:r>
      <w:r w:rsidRPr="00007908">
        <w:rPr>
          <w:rFonts w:ascii="Arial" w:hAnsi="Arial" w:cs="Arial"/>
          <w:lang w:val="es-ES_tradnl"/>
        </w:rPr>
        <w:t>.</w:t>
      </w:r>
      <w:r w:rsidRPr="00007908">
        <w:rPr>
          <w:rFonts w:ascii="Arial" w:hAnsi="Arial" w:cs="Arial"/>
          <w:lang w:val="es-ES_tradnl"/>
        </w:rPr>
        <w:tab/>
      </w:r>
      <w:r w:rsidRPr="00F618D2">
        <w:rPr>
          <w:rFonts w:ascii="Arial" w:hAnsi="Arial" w:cs="Arial"/>
          <w:sz w:val="22"/>
          <w:lang w:val="es-ES_tradnl"/>
        </w:rPr>
        <w:t xml:space="preserve">Principales </w:t>
      </w:r>
      <w:r w:rsidR="00AF2C5C" w:rsidRPr="00F618D2">
        <w:rPr>
          <w:rFonts w:ascii="Arial" w:hAnsi="Arial" w:cs="Arial"/>
          <w:sz w:val="22"/>
          <w:lang w:val="es-ES_tradnl"/>
        </w:rPr>
        <w:t>Preguntas</w:t>
      </w:r>
      <w:r w:rsidRPr="00F618D2">
        <w:rPr>
          <w:rFonts w:ascii="Arial" w:hAnsi="Arial" w:cs="Arial"/>
          <w:sz w:val="22"/>
          <w:lang w:val="es-ES_tradnl"/>
        </w:rPr>
        <w:t xml:space="preserve"> de </w:t>
      </w:r>
      <w:r w:rsidR="00AF2C5C" w:rsidRPr="00F618D2">
        <w:rPr>
          <w:rFonts w:ascii="Arial" w:hAnsi="Arial" w:cs="Arial"/>
          <w:sz w:val="22"/>
          <w:lang w:val="es-ES_tradnl"/>
        </w:rPr>
        <w:t>Evaluación</w:t>
      </w:r>
      <w:bookmarkEnd w:id="25"/>
      <w:bookmarkEnd w:id="26"/>
      <w:bookmarkEnd w:id="27"/>
      <w:r w:rsidRPr="00F618D2">
        <w:rPr>
          <w:rFonts w:ascii="Arial" w:hAnsi="Arial" w:cs="Arial"/>
          <w:sz w:val="22"/>
          <w:lang w:val="es-ES_tradnl"/>
        </w:rPr>
        <w:t xml:space="preserve"> </w:t>
      </w:r>
    </w:p>
    <w:p w:rsidR="00383960" w:rsidRPr="00F618D2" w:rsidRDefault="00383960" w:rsidP="00383960">
      <w:pPr>
        <w:pStyle w:val="Paragraph"/>
        <w:tabs>
          <w:tab w:val="clear" w:pos="2736"/>
        </w:tabs>
        <w:ind w:left="709" w:hanging="709"/>
        <w:rPr>
          <w:rFonts w:ascii="Arial" w:hAnsi="Arial" w:cs="Arial"/>
          <w:sz w:val="22"/>
          <w:lang w:val="es-ES_tradnl"/>
        </w:rPr>
      </w:pPr>
      <w:r w:rsidRPr="00F618D2">
        <w:rPr>
          <w:rFonts w:ascii="Arial" w:hAnsi="Arial" w:cs="Arial"/>
          <w:sz w:val="22"/>
          <w:lang w:val="es-ES_tradnl"/>
        </w:rPr>
        <w:t>La evaluación del Programa tiene el objetivo de cuantificar el impacto que tiene el financiamiento sobre su objetivo básico, que es el uso racional de los recursos energéticos.</w:t>
      </w:r>
    </w:p>
    <w:p w:rsidR="00383960" w:rsidRPr="00F618D2" w:rsidRDefault="00383960" w:rsidP="00383960">
      <w:pPr>
        <w:pStyle w:val="Paragraph"/>
        <w:tabs>
          <w:tab w:val="clear" w:pos="2736"/>
        </w:tabs>
        <w:ind w:left="709" w:hanging="709"/>
        <w:rPr>
          <w:rFonts w:ascii="Arial" w:hAnsi="Arial" w:cs="Arial"/>
          <w:sz w:val="22"/>
          <w:lang w:val="es-ES_tradnl"/>
        </w:rPr>
      </w:pPr>
      <w:r w:rsidRPr="00F618D2">
        <w:rPr>
          <w:rFonts w:ascii="Arial" w:hAnsi="Arial" w:cs="Arial"/>
          <w:sz w:val="22"/>
          <w:lang w:val="es-ES_tradnl"/>
        </w:rPr>
        <w:t>En particular, la evaluación busca responder las siguientes preguntas:</w:t>
      </w:r>
    </w:p>
    <w:p w:rsidR="00E07157" w:rsidRPr="00F618D2" w:rsidRDefault="00E07157" w:rsidP="00E07157">
      <w:pPr>
        <w:pStyle w:val="subpar"/>
        <w:rPr>
          <w:rFonts w:ascii="Arial" w:hAnsi="Arial" w:cs="Arial"/>
          <w:sz w:val="22"/>
          <w:lang w:val="es-ES_tradnl"/>
        </w:rPr>
      </w:pPr>
      <w:r w:rsidRPr="00F618D2">
        <w:rPr>
          <w:rFonts w:ascii="Arial" w:hAnsi="Arial" w:cs="Arial"/>
          <w:sz w:val="22"/>
          <w:lang w:val="es-ES_tradnl"/>
        </w:rPr>
        <w:t xml:space="preserve">¿El financiamiento ha contribuido a </w:t>
      </w:r>
      <w:r w:rsidR="00486711" w:rsidRPr="00F618D2">
        <w:rPr>
          <w:rFonts w:ascii="Arial" w:hAnsi="Arial" w:cs="Arial"/>
          <w:sz w:val="22"/>
          <w:lang w:val="es-ES_tradnl"/>
        </w:rPr>
        <w:t>incrementar la capacidad instalada y generación a partir de energías renovables y cogeneración</w:t>
      </w:r>
      <w:r w:rsidRPr="00F618D2">
        <w:rPr>
          <w:rFonts w:ascii="Arial" w:hAnsi="Arial" w:cs="Arial"/>
          <w:sz w:val="22"/>
          <w:lang w:val="es-ES_tradnl"/>
        </w:rPr>
        <w:t>?</w:t>
      </w:r>
    </w:p>
    <w:p w:rsidR="00383960" w:rsidRPr="00F618D2" w:rsidRDefault="00E07157" w:rsidP="00E07157">
      <w:pPr>
        <w:pStyle w:val="subpar"/>
        <w:rPr>
          <w:rFonts w:ascii="Arial" w:hAnsi="Arial" w:cs="Arial"/>
          <w:sz w:val="22"/>
          <w:lang w:val="es-ES_tradnl"/>
        </w:rPr>
      </w:pPr>
      <w:r w:rsidRPr="00F618D2">
        <w:rPr>
          <w:rFonts w:ascii="Arial" w:hAnsi="Arial" w:cs="Arial"/>
          <w:sz w:val="22"/>
          <w:lang w:val="es-ES_tradnl"/>
        </w:rPr>
        <w:t>¿El financiamiento ha contribuido a la reducción de emisiones a través de</w:t>
      </w:r>
      <w:r w:rsidR="00417504" w:rsidRPr="00F618D2">
        <w:rPr>
          <w:rFonts w:ascii="Arial" w:hAnsi="Arial" w:cs="Arial"/>
          <w:sz w:val="22"/>
          <w:lang w:val="es-ES_tradnl"/>
        </w:rPr>
        <w:t>l aumento de capacidad instalada y generación a partir de</w:t>
      </w:r>
      <w:r w:rsidRPr="00F618D2">
        <w:rPr>
          <w:rFonts w:ascii="Arial" w:hAnsi="Arial" w:cs="Arial"/>
          <w:sz w:val="22"/>
          <w:lang w:val="es-ES_tradnl"/>
        </w:rPr>
        <w:t xml:space="preserve"> energías renovables</w:t>
      </w:r>
      <w:r w:rsidR="00486711" w:rsidRPr="00F618D2">
        <w:rPr>
          <w:rFonts w:ascii="Arial" w:hAnsi="Arial" w:cs="Arial"/>
          <w:sz w:val="22"/>
          <w:lang w:val="es-ES_tradnl"/>
        </w:rPr>
        <w:t xml:space="preserve"> y cogeneración</w:t>
      </w:r>
      <w:r w:rsidRPr="00F618D2">
        <w:rPr>
          <w:rFonts w:ascii="Arial" w:hAnsi="Arial" w:cs="Arial"/>
          <w:sz w:val="22"/>
          <w:lang w:val="es-ES_tradnl"/>
        </w:rPr>
        <w:t>?</w:t>
      </w:r>
    </w:p>
    <w:p w:rsidR="00383960" w:rsidRPr="00F618D2" w:rsidRDefault="00383960" w:rsidP="00383960">
      <w:pPr>
        <w:pStyle w:val="Paragraph"/>
        <w:tabs>
          <w:tab w:val="clear" w:pos="2736"/>
        </w:tabs>
        <w:ind w:left="709" w:hanging="709"/>
        <w:rPr>
          <w:rFonts w:ascii="Arial" w:hAnsi="Arial" w:cs="Arial"/>
          <w:sz w:val="22"/>
          <w:lang w:val="es-ES_tradnl"/>
        </w:rPr>
      </w:pPr>
      <w:r w:rsidRPr="00F618D2">
        <w:rPr>
          <w:rFonts w:ascii="Arial" w:hAnsi="Arial" w:cs="Arial"/>
          <w:sz w:val="22"/>
          <w:lang w:val="es-ES_tradnl"/>
        </w:rPr>
        <w:t xml:space="preserve">Debido a la naturaleza de los proyectos a financiar, los impactos se esperan a corto </w:t>
      </w:r>
      <w:r w:rsidR="00486711" w:rsidRPr="00F618D2">
        <w:rPr>
          <w:rFonts w:ascii="Arial" w:hAnsi="Arial" w:cs="Arial"/>
          <w:sz w:val="22"/>
          <w:lang w:val="es-ES_tradnl"/>
        </w:rPr>
        <w:t xml:space="preserve">o mediano </w:t>
      </w:r>
      <w:r w:rsidRPr="00F618D2">
        <w:rPr>
          <w:rFonts w:ascii="Arial" w:hAnsi="Arial" w:cs="Arial"/>
          <w:sz w:val="22"/>
          <w:lang w:val="es-ES_tradnl"/>
        </w:rPr>
        <w:t>plazo. Se fijan los horizontes de evaluación en 2019</w:t>
      </w:r>
      <w:r w:rsidR="00486711" w:rsidRPr="00F618D2">
        <w:rPr>
          <w:rFonts w:ascii="Arial" w:hAnsi="Arial" w:cs="Arial"/>
          <w:sz w:val="22"/>
          <w:lang w:val="es-ES_tradnl"/>
        </w:rPr>
        <w:t>, es decir hacia el final del periodo de ejecución establecido para el programa</w:t>
      </w:r>
      <w:r w:rsidRPr="00F618D2">
        <w:rPr>
          <w:rFonts w:ascii="Arial" w:hAnsi="Arial" w:cs="Arial"/>
          <w:sz w:val="22"/>
          <w:lang w:val="es-ES_tradnl"/>
        </w:rPr>
        <w:t xml:space="preserve">. Ello obedece a la disponibilidad de la información con la que se realizará la evaluación. </w:t>
      </w:r>
    </w:p>
    <w:bookmarkStart w:id="28" w:name="_Toc300318310"/>
    <w:p w:rsidR="00051B6C" w:rsidRPr="00F618D2" w:rsidRDefault="00051B6C" w:rsidP="00051B6C">
      <w:pPr>
        <w:pStyle w:val="FirstHeading"/>
        <w:ind w:left="720"/>
        <w:rPr>
          <w:rFonts w:ascii="Arial" w:hAnsi="Arial" w:cs="Arial"/>
          <w:noProof/>
          <w:sz w:val="22"/>
          <w:lang w:val="es-ES_tradnl"/>
        </w:rPr>
      </w:pPr>
      <w:r w:rsidRPr="00F618D2">
        <w:rPr>
          <w:rFonts w:ascii="Arial" w:hAnsi="Arial" w:cs="Arial"/>
          <w:noProof/>
          <w:sz w:val="22"/>
          <w:lang w:val="es-ES_tradnl"/>
        </w:rPr>
        <w:fldChar w:fldCharType="begin"/>
      </w:r>
      <w:r w:rsidRPr="00F618D2">
        <w:rPr>
          <w:rFonts w:ascii="Arial" w:hAnsi="Arial" w:cs="Arial"/>
          <w:noProof/>
          <w:sz w:val="22"/>
          <w:lang w:val="es-ES_tradnl"/>
        </w:rPr>
        <w:instrText xml:space="preserve"> SEQ "</w:instrText>
      </w:r>
      <w:r w:rsidRPr="00F618D2">
        <w:rPr>
          <w:rFonts w:ascii="Arial" w:hAnsi="Arial" w:cs="Arial"/>
          <w:noProof/>
          <w:sz w:val="22"/>
          <w:lang w:val="es-ES_tradnl"/>
        </w:rPr>
        <w:fldChar w:fldCharType="begin"/>
      </w:r>
      <w:r w:rsidRPr="00F618D2">
        <w:rPr>
          <w:rFonts w:ascii="Arial" w:hAnsi="Arial" w:cs="Arial"/>
          <w:noProof/>
          <w:sz w:val="22"/>
          <w:lang w:val="es-ES_tradnl"/>
        </w:rPr>
        <w:instrText xml:space="preserve"> SECTION  \* MERGEFORMAT </w:instrText>
      </w:r>
      <w:r w:rsidRPr="00F618D2">
        <w:rPr>
          <w:rFonts w:ascii="Arial" w:hAnsi="Arial" w:cs="Arial"/>
          <w:noProof/>
          <w:sz w:val="22"/>
          <w:lang w:val="es-ES_tradnl"/>
        </w:rPr>
        <w:fldChar w:fldCharType="separate"/>
      </w:r>
      <w:r w:rsidRPr="00F618D2">
        <w:rPr>
          <w:rFonts w:ascii="Arial" w:hAnsi="Arial" w:cs="Arial"/>
          <w:noProof/>
          <w:sz w:val="22"/>
          <w:lang w:val="es-ES_tradnl"/>
        </w:rPr>
        <w:instrText>4</w:instrText>
      </w:r>
      <w:r w:rsidRPr="00F618D2">
        <w:rPr>
          <w:rFonts w:ascii="Arial" w:hAnsi="Arial" w:cs="Arial"/>
          <w:noProof/>
          <w:sz w:val="22"/>
          <w:lang w:val="es-ES_tradnl"/>
        </w:rPr>
        <w:fldChar w:fldCharType="end"/>
      </w:r>
      <w:r w:rsidRPr="00F618D2">
        <w:rPr>
          <w:rFonts w:ascii="Arial" w:hAnsi="Arial" w:cs="Arial"/>
          <w:noProof/>
          <w:sz w:val="22"/>
          <w:lang w:val="es-ES_tradnl"/>
        </w:rPr>
        <w:instrText xml:space="preserve">#"\* ALPHABETIC \* MERGEFORMAT </w:instrText>
      </w:r>
      <w:r w:rsidRPr="00F618D2">
        <w:rPr>
          <w:rFonts w:ascii="Arial" w:hAnsi="Arial" w:cs="Arial"/>
          <w:noProof/>
          <w:sz w:val="22"/>
          <w:lang w:val="es-ES_tradnl"/>
        </w:rPr>
        <w:fldChar w:fldCharType="separate"/>
      </w:r>
      <w:bookmarkStart w:id="29" w:name="_Toc331167641"/>
      <w:bookmarkStart w:id="30" w:name="_Toc419987569"/>
      <w:r w:rsidRPr="00F618D2">
        <w:rPr>
          <w:rFonts w:ascii="Arial" w:hAnsi="Arial" w:cs="Arial"/>
          <w:noProof/>
          <w:sz w:val="22"/>
          <w:lang w:val="es-ES_tradnl"/>
        </w:rPr>
        <w:t>B</w:t>
      </w:r>
      <w:r w:rsidRPr="00F618D2">
        <w:rPr>
          <w:rFonts w:ascii="Arial" w:hAnsi="Arial" w:cs="Arial"/>
          <w:noProof/>
          <w:sz w:val="22"/>
          <w:lang w:val="es-ES_tradnl"/>
        </w:rPr>
        <w:fldChar w:fldCharType="end"/>
      </w:r>
      <w:r w:rsidRPr="00F618D2">
        <w:rPr>
          <w:rFonts w:ascii="Arial" w:hAnsi="Arial" w:cs="Arial"/>
          <w:noProof/>
          <w:sz w:val="22"/>
          <w:lang w:val="es-ES_tradnl"/>
        </w:rPr>
        <w:t>.</w:t>
      </w:r>
      <w:r w:rsidRPr="00F618D2">
        <w:rPr>
          <w:rFonts w:ascii="Arial" w:hAnsi="Arial" w:cs="Arial"/>
          <w:noProof/>
          <w:sz w:val="22"/>
          <w:lang w:val="es-ES_tradnl"/>
        </w:rPr>
        <w:tab/>
        <w:t xml:space="preserve">Conocimiento </w:t>
      </w:r>
      <w:r w:rsidR="00AF2C5C" w:rsidRPr="00F618D2">
        <w:rPr>
          <w:rFonts w:ascii="Arial" w:hAnsi="Arial" w:cs="Arial"/>
          <w:noProof/>
          <w:sz w:val="22"/>
          <w:lang w:val="es-ES_tradnl"/>
        </w:rPr>
        <w:t>E</w:t>
      </w:r>
      <w:r w:rsidRPr="00F618D2">
        <w:rPr>
          <w:rFonts w:ascii="Arial" w:hAnsi="Arial" w:cs="Arial"/>
          <w:noProof/>
          <w:sz w:val="22"/>
          <w:lang w:val="es-ES_tradnl"/>
        </w:rPr>
        <w:t>xistente</w:t>
      </w:r>
      <w:bookmarkEnd w:id="28"/>
      <w:bookmarkEnd w:id="29"/>
      <w:bookmarkEnd w:id="30"/>
      <w:r w:rsidRPr="00F618D2">
        <w:rPr>
          <w:rFonts w:ascii="Arial" w:hAnsi="Arial" w:cs="Arial"/>
          <w:noProof/>
          <w:sz w:val="22"/>
          <w:lang w:val="es-ES_tradnl"/>
        </w:rPr>
        <w:t xml:space="preserve"> </w:t>
      </w:r>
    </w:p>
    <w:p w:rsidR="009A02E5" w:rsidRPr="00F618D2" w:rsidRDefault="009A02E5" w:rsidP="009A02E5">
      <w:pPr>
        <w:pStyle w:val="Paragraph"/>
        <w:tabs>
          <w:tab w:val="clear" w:pos="2736"/>
        </w:tabs>
        <w:ind w:left="709" w:hanging="709"/>
        <w:rPr>
          <w:rFonts w:ascii="Arial" w:hAnsi="Arial" w:cs="Arial"/>
          <w:sz w:val="22"/>
          <w:lang w:val="es-ES_tradnl"/>
        </w:rPr>
      </w:pPr>
      <w:r w:rsidRPr="00F618D2">
        <w:rPr>
          <w:rFonts w:ascii="Arial" w:hAnsi="Arial" w:cs="Arial"/>
          <w:sz w:val="22"/>
          <w:lang w:val="es-ES_tradnl"/>
        </w:rPr>
        <w:t>A partir de la Estrategia Nacional de Energía (ENE) 2013-2017, México se ha propuesto una meta de generar 35% de la electricidad a partir de energías no fósiles en 2024 y una reducción de emisiones en un 30% con relación a la línea base para el año 2020 (SENER, 2013). A</w:t>
      </w:r>
      <w:r w:rsidR="00D80C3D" w:rsidRPr="00F618D2">
        <w:rPr>
          <w:rFonts w:ascii="Arial" w:hAnsi="Arial" w:cs="Arial"/>
          <w:sz w:val="22"/>
          <w:lang w:val="es-ES_tradnl"/>
        </w:rPr>
        <w:t>ctualmente, se produce apenas 16.9</w:t>
      </w:r>
      <w:r w:rsidRPr="00F618D2">
        <w:rPr>
          <w:rFonts w:ascii="Arial" w:hAnsi="Arial" w:cs="Arial"/>
          <w:sz w:val="22"/>
          <w:lang w:val="es-ES_tradnl"/>
        </w:rPr>
        <w:t>% de la energía eléctrica a tr</w:t>
      </w:r>
      <w:r w:rsidR="00D80C3D" w:rsidRPr="00F618D2">
        <w:rPr>
          <w:rFonts w:ascii="Arial" w:hAnsi="Arial" w:cs="Arial"/>
          <w:sz w:val="22"/>
          <w:lang w:val="es-ES_tradnl"/>
        </w:rPr>
        <w:t>avés de estas fuentes (SIE, 2015</w:t>
      </w:r>
      <w:r w:rsidRPr="00F618D2">
        <w:rPr>
          <w:rFonts w:ascii="Arial" w:hAnsi="Arial" w:cs="Arial"/>
          <w:sz w:val="22"/>
          <w:lang w:val="es-ES_tradnl"/>
        </w:rPr>
        <w:t>). Ambas metas implican la necesidad de elevadas inversiones tanto en el sector de generación de electricidad como en su consumo final.</w:t>
      </w:r>
    </w:p>
    <w:p w:rsidR="00D9637F" w:rsidRPr="00F618D2" w:rsidRDefault="009A02E5" w:rsidP="009A02E5">
      <w:pPr>
        <w:pStyle w:val="Paragraph"/>
        <w:tabs>
          <w:tab w:val="clear" w:pos="2736"/>
        </w:tabs>
        <w:ind w:left="709" w:hanging="709"/>
        <w:rPr>
          <w:rFonts w:ascii="Arial" w:hAnsi="Arial" w:cs="Arial"/>
          <w:sz w:val="22"/>
          <w:lang w:val="es-ES_tradnl"/>
        </w:rPr>
      </w:pPr>
      <w:r w:rsidRPr="00F618D2">
        <w:rPr>
          <w:rFonts w:ascii="Arial" w:hAnsi="Arial" w:cs="Arial"/>
          <w:sz w:val="22"/>
          <w:lang w:val="es-ES_tradnl"/>
        </w:rPr>
        <w:t xml:space="preserve">En este contexto, cabe señalar que México está en una transición en este sector que parte de un mercado monopsónico en el que se permite la generación de electricidad por parte del sector privado, pero con un solo comprador, la Comisión Federal de Electricidad (CFE), hacia un mercado más competitivo, en el que estos generadores podrán vender su energía a otros compradores distintos a CFE. Se vislumbra que esta transición incentivará fuertemente la entrada de nuevos competidores al mercado. </w:t>
      </w:r>
    </w:p>
    <w:p w:rsidR="00E555DA" w:rsidRPr="00F618D2" w:rsidRDefault="00E555DA" w:rsidP="009A02E5">
      <w:pPr>
        <w:pStyle w:val="Paragraph"/>
        <w:tabs>
          <w:tab w:val="clear" w:pos="2736"/>
        </w:tabs>
        <w:ind w:left="709" w:hanging="709"/>
        <w:rPr>
          <w:rFonts w:ascii="Arial" w:hAnsi="Arial" w:cs="Arial"/>
          <w:sz w:val="22"/>
          <w:lang w:val="es-ES_tradnl"/>
        </w:rPr>
      </w:pPr>
      <w:r w:rsidRPr="00F618D2">
        <w:rPr>
          <w:rFonts w:ascii="Arial" w:hAnsi="Arial" w:cs="Arial"/>
          <w:sz w:val="22"/>
          <w:lang w:val="es-ES_tradnl"/>
        </w:rPr>
        <w:t xml:space="preserve">Las energías renovables se han probado como una opción viable y efectiva para la </w:t>
      </w:r>
      <w:r w:rsidR="00831100" w:rsidRPr="00F618D2">
        <w:rPr>
          <w:rFonts w:ascii="Arial" w:hAnsi="Arial" w:cs="Arial"/>
          <w:sz w:val="22"/>
          <w:lang w:val="es-ES_tradnl"/>
        </w:rPr>
        <w:t xml:space="preserve">sostenibilidad ambiental y la </w:t>
      </w:r>
      <w:r w:rsidRPr="00F618D2">
        <w:rPr>
          <w:rFonts w:ascii="Arial" w:hAnsi="Arial" w:cs="Arial"/>
          <w:sz w:val="22"/>
          <w:lang w:val="es-ES_tradnl"/>
        </w:rPr>
        <w:t xml:space="preserve">reducción de las emisiones </w:t>
      </w:r>
      <w:r w:rsidR="00831100" w:rsidRPr="00F618D2">
        <w:rPr>
          <w:rFonts w:ascii="Arial" w:hAnsi="Arial" w:cs="Arial"/>
          <w:sz w:val="22"/>
          <w:lang w:val="es-ES_tradnl"/>
        </w:rPr>
        <w:t xml:space="preserve">de </w:t>
      </w:r>
      <w:r w:rsidRPr="00F618D2">
        <w:rPr>
          <w:rFonts w:ascii="Arial" w:hAnsi="Arial" w:cs="Arial"/>
          <w:sz w:val="22"/>
          <w:lang w:val="es-ES_tradnl"/>
        </w:rPr>
        <w:t xml:space="preserve">GEI. Al respecto, Saidur </w:t>
      </w:r>
      <w:r w:rsidRPr="00F618D2">
        <w:rPr>
          <w:rFonts w:ascii="Arial" w:hAnsi="Arial" w:cs="Arial"/>
          <w:i/>
          <w:sz w:val="22"/>
          <w:lang w:val="es-ES_tradnl"/>
        </w:rPr>
        <w:t>et al</w:t>
      </w:r>
      <w:r w:rsidRPr="00F618D2">
        <w:rPr>
          <w:rFonts w:ascii="Arial" w:hAnsi="Arial" w:cs="Arial"/>
          <w:sz w:val="22"/>
          <w:lang w:val="es-ES_tradnl"/>
        </w:rPr>
        <w:t>. (2011)</w:t>
      </w:r>
      <w:r w:rsidR="00090922" w:rsidRPr="00F618D2">
        <w:rPr>
          <w:rStyle w:val="FootnoteReference"/>
          <w:rFonts w:ascii="Arial" w:hAnsi="Arial" w:cs="Arial"/>
          <w:sz w:val="22"/>
          <w:lang w:val="es-ES_tradnl"/>
        </w:rPr>
        <w:footnoteReference w:id="3"/>
      </w:r>
      <w:r w:rsidRPr="00F618D2">
        <w:rPr>
          <w:rFonts w:ascii="Arial" w:hAnsi="Arial" w:cs="Arial"/>
          <w:sz w:val="22"/>
          <w:lang w:val="es-ES_tradnl"/>
        </w:rPr>
        <w:t xml:space="preserve"> </w:t>
      </w:r>
      <w:r w:rsidR="00831100" w:rsidRPr="00F618D2">
        <w:rPr>
          <w:rFonts w:ascii="Arial" w:hAnsi="Arial" w:cs="Arial"/>
          <w:sz w:val="22"/>
          <w:lang w:val="es-ES_tradnl"/>
        </w:rPr>
        <w:t xml:space="preserve">concluye que </w:t>
      </w:r>
      <w:r w:rsidRPr="00F618D2">
        <w:rPr>
          <w:rFonts w:ascii="Arial" w:hAnsi="Arial" w:cs="Arial"/>
          <w:sz w:val="22"/>
          <w:lang w:val="es-ES_tradnl"/>
        </w:rPr>
        <w:t>la energía eólica, al no producir gases contaminantes, puede contribuir a reducir la lluvia ácida y el cambio climático. De acuerdo a estos autores  un millón de KWh de energía eólica puede evitar la emisión de 600 tCO</w:t>
      </w:r>
      <w:r w:rsidRPr="00F618D2">
        <w:rPr>
          <w:rFonts w:ascii="Arial" w:hAnsi="Arial" w:cs="Arial"/>
          <w:sz w:val="22"/>
          <w:vertAlign w:val="subscript"/>
          <w:lang w:val="es-ES_tradnl"/>
        </w:rPr>
        <w:t>2</w:t>
      </w:r>
      <w:r w:rsidRPr="00F618D2">
        <w:rPr>
          <w:rFonts w:ascii="Arial" w:hAnsi="Arial" w:cs="Arial"/>
          <w:sz w:val="22"/>
          <w:lang w:val="es-ES_tradnl"/>
        </w:rPr>
        <w:t xml:space="preserve">e. En el mismo sentido, Tsoutsos </w:t>
      </w:r>
      <w:r w:rsidRPr="00F618D2">
        <w:rPr>
          <w:rFonts w:ascii="Arial" w:hAnsi="Arial" w:cs="Arial"/>
          <w:i/>
          <w:sz w:val="22"/>
          <w:lang w:val="es-ES_tradnl"/>
        </w:rPr>
        <w:t>et al</w:t>
      </w:r>
      <w:r w:rsidRPr="00F618D2">
        <w:rPr>
          <w:rFonts w:ascii="Arial" w:hAnsi="Arial" w:cs="Arial"/>
          <w:sz w:val="22"/>
          <w:lang w:val="es-ES_tradnl"/>
        </w:rPr>
        <w:t>. (2005)</w:t>
      </w:r>
      <w:r w:rsidR="00090922" w:rsidRPr="00F618D2">
        <w:rPr>
          <w:rStyle w:val="FootnoteReference"/>
          <w:rFonts w:ascii="Arial" w:hAnsi="Arial" w:cs="Arial"/>
          <w:sz w:val="22"/>
          <w:lang w:val="es-ES_tradnl"/>
        </w:rPr>
        <w:footnoteReference w:id="4"/>
      </w:r>
      <w:r w:rsidRPr="00F618D2">
        <w:rPr>
          <w:rFonts w:ascii="Arial" w:hAnsi="Arial" w:cs="Arial"/>
          <w:sz w:val="22"/>
          <w:lang w:val="es-ES_tradnl"/>
        </w:rPr>
        <w:t xml:space="preserve"> considera a las energías renovables como un elemento</w:t>
      </w:r>
      <w:r w:rsidR="00090922" w:rsidRPr="00F618D2">
        <w:rPr>
          <w:rFonts w:ascii="Arial" w:hAnsi="Arial" w:cs="Arial"/>
          <w:sz w:val="22"/>
          <w:lang w:val="es-ES_tradnl"/>
        </w:rPr>
        <w:t xml:space="preserve"> clave para abatir el cambio climático. Respecto a la cogeneración, hay evidencia del impacto positivo que ésta tiene sobre el abatimiento de gases de efecto invernadero (BID, 2000).</w:t>
      </w:r>
      <w:r w:rsidR="00090922" w:rsidRPr="00F618D2">
        <w:rPr>
          <w:rStyle w:val="FootnoteReference"/>
          <w:rFonts w:ascii="Arial" w:hAnsi="Arial" w:cs="Arial"/>
          <w:sz w:val="22"/>
          <w:lang w:val="es-ES_tradnl"/>
        </w:rPr>
        <w:footnoteReference w:id="5"/>
      </w:r>
    </w:p>
    <w:p w:rsidR="009A02E5" w:rsidRPr="00007908" w:rsidRDefault="009A02E5" w:rsidP="00884D75">
      <w:pPr>
        <w:pStyle w:val="Paragraph"/>
        <w:tabs>
          <w:tab w:val="clear" w:pos="2736"/>
        </w:tabs>
        <w:ind w:left="709" w:hanging="709"/>
        <w:rPr>
          <w:rFonts w:ascii="Arial" w:hAnsi="Arial" w:cs="Arial"/>
          <w:lang w:val="es-ES_tradnl"/>
        </w:rPr>
      </w:pPr>
      <w:r w:rsidRPr="00F618D2">
        <w:rPr>
          <w:rFonts w:ascii="Arial" w:hAnsi="Arial" w:cs="Arial"/>
          <w:sz w:val="22"/>
          <w:lang w:val="es-ES_tradnl"/>
        </w:rPr>
        <w:t xml:space="preserve">México tiene un potencial muy amplio para disminuir el consumo de energía eléctrica, con su consecuente reducción en las emisiones de gases de efecto invernadero (GEI), generando simultáneamente ahorros económicos importantes. De acuerdo con la Corporación Financiera Internacional (IFC, 2012), en México hay un potencial de ahorro en generación de electricidad superior a 37 mil GWh en los próximos 15 años, lo que equivaldría a alrededor de 13% del consumo de electricidad en el mismo periodo. </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0"/>
        <w:gridCol w:w="1530"/>
        <w:gridCol w:w="1890"/>
      </w:tblGrid>
      <w:tr w:rsidR="003F1412" w:rsidRPr="00007908" w:rsidTr="00AF2C5C">
        <w:tc>
          <w:tcPr>
            <w:tcW w:w="8010" w:type="dxa"/>
            <w:gridSpan w:val="4"/>
            <w:tcBorders>
              <w:top w:val="nil"/>
              <w:left w:val="nil"/>
              <w:right w:val="nil"/>
            </w:tcBorders>
          </w:tcPr>
          <w:p w:rsidR="003F1412" w:rsidRPr="00007908" w:rsidRDefault="003F1412" w:rsidP="003F1412">
            <w:pPr>
              <w:spacing w:before="120" w:after="0"/>
              <w:jc w:val="center"/>
              <w:rPr>
                <w:rFonts w:ascii="Arial" w:hAnsi="Arial" w:cs="Arial"/>
                <w:sz w:val="18"/>
                <w:szCs w:val="18"/>
                <w:lang w:val="es-ES"/>
              </w:rPr>
            </w:pPr>
            <w:r w:rsidRPr="00007908">
              <w:rPr>
                <w:rFonts w:ascii="Arial" w:hAnsi="Arial" w:cs="Arial"/>
                <w:b/>
                <w:szCs w:val="18"/>
                <w:lang w:val="es-ES"/>
              </w:rPr>
              <w:t>Cuadro 3.1: Indicadores principales para la evaluación</w:t>
            </w:r>
          </w:p>
        </w:tc>
      </w:tr>
      <w:tr w:rsidR="003F1412" w:rsidRPr="00007908" w:rsidTr="00AF2C5C">
        <w:tc>
          <w:tcPr>
            <w:tcW w:w="1890" w:type="dxa"/>
            <w:shd w:val="clear" w:color="auto" w:fill="B8CCE4" w:themeFill="accent1" w:themeFillTint="66"/>
            <w:vAlign w:val="center"/>
          </w:tcPr>
          <w:p w:rsidR="003F1412" w:rsidRPr="00007908" w:rsidRDefault="003F1412" w:rsidP="00C81B6E">
            <w:pPr>
              <w:spacing w:before="60" w:after="60" w:line="240" w:lineRule="auto"/>
              <w:jc w:val="center"/>
              <w:rPr>
                <w:rFonts w:ascii="Arial" w:hAnsi="Arial" w:cs="Arial"/>
                <w:b/>
                <w:sz w:val="18"/>
                <w:szCs w:val="18"/>
                <w:lang w:val="es-ES"/>
              </w:rPr>
            </w:pPr>
            <w:r w:rsidRPr="00007908">
              <w:rPr>
                <w:rFonts w:ascii="Arial" w:hAnsi="Arial" w:cs="Arial"/>
                <w:b/>
                <w:sz w:val="18"/>
                <w:szCs w:val="18"/>
                <w:lang w:val="es-ES"/>
              </w:rPr>
              <w:t>Indicador</w:t>
            </w:r>
          </w:p>
        </w:tc>
        <w:tc>
          <w:tcPr>
            <w:tcW w:w="2700" w:type="dxa"/>
            <w:shd w:val="clear" w:color="auto" w:fill="B8CCE4" w:themeFill="accent1" w:themeFillTint="66"/>
            <w:vAlign w:val="center"/>
          </w:tcPr>
          <w:p w:rsidR="003F1412" w:rsidRPr="00007908" w:rsidRDefault="003F1412" w:rsidP="00C81B6E">
            <w:pPr>
              <w:spacing w:before="60" w:after="60" w:line="240" w:lineRule="auto"/>
              <w:jc w:val="center"/>
              <w:rPr>
                <w:rFonts w:ascii="Arial" w:hAnsi="Arial" w:cs="Arial"/>
                <w:b/>
                <w:sz w:val="18"/>
                <w:szCs w:val="18"/>
                <w:lang w:val="es-ES"/>
              </w:rPr>
            </w:pPr>
            <w:r w:rsidRPr="00007908">
              <w:rPr>
                <w:rFonts w:ascii="Arial" w:hAnsi="Arial" w:cs="Arial"/>
                <w:b/>
                <w:sz w:val="18"/>
                <w:szCs w:val="18"/>
                <w:lang w:val="es-ES"/>
              </w:rPr>
              <w:t>Descripción</w:t>
            </w:r>
          </w:p>
        </w:tc>
        <w:tc>
          <w:tcPr>
            <w:tcW w:w="1530" w:type="dxa"/>
            <w:shd w:val="clear" w:color="auto" w:fill="B8CCE4" w:themeFill="accent1" w:themeFillTint="66"/>
            <w:vAlign w:val="center"/>
          </w:tcPr>
          <w:p w:rsidR="003F1412" w:rsidRPr="00007908" w:rsidRDefault="003F1412" w:rsidP="00C81B6E">
            <w:pPr>
              <w:spacing w:before="60" w:after="60" w:line="240" w:lineRule="auto"/>
              <w:jc w:val="center"/>
              <w:rPr>
                <w:rFonts w:ascii="Arial" w:hAnsi="Arial" w:cs="Arial"/>
                <w:b/>
                <w:sz w:val="18"/>
                <w:szCs w:val="18"/>
                <w:lang w:val="es-ES"/>
              </w:rPr>
            </w:pPr>
            <w:r w:rsidRPr="00007908">
              <w:rPr>
                <w:rFonts w:ascii="Arial" w:hAnsi="Arial" w:cs="Arial"/>
                <w:b/>
                <w:sz w:val="18"/>
                <w:szCs w:val="18"/>
                <w:lang w:val="es-ES"/>
              </w:rPr>
              <w:t>Frecuencia de medición</w:t>
            </w:r>
          </w:p>
        </w:tc>
        <w:tc>
          <w:tcPr>
            <w:tcW w:w="1890" w:type="dxa"/>
            <w:shd w:val="clear" w:color="auto" w:fill="B8CCE4" w:themeFill="accent1" w:themeFillTint="66"/>
            <w:vAlign w:val="center"/>
          </w:tcPr>
          <w:p w:rsidR="003F1412" w:rsidRPr="00007908" w:rsidRDefault="003F1412" w:rsidP="00C81B6E">
            <w:pPr>
              <w:spacing w:before="60" w:after="60" w:line="240" w:lineRule="auto"/>
              <w:jc w:val="center"/>
              <w:rPr>
                <w:rFonts w:ascii="Arial" w:hAnsi="Arial" w:cs="Arial"/>
                <w:b/>
                <w:sz w:val="18"/>
                <w:szCs w:val="18"/>
                <w:lang w:val="es-ES"/>
              </w:rPr>
            </w:pPr>
            <w:r w:rsidRPr="00007908">
              <w:rPr>
                <w:rFonts w:ascii="Arial" w:hAnsi="Arial" w:cs="Arial"/>
                <w:b/>
                <w:sz w:val="18"/>
                <w:szCs w:val="18"/>
                <w:lang w:val="es-ES"/>
              </w:rPr>
              <w:t>Fuente de verificación</w:t>
            </w:r>
          </w:p>
        </w:tc>
      </w:tr>
      <w:tr w:rsidR="00211339" w:rsidRPr="00007908" w:rsidTr="00AF2C5C">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Valor total de la inversión apalancada con recursos del programa.</w:t>
            </w:r>
          </w:p>
        </w:tc>
        <w:tc>
          <w:tcPr>
            <w:tcW w:w="270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Mide el valor total de la inversión (cofinanciamiento más capital de inversionistas) apalancada con recursos del programa. Estimaciones en base a inversión total promedio de los proyectos de ER y Cogeneración.</w:t>
            </w:r>
          </w:p>
        </w:tc>
        <w:tc>
          <w:tcPr>
            <w:tcW w:w="153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Semestral y al final de la ejecución del Programa</w:t>
            </w:r>
          </w:p>
        </w:tc>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Fuente: Informe de Bancomext sobre el programa.</w:t>
            </w:r>
          </w:p>
        </w:tc>
      </w:tr>
      <w:tr w:rsidR="00211339" w:rsidRPr="00007908" w:rsidTr="00007908">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bCs/>
                <w:sz w:val="18"/>
                <w:szCs w:val="18"/>
                <w:lang w:val="es-ES"/>
              </w:rPr>
            </w:pPr>
            <w:r w:rsidRPr="00007908">
              <w:rPr>
                <w:rFonts w:ascii="Arial" w:hAnsi="Arial" w:cs="Arial"/>
                <w:sz w:val="20"/>
                <w:szCs w:val="20"/>
                <w:lang w:val="es-ES_tradnl"/>
              </w:rPr>
              <w:t>Aumento en la potencia neta de electricidad a partir de proyectos de ER y Cogeneración a gas financiados con recursos del programa que entran en operación.</w:t>
            </w:r>
          </w:p>
        </w:tc>
        <w:tc>
          <w:tcPr>
            <w:tcW w:w="270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Contabiliza, en base a un factor de planta promedio, la generación de electricidad que se obtendría a partir de los proyectos de ER y Cogeneración que se cofinanciarían con recursos del Programa.</w:t>
            </w:r>
          </w:p>
        </w:tc>
        <w:tc>
          <w:tcPr>
            <w:tcW w:w="1530" w:type="dxa"/>
            <w:tcBorders>
              <w:top w:val="single" w:sz="4" w:space="0" w:color="auto"/>
              <w:left w:val="single" w:sz="4" w:space="0" w:color="auto"/>
              <w:bottom w:val="single" w:sz="4" w:space="0" w:color="auto"/>
              <w:right w:val="single" w:sz="4" w:space="0" w:color="auto"/>
            </w:tcBorders>
          </w:tcPr>
          <w:p w:rsidR="00211339" w:rsidRPr="00007908" w:rsidDel="00FB2C78" w:rsidRDefault="00211339" w:rsidP="00AF2C5C">
            <w:pPr>
              <w:rPr>
                <w:rFonts w:ascii="Arial" w:hAnsi="Arial" w:cs="Arial"/>
                <w:sz w:val="18"/>
                <w:szCs w:val="18"/>
                <w:lang w:val="es-ES_tradnl"/>
              </w:rPr>
            </w:pPr>
            <w:r w:rsidRPr="00007908">
              <w:rPr>
                <w:rFonts w:ascii="Arial" w:hAnsi="Arial" w:cs="Arial"/>
                <w:sz w:val="20"/>
                <w:szCs w:val="20"/>
                <w:lang w:val="es-ES_tradnl"/>
              </w:rPr>
              <w:t>Semestral y al final de la ejecución del Programa</w:t>
            </w:r>
          </w:p>
        </w:tc>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Informe de Bancomext sobre el programa. Se podrán verificar los valores a medida que se implemente el programa con información de la CRE y de la CFE.</w:t>
            </w:r>
          </w:p>
        </w:tc>
      </w:tr>
      <w:tr w:rsidR="00211339" w:rsidRPr="00007908" w:rsidTr="00007908">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bCs/>
                <w:sz w:val="18"/>
                <w:szCs w:val="18"/>
                <w:lang w:val="es-ES"/>
              </w:rPr>
            </w:pPr>
            <w:r w:rsidRPr="00007908">
              <w:rPr>
                <w:rFonts w:ascii="Arial" w:hAnsi="Arial" w:cs="Arial"/>
                <w:sz w:val="20"/>
                <w:szCs w:val="20"/>
                <w:lang w:val="es-ES_tradnl"/>
              </w:rPr>
              <w:t>Emisiones de gases de efecto invernadero evitadas y reducidas con los proyectos de ER financiados con recursos del programa</w:t>
            </w:r>
          </w:p>
        </w:tc>
        <w:tc>
          <w:tcPr>
            <w:tcW w:w="270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 xml:space="preserve">Calcula la reducción de emisiones en miles de T CO2e evitadas en base a la generación promedio anual de la nueva capacidad instalada  que se consigue con los proyectos financiados de ER y Cogeneración; </w:t>
            </w:r>
          </w:p>
        </w:tc>
        <w:tc>
          <w:tcPr>
            <w:tcW w:w="1530" w:type="dxa"/>
            <w:tcBorders>
              <w:top w:val="single" w:sz="4" w:space="0" w:color="auto"/>
              <w:left w:val="single" w:sz="4" w:space="0" w:color="auto"/>
              <w:bottom w:val="single" w:sz="4" w:space="0" w:color="auto"/>
              <w:right w:val="single" w:sz="4" w:space="0" w:color="auto"/>
            </w:tcBorders>
          </w:tcPr>
          <w:p w:rsidR="00211339" w:rsidRPr="00007908" w:rsidDel="00FB2C7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Anual y al final de la ejecución del programa</w:t>
            </w:r>
          </w:p>
        </w:tc>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18"/>
                <w:szCs w:val="18"/>
                <w:lang w:val="es-ES_tradnl"/>
              </w:rPr>
            </w:pPr>
            <w:r w:rsidRPr="00007908">
              <w:rPr>
                <w:rFonts w:ascii="Arial" w:hAnsi="Arial" w:cs="Arial"/>
                <w:sz w:val="20"/>
                <w:szCs w:val="20"/>
                <w:lang w:val="es-ES_tradnl"/>
              </w:rPr>
              <w:t>Informe de Bancomext sobre el programa e información oficial sobre los factores de conversión y emisiones de GEI de México para ER.</w:t>
            </w:r>
          </w:p>
        </w:tc>
      </w:tr>
      <w:tr w:rsidR="00211339" w:rsidRPr="00007908" w:rsidTr="0051689A">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Reducción de emisiones totales de GEI del sector energético.</w:t>
            </w:r>
          </w:p>
        </w:tc>
        <w:tc>
          <w:tcPr>
            <w:tcW w:w="2700" w:type="dxa"/>
            <w:tcBorders>
              <w:top w:val="single" w:sz="4" w:space="0" w:color="auto"/>
              <w:left w:val="single" w:sz="4" w:space="0" w:color="auto"/>
              <w:bottom w:val="single" w:sz="4" w:space="0" w:color="auto"/>
              <w:right w:val="single" w:sz="4" w:space="0" w:color="auto"/>
            </w:tcBorders>
          </w:tcPr>
          <w:p w:rsidR="00211339" w:rsidRPr="00007908" w:rsidRDefault="00211339" w:rsidP="00211339">
            <w:pPr>
              <w:autoSpaceDE w:val="0"/>
              <w:autoSpaceDN w:val="0"/>
              <w:adjustRightInd w:val="0"/>
              <w:rPr>
                <w:rFonts w:ascii="Arial" w:hAnsi="Arial" w:cs="Arial"/>
                <w:sz w:val="20"/>
                <w:szCs w:val="20"/>
                <w:lang w:val="es-ES_tradnl"/>
              </w:rPr>
            </w:pPr>
            <w:r w:rsidRPr="00007908">
              <w:rPr>
                <w:rFonts w:ascii="Arial" w:hAnsi="Arial" w:cs="Arial"/>
                <w:sz w:val="20"/>
                <w:szCs w:val="20"/>
                <w:lang w:val="es-ES_tradnl"/>
              </w:rPr>
              <w:t xml:space="preserve">Estimaciones del BID de la reducción de los GEI. La línea base se toma del Balance Nacional de Energía 2012. </w:t>
            </w:r>
          </w:p>
          <w:p w:rsidR="00211339" w:rsidRPr="00007908" w:rsidRDefault="00211339" w:rsidP="00007908">
            <w:pPr>
              <w:spacing w:before="60" w:after="60"/>
              <w:ind w:left="15"/>
              <w:rPr>
                <w:rFonts w:ascii="Arial" w:hAnsi="Arial" w:cs="Arial"/>
                <w:sz w:val="20"/>
                <w:szCs w:val="20"/>
                <w:lang w:val="es-ES_tradnl"/>
              </w:rPr>
            </w:pPr>
            <w:r w:rsidRPr="00007908">
              <w:rPr>
                <w:rFonts w:ascii="Arial" w:hAnsi="Arial" w:cs="Arial"/>
                <w:sz w:val="20"/>
                <w:szCs w:val="20"/>
                <w:lang w:val="es-ES_tradnl"/>
              </w:rPr>
              <w:t xml:space="preserve">Un Tg CO2e = un millón de toneladas de CO2 equivalentes. </w:t>
            </w:r>
          </w:p>
        </w:tc>
        <w:tc>
          <w:tcPr>
            <w:tcW w:w="1530" w:type="dxa"/>
            <w:tcBorders>
              <w:top w:val="single" w:sz="4" w:space="0" w:color="auto"/>
              <w:left w:val="single" w:sz="4" w:space="0" w:color="auto"/>
              <w:bottom w:val="single" w:sz="4" w:space="0" w:color="auto"/>
              <w:right w:val="single" w:sz="4" w:space="0" w:color="auto"/>
            </w:tcBorders>
          </w:tcPr>
          <w:p w:rsidR="00211339" w:rsidRPr="00007908" w:rsidRDefault="00CC015D"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Final de la ejecución del programa</w:t>
            </w:r>
          </w:p>
        </w:tc>
        <w:tc>
          <w:tcPr>
            <w:tcW w:w="1890" w:type="dxa"/>
            <w:tcBorders>
              <w:top w:val="single" w:sz="4" w:space="0" w:color="auto"/>
              <w:left w:val="single" w:sz="4" w:space="0" w:color="auto"/>
              <w:bottom w:val="single" w:sz="4" w:space="0" w:color="auto"/>
              <w:right w:val="single" w:sz="4" w:space="0" w:color="auto"/>
            </w:tcBorders>
          </w:tcPr>
          <w:p w:rsidR="00211339" w:rsidRPr="00007908" w:rsidRDefault="004540F0"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SENER, Balance Nacional de Energía o el Registro Nacional de Emisiones en caso de estar operando.</w:t>
            </w:r>
          </w:p>
        </w:tc>
      </w:tr>
      <w:tr w:rsidR="00211339" w:rsidRPr="00007908" w:rsidTr="0051689A">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Emisiones CO2 (kilogramos) por $1 PIB (PPP)</w:t>
            </w:r>
          </w:p>
        </w:tc>
        <w:tc>
          <w:tcPr>
            <w:tcW w:w="2700" w:type="dxa"/>
            <w:tcBorders>
              <w:top w:val="single" w:sz="4" w:space="0" w:color="auto"/>
              <w:left w:val="single" w:sz="4" w:space="0" w:color="auto"/>
              <w:bottom w:val="single" w:sz="4" w:space="0" w:color="auto"/>
              <w:right w:val="single" w:sz="4" w:space="0" w:color="auto"/>
            </w:tcBorders>
          </w:tcPr>
          <w:p w:rsidR="00211339" w:rsidRPr="00007908" w:rsidRDefault="00211339" w:rsidP="00211339">
            <w:pPr>
              <w:autoSpaceDE w:val="0"/>
              <w:autoSpaceDN w:val="0"/>
              <w:adjustRightInd w:val="0"/>
              <w:rPr>
                <w:rFonts w:ascii="Arial" w:hAnsi="Arial" w:cs="Arial"/>
                <w:sz w:val="20"/>
                <w:szCs w:val="20"/>
                <w:lang w:val="es-ES_tradnl"/>
              </w:rPr>
            </w:pPr>
            <w:r w:rsidRPr="00007908">
              <w:rPr>
                <w:rFonts w:ascii="Arial" w:hAnsi="Arial" w:cs="Arial"/>
                <w:sz w:val="20"/>
                <w:szCs w:val="20"/>
                <w:lang w:val="es-ES_tradnl"/>
              </w:rPr>
              <w:t xml:space="preserve">Este indicador se alinea con los “Indicadores Regionales de Desarrollo” del Banco. </w:t>
            </w:r>
          </w:p>
          <w:p w:rsidR="00211339" w:rsidRPr="00007908" w:rsidRDefault="00211339" w:rsidP="00211339">
            <w:pPr>
              <w:autoSpaceDE w:val="0"/>
              <w:autoSpaceDN w:val="0"/>
              <w:adjustRightInd w:val="0"/>
              <w:rPr>
                <w:rFonts w:ascii="Arial" w:hAnsi="Arial" w:cs="Arial"/>
                <w:sz w:val="20"/>
                <w:szCs w:val="20"/>
                <w:lang w:val="es-ES_tradnl"/>
              </w:rPr>
            </w:pPr>
            <w:r w:rsidRPr="00007908">
              <w:rPr>
                <w:rFonts w:ascii="Arial" w:hAnsi="Arial" w:cs="Arial"/>
                <w:sz w:val="20"/>
                <w:szCs w:val="20"/>
                <w:lang w:val="es-ES_tradnl"/>
              </w:rPr>
              <w:t>El año base consiste en las emisiones de CO2 según la Agencia Internacional de Energía (</w:t>
            </w:r>
            <w:hyperlink r:id="rId16" w:history="1">
              <w:r w:rsidRPr="00007908">
                <w:rPr>
                  <w:rFonts w:ascii="Arial" w:hAnsi="Arial" w:cs="Arial"/>
                  <w:lang w:val="es-ES_tradnl"/>
                </w:rPr>
                <w:t>453.8 MtCO2</w:t>
              </w:r>
            </w:hyperlink>
            <w:r w:rsidRPr="00007908">
              <w:rPr>
                <w:rFonts w:ascii="Arial" w:hAnsi="Arial" w:cs="Arial"/>
                <w:sz w:val="20"/>
                <w:szCs w:val="20"/>
                <w:lang w:val="es-ES_tradnl"/>
              </w:rPr>
              <w:t xml:space="preserve">) dividido entre el PIB (PPP) de México según el </w:t>
            </w:r>
            <w:hyperlink r:id="rId17" w:history="1">
              <w:r w:rsidRPr="00007908">
                <w:rPr>
                  <w:rFonts w:ascii="Arial" w:hAnsi="Arial" w:cs="Arial"/>
                  <w:lang w:val="es-ES_tradnl"/>
                </w:rPr>
                <w:t>Banco Mundial</w:t>
              </w:r>
            </w:hyperlink>
            <w:r w:rsidRPr="00007908">
              <w:rPr>
                <w:rFonts w:ascii="Arial" w:hAnsi="Arial" w:cs="Arial"/>
                <w:sz w:val="20"/>
                <w:szCs w:val="20"/>
                <w:lang w:val="es-ES_tradnl"/>
              </w:rPr>
              <w:t xml:space="preserve"> en 2014.</w:t>
            </w:r>
          </w:p>
          <w:p w:rsidR="00211339" w:rsidRPr="00007908" w:rsidRDefault="00211339" w:rsidP="00007908">
            <w:pPr>
              <w:autoSpaceDE w:val="0"/>
              <w:autoSpaceDN w:val="0"/>
              <w:adjustRightInd w:val="0"/>
              <w:rPr>
                <w:rFonts w:ascii="Arial" w:hAnsi="Arial" w:cs="Arial"/>
                <w:sz w:val="20"/>
                <w:szCs w:val="20"/>
                <w:lang w:val="es-ES_tradnl"/>
              </w:rPr>
            </w:pPr>
            <w:r w:rsidRPr="00007908">
              <w:rPr>
                <w:rFonts w:ascii="Arial" w:hAnsi="Arial" w:cs="Arial"/>
                <w:sz w:val="20"/>
                <w:szCs w:val="20"/>
                <w:lang w:val="es-ES_tradnl"/>
              </w:rPr>
              <w:t xml:space="preserve">La meta está calculada en base al documento </w:t>
            </w:r>
            <w:hyperlink r:id="rId18" w:history="1">
              <w:r w:rsidRPr="00007908">
                <w:rPr>
                  <w:rFonts w:ascii="Arial" w:hAnsi="Arial" w:cs="Arial"/>
                  <w:lang w:val="es-ES_tradnl"/>
                </w:rPr>
                <w:t>Intended Nationally Determined Contribution</w:t>
              </w:r>
            </w:hyperlink>
            <w:r w:rsidRPr="00007908">
              <w:rPr>
                <w:rFonts w:ascii="Arial" w:hAnsi="Arial" w:cs="Arial"/>
                <w:sz w:val="20"/>
                <w:szCs w:val="20"/>
                <w:lang w:val="es-ES_tradnl"/>
              </w:rPr>
              <w:t xml:space="preserve"> por el cual México se comprometió en marzo de 2015 a reducir sus emisiones de gases de efecto invernadero un 22% en el año 2030. </w:t>
            </w:r>
          </w:p>
        </w:tc>
        <w:tc>
          <w:tcPr>
            <w:tcW w:w="1530" w:type="dxa"/>
            <w:tcBorders>
              <w:top w:val="single" w:sz="4" w:space="0" w:color="auto"/>
              <w:left w:val="single" w:sz="4" w:space="0" w:color="auto"/>
              <w:bottom w:val="single" w:sz="4" w:space="0" w:color="auto"/>
              <w:right w:val="single" w:sz="4" w:space="0" w:color="auto"/>
            </w:tcBorders>
          </w:tcPr>
          <w:p w:rsidR="00211339" w:rsidRPr="00007908" w:rsidRDefault="00CC015D"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Final de la ejecución del programa</w:t>
            </w:r>
          </w:p>
        </w:tc>
        <w:tc>
          <w:tcPr>
            <w:tcW w:w="1890" w:type="dxa"/>
            <w:tcBorders>
              <w:top w:val="single" w:sz="4" w:space="0" w:color="auto"/>
              <w:left w:val="single" w:sz="4" w:space="0" w:color="auto"/>
              <w:bottom w:val="single" w:sz="4" w:space="0" w:color="auto"/>
              <w:right w:val="single" w:sz="4" w:space="0" w:color="auto"/>
            </w:tcBorders>
          </w:tcPr>
          <w:p w:rsidR="00211339" w:rsidRPr="00007908" w:rsidRDefault="004540F0"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Estimación en base a los datos publicados por la Agencia Internacional de la Energía y el Banco Mundial.</w:t>
            </w:r>
          </w:p>
        </w:tc>
      </w:tr>
      <w:tr w:rsidR="00211339" w:rsidRPr="00007908" w:rsidTr="0051689A">
        <w:tc>
          <w:tcPr>
            <w:tcW w:w="1890" w:type="dxa"/>
            <w:tcBorders>
              <w:top w:val="single" w:sz="4" w:space="0" w:color="auto"/>
              <w:left w:val="single" w:sz="4" w:space="0" w:color="auto"/>
              <w:bottom w:val="single" w:sz="4" w:space="0" w:color="auto"/>
              <w:right w:val="single" w:sz="4" w:space="0" w:color="auto"/>
            </w:tcBorders>
          </w:tcPr>
          <w:p w:rsidR="00211339" w:rsidRPr="00007908" w:rsidRDefault="00211339"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Reducción en la intensidad energética</w:t>
            </w:r>
          </w:p>
        </w:tc>
        <w:tc>
          <w:tcPr>
            <w:tcW w:w="2700" w:type="dxa"/>
            <w:tcBorders>
              <w:top w:val="single" w:sz="4" w:space="0" w:color="auto"/>
              <w:left w:val="single" w:sz="4" w:space="0" w:color="auto"/>
              <w:bottom w:val="single" w:sz="4" w:space="0" w:color="auto"/>
              <w:right w:val="single" w:sz="4" w:space="0" w:color="auto"/>
            </w:tcBorders>
          </w:tcPr>
          <w:p w:rsidR="00211339" w:rsidRPr="00007908" w:rsidRDefault="00211339" w:rsidP="00007908">
            <w:pPr>
              <w:autoSpaceDE w:val="0"/>
              <w:autoSpaceDN w:val="0"/>
              <w:adjustRightInd w:val="0"/>
              <w:rPr>
                <w:rFonts w:ascii="Arial" w:hAnsi="Arial" w:cs="Arial"/>
                <w:sz w:val="20"/>
                <w:szCs w:val="20"/>
                <w:lang w:val="es-ES_tradnl"/>
              </w:rPr>
            </w:pPr>
            <w:r w:rsidRPr="00007908">
              <w:rPr>
                <w:rFonts w:ascii="Arial" w:hAnsi="Arial" w:cs="Arial"/>
                <w:sz w:val="20"/>
                <w:szCs w:val="20"/>
                <w:lang w:val="es-ES_tradnl"/>
              </w:rPr>
              <w:t xml:space="preserve">Mide la cantidad de energía requerida para producir un MXP de Producto Interno Bruto. Sistema de Información Energética 2013. </w:t>
            </w:r>
          </w:p>
        </w:tc>
        <w:tc>
          <w:tcPr>
            <w:tcW w:w="1530" w:type="dxa"/>
            <w:tcBorders>
              <w:top w:val="single" w:sz="4" w:space="0" w:color="auto"/>
              <w:left w:val="single" w:sz="4" w:space="0" w:color="auto"/>
              <w:bottom w:val="single" w:sz="4" w:space="0" w:color="auto"/>
              <w:right w:val="single" w:sz="4" w:space="0" w:color="auto"/>
            </w:tcBorders>
          </w:tcPr>
          <w:p w:rsidR="00211339" w:rsidRPr="00007908" w:rsidRDefault="00CC015D"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Final de la ejecución del programa</w:t>
            </w:r>
          </w:p>
        </w:tc>
        <w:tc>
          <w:tcPr>
            <w:tcW w:w="1890" w:type="dxa"/>
            <w:tcBorders>
              <w:top w:val="single" w:sz="4" w:space="0" w:color="auto"/>
              <w:left w:val="single" w:sz="4" w:space="0" w:color="auto"/>
              <w:bottom w:val="single" w:sz="4" w:space="0" w:color="auto"/>
              <w:right w:val="single" w:sz="4" w:space="0" w:color="auto"/>
            </w:tcBorders>
          </w:tcPr>
          <w:p w:rsidR="00211339" w:rsidRPr="00007908" w:rsidRDefault="004540F0" w:rsidP="00AF2C5C">
            <w:pPr>
              <w:spacing w:before="60" w:after="60" w:line="240" w:lineRule="auto"/>
              <w:rPr>
                <w:rFonts w:ascii="Arial" w:hAnsi="Arial" w:cs="Arial"/>
                <w:sz w:val="20"/>
                <w:szCs w:val="20"/>
                <w:lang w:val="es-ES_tradnl"/>
              </w:rPr>
            </w:pPr>
            <w:r w:rsidRPr="00007908">
              <w:rPr>
                <w:rFonts w:ascii="Arial" w:hAnsi="Arial" w:cs="Arial"/>
                <w:sz w:val="20"/>
                <w:szCs w:val="20"/>
                <w:lang w:val="es-ES_tradnl"/>
              </w:rPr>
              <w:t>Estimación en base a datos de Fondo Monetario Internacional, SENER y Balance Nacional de Energía. También se utilizará el Sistema de Información Energética de la SENER</w:t>
            </w:r>
          </w:p>
        </w:tc>
      </w:tr>
    </w:tbl>
    <w:p w:rsidR="00DB5DCB" w:rsidRPr="00F618D2" w:rsidRDefault="00DB5DCB" w:rsidP="00857F62">
      <w:pPr>
        <w:pStyle w:val="FirstHeading"/>
        <w:numPr>
          <w:ilvl w:val="0"/>
          <w:numId w:val="0"/>
        </w:numPr>
        <w:rPr>
          <w:rFonts w:ascii="Arial" w:hAnsi="Arial" w:cs="Arial"/>
          <w:noProof/>
          <w:sz w:val="22"/>
          <w:szCs w:val="22"/>
          <w:lang w:val="es-ES_tradnl"/>
        </w:rPr>
      </w:pPr>
      <w:bookmarkStart w:id="31" w:name="_Toc300318312"/>
    </w:p>
    <w:p w:rsidR="00051B6C" w:rsidRPr="00F618D2" w:rsidRDefault="00051B6C" w:rsidP="00051B6C">
      <w:pPr>
        <w:pStyle w:val="FirstHeading"/>
        <w:ind w:left="720"/>
        <w:rPr>
          <w:rFonts w:ascii="Arial" w:hAnsi="Arial" w:cs="Arial"/>
          <w:noProof/>
          <w:sz w:val="22"/>
          <w:szCs w:val="22"/>
          <w:lang w:val="es-ES_tradnl"/>
        </w:rPr>
      </w:pPr>
      <w:r w:rsidRPr="00F618D2">
        <w:rPr>
          <w:rFonts w:ascii="Arial" w:hAnsi="Arial" w:cs="Arial"/>
          <w:noProof/>
          <w:sz w:val="22"/>
          <w:szCs w:val="22"/>
          <w:lang w:val="es-ES_tradnl"/>
        </w:rPr>
        <w:fldChar w:fldCharType="begin"/>
      </w:r>
      <w:r w:rsidRPr="00F618D2">
        <w:rPr>
          <w:rFonts w:ascii="Arial" w:hAnsi="Arial" w:cs="Arial"/>
          <w:noProof/>
          <w:sz w:val="22"/>
          <w:szCs w:val="22"/>
          <w:lang w:val="es-ES_tradnl"/>
        </w:rPr>
        <w:instrText xml:space="preserve"> SEQ "</w:instrText>
      </w:r>
      <w:r w:rsidRPr="00F618D2">
        <w:rPr>
          <w:rFonts w:ascii="Arial" w:hAnsi="Arial" w:cs="Arial"/>
          <w:noProof/>
          <w:sz w:val="22"/>
          <w:szCs w:val="22"/>
          <w:lang w:val="es-ES_tradnl"/>
        </w:rPr>
        <w:fldChar w:fldCharType="begin"/>
      </w:r>
      <w:r w:rsidRPr="00F618D2">
        <w:rPr>
          <w:rFonts w:ascii="Arial" w:hAnsi="Arial" w:cs="Arial"/>
          <w:noProof/>
          <w:sz w:val="22"/>
          <w:szCs w:val="22"/>
          <w:lang w:val="es-ES_tradnl"/>
        </w:rPr>
        <w:instrText xml:space="preserve"> SECTION  \* MERGEFORMAT </w:instrText>
      </w:r>
      <w:r w:rsidRPr="00F618D2">
        <w:rPr>
          <w:rFonts w:ascii="Arial" w:hAnsi="Arial" w:cs="Arial"/>
          <w:noProof/>
          <w:sz w:val="22"/>
          <w:szCs w:val="22"/>
          <w:lang w:val="es-ES_tradnl"/>
        </w:rPr>
        <w:fldChar w:fldCharType="separate"/>
      </w:r>
      <w:r w:rsidRPr="00F618D2">
        <w:rPr>
          <w:rFonts w:ascii="Arial" w:hAnsi="Arial" w:cs="Arial"/>
          <w:noProof/>
          <w:sz w:val="22"/>
          <w:szCs w:val="22"/>
          <w:lang w:val="es-ES_tradnl"/>
        </w:rPr>
        <w:instrText>4</w:instrText>
      </w:r>
      <w:r w:rsidRPr="00F618D2">
        <w:rPr>
          <w:rFonts w:ascii="Arial" w:hAnsi="Arial" w:cs="Arial"/>
          <w:noProof/>
          <w:sz w:val="22"/>
          <w:szCs w:val="22"/>
          <w:lang w:val="es-ES_tradnl"/>
        </w:rPr>
        <w:fldChar w:fldCharType="end"/>
      </w:r>
      <w:r w:rsidRPr="00F618D2">
        <w:rPr>
          <w:rFonts w:ascii="Arial" w:hAnsi="Arial" w:cs="Arial"/>
          <w:noProof/>
          <w:sz w:val="22"/>
          <w:szCs w:val="22"/>
          <w:lang w:val="es-ES_tradnl"/>
        </w:rPr>
        <w:instrText xml:space="preserve">#"\* ALPHABETIC \* MERGEFORMAT </w:instrText>
      </w:r>
      <w:r w:rsidRPr="00F618D2">
        <w:rPr>
          <w:rFonts w:ascii="Arial" w:hAnsi="Arial" w:cs="Arial"/>
          <w:noProof/>
          <w:sz w:val="22"/>
          <w:szCs w:val="22"/>
          <w:lang w:val="es-ES_tradnl"/>
        </w:rPr>
        <w:fldChar w:fldCharType="separate"/>
      </w:r>
      <w:bookmarkStart w:id="32" w:name="_Toc331167643"/>
      <w:bookmarkStart w:id="33" w:name="_Toc419987570"/>
      <w:r w:rsidRPr="00F618D2">
        <w:rPr>
          <w:rFonts w:ascii="Arial" w:hAnsi="Arial" w:cs="Arial"/>
          <w:noProof/>
          <w:sz w:val="22"/>
          <w:szCs w:val="22"/>
          <w:lang w:val="es-ES_tradnl"/>
        </w:rPr>
        <w:t>D</w:t>
      </w:r>
      <w:r w:rsidRPr="00F618D2">
        <w:rPr>
          <w:rFonts w:ascii="Arial" w:hAnsi="Arial" w:cs="Arial"/>
          <w:noProof/>
          <w:sz w:val="22"/>
          <w:szCs w:val="22"/>
          <w:lang w:val="es-ES_tradnl"/>
        </w:rPr>
        <w:fldChar w:fldCharType="end"/>
      </w:r>
      <w:r w:rsidRPr="00F618D2">
        <w:rPr>
          <w:rFonts w:ascii="Arial" w:hAnsi="Arial" w:cs="Arial"/>
          <w:noProof/>
          <w:sz w:val="22"/>
          <w:szCs w:val="22"/>
          <w:lang w:val="es-ES_tradnl"/>
        </w:rPr>
        <w:t>.</w:t>
      </w:r>
      <w:r w:rsidRPr="00F618D2">
        <w:rPr>
          <w:rFonts w:ascii="Arial" w:hAnsi="Arial" w:cs="Arial"/>
          <w:noProof/>
          <w:sz w:val="22"/>
          <w:szCs w:val="22"/>
          <w:lang w:val="es-ES_tradnl"/>
        </w:rPr>
        <w:tab/>
        <w:t xml:space="preserve">Metodología de la </w:t>
      </w:r>
      <w:r w:rsidR="00AF2C5C" w:rsidRPr="00F618D2">
        <w:rPr>
          <w:rFonts w:ascii="Arial" w:hAnsi="Arial" w:cs="Arial"/>
          <w:noProof/>
          <w:sz w:val="22"/>
          <w:szCs w:val="22"/>
          <w:lang w:val="es-ES_tradnl"/>
        </w:rPr>
        <w:t>E</w:t>
      </w:r>
      <w:r w:rsidRPr="00F618D2">
        <w:rPr>
          <w:rFonts w:ascii="Arial" w:hAnsi="Arial" w:cs="Arial"/>
          <w:noProof/>
          <w:sz w:val="22"/>
          <w:szCs w:val="22"/>
          <w:lang w:val="es-ES_tradnl"/>
        </w:rPr>
        <w:t>valuación</w:t>
      </w:r>
      <w:bookmarkEnd w:id="31"/>
      <w:bookmarkEnd w:id="32"/>
      <w:bookmarkEnd w:id="33"/>
      <w:r w:rsidRPr="00F618D2">
        <w:rPr>
          <w:rFonts w:ascii="Arial" w:hAnsi="Arial" w:cs="Arial"/>
          <w:noProof/>
          <w:sz w:val="22"/>
          <w:szCs w:val="22"/>
          <w:lang w:val="es-ES_tradnl"/>
        </w:rPr>
        <w:t xml:space="preserve"> </w:t>
      </w:r>
    </w:p>
    <w:p w:rsidR="00BE0B15" w:rsidRPr="00F618D2" w:rsidRDefault="00666830" w:rsidP="007C48A4">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La evaluación del programa </w:t>
      </w:r>
      <w:r w:rsidR="00BF3FC4" w:rsidRPr="00F618D2">
        <w:rPr>
          <w:rFonts w:ascii="Arial" w:hAnsi="Arial" w:cs="Arial"/>
          <w:sz w:val="22"/>
          <w:szCs w:val="22"/>
          <w:lang w:val="es-ES_tradnl"/>
        </w:rPr>
        <w:t xml:space="preserve">medirá </w:t>
      </w:r>
      <w:r w:rsidRPr="00F618D2">
        <w:rPr>
          <w:rFonts w:ascii="Arial" w:hAnsi="Arial" w:cs="Arial"/>
          <w:sz w:val="22"/>
          <w:szCs w:val="22"/>
          <w:lang w:val="es-ES_tradnl"/>
        </w:rPr>
        <w:t>el impacto de los créditos otorgados para proyectos de inve</w:t>
      </w:r>
      <w:bookmarkStart w:id="34" w:name="_GoBack"/>
      <w:bookmarkEnd w:id="34"/>
      <w:r w:rsidRPr="00F618D2">
        <w:rPr>
          <w:rFonts w:ascii="Arial" w:hAnsi="Arial" w:cs="Arial"/>
          <w:sz w:val="22"/>
          <w:szCs w:val="22"/>
          <w:lang w:val="es-ES_tradnl"/>
        </w:rPr>
        <w:t xml:space="preserve">rsión elegibles en energías renovables y cogeneración. </w:t>
      </w:r>
    </w:p>
    <w:p w:rsidR="00C0023C" w:rsidRPr="00F618D2" w:rsidRDefault="004B36F0" w:rsidP="00666830">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La evaluación p</w:t>
      </w:r>
      <w:r w:rsidR="00C10762" w:rsidRPr="00F618D2">
        <w:rPr>
          <w:rFonts w:ascii="Arial" w:hAnsi="Arial" w:cs="Arial"/>
          <w:sz w:val="22"/>
          <w:szCs w:val="22"/>
          <w:lang w:val="es-ES"/>
        </w:rPr>
        <w:t xml:space="preserve">lantea </w:t>
      </w:r>
      <w:r w:rsidR="00395BE4" w:rsidRPr="00F618D2">
        <w:rPr>
          <w:rFonts w:ascii="Arial" w:hAnsi="Arial" w:cs="Arial"/>
          <w:sz w:val="22"/>
          <w:szCs w:val="22"/>
          <w:lang w:val="es-ES"/>
        </w:rPr>
        <w:t>desarrollar un indicador de dobles diferencias construyendo un contrafactual con información secundaria publicada por la CFE</w:t>
      </w:r>
      <w:r w:rsidR="00C10762" w:rsidRPr="00F618D2">
        <w:rPr>
          <w:rFonts w:ascii="Arial" w:hAnsi="Arial" w:cs="Arial"/>
          <w:sz w:val="22"/>
          <w:szCs w:val="22"/>
          <w:lang w:val="es-ES"/>
        </w:rPr>
        <w:t xml:space="preserve">. </w:t>
      </w:r>
      <w:r w:rsidR="00BB525A" w:rsidRPr="00F618D2">
        <w:rPr>
          <w:rFonts w:ascii="Arial" w:hAnsi="Arial" w:cs="Arial"/>
          <w:sz w:val="22"/>
          <w:szCs w:val="22"/>
          <w:lang w:val="es-ES_tradnl"/>
        </w:rPr>
        <w:t>Se propone esta metodología por el número reducido de proyectos que  impediría construir un escenario contrafactual a un costo razonable a través de métodos experimentales o cuasi-experimentales. Adicionalmente, el documento</w:t>
      </w:r>
      <w:r w:rsidR="00CB3921" w:rsidRPr="00F618D2">
        <w:rPr>
          <w:rFonts w:ascii="Arial" w:hAnsi="Arial" w:cs="Arial"/>
          <w:sz w:val="22"/>
          <w:szCs w:val="22"/>
          <w:lang w:val="es-ES_tradnl"/>
        </w:rPr>
        <w:t xml:space="preserve"> “Programa de Obras e Inversiones del Sector Eléctrico 2014-2028”</w:t>
      </w:r>
      <w:r w:rsidR="00BB525A" w:rsidRPr="00F618D2">
        <w:rPr>
          <w:rStyle w:val="FootnoteReference"/>
          <w:rFonts w:ascii="Arial" w:hAnsi="Arial" w:cs="Arial"/>
          <w:sz w:val="22"/>
          <w:szCs w:val="22"/>
          <w:lang w:val="es-ES_tradnl"/>
        </w:rPr>
        <w:footnoteReference w:id="6"/>
      </w:r>
      <w:r w:rsidR="00BB525A" w:rsidRPr="00F618D2">
        <w:rPr>
          <w:rFonts w:ascii="Arial" w:hAnsi="Arial" w:cs="Arial"/>
          <w:sz w:val="22"/>
          <w:szCs w:val="22"/>
          <w:lang w:val="es-ES_tradnl"/>
        </w:rPr>
        <w:t xml:space="preserve"> es un documento validado y publicado por la propia Comisión Federal de Electricidad y presenta información </w:t>
      </w:r>
      <w:r w:rsidR="0051689A" w:rsidRPr="00F618D2">
        <w:rPr>
          <w:rFonts w:ascii="Arial" w:hAnsi="Arial" w:cs="Arial"/>
          <w:sz w:val="22"/>
          <w:szCs w:val="22"/>
          <w:lang w:val="es-ES_tradnl"/>
        </w:rPr>
        <w:t xml:space="preserve">de cada una de las plantas lo que </w:t>
      </w:r>
      <w:r w:rsidR="00BB525A" w:rsidRPr="00F618D2">
        <w:rPr>
          <w:rFonts w:ascii="Arial" w:hAnsi="Arial" w:cs="Arial"/>
          <w:sz w:val="22"/>
          <w:szCs w:val="22"/>
          <w:lang w:val="es-ES_tradnl"/>
        </w:rPr>
        <w:t xml:space="preserve">permite evaluar la rentabilidad </w:t>
      </w:r>
      <w:r w:rsidR="00BC0528" w:rsidRPr="00F618D2">
        <w:rPr>
          <w:rFonts w:ascii="Arial" w:hAnsi="Arial" w:cs="Arial"/>
          <w:sz w:val="22"/>
          <w:szCs w:val="22"/>
          <w:lang w:val="es-ES_tradnl"/>
        </w:rPr>
        <w:t>típica de este</w:t>
      </w:r>
      <w:r w:rsidR="00BB525A" w:rsidRPr="00F618D2">
        <w:rPr>
          <w:rFonts w:ascii="Arial" w:hAnsi="Arial" w:cs="Arial"/>
          <w:sz w:val="22"/>
          <w:szCs w:val="22"/>
          <w:lang w:val="es-ES_tradnl"/>
        </w:rPr>
        <w:t xml:space="preserve"> tipo de proyectos. Para </w:t>
      </w:r>
      <w:r w:rsidR="00BC0528" w:rsidRPr="00F618D2">
        <w:rPr>
          <w:rFonts w:ascii="Arial" w:hAnsi="Arial" w:cs="Arial"/>
          <w:sz w:val="22"/>
          <w:szCs w:val="22"/>
          <w:lang w:val="es-ES_tradnl"/>
        </w:rPr>
        <w:t xml:space="preserve">esta </w:t>
      </w:r>
      <w:r w:rsidR="00BB525A" w:rsidRPr="00F618D2">
        <w:rPr>
          <w:rFonts w:ascii="Arial" w:hAnsi="Arial" w:cs="Arial"/>
          <w:sz w:val="22"/>
          <w:szCs w:val="22"/>
          <w:lang w:val="es-ES_tradnl"/>
        </w:rPr>
        <w:t>evaluación se propone establecer cuatro puntos de comparación para un indicador de dobles diferencias. Este indicador se construirá con los valores de la situación con proyecto antes (</w:t>
      </w:r>
      <m:oMath>
        <m:sSubSup>
          <m:sSubSupPr>
            <m:ctrlPr>
              <w:rPr>
                <w:rFonts w:ascii="Cambria Math" w:hAnsi="Cambria Math" w:cs="Arial"/>
                <w:i/>
                <w:sz w:val="22"/>
                <w:szCs w:val="22"/>
                <w:lang w:val="es-ES_tradnl"/>
              </w:rPr>
            </m:ctrlPr>
          </m:sSubSupPr>
          <m:e>
            <m:r>
              <w:rPr>
                <w:rFonts w:ascii="Cambria Math" w:hAnsi="Cambria Math" w:cs="Arial"/>
                <w:sz w:val="22"/>
                <w:szCs w:val="22"/>
                <w:lang w:val="es-ES_tradnl"/>
              </w:rPr>
              <m:t>Y</m:t>
            </m:r>
          </m:e>
          <m:sub>
            <m:r>
              <w:rPr>
                <w:rFonts w:ascii="Cambria Math" w:hAnsi="Cambria Math" w:cs="Arial"/>
                <w:sz w:val="22"/>
                <w:szCs w:val="22"/>
                <w:lang w:val="es-ES_tradnl"/>
              </w:rPr>
              <m:t>0</m:t>
            </m:r>
          </m:sub>
          <m:sup>
            <m:r>
              <w:rPr>
                <w:rFonts w:ascii="Cambria Math" w:hAnsi="Cambria Math" w:cs="Arial"/>
                <w:sz w:val="22"/>
                <w:szCs w:val="22"/>
                <w:lang w:val="es-ES_tradnl"/>
              </w:rPr>
              <m:t>T</m:t>
            </m:r>
          </m:sup>
        </m:sSubSup>
      </m:oMath>
      <w:r w:rsidR="00BB525A" w:rsidRPr="00F618D2">
        <w:rPr>
          <w:rFonts w:ascii="Arial" w:hAnsi="Arial" w:cs="Arial"/>
          <w:sz w:val="22"/>
          <w:szCs w:val="22"/>
          <w:lang w:val="es-ES_tradnl"/>
        </w:rPr>
        <w:t>) y después (</w:t>
      </w:r>
      <m:oMath>
        <m:sSubSup>
          <m:sSubSupPr>
            <m:ctrlPr>
              <w:rPr>
                <w:rFonts w:ascii="Cambria Math" w:hAnsi="Cambria Math" w:cs="Arial"/>
                <w:i/>
                <w:sz w:val="22"/>
                <w:szCs w:val="22"/>
                <w:lang w:val="es-ES_tradnl"/>
              </w:rPr>
            </m:ctrlPr>
          </m:sSubSupPr>
          <m:e>
            <m:r>
              <w:rPr>
                <w:rFonts w:ascii="Cambria Math" w:hAnsi="Cambria Math" w:cs="Arial"/>
                <w:sz w:val="22"/>
                <w:szCs w:val="22"/>
                <w:lang w:val="es-ES_tradnl"/>
              </w:rPr>
              <m:t>Y</m:t>
            </m:r>
          </m:e>
          <m:sub>
            <m:r>
              <w:rPr>
                <w:rFonts w:ascii="Cambria Math" w:hAnsi="Cambria Math" w:cs="Arial"/>
                <w:sz w:val="22"/>
                <w:szCs w:val="22"/>
                <w:lang w:val="es-ES_tradnl"/>
              </w:rPr>
              <m:t>1</m:t>
            </m:r>
          </m:sub>
          <m:sup>
            <m:r>
              <w:rPr>
                <w:rFonts w:ascii="Cambria Math" w:hAnsi="Cambria Math" w:cs="Arial"/>
                <w:sz w:val="22"/>
                <w:szCs w:val="22"/>
                <w:lang w:val="es-ES_tradnl"/>
              </w:rPr>
              <m:t>T</m:t>
            </m:r>
          </m:sup>
        </m:sSubSup>
      </m:oMath>
      <w:r w:rsidR="00BB525A" w:rsidRPr="00F618D2">
        <w:rPr>
          <w:rFonts w:ascii="Arial" w:hAnsi="Arial" w:cs="Arial"/>
          <w:sz w:val="22"/>
          <w:szCs w:val="22"/>
          <w:lang w:val="es-ES_tradnl"/>
        </w:rPr>
        <w:t>) y de la situación sin proyecto antes (</w:t>
      </w:r>
      <m:oMath>
        <m:sSubSup>
          <m:sSubSupPr>
            <m:ctrlPr>
              <w:rPr>
                <w:rFonts w:ascii="Cambria Math" w:hAnsi="Cambria Math" w:cs="Arial"/>
                <w:i/>
                <w:sz w:val="22"/>
                <w:szCs w:val="22"/>
                <w:lang w:val="es-ES_tradnl"/>
              </w:rPr>
            </m:ctrlPr>
          </m:sSubSupPr>
          <m:e>
            <m:r>
              <w:rPr>
                <w:rFonts w:ascii="Cambria Math" w:hAnsi="Cambria Math" w:cs="Arial"/>
                <w:sz w:val="22"/>
                <w:szCs w:val="22"/>
                <w:lang w:val="es-ES_tradnl"/>
              </w:rPr>
              <m:t>Y</m:t>
            </m:r>
          </m:e>
          <m:sub>
            <m:r>
              <w:rPr>
                <w:rFonts w:ascii="Cambria Math" w:hAnsi="Cambria Math" w:cs="Arial"/>
                <w:sz w:val="22"/>
                <w:szCs w:val="22"/>
                <w:lang w:val="es-ES_tradnl"/>
              </w:rPr>
              <m:t>0</m:t>
            </m:r>
          </m:sub>
          <m:sup>
            <m:r>
              <w:rPr>
                <w:rFonts w:ascii="Cambria Math" w:hAnsi="Cambria Math" w:cs="Arial"/>
                <w:sz w:val="22"/>
                <w:szCs w:val="22"/>
                <w:lang w:val="es-ES_tradnl"/>
              </w:rPr>
              <m:t>C</m:t>
            </m:r>
          </m:sup>
        </m:sSubSup>
        <m:r>
          <w:rPr>
            <w:rFonts w:ascii="Cambria Math" w:hAnsi="Cambria Math" w:cs="Arial"/>
            <w:sz w:val="22"/>
            <w:szCs w:val="22"/>
            <w:lang w:val="es-ES_tradnl"/>
          </w:rPr>
          <m:t>)</m:t>
        </m:r>
      </m:oMath>
      <w:r w:rsidR="00BB525A" w:rsidRPr="00F618D2">
        <w:rPr>
          <w:rFonts w:ascii="Arial" w:hAnsi="Arial" w:cs="Arial"/>
          <w:sz w:val="22"/>
          <w:szCs w:val="22"/>
          <w:lang w:val="es-ES_tradnl"/>
        </w:rPr>
        <w:t xml:space="preserve"> y después (</w:t>
      </w:r>
      <m:oMath>
        <m:sSubSup>
          <m:sSubSupPr>
            <m:ctrlPr>
              <w:rPr>
                <w:rFonts w:ascii="Cambria Math" w:hAnsi="Cambria Math" w:cs="Arial"/>
                <w:i/>
                <w:sz w:val="22"/>
                <w:szCs w:val="22"/>
                <w:lang w:val="es-ES_tradnl"/>
              </w:rPr>
            </m:ctrlPr>
          </m:sSubSupPr>
          <m:e>
            <m:r>
              <w:rPr>
                <w:rFonts w:ascii="Cambria Math" w:hAnsi="Cambria Math" w:cs="Arial"/>
                <w:sz w:val="22"/>
                <w:szCs w:val="22"/>
                <w:lang w:val="es-ES_tradnl"/>
              </w:rPr>
              <m:t>Y</m:t>
            </m:r>
          </m:e>
          <m:sub>
            <m:r>
              <w:rPr>
                <w:rFonts w:ascii="Cambria Math" w:hAnsi="Cambria Math" w:cs="Arial"/>
                <w:sz w:val="22"/>
                <w:szCs w:val="22"/>
                <w:lang w:val="es-ES_tradnl"/>
              </w:rPr>
              <m:t>1</m:t>
            </m:r>
          </m:sub>
          <m:sup>
            <m:r>
              <w:rPr>
                <w:rFonts w:ascii="Cambria Math" w:hAnsi="Cambria Math" w:cs="Arial"/>
                <w:sz w:val="22"/>
                <w:szCs w:val="22"/>
                <w:lang w:val="es-ES_tradnl"/>
              </w:rPr>
              <m:t>C</m:t>
            </m:r>
          </m:sup>
        </m:sSubSup>
      </m:oMath>
      <w:r w:rsidR="00BB525A" w:rsidRPr="00F618D2">
        <w:rPr>
          <w:rFonts w:ascii="Arial" w:hAnsi="Arial" w:cs="Arial"/>
          <w:sz w:val="22"/>
          <w:szCs w:val="22"/>
          <w:lang w:val="es-ES_tradnl"/>
        </w:rPr>
        <w:t>). Los valores para la situación con proyecto en t=0 (</w:t>
      </w:r>
      <m:oMath>
        <m:sSubSup>
          <m:sSubSupPr>
            <m:ctrlPr>
              <w:rPr>
                <w:rFonts w:ascii="Cambria Math" w:hAnsi="Cambria Math" w:cs="Arial"/>
                <w:i/>
                <w:sz w:val="22"/>
                <w:szCs w:val="22"/>
                <w:lang w:val="es-ES_tradnl"/>
              </w:rPr>
            </m:ctrlPr>
          </m:sSubSupPr>
          <m:e>
            <m:r>
              <w:rPr>
                <w:rFonts w:ascii="Cambria Math" w:hAnsi="Cambria Math" w:cs="Arial"/>
                <w:sz w:val="22"/>
                <w:szCs w:val="22"/>
                <w:lang w:val="es-ES_tradnl"/>
              </w:rPr>
              <m:t>Y</m:t>
            </m:r>
          </m:e>
          <m:sub>
            <m:r>
              <w:rPr>
                <w:rFonts w:ascii="Cambria Math" w:hAnsi="Cambria Math" w:cs="Arial"/>
                <w:sz w:val="22"/>
                <w:szCs w:val="22"/>
                <w:lang w:val="es-ES_tradnl"/>
              </w:rPr>
              <m:t>0</m:t>
            </m:r>
          </m:sub>
          <m:sup>
            <m:r>
              <w:rPr>
                <w:rFonts w:ascii="Cambria Math" w:hAnsi="Cambria Math" w:cs="Arial"/>
                <w:sz w:val="22"/>
                <w:szCs w:val="22"/>
                <w:lang w:val="es-ES_tradnl"/>
              </w:rPr>
              <m:t>T</m:t>
            </m:r>
          </m:sup>
        </m:sSubSup>
      </m:oMath>
      <w:r w:rsidR="00BB525A" w:rsidRPr="00F618D2">
        <w:rPr>
          <w:rFonts w:ascii="Arial" w:hAnsi="Arial" w:cs="Arial"/>
          <w:sz w:val="22"/>
          <w:szCs w:val="22"/>
          <w:lang w:val="es-ES_tradnl"/>
        </w:rPr>
        <w:t xml:space="preserve">), provendrán de lo reportado por los solicitantes de crédito cuando presenten su proyecto para energías renovables o cogeneración, en términos de </w:t>
      </w:r>
      <w:r w:rsidR="00ED2221" w:rsidRPr="00F618D2">
        <w:rPr>
          <w:rFonts w:ascii="Arial" w:hAnsi="Arial" w:cs="Arial"/>
          <w:sz w:val="22"/>
          <w:szCs w:val="22"/>
          <w:lang w:val="es-ES_tradnl"/>
        </w:rPr>
        <w:t xml:space="preserve">generación </w:t>
      </w:r>
      <w:r w:rsidR="00BB525A" w:rsidRPr="00F618D2">
        <w:rPr>
          <w:rFonts w:ascii="Arial" w:hAnsi="Arial" w:cs="Arial"/>
          <w:sz w:val="22"/>
          <w:szCs w:val="22"/>
          <w:lang w:val="es-ES_tradnl"/>
        </w:rPr>
        <w:t>eléctric</w:t>
      </w:r>
      <w:r w:rsidR="00ED2221" w:rsidRPr="00F618D2">
        <w:rPr>
          <w:rFonts w:ascii="Arial" w:hAnsi="Arial" w:cs="Arial"/>
          <w:sz w:val="22"/>
          <w:szCs w:val="22"/>
          <w:lang w:val="es-ES_tradnl"/>
        </w:rPr>
        <w:t>a</w:t>
      </w:r>
      <w:r w:rsidR="00BB525A" w:rsidRPr="00F618D2">
        <w:rPr>
          <w:rFonts w:ascii="Arial" w:hAnsi="Arial" w:cs="Arial"/>
          <w:sz w:val="22"/>
          <w:szCs w:val="22"/>
          <w:lang w:val="es-ES_tradnl"/>
        </w:rPr>
        <w:t xml:space="preserve"> y estructura de costos. Para la situación </w:t>
      </w:r>
      <m:oMath>
        <m:sSubSup>
          <m:sSubSupPr>
            <m:ctrlPr>
              <w:rPr>
                <w:rFonts w:ascii="Cambria Math" w:hAnsi="Cambria Math" w:cs="Arial"/>
                <w:i/>
                <w:sz w:val="22"/>
                <w:szCs w:val="22"/>
                <w:lang w:val="es-ES_tradnl"/>
              </w:rPr>
            </m:ctrlPr>
          </m:sSubSupPr>
          <m:e>
            <m:r>
              <w:rPr>
                <w:rFonts w:ascii="Cambria Math" w:hAnsi="Cambria Math" w:cs="Arial"/>
                <w:sz w:val="22"/>
                <w:szCs w:val="22"/>
                <w:lang w:val="es-ES_tradnl"/>
              </w:rPr>
              <m:t>Y</m:t>
            </m:r>
          </m:e>
          <m:sub>
            <m:r>
              <w:rPr>
                <w:rFonts w:ascii="Cambria Math" w:hAnsi="Cambria Math" w:cs="Arial"/>
                <w:sz w:val="22"/>
                <w:szCs w:val="22"/>
                <w:lang w:val="es-ES_tradnl"/>
              </w:rPr>
              <m:t>1</m:t>
            </m:r>
          </m:sub>
          <m:sup>
            <m:r>
              <w:rPr>
                <w:rFonts w:ascii="Cambria Math" w:hAnsi="Cambria Math" w:cs="Arial"/>
                <w:sz w:val="22"/>
                <w:szCs w:val="22"/>
                <w:lang w:val="es-ES_tradnl"/>
              </w:rPr>
              <m:t>T</m:t>
            </m:r>
          </m:sup>
        </m:sSubSup>
      </m:oMath>
      <w:r w:rsidR="00BB525A" w:rsidRPr="00F618D2">
        <w:rPr>
          <w:rFonts w:ascii="Arial" w:hAnsi="Arial" w:cs="Arial"/>
          <w:sz w:val="22"/>
          <w:szCs w:val="22"/>
          <w:lang w:val="es-ES_tradnl"/>
        </w:rPr>
        <w:t xml:space="preserve"> se obtendrá la misma información de un periodo posterior con base en los reportes ante el banco de las empresas que hayan llevado a cabo proyectos de energías renovables o cogeneración. Para obtener información de las situaciones sin proyecto se utilizarán los datos promedio del </w:t>
      </w:r>
      <w:r w:rsidR="00ED2221" w:rsidRPr="00F618D2">
        <w:rPr>
          <w:rFonts w:ascii="Arial" w:hAnsi="Arial" w:cs="Arial"/>
          <w:sz w:val="22"/>
          <w:szCs w:val="22"/>
          <w:lang w:val="es-ES_tradnl"/>
        </w:rPr>
        <w:t>POISE</w:t>
      </w:r>
      <w:r w:rsidR="00BB525A" w:rsidRPr="00F618D2">
        <w:rPr>
          <w:rFonts w:ascii="Arial" w:hAnsi="Arial" w:cs="Arial"/>
          <w:sz w:val="22"/>
          <w:szCs w:val="22"/>
          <w:lang w:val="es-ES_tradnl"/>
        </w:rPr>
        <w:t xml:space="preserve"> en su versión actual (para t=0) y en la versión más reciente cuando se realice la evaluación (t=T). </w:t>
      </w:r>
      <w:r w:rsidR="00C0023C" w:rsidRPr="00F618D2">
        <w:rPr>
          <w:rFonts w:ascii="Arial" w:hAnsi="Arial" w:cs="Arial"/>
          <w:sz w:val="22"/>
          <w:szCs w:val="22"/>
          <w:lang w:val="es-ES_tradnl"/>
        </w:rPr>
        <w:t xml:space="preserve">En caso de no tener un grupo de control comparable, se utilizará la información promedio proporcionada por el POISE en “Parámetros técnicos de tecnologías”.   </w:t>
      </w:r>
    </w:p>
    <w:p w:rsidR="00666830" w:rsidRPr="00F618D2" w:rsidRDefault="00EB445D" w:rsidP="00666830">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Dado que el análisis de costo-beneficio ex post busca replicar el análisis de costo beneficio ex antes pero reemplazando valores supuestos o estimados con valores efectivamente verificados, la información a recolectar se corresponde a la información utilizada en el cómputo del análisis ex ante. Como referencia se mencionan brevemente a continuación, pero una referencia detallada se encuentra en el análisis de costo beneficio ex ante. Los conceptos a considerar incluyen</w:t>
      </w:r>
      <w:r w:rsidRPr="00F618D2">
        <w:rPr>
          <w:rStyle w:val="FootnoteReference"/>
          <w:rFonts w:ascii="Arial" w:hAnsi="Arial" w:cs="Arial"/>
          <w:sz w:val="22"/>
          <w:szCs w:val="22"/>
          <w:lang w:val="es-ES_tradnl"/>
        </w:rPr>
        <w:footnoteReference w:id="7"/>
      </w:r>
      <w:r w:rsidR="00666830" w:rsidRPr="00F618D2">
        <w:rPr>
          <w:rFonts w:ascii="Arial" w:hAnsi="Arial" w:cs="Arial"/>
          <w:sz w:val="22"/>
          <w:szCs w:val="22"/>
          <w:lang w:val="es-ES_tradnl"/>
        </w:rPr>
        <w:t>:</w:t>
      </w:r>
    </w:p>
    <w:p w:rsidR="007C2FEE" w:rsidRPr="00F618D2" w:rsidRDefault="009A0AFA" w:rsidP="00666830">
      <w:pPr>
        <w:pStyle w:val="subpar"/>
        <w:rPr>
          <w:rFonts w:ascii="Arial" w:hAnsi="Arial" w:cs="Arial"/>
          <w:sz w:val="22"/>
          <w:szCs w:val="22"/>
          <w:lang w:val="es-ES_tradnl"/>
        </w:rPr>
      </w:pPr>
      <w:r w:rsidRPr="00F618D2">
        <w:rPr>
          <w:rFonts w:ascii="Arial" w:hAnsi="Arial" w:cs="Arial"/>
          <w:sz w:val="22"/>
          <w:szCs w:val="22"/>
          <w:lang w:val="es-ES_tradnl"/>
        </w:rPr>
        <w:t xml:space="preserve">Área (Central, Oriental </w:t>
      </w:r>
      <w:r w:rsidR="007C2FEE" w:rsidRPr="00F618D2">
        <w:rPr>
          <w:rFonts w:ascii="Arial" w:hAnsi="Arial" w:cs="Arial"/>
          <w:sz w:val="22"/>
          <w:szCs w:val="22"/>
          <w:lang w:val="es-ES_tradnl"/>
        </w:rPr>
        <w:t>Occidental, Noroeste, Norte, Noreste, Baja California, Peninsular</w:t>
      </w:r>
      <w:r w:rsidRPr="00F618D2">
        <w:rPr>
          <w:rFonts w:ascii="Arial" w:hAnsi="Arial" w:cs="Arial"/>
          <w:sz w:val="22"/>
          <w:szCs w:val="22"/>
          <w:lang w:val="es-ES_tradnl"/>
        </w:rPr>
        <w:t>)</w:t>
      </w:r>
    </w:p>
    <w:p w:rsidR="007C2FEE" w:rsidRPr="00F618D2" w:rsidRDefault="007C2FEE" w:rsidP="00666830">
      <w:pPr>
        <w:pStyle w:val="subpar"/>
        <w:rPr>
          <w:rFonts w:ascii="Arial" w:hAnsi="Arial" w:cs="Arial"/>
          <w:sz w:val="22"/>
          <w:szCs w:val="22"/>
          <w:lang w:val="es-ES_tradnl"/>
        </w:rPr>
      </w:pPr>
      <w:r w:rsidRPr="00F618D2">
        <w:rPr>
          <w:rFonts w:ascii="Arial" w:hAnsi="Arial" w:cs="Arial"/>
          <w:sz w:val="22"/>
          <w:szCs w:val="22"/>
          <w:lang w:val="es-ES_tradnl"/>
        </w:rPr>
        <w:t xml:space="preserve">Estado </w:t>
      </w:r>
    </w:p>
    <w:p w:rsidR="009A0AFA" w:rsidRPr="00F618D2" w:rsidRDefault="007C2FEE" w:rsidP="00666830">
      <w:pPr>
        <w:pStyle w:val="subpar"/>
        <w:rPr>
          <w:rFonts w:ascii="Arial" w:hAnsi="Arial" w:cs="Arial"/>
          <w:sz w:val="22"/>
          <w:szCs w:val="22"/>
          <w:lang w:val="es-ES_tradnl"/>
        </w:rPr>
      </w:pPr>
      <w:r w:rsidRPr="00F618D2">
        <w:rPr>
          <w:rFonts w:ascii="Arial" w:hAnsi="Arial" w:cs="Arial"/>
          <w:sz w:val="22"/>
          <w:szCs w:val="22"/>
          <w:lang w:val="es-ES_tradnl"/>
        </w:rPr>
        <w:t>Tecnología</w:t>
      </w:r>
    </w:p>
    <w:p w:rsidR="007C2FEE" w:rsidRPr="00F618D2" w:rsidRDefault="007C2FEE" w:rsidP="00666830">
      <w:pPr>
        <w:pStyle w:val="subpar"/>
        <w:rPr>
          <w:rFonts w:ascii="Arial" w:hAnsi="Arial" w:cs="Arial"/>
          <w:sz w:val="22"/>
          <w:szCs w:val="22"/>
          <w:lang w:val="es-ES_tradnl"/>
        </w:rPr>
      </w:pPr>
      <w:r w:rsidRPr="00F618D2">
        <w:rPr>
          <w:rFonts w:ascii="Arial" w:hAnsi="Arial" w:cs="Arial"/>
          <w:sz w:val="22"/>
          <w:szCs w:val="22"/>
          <w:lang w:val="es-ES_tradnl"/>
        </w:rPr>
        <w:t>Combustible</w:t>
      </w:r>
    </w:p>
    <w:p w:rsidR="00C10762" w:rsidRPr="00F618D2" w:rsidRDefault="00C10762" w:rsidP="00666830">
      <w:pPr>
        <w:pStyle w:val="subpar"/>
        <w:rPr>
          <w:rFonts w:ascii="Arial" w:hAnsi="Arial" w:cs="Arial"/>
          <w:sz w:val="22"/>
          <w:szCs w:val="22"/>
          <w:lang w:val="es-ES_tradnl"/>
        </w:rPr>
      </w:pPr>
      <w:r w:rsidRPr="00F618D2">
        <w:rPr>
          <w:rFonts w:ascii="Arial" w:hAnsi="Arial" w:cs="Arial"/>
          <w:sz w:val="22"/>
          <w:szCs w:val="22"/>
          <w:lang w:val="es-ES_tradnl"/>
        </w:rPr>
        <w:t xml:space="preserve">Capacidad instalada </w:t>
      </w:r>
      <w:r w:rsidR="00EB445D" w:rsidRPr="00F618D2">
        <w:rPr>
          <w:rFonts w:ascii="Arial" w:hAnsi="Arial" w:cs="Arial"/>
          <w:sz w:val="22"/>
          <w:szCs w:val="22"/>
          <w:lang w:val="es-ES_tradnl"/>
        </w:rPr>
        <w:t xml:space="preserve">adicional (nueva) </w:t>
      </w:r>
      <w:r w:rsidRPr="00F618D2">
        <w:rPr>
          <w:rFonts w:ascii="Arial" w:hAnsi="Arial" w:cs="Arial"/>
          <w:sz w:val="22"/>
          <w:szCs w:val="22"/>
          <w:lang w:val="es-ES_tradnl"/>
        </w:rPr>
        <w:t>en MW</w:t>
      </w:r>
    </w:p>
    <w:p w:rsidR="00666830" w:rsidRPr="00F618D2" w:rsidRDefault="00666830" w:rsidP="00666830">
      <w:pPr>
        <w:pStyle w:val="subpar"/>
        <w:rPr>
          <w:rFonts w:ascii="Arial" w:hAnsi="Arial" w:cs="Arial"/>
          <w:sz w:val="22"/>
          <w:szCs w:val="22"/>
          <w:lang w:val="es-ES_tradnl"/>
        </w:rPr>
      </w:pPr>
      <w:r w:rsidRPr="00F618D2">
        <w:rPr>
          <w:rFonts w:ascii="Arial" w:hAnsi="Arial" w:cs="Arial"/>
          <w:sz w:val="22"/>
          <w:szCs w:val="22"/>
          <w:lang w:val="es-ES_tradnl"/>
        </w:rPr>
        <w:t>Producción de energía anual en MWh</w:t>
      </w:r>
      <w:r w:rsidR="00EB445D" w:rsidRPr="00F618D2">
        <w:rPr>
          <w:rFonts w:ascii="Arial" w:hAnsi="Arial" w:cs="Arial"/>
          <w:sz w:val="22"/>
          <w:szCs w:val="22"/>
          <w:lang w:val="es-ES_tradnl"/>
        </w:rPr>
        <w:t xml:space="preserve"> (capacidad en operación)</w:t>
      </w:r>
      <w:r w:rsidRPr="00F618D2">
        <w:rPr>
          <w:rFonts w:ascii="Arial" w:hAnsi="Arial" w:cs="Arial"/>
          <w:sz w:val="22"/>
          <w:szCs w:val="22"/>
          <w:lang w:val="es-ES_tradnl"/>
        </w:rPr>
        <w:t>.</w:t>
      </w:r>
    </w:p>
    <w:p w:rsidR="00EB445D" w:rsidRPr="00F618D2" w:rsidRDefault="00EB445D" w:rsidP="00666830">
      <w:pPr>
        <w:pStyle w:val="subpar"/>
        <w:rPr>
          <w:rFonts w:ascii="Arial" w:hAnsi="Arial" w:cs="Arial"/>
          <w:sz w:val="22"/>
          <w:szCs w:val="22"/>
          <w:lang w:val="es-ES_tradnl"/>
        </w:rPr>
      </w:pPr>
      <w:r w:rsidRPr="00F618D2">
        <w:rPr>
          <w:rFonts w:ascii="Arial" w:hAnsi="Arial" w:cs="Arial"/>
          <w:sz w:val="22"/>
          <w:szCs w:val="22"/>
          <w:lang w:val="es-ES_tradnl"/>
        </w:rPr>
        <w:t>Factores de utilización y carga</w:t>
      </w:r>
    </w:p>
    <w:p w:rsidR="00B84DD9" w:rsidRPr="00F618D2" w:rsidRDefault="00666830" w:rsidP="00666830">
      <w:pPr>
        <w:pStyle w:val="subpar"/>
        <w:rPr>
          <w:rFonts w:ascii="Arial" w:hAnsi="Arial" w:cs="Arial"/>
          <w:sz w:val="22"/>
          <w:szCs w:val="22"/>
          <w:lang w:val="es-ES_tradnl"/>
        </w:rPr>
      </w:pPr>
      <w:r w:rsidRPr="00F618D2">
        <w:rPr>
          <w:rFonts w:ascii="Arial" w:hAnsi="Arial" w:cs="Arial"/>
          <w:sz w:val="22"/>
          <w:szCs w:val="22"/>
          <w:lang w:val="es-ES_tradnl"/>
        </w:rPr>
        <w:t>Costo</w:t>
      </w:r>
      <w:r w:rsidR="00EB445D" w:rsidRPr="00F618D2">
        <w:rPr>
          <w:rFonts w:ascii="Arial" w:hAnsi="Arial" w:cs="Arial"/>
          <w:sz w:val="22"/>
          <w:szCs w:val="22"/>
          <w:lang w:val="es-ES_tradnl"/>
        </w:rPr>
        <w:t>s de inversión y costos</w:t>
      </w:r>
      <w:r w:rsidRPr="00F618D2">
        <w:rPr>
          <w:rFonts w:ascii="Arial" w:hAnsi="Arial" w:cs="Arial"/>
          <w:sz w:val="22"/>
          <w:szCs w:val="22"/>
          <w:lang w:val="es-ES_tradnl"/>
        </w:rPr>
        <w:t xml:space="preserve"> de producción de energía</w:t>
      </w:r>
      <w:r w:rsidR="00736540" w:rsidRPr="00F618D2">
        <w:rPr>
          <w:rFonts w:ascii="Arial" w:hAnsi="Arial" w:cs="Arial"/>
          <w:sz w:val="22"/>
          <w:szCs w:val="22"/>
          <w:lang w:val="es-ES_tradnl"/>
        </w:rPr>
        <w:t xml:space="preserve"> (fósiles y renovables)</w:t>
      </w:r>
    </w:p>
    <w:p w:rsidR="00666830" w:rsidRPr="00F618D2" w:rsidRDefault="00B84DD9" w:rsidP="00666830">
      <w:pPr>
        <w:pStyle w:val="subpar"/>
        <w:rPr>
          <w:rFonts w:ascii="Arial" w:hAnsi="Arial" w:cs="Arial"/>
          <w:sz w:val="22"/>
          <w:szCs w:val="22"/>
          <w:lang w:val="es-ES_tradnl"/>
        </w:rPr>
      </w:pPr>
      <w:r w:rsidRPr="00F618D2">
        <w:rPr>
          <w:rFonts w:ascii="Arial" w:hAnsi="Arial" w:cs="Arial"/>
          <w:sz w:val="22"/>
          <w:szCs w:val="22"/>
          <w:lang w:val="es-ES_tradnl"/>
        </w:rPr>
        <w:t>Capacidad efectiva por tipo de central</w:t>
      </w:r>
    </w:p>
    <w:p w:rsidR="009A0AFA" w:rsidRPr="00F618D2" w:rsidRDefault="009A0AFA" w:rsidP="00666830">
      <w:pPr>
        <w:pStyle w:val="subpar"/>
        <w:rPr>
          <w:rFonts w:ascii="Arial" w:hAnsi="Arial" w:cs="Arial"/>
          <w:sz w:val="22"/>
          <w:szCs w:val="22"/>
          <w:lang w:val="es-ES_tradnl"/>
        </w:rPr>
      </w:pPr>
      <w:r w:rsidRPr="00F618D2">
        <w:rPr>
          <w:rFonts w:ascii="Arial" w:hAnsi="Arial" w:cs="Arial"/>
          <w:sz w:val="22"/>
          <w:szCs w:val="22"/>
          <w:lang w:val="es-ES_tradnl"/>
        </w:rPr>
        <w:t>Usos propios de la planta</w:t>
      </w:r>
    </w:p>
    <w:p w:rsidR="00C10762" w:rsidRPr="00F618D2" w:rsidRDefault="00C10762" w:rsidP="00666830">
      <w:pPr>
        <w:pStyle w:val="subpar"/>
        <w:rPr>
          <w:rFonts w:ascii="Arial" w:hAnsi="Arial" w:cs="Arial"/>
          <w:sz w:val="22"/>
          <w:szCs w:val="22"/>
          <w:lang w:val="es-ES_tradnl"/>
        </w:rPr>
      </w:pPr>
      <w:r w:rsidRPr="00F618D2">
        <w:rPr>
          <w:rFonts w:ascii="Arial" w:hAnsi="Arial" w:cs="Arial"/>
          <w:sz w:val="22"/>
          <w:szCs w:val="22"/>
          <w:lang w:val="es-ES_tradnl"/>
        </w:rPr>
        <w:t>Tarifa eléctrica en pesos</w:t>
      </w:r>
    </w:p>
    <w:p w:rsidR="00EB445D" w:rsidRPr="00F618D2" w:rsidRDefault="00EB445D" w:rsidP="00666830">
      <w:pPr>
        <w:pStyle w:val="subpar"/>
        <w:rPr>
          <w:rFonts w:ascii="Arial" w:hAnsi="Arial" w:cs="Arial"/>
          <w:sz w:val="22"/>
          <w:szCs w:val="22"/>
          <w:lang w:val="es-ES_tradnl"/>
        </w:rPr>
      </w:pPr>
      <w:r w:rsidRPr="00F618D2">
        <w:rPr>
          <w:rFonts w:ascii="Arial" w:hAnsi="Arial" w:cs="Arial"/>
          <w:sz w:val="22"/>
          <w:szCs w:val="22"/>
          <w:lang w:val="es-ES_tradnl"/>
        </w:rPr>
        <w:t>Valor monetario de la reducción de emisiones en base al precio unitario de la tonelada métrica de C0</w:t>
      </w:r>
      <w:r w:rsidRPr="00F618D2">
        <w:rPr>
          <w:rFonts w:ascii="Arial" w:hAnsi="Arial" w:cs="Arial"/>
          <w:sz w:val="22"/>
          <w:szCs w:val="22"/>
          <w:vertAlign w:val="subscript"/>
          <w:lang w:val="es-ES_tradnl"/>
        </w:rPr>
        <w:t>2</w:t>
      </w:r>
      <w:r w:rsidRPr="00F618D2">
        <w:rPr>
          <w:rFonts w:ascii="Arial" w:hAnsi="Arial" w:cs="Arial"/>
          <w:sz w:val="22"/>
          <w:szCs w:val="22"/>
          <w:lang w:val="es-ES_tradnl"/>
        </w:rPr>
        <w:t xml:space="preserve"> en el mercado internacional</w:t>
      </w:r>
    </w:p>
    <w:p w:rsidR="00EB445D" w:rsidRPr="00F618D2" w:rsidRDefault="00EB445D" w:rsidP="00666830">
      <w:pPr>
        <w:pStyle w:val="subpar"/>
        <w:rPr>
          <w:rFonts w:ascii="Arial" w:hAnsi="Arial" w:cs="Arial"/>
          <w:sz w:val="22"/>
          <w:szCs w:val="22"/>
          <w:lang w:val="es-ES_tradnl"/>
        </w:rPr>
      </w:pPr>
      <w:r w:rsidRPr="00F618D2">
        <w:rPr>
          <w:rFonts w:ascii="Arial" w:hAnsi="Arial" w:cs="Arial"/>
          <w:sz w:val="22"/>
          <w:szCs w:val="22"/>
          <w:lang w:val="es-ES_tradnl"/>
        </w:rPr>
        <w:t>Factor de emisiones desplazadas</w:t>
      </w:r>
    </w:p>
    <w:p w:rsidR="00F66013" w:rsidRPr="00F618D2" w:rsidRDefault="00F66013" w:rsidP="00666830">
      <w:pPr>
        <w:pStyle w:val="subpar"/>
        <w:rPr>
          <w:rFonts w:ascii="Arial" w:hAnsi="Arial" w:cs="Arial"/>
          <w:sz w:val="22"/>
          <w:szCs w:val="22"/>
          <w:lang w:val="es-ES_tradnl"/>
        </w:rPr>
      </w:pPr>
      <w:r w:rsidRPr="00F618D2">
        <w:rPr>
          <w:rFonts w:ascii="Arial" w:hAnsi="Arial" w:cs="Arial"/>
          <w:sz w:val="22"/>
          <w:szCs w:val="22"/>
          <w:lang w:val="es-ES_tradnl"/>
        </w:rPr>
        <w:t>Factor de planta de cogeneración antes de la intervención</w:t>
      </w:r>
    </w:p>
    <w:bookmarkStart w:id="35" w:name="_Toc300318318"/>
    <w:p w:rsidR="00051B6C" w:rsidRPr="00F618D2" w:rsidRDefault="00051B6C" w:rsidP="00051B6C">
      <w:pPr>
        <w:pStyle w:val="FirstHeading"/>
        <w:ind w:left="720"/>
        <w:rPr>
          <w:rFonts w:ascii="Arial" w:hAnsi="Arial" w:cs="Arial"/>
          <w:noProof/>
          <w:sz w:val="22"/>
          <w:szCs w:val="22"/>
          <w:lang w:val="es-ES_tradnl"/>
        </w:rPr>
      </w:pPr>
      <w:r w:rsidRPr="00F618D2">
        <w:rPr>
          <w:rFonts w:ascii="Arial" w:hAnsi="Arial" w:cs="Arial"/>
          <w:noProof/>
          <w:sz w:val="22"/>
          <w:szCs w:val="22"/>
          <w:lang w:val="es-ES_tradnl"/>
        </w:rPr>
        <w:fldChar w:fldCharType="begin"/>
      </w:r>
      <w:r w:rsidRPr="00F618D2">
        <w:rPr>
          <w:rFonts w:ascii="Arial" w:hAnsi="Arial" w:cs="Arial"/>
          <w:noProof/>
          <w:sz w:val="22"/>
          <w:szCs w:val="22"/>
          <w:lang w:val="es-ES_tradnl"/>
        </w:rPr>
        <w:instrText xml:space="preserve"> SEQ "</w:instrText>
      </w:r>
      <w:r w:rsidRPr="00F618D2">
        <w:rPr>
          <w:rFonts w:ascii="Arial" w:hAnsi="Arial" w:cs="Arial"/>
          <w:noProof/>
          <w:sz w:val="22"/>
          <w:szCs w:val="22"/>
          <w:lang w:val="es-ES_tradnl"/>
        </w:rPr>
        <w:fldChar w:fldCharType="begin"/>
      </w:r>
      <w:r w:rsidRPr="00F618D2">
        <w:rPr>
          <w:rFonts w:ascii="Arial" w:hAnsi="Arial" w:cs="Arial"/>
          <w:noProof/>
          <w:sz w:val="22"/>
          <w:szCs w:val="22"/>
          <w:lang w:val="es-ES_tradnl"/>
        </w:rPr>
        <w:instrText xml:space="preserve"> SECTION  \* MERGEFORMAT </w:instrText>
      </w:r>
      <w:r w:rsidRPr="00F618D2">
        <w:rPr>
          <w:rFonts w:ascii="Arial" w:hAnsi="Arial" w:cs="Arial"/>
          <w:noProof/>
          <w:sz w:val="22"/>
          <w:szCs w:val="22"/>
          <w:lang w:val="es-ES_tradnl"/>
        </w:rPr>
        <w:fldChar w:fldCharType="separate"/>
      </w:r>
      <w:r w:rsidRPr="00F618D2">
        <w:rPr>
          <w:rFonts w:ascii="Arial" w:hAnsi="Arial" w:cs="Arial"/>
          <w:noProof/>
          <w:sz w:val="22"/>
          <w:szCs w:val="22"/>
          <w:lang w:val="es-ES_tradnl"/>
        </w:rPr>
        <w:instrText>4</w:instrText>
      </w:r>
      <w:r w:rsidRPr="00F618D2">
        <w:rPr>
          <w:rFonts w:ascii="Arial" w:hAnsi="Arial" w:cs="Arial"/>
          <w:noProof/>
          <w:sz w:val="22"/>
          <w:szCs w:val="22"/>
          <w:lang w:val="es-ES_tradnl"/>
        </w:rPr>
        <w:fldChar w:fldCharType="end"/>
      </w:r>
      <w:r w:rsidRPr="00F618D2">
        <w:rPr>
          <w:rFonts w:ascii="Arial" w:hAnsi="Arial" w:cs="Arial"/>
          <w:noProof/>
          <w:sz w:val="22"/>
          <w:szCs w:val="22"/>
          <w:lang w:val="es-ES_tradnl"/>
        </w:rPr>
        <w:instrText xml:space="preserve">#"\* ALPHABETIC \* MERGEFORMAT </w:instrText>
      </w:r>
      <w:r w:rsidRPr="00F618D2">
        <w:rPr>
          <w:rFonts w:ascii="Arial" w:hAnsi="Arial" w:cs="Arial"/>
          <w:noProof/>
          <w:sz w:val="22"/>
          <w:szCs w:val="22"/>
          <w:lang w:val="es-ES_tradnl"/>
        </w:rPr>
        <w:fldChar w:fldCharType="separate"/>
      </w:r>
      <w:bookmarkStart w:id="36" w:name="_Toc331167644"/>
      <w:bookmarkStart w:id="37" w:name="_Toc419987571"/>
      <w:r w:rsidRPr="00F618D2">
        <w:rPr>
          <w:rFonts w:ascii="Arial" w:hAnsi="Arial" w:cs="Arial"/>
          <w:noProof/>
          <w:sz w:val="22"/>
          <w:szCs w:val="22"/>
          <w:lang w:val="es-ES_tradnl"/>
        </w:rPr>
        <w:t>E</w:t>
      </w:r>
      <w:r w:rsidRPr="00F618D2">
        <w:rPr>
          <w:rFonts w:ascii="Arial" w:hAnsi="Arial" w:cs="Arial"/>
          <w:noProof/>
          <w:sz w:val="22"/>
          <w:szCs w:val="22"/>
          <w:lang w:val="es-ES_tradnl"/>
        </w:rPr>
        <w:fldChar w:fldCharType="end"/>
      </w:r>
      <w:r w:rsidRPr="00F618D2">
        <w:rPr>
          <w:rFonts w:ascii="Arial" w:hAnsi="Arial" w:cs="Arial"/>
          <w:noProof/>
          <w:sz w:val="22"/>
          <w:szCs w:val="22"/>
          <w:lang w:val="es-ES_tradnl"/>
        </w:rPr>
        <w:t>.</w:t>
      </w:r>
      <w:r w:rsidRPr="00F618D2">
        <w:rPr>
          <w:rFonts w:ascii="Arial" w:hAnsi="Arial" w:cs="Arial"/>
          <w:noProof/>
          <w:sz w:val="22"/>
          <w:szCs w:val="22"/>
          <w:lang w:val="es-ES_tradnl"/>
        </w:rPr>
        <w:tab/>
        <w:t xml:space="preserve">Información de los </w:t>
      </w:r>
      <w:r w:rsidR="00AF2C5C" w:rsidRPr="00F618D2">
        <w:rPr>
          <w:rFonts w:ascii="Arial" w:hAnsi="Arial" w:cs="Arial"/>
          <w:noProof/>
          <w:sz w:val="22"/>
          <w:szCs w:val="22"/>
          <w:lang w:val="es-ES_tradnl"/>
        </w:rPr>
        <w:t>R</w:t>
      </w:r>
      <w:r w:rsidRPr="00F618D2">
        <w:rPr>
          <w:rFonts w:ascii="Arial" w:hAnsi="Arial" w:cs="Arial"/>
          <w:noProof/>
          <w:sz w:val="22"/>
          <w:szCs w:val="22"/>
          <w:lang w:val="es-ES_tradnl"/>
        </w:rPr>
        <w:t>esultados</w:t>
      </w:r>
      <w:bookmarkEnd w:id="35"/>
      <w:bookmarkEnd w:id="36"/>
      <w:bookmarkEnd w:id="37"/>
      <w:r w:rsidRPr="00F618D2">
        <w:rPr>
          <w:rFonts w:ascii="Arial" w:hAnsi="Arial" w:cs="Arial"/>
          <w:noProof/>
          <w:sz w:val="22"/>
          <w:szCs w:val="22"/>
          <w:lang w:val="es-ES_tradnl"/>
        </w:rPr>
        <w:t xml:space="preserve"> </w:t>
      </w:r>
    </w:p>
    <w:p w:rsidR="00B52474" w:rsidRPr="00F618D2" w:rsidRDefault="00B52474" w:rsidP="00B52474">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Los resultados de la evaluación serán reportados por </w:t>
      </w:r>
      <w:r w:rsidR="004F7E0F" w:rsidRPr="00F618D2">
        <w:rPr>
          <w:rFonts w:ascii="Arial" w:hAnsi="Arial" w:cs="Arial"/>
          <w:sz w:val="22"/>
          <w:szCs w:val="22"/>
          <w:lang w:val="es-ES_tradnl"/>
        </w:rPr>
        <w:t>Bancomext</w:t>
      </w:r>
      <w:r w:rsidRPr="00F618D2">
        <w:rPr>
          <w:rFonts w:ascii="Arial" w:hAnsi="Arial" w:cs="Arial"/>
          <w:sz w:val="22"/>
          <w:szCs w:val="22"/>
          <w:lang w:val="es-ES_tradnl"/>
        </w:rPr>
        <w:t xml:space="preserve">, a partir del trabajo de un consultor externo, quien seguirá la metodología descrita en el presente plan. Los resultados se presentarán en reportes escritos que detallarán el proceso de evaluación en </w:t>
      </w:r>
      <w:r w:rsidR="001A3F78" w:rsidRPr="00F618D2">
        <w:rPr>
          <w:rFonts w:ascii="Arial" w:hAnsi="Arial" w:cs="Arial"/>
          <w:sz w:val="22"/>
          <w:szCs w:val="22"/>
          <w:lang w:val="es-ES_tradnl"/>
        </w:rPr>
        <w:t>2</w:t>
      </w:r>
      <w:r w:rsidRPr="00F618D2">
        <w:rPr>
          <w:rFonts w:ascii="Arial" w:hAnsi="Arial" w:cs="Arial"/>
          <w:sz w:val="22"/>
          <w:szCs w:val="22"/>
          <w:lang w:val="es-ES_tradnl"/>
        </w:rPr>
        <w:t xml:space="preserve"> momentos.</w:t>
      </w:r>
    </w:p>
    <w:p w:rsidR="00B52474" w:rsidRPr="00F618D2" w:rsidRDefault="00B52474" w:rsidP="00B52474">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El pri</w:t>
      </w:r>
      <w:r w:rsidR="00CE2394" w:rsidRPr="00F618D2">
        <w:rPr>
          <w:rFonts w:ascii="Arial" w:hAnsi="Arial" w:cs="Arial"/>
          <w:sz w:val="22"/>
          <w:szCs w:val="22"/>
          <w:lang w:val="es-ES_tradnl"/>
        </w:rPr>
        <w:t>mer reporte se elaborará en 2016</w:t>
      </w:r>
      <w:r w:rsidRPr="00F618D2">
        <w:rPr>
          <w:rFonts w:ascii="Arial" w:hAnsi="Arial" w:cs="Arial"/>
          <w:sz w:val="22"/>
          <w:szCs w:val="22"/>
          <w:lang w:val="es-ES_tradnl"/>
        </w:rPr>
        <w:t xml:space="preserve"> e incluirá información relacionada con el procedimiento para responder las preguntas de evaluación, la recopilación de información, la metodología empleada y los resultados obtenidos, los cuales serán expresados en una primera medición de los indicadores de resultados. En el caso de los indicadores de resultados, éstos se reportarán para </w:t>
      </w:r>
      <w:r w:rsidR="00CE2394" w:rsidRPr="00F618D2">
        <w:rPr>
          <w:rFonts w:ascii="Arial" w:hAnsi="Arial" w:cs="Arial"/>
          <w:sz w:val="22"/>
          <w:szCs w:val="22"/>
          <w:lang w:val="es-ES_tradnl"/>
        </w:rPr>
        <w:t xml:space="preserve">el año 2016 </w:t>
      </w:r>
      <w:r w:rsidRPr="00F618D2">
        <w:rPr>
          <w:rFonts w:ascii="Arial" w:hAnsi="Arial" w:cs="Arial"/>
          <w:sz w:val="22"/>
          <w:szCs w:val="22"/>
          <w:lang w:val="es-ES_tradnl"/>
        </w:rPr>
        <w:t>en el caso de energías renovables y cogeneración.</w:t>
      </w:r>
    </w:p>
    <w:p w:rsidR="00B52474" w:rsidRPr="00F618D2" w:rsidRDefault="00B52474" w:rsidP="00B52474">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El segu</w:t>
      </w:r>
      <w:r w:rsidR="000410FA" w:rsidRPr="00F618D2">
        <w:rPr>
          <w:rFonts w:ascii="Arial" w:hAnsi="Arial" w:cs="Arial"/>
          <w:sz w:val="22"/>
          <w:szCs w:val="22"/>
          <w:lang w:val="es-ES_tradnl"/>
        </w:rPr>
        <w:t>ndo reporte se elaborará en 2020</w:t>
      </w:r>
      <w:r w:rsidRPr="00F618D2">
        <w:rPr>
          <w:rFonts w:ascii="Arial" w:hAnsi="Arial" w:cs="Arial"/>
          <w:sz w:val="22"/>
          <w:szCs w:val="22"/>
          <w:lang w:val="es-ES_tradnl"/>
        </w:rPr>
        <w:t xml:space="preserve"> y presentará los resultados finales de la evaluación para proyectos de energías renovables y cogeneración. Específicamente, detallará el proceso de recopilación de información, la metodología empleada y los indicadores de </w:t>
      </w:r>
      <w:r w:rsidR="006D7AB5" w:rsidRPr="00F618D2">
        <w:rPr>
          <w:rFonts w:ascii="Arial" w:hAnsi="Arial" w:cs="Arial"/>
          <w:sz w:val="22"/>
          <w:szCs w:val="22"/>
          <w:lang w:val="es-ES_tradnl"/>
        </w:rPr>
        <w:t xml:space="preserve">resultado e </w:t>
      </w:r>
      <w:r w:rsidRPr="00F618D2">
        <w:rPr>
          <w:rFonts w:ascii="Arial" w:hAnsi="Arial" w:cs="Arial"/>
          <w:sz w:val="22"/>
          <w:szCs w:val="22"/>
          <w:lang w:val="es-ES_tradnl"/>
        </w:rPr>
        <w:t>impacto.</w:t>
      </w:r>
    </w:p>
    <w:bookmarkStart w:id="38" w:name="_Toc300318319"/>
    <w:p w:rsidR="00051B6C" w:rsidRPr="00F618D2" w:rsidRDefault="00051B6C" w:rsidP="00051B6C">
      <w:pPr>
        <w:pStyle w:val="FirstHeading"/>
        <w:ind w:left="720"/>
        <w:rPr>
          <w:rFonts w:ascii="Arial" w:hAnsi="Arial" w:cs="Arial"/>
          <w:noProof/>
          <w:sz w:val="22"/>
          <w:szCs w:val="22"/>
          <w:lang w:val="es-ES_tradnl"/>
        </w:rPr>
      </w:pPr>
      <w:r w:rsidRPr="00F618D2">
        <w:rPr>
          <w:rFonts w:ascii="Arial" w:hAnsi="Arial" w:cs="Arial"/>
          <w:noProof/>
          <w:sz w:val="22"/>
          <w:szCs w:val="22"/>
          <w:lang w:val="es-ES_tradnl"/>
        </w:rPr>
        <w:fldChar w:fldCharType="begin"/>
      </w:r>
      <w:r w:rsidRPr="00F618D2">
        <w:rPr>
          <w:rFonts w:ascii="Arial" w:hAnsi="Arial" w:cs="Arial"/>
          <w:noProof/>
          <w:sz w:val="22"/>
          <w:szCs w:val="22"/>
          <w:lang w:val="es-ES_tradnl"/>
        </w:rPr>
        <w:instrText xml:space="preserve"> SEQ "</w:instrText>
      </w:r>
      <w:r w:rsidRPr="00F618D2">
        <w:rPr>
          <w:rFonts w:ascii="Arial" w:hAnsi="Arial" w:cs="Arial"/>
          <w:noProof/>
          <w:sz w:val="22"/>
          <w:szCs w:val="22"/>
          <w:lang w:val="es-ES_tradnl"/>
        </w:rPr>
        <w:fldChar w:fldCharType="begin"/>
      </w:r>
      <w:r w:rsidRPr="00F618D2">
        <w:rPr>
          <w:rFonts w:ascii="Arial" w:hAnsi="Arial" w:cs="Arial"/>
          <w:noProof/>
          <w:sz w:val="22"/>
          <w:szCs w:val="22"/>
          <w:lang w:val="es-ES_tradnl"/>
        </w:rPr>
        <w:instrText xml:space="preserve"> SECTION  \* MERGEFORMAT </w:instrText>
      </w:r>
      <w:r w:rsidRPr="00F618D2">
        <w:rPr>
          <w:rFonts w:ascii="Arial" w:hAnsi="Arial" w:cs="Arial"/>
          <w:noProof/>
          <w:sz w:val="22"/>
          <w:szCs w:val="22"/>
          <w:lang w:val="es-ES_tradnl"/>
        </w:rPr>
        <w:fldChar w:fldCharType="separate"/>
      </w:r>
      <w:r w:rsidRPr="00F618D2">
        <w:rPr>
          <w:rFonts w:ascii="Arial" w:hAnsi="Arial" w:cs="Arial"/>
          <w:noProof/>
          <w:sz w:val="22"/>
          <w:szCs w:val="22"/>
          <w:lang w:val="es-ES_tradnl"/>
        </w:rPr>
        <w:instrText>4</w:instrText>
      </w:r>
      <w:r w:rsidRPr="00F618D2">
        <w:rPr>
          <w:rFonts w:ascii="Arial" w:hAnsi="Arial" w:cs="Arial"/>
          <w:noProof/>
          <w:sz w:val="22"/>
          <w:szCs w:val="22"/>
          <w:lang w:val="es-ES_tradnl"/>
        </w:rPr>
        <w:fldChar w:fldCharType="end"/>
      </w:r>
      <w:r w:rsidRPr="00F618D2">
        <w:rPr>
          <w:rFonts w:ascii="Arial" w:hAnsi="Arial" w:cs="Arial"/>
          <w:noProof/>
          <w:sz w:val="22"/>
          <w:szCs w:val="22"/>
          <w:lang w:val="es-ES_tradnl"/>
        </w:rPr>
        <w:instrText xml:space="preserve">#"\* ALPHABETIC \* MERGEFORMAT </w:instrText>
      </w:r>
      <w:r w:rsidRPr="00F618D2">
        <w:rPr>
          <w:rFonts w:ascii="Arial" w:hAnsi="Arial" w:cs="Arial"/>
          <w:noProof/>
          <w:sz w:val="22"/>
          <w:szCs w:val="22"/>
          <w:lang w:val="es-ES_tradnl"/>
        </w:rPr>
        <w:fldChar w:fldCharType="separate"/>
      </w:r>
      <w:bookmarkStart w:id="39" w:name="_Toc331167645"/>
      <w:bookmarkStart w:id="40" w:name="_Toc419987572"/>
      <w:r w:rsidRPr="00F618D2">
        <w:rPr>
          <w:rFonts w:ascii="Arial" w:hAnsi="Arial" w:cs="Arial"/>
          <w:noProof/>
          <w:sz w:val="22"/>
          <w:szCs w:val="22"/>
          <w:lang w:val="es-ES_tradnl"/>
        </w:rPr>
        <w:t>F</w:t>
      </w:r>
      <w:r w:rsidRPr="00F618D2">
        <w:rPr>
          <w:rFonts w:ascii="Arial" w:hAnsi="Arial" w:cs="Arial"/>
          <w:noProof/>
          <w:sz w:val="22"/>
          <w:szCs w:val="22"/>
          <w:lang w:val="es-ES_tradnl"/>
        </w:rPr>
        <w:fldChar w:fldCharType="end"/>
      </w:r>
      <w:r w:rsidRPr="00F618D2">
        <w:rPr>
          <w:rFonts w:ascii="Arial" w:hAnsi="Arial" w:cs="Arial"/>
          <w:noProof/>
          <w:sz w:val="22"/>
          <w:szCs w:val="22"/>
          <w:lang w:val="es-ES_tradnl"/>
        </w:rPr>
        <w:t>.</w:t>
      </w:r>
      <w:r w:rsidRPr="00F618D2">
        <w:rPr>
          <w:rFonts w:ascii="Arial" w:hAnsi="Arial" w:cs="Arial"/>
          <w:noProof/>
          <w:sz w:val="22"/>
          <w:szCs w:val="22"/>
          <w:lang w:val="es-ES_tradnl"/>
        </w:rPr>
        <w:tab/>
        <w:t xml:space="preserve">Coordinación, </w:t>
      </w:r>
      <w:r w:rsidR="00AF2C5C" w:rsidRPr="00F618D2">
        <w:rPr>
          <w:rFonts w:ascii="Arial" w:hAnsi="Arial" w:cs="Arial"/>
          <w:noProof/>
          <w:sz w:val="22"/>
          <w:szCs w:val="22"/>
          <w:lang w:val="es-ES_tradnl"/>
        </w:rPr>
        <w:t>P</w:t>
      </w:r>
      <w:r w:rsidRPr="00F618D2">
        <w:rPr>
          <w:rFonts w:ascii="Arial" w:hAnsi="Arial" w:cs="Arial"/>
          <w:noProof/>
          <w:sz w:val="22"/>
          <w:szCs w:val="22"/>
          <w:lang w:val="es-ES_tradnl"/>
        </w:rPr>
        <w:t xml:space="preserve">lan de </w:t>
      </w:r>
      <w:r w:rsidR="00AF2C5C" w:rsidRPr="00F618D2">
        <w:rPr>
          <w:rFonts w:ascii="Arial" w:hAnsi="Arial" w:cs="Arial"/>
          <w:noProof/>
          <w:sz w:val="22"/>
          <w:szCs w:val="22"/>
          <w:lang w:val="es-ES_tradnl"/>
        </w:rPr>
        <w:t>T</w:t>
      </w:r>
      <w:r w:rsidRPr="00F618D2">
        <w:rPr>
          <w:rFonts w:ascii="Arial" w:hAnsi="Arial" w:cs="Arial"/>
          <w:noProof/>
          <w:sz w:val="22"/>
          <w:szCs w:val="22"/>
          <w:lang w:val="es-ES_tradnl"/>
        </w:rPr>
        <w:t xml:space="preserve">rabajo y </w:t>
      </w:r>
      <w:r w:rsidR="00AF2C5C" w:rsidRPr="00F618D2">
        <w:rPr>
          <w:rFonts w:ascii="Arial" w:hAnsi="Arial" w:cs="Arial"/>
          <w:noProof/>
          <w:sz w:val="22"/>
          <w:szCs w:val="22"/>
          <w:lang w:val="es-ES_tradnl"/>
        </w:rPr>
        <w:t>P</w:t>
      </w:r>
      <w:r w:rsidRPr="00F618D2">
        <w:rPr>
          <w:rFonts w:ascii="Arial" w:hAnsi="Arial" w:cs="Arial"/>
          <w:noProof/>
          <w:sz w:val="22"/>
          <w:szCs w:val="22"/>
          <w:lang w:val="es-ES_tradnl"/>
        </w:rPr>
        <w:t xml:space="preserve">resupuesto de la </w:t>
      </w:r>
      <w:r w:rsidR="00AF2C5C" w:rsidRPr="00F618D2">
        <w:rPr>
          <w:rFonts w:ascii="Arial" w:hAnsi="Arial" w:cs="Arial"/>
          <w:noProof/>
          <w:sz w:val="22"/>
          <w:szCs w:val="22"/>
          <w:lang w:val="es-ES_tradnl"/>
        </w:rPr>
        <w:t>E</w:t>
      </w:r>
      <w:r w:rsidRPr="00F618D2">
        <w:rPr>
          <w:rFonts w:ascii="Arial" w:hAnsi="Arial" w:cs="Arial"/>
          <w:noProof/>
          <w:sz w:val="22"/>
          <w:szCs w:val="22"/>
          <w:lang w:val="es-ES_tradnl"/>
        </w:rPr>
        <w:t>valuación</w:t>
      </w:r>
      <w:bookmarkEnd w:id="38"/>
      <w:bookmarkEnd w:id="39"/>
      <w:bookmarkEnd w:id="40"/>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bookmarkStart w:id="41" w:name="_Toc306977109"/>
      <w:r w:rsidRPr="00F618D2">
        <w:rPr>
          <w:rFonts w:ascii="Arial" w:hAnsi="Arial" w:cs="Arial"/>
          <w:sz w:val="22"/>
          <w:szCs w:val="22"/>
          <w:lang w:val="es-ES_tradnl"/>
        </w:rPr>
        <w:t xml:space="preserve">La evaluación será responsabilidad de </w:t>
      </w:r>
      <w:r w:rsidR="00A5399B" w:rsidRPr="00F618D2">
        <w:rPr>
          <w:rFonts w:ascii="Arial" w:hAnsi="Arial" w:cs="Arial"/>
          <w:sz w:val="22"/>
          <w:szCs w:val="22"/>
          <w:lang w:val="es-ES_tradnl"/>
        </w:rPr>
        <w:t>Bancomext</w:t>
      </w:r>
      <w:r w:rsidRPr="00F618D2">
        <w:rPr>
          <w:rFonts w:ascii="Arial" w:hAnsi="Arial" w:cs="Arial"/>
          <w:sz w:val="22"/>
          <w:szCs w:val="22"/>
          <w:lang w:val="es-ES_tradnl"/>
        </w:rPr>
        <w:t xml:space="preserve">, que presentará el informe final en base a las consideraciones detalladas en el presente Plan de Monitoreo y Evaluación. Para la ejecución de dicha evaluación, se prevé que </w:t>
      </w:r>
      <w:r w:rsidR="00E84FA1" w:rsidRPr="00F618D2">
        <w:rPr>
          <w:rFonts w:ascii="Arial" w:hAnsi="Arial" w:cs="Arial"/>
          <w:sz w:val="22"/>
          <w:szCs w:val="22"/>
          <w:lang w:val="es-ES_tradnl"/>
        </w:rPr>
        <w:t>Bancomext</w:t>
      </w:r>
      <w:r w:rsidRPr="00F618D2">
        <w:rPr>
          <w:rFonts w:ascii="Arial" w:hAnsi="Arial" w:cs="Arial"/>
          <w:sz w:val="22"/>
          <w:szCs w:val="22"/>
          <w:lang w:val="es-ES_tradnl"/>
        </w:rPr>
        <w:t xml:space="preserve"> utilice recursos propios</w:t>
      </w:r>
      <w:r w:rsidR="00381E73" w:rsidRPr="00F618D2">
        <w:rPr>
          <w:rFonts w:ascii="Arial" w:hAnsi="Arial" w:cs="Arial"/>
          <w:sz w:val="22"/>
          <w:szCs w:val="22"/>
          <w:lang w:val="es-ES_tradnl"/>
        </w:rPr>
        <w:t xml:space="preserve"> y se presupuestará</w:t>
      </w:r>
      <w:r w:rsidR="00877C16" w:rsidRPr="00F618D2">
        <w:rPr>
          <w:rFonts w:ascii="Arial" w:hAnsi="Arial" w:cs="Arial"/>
          <w:sz w:val="22"/>
          <w:szCs w:val="22"/>
          <w:lang w:val="es-ES_tradnl"/>
        </w:rPr>
        <w:t>n</w:t>
      </w:r>
      <w:r w:rsidR="00381E73" w:rsidRPr="00F618D2">
        <w:rPr>
          <w:rFonts w:ascii="Arial" w:hAnsi="Arial" w:cs="Arial"/>
          <w:sz w:val="22"/>
          <w:szCs w:val="22"/>
          <w:lang w:val="es-ES_tradnl"/>
        </w:rPr>
        <w:t xml:space="preserve"> 30.000 USD para tal fin.</w:t>
      </w:r>
      <w:r w:rsidRPr="00F618D2">
        <w:rPr>
          <w:rFonts w:ascii="Arial" w:hAnsi="Arial" w:cs="Arial"/>
          <w:sz w:val="22"/>
          <w:szCs w:val="22"/>
          <w:lang w:val="es-ES_tradnl"/>
        </w:rPr>
        <w:t xml:space="preserve"> </w:t>
      </w:r>
      <w:r w:rsidR="00165F6C" w:rsidRPr="00F618D2">
        <w:rPr>
          <w:rFonts w:ascii="Arial" w:hAnsi="Arial" w:cs="Arial"/>
          <w:sz w:val="22"/>
          <w:szCs w:val="22"/>
          <w:lang w:val="es-ES_tradnl"/>
        </w:rPr>
        <w:t>Los recursos asignados</w:t>
      </w:r>
      <w:r w:rsidRPr="00F618D2">
        <w:rPr>
          <w:rFonts w:ascii="Arial" w:hAnsi="Arial" w:cs="Arial"/>
          <w:sz w:val="22"/>
          <w:szCs w:val="22"/>
          <w:lang w:val="es-ES_tradnl"/>
        </w:rPr>
        <w:t xml:space="preserve"> se consideran adecuados y suficientes para garantizar la calidad y el buen éxito de los trabajos de evaluación.</w:t>
      </w:r>
      <w:r w:rsidR="00381E73" w:rsidRPr="00F618D2">
        <w:rPr>
          <w:rFonts w:ascii="Arial" w:hAnsi="Arial" w:cs="Arial"/>
          <w:sz w:val="22"/>
          <w:szCs w:val="22"/>
          <w:lang w:val="es-ES_tradnl"/>
        </w:rPr>
        <w:t xml:space="preserve"> </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La Dirección </w:t>
      </w:r>
      <w:r w:rsidR="001B313E" w:rsidRPr="00F618D2">
        <w:rPr>
          <w:rFonts w:ascii="Arial" w:hAnsi="Arial" w:cs="Arial"/>
          <w:sz w:val="22"/>
          <w:szCs w:val="22"/>
          <w:lang w:val="es-ES_tradnl"/>
        </w:rPr>
        <w:t xml:space="preserve">General Adjunta de Relaciones Institucionales e </w:t>
      </w:r>
      <w:r w:rsidRPr="00F618D2">
        <w:rPr>
          <w:rFonts w:ascii="Arial" w:hAnsi="Arial" w:cs="Arial"/>
          <w:sz w:val="22"/>
          <w:szCs w:val="22"/>
          <w:lang w:val="es-ES_tradnl"/>
        </w:rPr>
        <w:t>Internacionales, tendrá a su cargo la preparación y coordinación de las actividades de evaluación del programa. Desde el pun</w:t>
      </w:r>
      <w:r w:rsidR="00843D54" w:rsidRPr="00F618D2">
        <w:rPr>
          <w:rFonts w:ascii="Arial" w:hAnsi="Arial" w:cs="Arial"/>
          <w:sz w:val="22"/>
          <w:szCs w:val="22"/>
          <w:lang w:val="es-ES_tradnl"/>
        </w:rPr>
        <w:t xml:space="preserve">to de vista técnico </w:t>
      </w:r>
      <w:r w:rsidR="00B02B3D" w:rsidRPr="00F618D2">
        <w:rPr>
          <w:rFonts w:ascii="Arial" w:hAnsi="Arial" w:cs="Arial"/>
          <w:sz w:val="22"/>
          <w:szCs w:val="22"/>
          <w:lang w:val="es-ES_tradnl"/>
        </w:rPr>
        <w:t>y operativo, Bancomext</w:t>
      </w:r>
      <w:r w:rsidRPr="00F618D2">
        <w:rPr>
          <w:rFonts w:ascii="Arial" w:hAnsi="Arial" w:cs="Arial"/>
          <w:sz w:val="22"/>
          <w:szCs w:val="22"/>
          <w:lang w:val="es-ES_tradnl"/>
        </w:rPr>
        <w:t xml:space="preserve"> cumple con total competencia su responsabilidad y tiene capacidad administrativa y operativa, y personal calificado para evaluar la efectividad del programa propuesto. Además, la institución entiende el beneficio de optimizar el aprovechamiento de las lecciones aprendidas para la mejora de sus programas.</w:t>
      </w:r>
    </w:p>
    <w:p w:rsidR="00051B6C" w:rsidRPr="00F618D2" w:rsidRDefault="00051B6C" w:rsidP="00051B6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El Banco, por medio de su división de CMF y con apoyo de la Oficina de Planeamiento Estratégico y Efectividad en el Desarrollo (SPD), colaborará con </w:t>
      </w:r>
      <w:r w:rsidR="00B02B3D" w:rsidRPr="00F618D2">
        <w:rPr>
          <w:rFonts w:ascii="Arial" w:hAnsi="Arial" w:cs="Arial"/>
          <w:sz w:val="22"/>
          <w:szCs w:val="22"/>
          <w:lang w:val="es-ES_tradnl"/>
        </w:rPr>
        <w:t>Bancomext</w:t>
      </w:r>
      <w:r w:rsidRPr="00F618D2">
        <w:rPr>
          <w:rFonts w:ascii="Arial" w:hAnsi="Arial" w:cs="Arial"/>
          <w:sz w:val="22"/>
          <w:szCs w:val="22"/>
          <w:lang w:val="es-ES_tradnl"/>
        </w:rPr>
        <w:t xml:space="preserve"> en todos aquellos aspectos que éste requiera y solicite. El Banco podrá en su caso proveer apoyo técnico y financiero para la realización de las actividades de análisis especializado sobre la valoración económica de la mejora en el abastecimiento de </w:t>
      </w:r>
      <w:r w:rsidR="00843D54" w:rsidRPr="00F618D2">
        <w:rPr>
          <w:rFonts w:ascii="Arial" w:hAnsi="Arial" w:cs="Arial"/>
          <w:sz w:val="22"/>
          <w:szCs w:val="22"/>
          <w:lang w:val="es-ES_tradnl"/>
        </w:rPr>
        <w:t>energías más limpias</w:t>
      </w:r>
      <w:r w:rsidR="00EB445D" w:rsidRPr="00F618D2">
        <w:rPr>
          <w:rFonts w:ascii="Arial" w:hAnsi="Arial" w:cs="Arial"/>
          <w:sz w:val="22"/>
          <w:szCs w:val="22"/>
          <w:lang w:val="es-ES_tradnl"/>
        </w:rPr>
        <w:t>, el ahorro energético y/</w:t>
      </w:r>
      <w:r w:rsidRPr="00F618D2">
        <w:rPr>
          <w:rFonts w:ascii="Arial" w:hAnsi="Arial" w:cs="Arial"/>
          <w:sz w:val="22"/>
          <w:szCs w:val="22"/>
          <w:lang w:val="es-ES_tradnl"/>
        </w:rPr>
        <w:t>o sobre la</w:t>
      </w:r>
      <w:r w:rsidR="00C46817" w:rsidRPr="00F618D2">
        <w:rPr>
          <w:rFonts w:ascii="Arial" w:hAnsi="Arial" w:cs="Arial"/>
          <w:sz w:val="22"/>
          <w:szCs w:val="22"/>
          <w:lang w:val="es-ES_tradnl"/>
        </w:rPr>
        <w:t>s</w:t>
      </w:r>
      <w:r w:rsidRPr="00F618D2">
        <w:rPr>
          <w:rFonts w:ascii="Arial" w:hAnsi="Arial" w:cs="Arial"/>
          <w:sz w:val="22"/>
          <w:szCs w:val="22"/>
          <w:lang w:val="es-ES_tradnl"/>
        </w:rPr>
        <w:t xml:space="preserve"> emisiones de GEI</w:t>
      </w:r>
      <w:r w:rsidR="00C46817" w:rsidRPr="00F618D2">
        <w:rPr>
          <w:rFonts w:ascii="Arial" w:hAnsi="Arial" w:cs="Arial"/>
          <w:sz w:val="22"/>
          <w:szCs w:val="22"/>
          <w:lang w:val="es-ES_tradnl"/>
        </w:rPr>
        <w:t xml:space="preserve"> reducidas </w:t>
      </w:r>
      <w:r w:rsidR="00F52F5C" w:rsidRPr="00F618D2">
        <w:rPr>
          <w:rFonts w:ascii="Arial" w:hAnsi="Arial" w:cs="Arial"/>
          <w:sz w:val="22"/>
          <w:szCs w:val="22"/>
          <w:lang w:val="es-ES_tradnl"/>
        </w:rPr>
        <w:t>o evitadas por proyectos de EE</w:t>
      </w:r>
      <w:r w:rsidR="00C46817" w:rsidRPr="00F618D2">
        <w:rPr>
          <w:rFonts w:ascii="Arial" w:hAnsi="Arial" w:cs="Arial"/>
          <w:sz w:val="22"/>
          <w:szCs w:val="22"/>
          <w:lang w:val="es-ES_tradnl"/>
        </w:rPr>
        <w:t>.</w:t>
      </w:r>
    </w:p>
    <w:p w:rsidR="00AF2C5C" w:rsidRDefault="00051B6C" w:rsidP="00AF2C5C">
      <w:pPr>
        <w:pStyle w:val="Paragraph"/>
        <w:tabs>
          <w:tab w:val="clear" w:pos="2736"/>
          <w:tab w:val="num" w:pos="720"/>
        </w:tabs>
        <w:ind w:left="720" w:hanging="720"/>
        <w:rPr>
          <w:rFonts w:ascii="Arial" w:hAnsi="Arial" w:cs="Arial"/>
          <w:sz w:val="22"/>
          <w:szCs w:val="22"/>
          <w:lang w:val="es-ES_tradnl"/>
        </w:rPr>
      </w:pPr>
      <w:r w:rsidRPr="00F618D2">
        <w:rPr>
          <w:rFonts w:ascii="Arial" w:hAnsi="Arial" w:cs="Arial"/>
          <w:sz w:val="22"/>
          <w:szCs w:val="22"/>
          <w:lang w:val="es-ES_tradnl"/>
        </w:rPr>
        <w:t xml:space="preserve">Los costos de las actividades definidas en este plan serán financiados con fondos </w:t>
      </w:r>
      <w:r w:rsidR="003D06A9" w:rsidRPr="00F618D2">
        <w:rPr>
          <w:rFonts w:ascii="Arial" w:hAnsi="Arial" w:cs="Arial"/>
          <w:sz w:val="22"/>
          <w:szCs w:val="22"/>
          <w:lang w:val="es-ES_tradnl"/>
        </w:rPr>
        <w:t xml:space="preserve">de </w:t>
      </w:r>
      <w:r w:rsidR="00F52F5C" w:rsidRPr="00F618D2">
        <w:rPr>
          <w:rFonts w:ascii="Arial" w:hAnsi="Arial" w:cs="Arial"/>
          <w:sz w:val="22"/>
          <w:szCs w:val="22"/>
          <w:lang w:val="es-ES_tradnl"/>
        </w:rPr>
        <w:t>Bancomext</w:t>
      </w:r>
      <w:r w:rsidR="003D06A9" w:rsidRPr="00F618D2">
        <w:rPr>
          <w:rFonts w:ascii="Arial" w:hAnsi="Arial" w:cs="Arial"/>
          <w:sz w:val="22"/>
          <w:szCs w:val="22"/>
          <w:lang w:val="es-ES_tradnl"/>
        </w:rPr>
        <w:t xml:space="preserve"> o del </w:t>
      </w:r>
      <w:r w:rsidRPr="00F618D2">
        <w:rPr>
          <w:rFonts w:ascii="Arial" w:hAnsi="Arial" w:cs="Arial"/>
          <w:sz w:val="22"/>
          <w:szCs w:val="22"/>
          <w:lang w:val="es-ES_tradnl"/>
        </w:rPr>
        <w:t xml:space="preserve">presupuesto transaccional de la división de CMF del Banco y su conclusión está prevista para fines del quinto año de ejecución del programa (ver detalle en el cuadro 3.2). Cualquier evaluación adicional, con fines más específicos o que busque determinar externalidades que resulten de la ejecución del Programa, podrá ser acordada por el Banco con </w:t>
      </w:r>
      <w:r w:rsidR="00F52F5C" w:rsidRPr="00F618D2">
        <w:rPr>
          <w:rFonts w:ascii="Arial" w:hAnsi="Arial" w:cs="Arial"/>
          <w:sz w:val="22"/>
          <w:szCs w:val="22"/>
          <w:lang w:val="es-ES_tradnl"/>
        </w:rPr>
        <w:t>Bancomext</w:t>
      </w:r>
      <w:r w:rsidRPr="00F618D2">
        <w:rPr>
          <w:rFonts w:ascii="Arial" w:hAnsi="Arial" w:cs="Arial"/>
          <w:sz w:val="22"/>
          <w:szCs w:val="22"/>
          <w:lang w:val="es-ES_tradnl"/>
        </w:rPr>
        <w:t xml:space="preserve"> en caso se considere pertinente, pero no se incorpora como parte del presente Plan de Monitoreo y Evaluación.</w:t>
      </w:r>
    </w:p>
    <w:p w:rsidR="00F618D2" w:rsidRDefault="00F618D2" w:rsidP="00F618D2">
      <w:pPr>
        <w:pStyle w:val="Paragraph"/>
        <w:numPr>
          <w:ilvl w:val="0"/>
          <w:numId w:val="0"/>
        </w:numPr>
        <w:ind w:left="720"/>
        <w:rPr>
          <w:rFonts w:ascii="Arial" w:hAnsi="Arial" w:cs="Arial"/>
          <w:sz w:val="22"/>
          <w:szCs w:val="22"/>
          <w:lang w:val="es-ES_tradnl"/>
        </w:rPr>
      </w:pPr>
    </w:p>
    <w:p w:rsidR="00F618D2" w:rsidRDefault="00F618D2" w:rsidP="00F618D2">
      <w:pPr>
        <w:pStyle w:val="Paragraph"/>
        <w:numPr>
          <w:ilvl w:val="0"/>
          <w:numId w:val="0"/>
        </w:numPr>
        <w:ind w:left="720"/>
        <w:rPr>
          <w:rFonts w:ascii="Arial" w:hAnsi="Arial" w:cs="Arial"/>
          <w:sz w:val="22"/>
          <w:szCs w:val="22"/>
          <w:lang w:val="es-ES_tradnl"/>
        </w:rPr>
      </w:pPr>
    </w:p>
    <w:p w:rsidR="00F618D2" w:rsidRPr="00F618D2" w:rsidRDefault="00F618D2" w:rsidP="00F618D2">
      <w:pPr>
        <w:pStyle w:val="Paragraph"/>
        <w:numPr>
          <w:ilvl w:val="0"/>
          <w:numId w:val="0"/>
        </w:numPr>
        <w:ind w:left="720"/>
        <w:rPr>
          <w:rFonts w:ascii="Arial" w:hAnsi="Arial" w:cs="Arial"/>
          <w:sz w:val="22"/>
          <w:szCs w:val="22"/>
          <w:lang w:val="es-ES_tradnl"/>
        </w:rPr>
      </w:pPr>
    </w:p>
    <w:bookmarkEnd w:id="41"/>
    <w:p w:rsidR="00051B6C" w:rsidRPr="00007908" w:rsidRDefault="00AF2C5C" w:rsidP="001F3871">
      <w:pPr>
        <w:pStyle w:val="Paragraph"/>
        <w:numPr>
          <w:ilvl w:val="0"/>
          <w:numId w:val="0"/>
        </w:numPr>
        <w:spacing w:before="240"/>
        <w:jc w:val="center"/>
        <w:rPr>
          <w:rFonts w:ascii="Arial" w:hAnsi="Arial" w:cs="Arial"/>
          <w:b/>
          <w:sz w:val="22"/>
          <w:lang w:val="es-ES"/>
        </w:rPr>
      </w:pPr>
      <w:r w:rsidRPr="00007908">
        <w:rPr>
          <w:rFonts w:ascii="Arial" w:hAnsi="Arial" w:cs="Arial"/>
          <w:b/>
          <w:sz w:val="22"/>
          <w:lang w:val="es-ES"/>
        </w:rPr>
        <w:t xml:space="preserve">          </w:t>
      </w:r>
      <w:r w:rsidR="00051B6C" w:rsidRPr="00007908">
        <w:rPr>
          <w:rFonts w:ascii="Arial" w:hAnsi="Arial" w:cs="Arial"/>
          <w:b/>
          <w:sz w:val="22"/>
          <w:lang w:val="es-ES"/>
        </w:rPr>
        <w:t>Cuadro 3.2: Programación de las actividades de evaluación</w:t>
      </w:r>
    </w:p>
    <w:tbl>
      <w:tblPr>
        <w:tblW w:w="8028" w:type="dxa"/>
        <w:jc w:val="right"/>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5"/>
        <w:gridCol w:w="540"/>
        <w:gridCol w:w="630"/>
        <w:gridCol w:w="630"/>
        <w:gridCol w:w="630"/>
        <w:gridCol w:w="630"/>
        <w:gridCol w:w="1723"/>
      </w:tblGrid>
      <w:tr w:rsidR="00506774" w:rsidRPr="00007908" w:rsidTr="00AF2C5C">
        <w:trPr>
          <w:jc w:val="right"/>
        </w:trPr>
        <w:tc>
          <w:tcPr>
            <w:tcW w:w="3245" w:type="dxa"/>
            <w:shd w:val="clear" w:color="auto" w:fill="B8CCE4" w:themeFill="accent1" w:themeFillTint="66"/>
          </w:tcPr>
          <w:p w:rsidR="00506774" w:rsidRPr="00007908" w:rsidRDefault="00506774" w:rsidP="00FA03F1">
            <w:pPr>
              <w:spacing w:before="60" w:after="60"/>
              <w:rPr>
                <w:rFonts w:ascii="Arial" w:hAnsi="Arial" w:cs="Arial"/>
                <w:b/>
                <w:sz w:val="18"/>
                <w:szCs w:val="18"/>
                <w:lang w:val="es-ES_tradnl"/>
              </w:rPr>
            </w:pPr>
            <w:r w:rsidRPr="00007908">
              <w:rPr>
                <w:rFonts w:ascii="Arial" w:hAnsi="Arial" w:cs="Arial"/>
                <w:b/>
                <w:sz w:val="18"/>
                <w:szCs w:val="18"/>
                <w:lang w:val="es-ES_tradnl"/>
              </w:rPr>
              <w:t>Principales actividades</w:t>
            </w:r>
          </w:p>
        </w:tc>
        <w:tc>
          <w:tcPr>
            <w:tcW w:w="540" w:type="dxa"/>
            <w:shd w:val="clear" w:color="auto" w:fill="B8CCE4" w:themeFill="accent1" w:themeFillTint="66"/>
          </w:tcPr>
          <w:p w:rsidR="00506774" w:rsidRPr="00007908" w:rsidRDefault="00506774" w:rsidP="00FA03F1">
            <w:pPr>
              <w:spacing w:before="60" w:after="60"/>
              <w:jc w:val="center"/>
              <w:rPr>
                <w:rFonts w:ascii="Arial" w:hAnsi="Arial" w:cs="Arial"/>
                <w:b/>
                <w:sz w:val="18"/>
                <w:szCs w:val="18"/>
                <w:lang w:val="es-ES_tradnl"/>
              </w:rPr>
            </w:pPr>
            <w:r w:rsidRPr="00007908">
              <w:rPr>
                <w:rFonts w:ascii="Arial" w:hAnsi="Arial" w:cs="Arial"/>
                <w:b/>
                <w:sz w:val="18"/>
                <w:szCs w:val="18"/>
                <w:lang w:val="es-ES_tradnl"/>
              </w:rPr>
              <w:t>Y1</w:t>
            </w:r>
          </w:p>
        </w:tc>
        <w:tc>
          <w:tcPr>
            <w:tcW w:w="630" w:type="dxa"/>
            <w:shd w:val="clear" w:color="auto" w:fill="B8CCE4" w:themeFill="accent1" w:themeFillTint="66"/>
          </w:tcPr>
          <w:p w:rsidR="00506774" w:rsidRPr="00007908" w:rsidRDefault="00506774" w:rsidP="00FA03F1">
            <w:pPr>
              <w:spacing w:before="60" w:after="60"/>
              <w:jc w:val="center"/>
              <w:rPr>
                <w:rFonts w:ascii="Arial" w:hAnsi="Arial" w:cs="Arial"/>
                <w:b/>
                <w:sz w:val="18"/>
                <w:szCs w:val="18"/>
                <w:lang w:val="es-ES_tradnl"/>
              </w:rPr>
            </w:pPr>
            <w:r w:rsidRPr="00007908">
              <w:rPr>
                <w:rFonts w:ascii="Arial" w:hAnsi="Arial" w:cs="Arial"/>
                <w:b/>
                <w:sz w:val="18"/>
                <w:szCs w:val="18"/>
                <w:lang w:val="es-ES_tradnl"/>
              </w:rPr>
              <w:t>Y2</w:t>
            </w:r>
          </w:p>
        </w:tc>
        <w:tc>
          <w:tcPr>
            <w:tcW w:w="630" w:type="dxa"/>
            <w:shd w:val="clear" w:color="auto" w:fill="B8CCE4" w:themeFill="accent1" w:themeFillTint="66"/>
          </w:tcPr>
          <w:p w:rsidR="00506774" w:rsidRPr="00007908" w:rsidRDefault="00506774" w:rsidP="00FA03F1">
            <w:pPr>
              <w:spacing w:before="60" w:after="60"/>
              <w:jc w:val="center"/>
              <w:rPr>
                <w:rFonts w:ascii="Arial" w:hAnsi="Arial" w:cs="Arial"/>
                <w:b/>
                <w:sz w:val="18"/>
                <w:szCs w:val="18"/>
                <w:lang w:val="es-ES_tradnl"/>
              </w:rPr>
            </w:pPr>
            <w:r w:rsidRPr="00007908">
              <w:rPr>
                <w:rFonts w:ascii="Arial" w:hAnsi="Arial" w:cs="Arial"/>
                <w:b/>
                <w:sz w:val="18"/>
                <w:szCs w:val="18"/>
                <w:lang w:val="es-ES_tradnl"/>
              </w:rPr>
              <w:t>Y3</w:t>
            </w:r>
          </w:p>
        </w:tc>
        <w:tc>
          <w:tcPr>
            <w:tcW w:w="630" w:type="dxa"/>
            <w:shd w:val="clear" w:color="auto" w:fill="B8CCE4" w:themeFill="accent1" w:themeFillTint="66"/>
          </w:tcPr>
          <w:p w:rsidR="00506774" w:rsidRPr="00007908" w:rsidRDefault="00506774" w:rsidP="00FA03F1">
            <w:pPr>
              <w:spacing w:before="60" w:after="60"/>
              <w:jc w:val="center"/>
              <w:rPr>
                <w:rFonts w:ascii="Arial" w:hAnsi="Arial" w:cs="Arial"/>
                <w:b/>
                <w:sz w:val="18"/>
                <w:szCs w:val="18"/>
                <w:lang w:val="es-ES_tradnl"/>
              </w:rPr>
            </w:pPr>
            <w:r w:rsidRPr="00007908">
              <w:rPr>
                <w:rFonts w:ascii="Arial" w:hAnsi="Arial" w:cs="Arial"/>
                <w:b/>
                <w:sz w:val="18"/>
                <w:szCs w:val="18"/>
                <w:lang w:val="es-ES_tradnl"/>
              </w:rPr>
              <w:t>Y4</w:t>
            </w:r>
          </w:p>
        </w:tc>
        <w:tc>
          <w:tcPr>
            <w:tcW w:w="630" w:type="dxa"/>
            <w:shd w:val="clear" w:color="auto" w:fill="B8CCE4" w:themeFill="accent1" w:themeFillTint="66"/>
          </w:tcPr>
          <w:p w:rsidR="00506774" w:rsidRPr="00007908" w:rsidRDefault="00506774" w:rsidP="00FA03F1">
            <w:pPr>
              <w:spacing w:before="60" w:after="60"/>
              <w:jc w:val="center"/>
              <w:rPr>
                <w:rFonts w:ascii="Arial" w:hAnsi="Arial" w:cs="Arial"/>
                <w:b/>
                <w:sz w:val="18"/>
                <w:szCs w:val="18"/>
                <w:lang w:val="es-ES_tradnl"/>
              </w:rPr>
            </w:pPr>
            <w:r w:rsidRPr="00007908">
              <w:rPr>
                <w:rFonts w:ascii="Arial" w:hAnsi="Arial" w:cs="Arial"/>
                <w:b/>
                <w:sz w:val="18"/>
                <w:szCs w:val="18"/>
                <w:lang w:val="es-ES_tradnl"/>
              </w:rPr>
              <w:t>Y5</w:t>
            </w:r>
          </w:p>
        </w:tc>
        <w:tc>
          <w:tcPr>
            <w:tcW w:w="1723" w:type="dxa"/>
            <w:shd w:val="clear" w:color="auto" w:fill="B8CCE4" w:themeFill="accent1" w:themeFillTint="66"/>
          </w:tcPr>
          <w:p w:rsidR="00506774" w:rsidRPr="00007908" w:rsidRDefault="00506774" w:rsidP="00FA03F1">
            <w:pPr>
              <w:spacing w:before="60" w:after="60"/>
              <w:rPr>
                <w:rFonts w:ascii="Arial" w:hAnsi="Arial" w:cs="Arial"/>
                <w:b/>
                <w:sz w:val="18"/>
                <w:szCs w:val="18"/>
                <w:lang w:val="es-ES_tradnl"/>
              </w:rPr>
            </w:pPr>
            <w:r w:rsidRPr="00007908">
              <w:rPr>
                <w:rFonts w:ascii="Arial" w:hAnsi="Arial" w:cs="Arial"/>
                <w:b/>
                <w:sz w:val="18"/>
                <w:szCs w:val="18"/>
                <w:lang w:val="es-ES_tradnl"/>
              </w:rPr>
              <w:t>Responsable</w:t>
            </w:r>
          </w:p>
        </w:tc>
      </w:tr>
      <w:tr w:rsidR="00506774" w:rsidRPr="00007908" w:rsidTr="00AF2C5C">
        <w:trPr>
          <w:jc w:val="right"/>
        </w:trPr>
        <w:tc>
          <w:tcPr>
            <w:tcW w:w="3245" w:type="dxa"/>
          </w:tcPr>
          <w:p w:rsidR="00506774" w:rsidRPr="00007908" w:rsidRDefault="00506774" w:rsidP="00FA03F1">
            <w:pPr>
              <w:spacing w:after="0"/>
              <w:rPr>
                <w:rFonts w:ascii="Arial" w:hAnsi="Arial" w:cs="Arial"/>
                <w:sz w:val="18"/>
                <w:szCs w:val="18"/>
                <w:lang w:val="es-ES_tradnl"/>
              </w:rPr>
            </w:pPr>
            <w:r w:rsidRPr="00007908">
              <w:rPr>
                <w:rFonts w:ascii="Arial" w:hAnsi="Arial" w:cs="Arial"/>
                <w:sz w:val="18"/>
                <w:szCs w:val="18"/>
                <w:lang w:val="es-ES_tradnl"/>
              </w:rPr>
              <w:t xml:space="preserve">Reuniones de coordinación </w:t>
            </w:r>
          </w:p>
        </w:tc>
        <w:tc>
          <w:tcPr>
            <w:tcW w:w="54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1723" w:type="dxa"/>
          </w:tcPr>
          <w:p w:rsidR="00506774" w:rsidRPr="00007908" w:rsidRDefault="006C38D8" w:rsidP="00FA03F1">
            <w:pPr>
              <w:spacing w:after="0"/>
              <w:rPr>
                <w:rFonts w:ascii="Arial" w:hAnsi="Arial" w:cs="Arial"/>
                <w:sz w:val="18"/>
                <w:szCs w:val="18"/>
                <w:lang w:val="es-ES_tradnl"/>
              </w:rPr>
            </w:pPr>
            <w:r w:rsidRPr="00007908">
              <w:rPr>
                <w:rFonts w:ascii="Arial" w:hAnsi="Arial" w:cs="Arial"/>
                <w:sz w:val="18"/>
                <w:szCs w:val="18"/>
                <w:lang w:val="es-ES_tradnl"/>
              </w:rPr>
              <w:t>Bancomext</w:t>
            </w:r>
          </w:p>
        </w:tc>
      </w:tr>
      <w:tr w:rsidR="003D06A9" w:rsidRPr="00007908" w:rsidTr="00AF2C5C">
        <w:trPr>
          <w:jc w:val="right"/>
        </w:trPr>
        <w:tc>
          <w:tcPr>
            <w:tcW w:w="3245" w:type="dxa"/>
          </w:tcPr>
          <w:p w:rsidR="003D06A9" w:rsidRPr="00007908" w:rsidRDefault="003D06A9" w:rsidP="00506774">
            <w:pPr>
              <w:spacing w:after="0"/>
              <w:rPr>
                <w:rFonts w:ascii="Arial" w:hAnsi="Arial" w:cs="Arial"/>
                <w:sz w:val="18"/>
                <w:szCs w:val="18"/>
                <w:lang w:val="es-ES_tradnl"/>
              </w:rPr>
            </w:pPr>
            <w:r w:rsidRPr="00007908">
              <w:rPr>
                <w:rFonts w:ascii="Arial" w:hAnsi="Arial" w:cs="Arial"/>
                <w:sz w:val="18"/>
                <w:szCs w:val="18"/>
                <w:lang w:val="es-ES_tradnl"/>
              </w:rPr>
              <w:t>Recolección de información de línea de base (Informe 1)</w:t>
            </w:r>
          </w:p>
        </w:tc>
        <w:tc>
          <w:tcPr>
            <w:tcW w:w="540" w:type="dxa"/>
          </w:tcPr>
          <w:p w:rsidR="003D06A9" w:rsidRPr="00007908" w:rsidRDefault="003D06A9" w:rsidP="00FA03F1">
            <w:pPr>
              <w:spacing w:after="0"/>
              <w:jc w:val="center"/>
              <w:rPr>
                <w:rFonts w:ascii="Arial" w:hAnsi="Arial" w:cs="Arial"/>
                <w:sz w:val="18"/>
                <w:szCs w:val="18"/>
                <w:lang w:val="es-ES_tradnl"/>
              </w:rPr>
            </w:pPr>
            <w:r w:rsidRPr="00007908">
              <w:rPr>
                <w:rFonts w:ascii="Arial" w:hAnsi="Arial" w:cs="Arial"/>
                <w:sz w:val="18"/>
                <w:szCs w:val="18"/>
                <w:lang w:val="es-ES_tradnl"/>
              </w:rPr>
              <w:t>II</w:t>
            </w:r>
          </w:p>
        </w:tc>
        <w:tc>
          <w:tcPr>
            <w:tcW w:w="630" w:type="dxa"/>
          </w:tcPr>
          <w:p w:rsidR="003D06A9" w:rsidRPr="00007908" w:rsidRDefault="003D06A9" w:rsidP="00FA03F1">
            <w:pPr>
              <w:spacing w:after="0"/>
              <w:jc w:val="center"/>
              <w:rPr>
                <w:rFonts w:ascii="Arial" w:hAnsi="Arial" w:cs="Arial"/>
                <w:sz w:val="18"/>
                <w:szCs w:val="18"/>
                <w:lang w:val="es-ES_tradnl"/>
              </w:rPr>
            </w:pPr>
          </w:p>
        </w:tc>
        <w:tc>
          <w:tcPr>
            <w:tcW w:w="630" w:type="dxa"/>
          </w:tcPr>
          <w:p w:rsidR="003D06A9" w:rsidRPr="00007908" w:rsidRDefault="003D06A9" w:rsidP="00FA03F1">
            <w:pPr>
              <w:spacing w:after="0"/>
              <w:jc w:val="center"/>
              <w:rPr>
                <w:rFonts w:ascii="Arial" w:hAnsi="Arial" w:cs="Arial"/>
                <w:sz w:val="18"/>
                <w:szCs w:val="18"/>
                <w:lang w:val="es-ES_tradnl"/>
              </w:rPr>
            </w:pPr>
          </w:p>
        </w:tc>
        <w:tc>
          <w:tcPr>
            <w:tcW w:w="630" w:type="dxa"/>
          </w:tcPr>
          <w:p w:rsidR="003D06A9" w:rsidRPr="00007908" w:rsidRDefault="003D06A9" w:rsidP="00FA03F1">
            <w:pPr>
              <w:spacing w:after="0"/>
              <w:jc w:val="center"/>
              <w:rPr>
                <w:rFonts w:ascii="Arial" w:hAnsi="Arial" w:cs="Arial"/>
                <w:sz w:val="18"/>
                <w:szCs w:val="18"/>
                <w:lang w:val="es-ES_tradnl"/>
              </w:rPr>
            </w:pPr>
          </w:p>
        </w:tc>
        <w:tc>
          <w:tcPr>
            <w:tcW w:w="630" w:type="dxa"/>
          </w:tcPr>
          <w:p w:rsidR="003D06A9" w:rsidRPr="00007908" w:rsidRDefault="003D06A9" w:rsidP="00FA03F1">
            <w:pPr>
              <w:spacing w:after="0"/>
              <w:jc w:val="center"/>
              <w:rPr>
                <w:rFonts w:ascii="Arial" w:hAnsi="Arial" w:cs="Arial"/>
                <w:sz w:val="18"/>
                <w:szCs w:val="18"/>
                <w:lang w:val="es-ES_tradnl"/>
              </w:rPr>
            </w:pPr>
          </w:p>
        </w:tc>
        <w:tc>
          <w:tcPr>
            <w:tcW w:w="1723" w:type="dxa"/>
          </w:tcPr>
          <w:p w:rsidR="003D06A9" w:rsidRPr="00007908" w:rsidRDefault="006C38D8" w:rsidP="00FA03F1">
            <w:pPr>
              <w:spacing w:after="0"/>
              <w:rPr>
                <w:rFonts w:ascii="Arial" w:hAnsi="Arial" w:cs="Arial"/>
                <w:sz w:val="18"/>
                <w:szCs w:val="18"/>
                <w:lang w:val="es-ES_tradnl"/>
              </w:rPr>
            </w:pPr>
            <w:r w:rsidRPr="00007908">
              <w:rPr>
                <w:rFonts w:ascii="Arial" w:hAnsi="Arial" w:cs="Arial"/>
                <w:sz w:val="18"/>
                <w:szCs w:val="18"/>
                <w:lang w:val="es-ES_tradnl"/>
              </w:rPr>
              <w:t xml:space="preserve">Bancomext </w:t>
            </w:r>
            <w:r w:rsidR="003D06A9" w:rsidRPr="00007908">
              <w:rPr>
                <w:rFonts w:ascii="Arial" w:hAnsi="Arial" w:cs="Arial"/>
                <w:sz w:val="18"/>
                <w:szCs w:val="18"/>
                <w:lang w:val="es-ES_tradnl"/>
              </w:rPr>
              <w:t>/BID</w:t>
            </w:r>
          </w:p>
        </w:tc>
      </w:tr>
      <w:tr w:rsidR="00506774" w:rsidRPr="00007908" w:rsidTr="00AF2C5C">
        <w:trPr>
          <w:jc w:val="right"/>
        </w:trPr>
        <w:tc>
          <w:tcPr>
            <w:tcW w:w="3245" w:type="dxa"/>
          </w:tcPr>
          <w:p w:rsidR="00506774" w:rsidRPr="00007908" w:rsidRDefault="00506774" w:rsidP="003D06A9">
            <w:pPr>
              <w:spacing w:after="0"/>
              <w:rPr>
                <w:rFonts w:ascii="Arial" w:hAnsi="Arial" w:cs="Arial"/>
                <w:sz w:val="18"/>
                <w:szCs w:val="18"/>
                <w:lang w:val="es-ES_tradnl"/>
              </w:rPr>
            </w:pPr>
            <w:r w:rsidRPr="00007908">
              <w:rPr>
                <w:rFonts w:ascii="Arial" w:hAnsi="Arial" w:cs="Arial"/>
                <w:sz w:val="18"/>
                <w:szCs w:val="18"/>
                <w:lang w:val="es-ES_tradnl"/>
              </w:rPr>
              <w:t>Análisis Costo Beneficio</w:t>
            </w:r>
            <w:r w:rsidR="003D06A9" w:rsidRPr="00007908">
              <w:rPr>
                <w:rFonts w:ascii="Arial" w:hAnsi="Arial" w:cs="Arial"/>
                <w:sz w:val="18"/>
                <w:szCs w:val="18"/>
                <w:lang w:val="es-ES_tradnl"/>
              </w:rPr>
              <w:t xml:space="preserve"> ExPost (Informe 2)</w:t>
            </w:r>
          </w:p>
        </w:tc>
        <w:tc>
          <w:tcPr>
            <w:tcW w:w="54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3D06A9" w:rsidP="00FA03F1">
            <w:pPr>
              <w:spacing w:after="0"/>
              <w:jc w:val="center"/>
              <w:rPr>
                <w:rFonts w:ascii="Arial" w:hAnsi="Arial" w:cs="Arial"/>
                <w:sz w:val="18"/>
                <w:szCs w:val="18"/>
                <w:lang w:val="es-ES_tradnl"/>
              </w:rPr>
            </w:pPr>
            <w:r w:rsidRPr="00007908">
              <w:rPr>
                <w:rFonts w:ascii="Arial" w:hAnsi="Arial" w:cs="Arial"/>
                <w:sz w:val="18"/>
                <w:szCs w:val="18"/>
                <w:lang w:val="es-ES_tradnl"/>
              </w:rPr>
              <w:t>II</w:t>
            </w: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1723" w:type="dxa"/>
          </w:tcPr>
          <w:p w:rsidR="00506774" w:rsidRPr="00007908" w:rsidRDefault="006C38D8" w:rsidP="00FA03F1">
            <w:pPr>
              <w:spacing w:after="0"/>
              <w:rPr>
                <w:rFonts w:ascii="Arial" w:hAnsi="Arial" w:cs="Arial"/>
                <w:sz w:val="18"/>
                <w:szCs w:val="18"/>
                <w:lang w:val="es-ES_tradnl"/>
              </w:rPr>
            </w:pPr>
            <w:r w:rsidRPr="00007908">
              <w:rPr>
                <w:rFonts w:ascii="Arial" w:hAnsi="Arial" w:cs="Arial"/>
                <w:sz w:val="18"/>
                <w:szCs w:val="18"/>
                <w:lang w:val="es-ES_tradnl"/>
              </w:rPr>
              <w:t xml:space="preserve">Bancomext </w:t>
            </w:r>
            <w:r w:rsidR="00506774" w:rsidRPr="00007908">
              <w:rPr>
                <w:rFonts w:ascii="Arial" w:hAnsi="Arial" w:cs="Arial"/>
                <w:sz w:val="18"/>
                <w:szCs w:val="18"/>
                <w:lang w:val="es-ES_tradnl"/>
              </w:rPr>
              <w:t>/BID</w:t>
            </w:r>
          </w:p>
        </w:tc>
      </w:tr>
      <w:tr w:rsidR="00506774" w:rsidRPr="00007908" w:rsidTr="00AF2C5C">
        <w:trPr>
          <w:jc w:val="right"/>
        </w:trPr>
        <w:tc>
          <w:tcPr>
            <w:tcW w:w="3245" w:type="dxa"/>
          </w:tcPr>
          <w:p w:rsidR="00506774" w:rsidRPr="00007908" w:rsidRDefault="00506774" w:rsidP="00FA03F1">
            <w:pPr>
              <w:spacing w:after="0"/>
              <w:rPr>
                <w:rFonts w:ascii="Arial" w:hAnsi="Arial" w:cs="Arial"/>
                <w:sz w:val="18"/>
                <w:szCs w:val="18"/>
                <w:lang w:val="es-ES_tradnl"/>
              </w:rPr>
            </w:pPr>
            <w:r w:rsidRPr="00007908">
              <w:rPr>
                <w:rFonts w:ascii="Arial" w:hAnsi="Arial" w:cs="Arial"/>
                <w:sz w:val="18"/>
                <w:szCs w:val="18"/>
                <w:lang w:val="es-ES_tradnl"/>
              </w:rPr>
              <w:t>Elaboración de Informe final de Evaluación</w:t>
            </w:r>
            <w:r w:rsidR="003D06A9" w:rsidRPr="00007908">
              <w:rPr>
                <w:rFonts w:ascii="Arial" w:hAnsi="Arial" w:cs="Arial"/>
                <w:sz w:val="18"/>
                <w:szCs w:val="18"/>
                <w:lang w:val="es-ES_tradnl"/>
              </w:rPr>
              <w:t xml:space="preserve"> (Informe III)</w:t>
            </w:r>
          </w:p>
        </w:tc>
        <w:tc>
          <w:tcPr>
            <w:tcW w:w="54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506774" w:rsidP="00FA03F1">
            <w:pPr>
              <w:spacing w:after="0"/>
              <w:jc w:val="center"/>
              <w:rPr>
                <w:rFonts w:ascii="Arial" w:hAnsi="Arial" w:cs="Arial"/>
                <w:sz w:val="18"/>
                <w:szCs w:val="18"/>
                <w:lang w:val="es-ES_tradnl"/>
              </w:rPr>
            </w:pPr>
          </w:p>
        </w:tc>
        <w:tc>
          <w:tcPr>
            <w:tcW w:w="630" w:type="dxa"/>
          </w:tcPr>
          <w:p w:rsidR="00506774" w:rsidRPr="00007908" w:rsidRDefault="003D06A9" w:rsidP="00FA03F1">
            <w:pPr>
              <w:spacing w:after="0"/>
              <w:jc w:val="center"/>
              <w:rPr>
                <w:rFonts w:ascii="Arial" w:hAnsi="Arial" w:cs="Arial"/>
                <w:sz w:val="18"/>
                <w:szCs w:val="18"/>
                <w:lang w:val="es-ES_tradnl"/>
              </w:rPr>
            </w:pPr>
            <w:r w:rsidRPr="00007908">
              <w:rPr>
                <w:rFonts w:ascii="Arial" w:hAnsi="Arial" w:cs="Arial"/>
                <w:sz w:val="18"/>
                <w:szCs w:val="18"/>
                <w:lang w:val="es-ES_tradnl"/>
              </w:rPr>
              <w:t>II</w:t>
            </w:r>
          </w:p>
        </w:tc>
        <w:tc>
          <w:tcPr>
            <w:tcW w:w="1723" w:type="dxa"/>
          </w:tcPr>
          <w:p w:rsidR="00506774" w:rsidRPr="00007908" w:rsidRDefault="006C38D8" w:rsidP="00FA03F1">
            <w:pPr>
              <w:spacing w:after="0"/>
              <w:rPr>
                <w:rFonts w:ascii="Arial" w:hAnsi="Arial" w:cs="Arial"/>
                <w:sz w:val="18"/>
                <w:szCs w:val="18"/>
                <w:lang w:val="es-ES_tradnl"/>
              </w:rPr>
            </w:pPr>
            <w:r w:rsidRPr="00007908">
              <w:rPr>
                <w:rFonts w:ascii="Arial" w:hAnsi="Arial" w:cs="Arial"/>
                <w:sz w:val="18"/>
                <w:szCs w:val="18"/>
                <w:lang w:val="es-ES_tradnl"/>
              </w:rPr>
              <w:t xml:space="preserve">Bancomext </w:t>
            </w:r>
            <w:r w:rsidR="003D06A9" w:rsidRPr="00007908">
              <w:rPr>
                <w:rFonts w:ascii="Arial" w:hAnsi="Arial" w:cs="Arial"/>
                <w:sz w:val="18"/>
                <w:szCs w:val="18"/>
                <w:lang w:val="es-ES_tradnl"/>
              </w:rPr>
              <w:t>/BID</w:t>
            </w:r>
          </w:p>
        </w:tc>
      </w:tr>
      <w:tr w:rsidR="00506774" w:rsidRPr="00007908" w:rsidTr="00AF2C5C">
        <w:trPr>
          <w:jc w:val="right"/>
        </w:trPr>
        <w:tc>
          <w:tcPr>
            <w:tcW w:w="3245" w:type="dxa"/>
          </w:tcPr>
          <w:p w:rsidR="00506774" w:rsidRPr="00007908" w:rsidRDefault="00506774" w:rsidP="00FA03F1">
            <w:pPr>
              <w:spacing w:after="0"/>
              <w:rPr>
                <w:rFonts w:ascii="Arial" w:hAnsi="Arial" w:cs="Arial"/>
                <w:sz w:val="18"/>
                <w:szCs w:val="18"/>
                <w:lang w:val="es-ES_tradnl"/>
              </w:rPr>
            </w:pPr>
            <w:r w:rsidRPr="00007908">
              <w:rPr>
                <w:rFonts w:ascii="Arial" w:hAnsi="Arial" w:cs="Arial"/>
                <w:sz w:val="18"/>
                <w:szCs w:val="18"/>
                <w:lang w:val="es-ES_tradnl"/>
              </w:rPr>
              <w:t>Distribución y discusión de informe</w:t>
            </w:r>
          </w:p>
        </w:tc>
        <w:tc>
          <w:tcPr>
            <w:tcW w:w="54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3D06A9" w:rsidP="00FA03F1">
            <w:pPr>
              <w:spacing w:after="0"/>
              <w:jc w:val="center"/>
              <w:rPr>
                <w:rFonts w:ascii="Arial" w:hAnsi="Arial" w:cs="Arial"/>
                <w:sz w:val="18"/>
                <w:szCs w:val="18"/>
                <w:lang w:val="es-ES_tradnl"/>
              </w:rPr>
            </w:pPr>
            <w:r w:rsidRPr="00007908">
              <w:rPr>
                <w:rFonts w:ascii="Arial" w:hAnsi="Arial" w:cs="Arial"/>
                <w:sz w:val="18"/>
                <w:szCs w:val="18"/>
                <w:lang w:val="es-ES_tradnl"/>
              </w:rPr>
              <w:t>II</w:t>
            </w:r>
          </w:p>
        </w:tc>
        <w:tc>
          <w:tcPr>
            <w:tcW w:w="1723" w:type="dxa"/>
            <w:tcBorders>
              <w:bottom w:val="single" w:sz="4" w:space="0" w:color="auto"/>
            </w:tcBorders>
          </w:tcPr>
          <w:p w:rsidR="00506774" w:rsidRPr="00007908" w:rsidRDefault="006C38D8" w:rsidP="00FA03F1">
            <w:pPr>
              <w:spacing w:after="0"/>
              <w:rPr>
                <w:rFonts w:ascii="Arial" w:hAnsi="Arial" w:cs="Arial"/>
                <w:sz w:val="18"/>
                <w:szCs w:val="18"/>
                <w:lang w:val="es-ES_tradnl"/>
              </w:rPr>
            </w:pPr>
            <w:r w:rsidRPr="00007908">
              <w:rPr>
                <w:rFonts w:ascii="Arial" w:hAnsi="Arial" w:cs="Arial"/>
                <w:sz w:val="18"/>
                <w:szCs w:val="18"/>
                <w:lang w:val="es-ES_tradnl"/>
              </w:rPr>
              <w:t xml:space="preserve">Bancomext </w:t>
            </w:r>
            <w:r w:rsidR="00506774" w:rsidRPr="00007908">
              <w:rPr>
                <w:rFonts w:ascii="Arial" w:hAnsi="Arial" w:cs="Arial"/>
                <w:sz w:val="18"/>
                <w:szCs w:val="18"/>
                <w:lang w:val="es-ES_tradnl"/>
              </w:rPr>
              <w:t>/BID</w:t>
            </w:r>
          </w:p>
        </w:tc>
      </w:tr>
      <w:tr w:rsidR="00506774" w:rsidRPr="00007908" w:rsidTr="00AF2C5C">
        <w:trPr>
          <w:jc w:val="right"/>
        </w:trPr>
        <w:tc>
          <w:tcPr>
            <w:tcW w:w="3245" w:type="dxa"/>
          </w:tcPr>
          <w:p w:rsidR="00506774" w:rsidRPr="00007908" w:rsidRDefault="00506774" w:rsidP="00FA03F1">
            <w:pPr>
              <w:spacing w:after="0"/>
              <w:rPr>
                <w:rFonts w:ascii="Arial" w:hAnsi="Arial" w:cs="Arial"/>
                <w:sz w:val="18"/>
                <w:szCs w:val="18"/>
                <w:lang w:val="es-ES_tradnl"/>
              </w:rPr>
            </w:pPr>
            <w:r w:rsidRPr="00007908">
              <w:rPr>
                <w:rFonts w:ascii="Arial" w:hAnsi="Arial" w:cs="Arial"/>
                <w:sz w:val="18"/>
                <w:szCs w:val="18"/>
                <w:lang w:val="es-ES_tradnl"/>
              </w:rPr>
              <w:t>Aprobación de versión final de informe</w:t>
            </w:r>
          </w:p>
        </w:tc>
        <w:tc>
          <w:tcPr>
            <w:tcW w:w="54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506774" w:rsidP="00FA03F1">
            <w:pPr>
              <w:spacing w:after="0"/>
              <w:jc w:val="center"/>
              <w:rPr>
                <w:rFonts w:ascii="Arial" w:hAnsi="Arial" w:cs="Arial"/>
                <w:sz w:val="18"/>
                <w:szCs w:val="18"/>
                <w:lang w:val="es-ES_tradnl"/>
              </w:rPr>
            </w:pPr>
          </w:p>
        </w:tc>
        <w:tc>
          <w:tcPr>
            <w:tcW w:w="630" w:type="dxa"/>
            <w:tcBorders>
              <w:bottom w:val="single" w:sz="4" w:space="0" w:color="auto"/>
            </w:tcBorders>
          </w:tcPr>
          <w:p w:rsidR="00506774" w:rsidRPr="00007908" w:rsidRDefault="003D06A9" w:rsidP="00FA03F1">
            <w:pPr>
              <w:spacing w:after="0"/>
              <w:jc w:val="center"/>
              <w:rPr>
                <w:rFonts w:ascii="Arial" w:hAnsi="Arial" w:cs="Arial"/>
                <w:sz w:val="18"/>
                <w:szCs w:val="18"/>
                <w:lang w:val="es-ES_tradnl"/>
              </w:rPr>
            </w:pPr>
            <w:r w:rsidRPr="00007908">
              <w:rPr>
                <w:rFonts w:ascii="Arial" w:hAnsi="Arial" w:cs="Arial"/>
                <w:sz w:val="18"/>
                <w:szCs w:val="18"/>
                <w:lang w:val="es-ES_tradnl"/>
              </w:rPr>
              <w:t>II</w:t>
            </w:r>
          </w:p>
        </w:tc>
        <w:tc>
          <w:tcPr>
            <w:tcW w:w="1723" w:type="dxa"/>
            <w:tcBorders>
              <w:bottom w:val="single" w:sz="4" w:space="0" w:color="auto"/>
            </w:tcBorders>
          </w:tcPr>
          <w:p w:rsidR="00506774" w:rsidRPr="00007908" w:rsidRDefault="006C38D8" w:rsidP="00FA03F1">
            <w:pPr>
              <w:spacing w:after="0"/>
              <w:rPr>
                <w:rFonts w:ascii="Arial" w:hAnsi="Arial" w:cs="Arial"/>
                <w:sz w:val="18"/>
                <w:szCs w:val="18"/>
                <w:lang w:val="es-ES_tradnl"/>
              </w:rPr>
            </w:pPr>
            <w:r w:rsidRPr="00007908">
              <w:rPr>
                <w:rFonts w:ascii="Arial" w:hAnsi="Arial" w:cs="Arial"/>
                <w:sz w:val="18"/>
                <w:szCs w:val="18"/>
                <w:lang w:val="es-ES_tradnl"/>
              </w:rPr>
              <w:t xml:space="preserve">Bancomext </w:t>
            </w:r>
            <w:r w:rsidR="00506774" w:rsidRPr="00007908">
              <w:rPr>
                <w:rFonts w:ascii="Arial" w:hAnsi="Arial" w:cs="Arial"/>
                <w:sz w:val="18"/>
                <w:szCs w:val="18"/>
                <w:lang w:val="es-ES_tradnl"/>
              </w:rPr>
              <w:t>/BID</w:t>
            </w:r>
          </w:p>
        </w:tc>
      </w:tr>
      <w:tr w:rsidR="00506774" w:rsidRPr="00007908" w:rsidTr="00AF2C5C">
        <w:trPr>
          <w:jc w:val="right"/>
        </w:trPr>
        <w:tc>
          <w:tcPr>
            <w:tcW w:w="3245" w:type="dxa"/>
          </w:tcPr>
          <w:p w:rsidR="00506774" w:rsidRPr="00007908" w:rsidRDefault="00506774" w:rsidP="00FA03F1">
            <w:pPr>
              <w:spacing w:after="0"/>
              <w:rPr>
                <w:rFonts w:ascii="Arial" w:hAnsi="Arial" w:cs="Arial"/>
                <w:sz w:val="18"/>
                <w:szCs w:val="18"/>
                <w:lang w:val="es-ES_tradnl"/>
              </w:rPr>
            </w:pPr>
            <w:r w:rsidRPr="00007908">
              <w:rPr>
                <w:rFonts w:ascii="Arial" w:hAnsi="Arial" w:cs="Arial"/>
                <w:b/>
                <w:sz w:val="18"/>
                <w:szCs w:val="18"/>
                <w:lang w:val="es-ES_tradnl"/>
              </w:rPr>
              <w:t>Presupuesto estimado para evaluación</w:t>
            </w:r>
          </w:p>
        </w:tc>
        <w:tc>
          <w:tcPr>
            <w:tcW w:w="540" w:type="dxa"/>
            <w:tcBorders>
              <w:right w:val="nil"/>
            </w:tcBorders>
          </w:tcPr>
          <w:p w:rsidR="00506774" w:rsidRPr="00007908" w:rsidRDefault="00506774" w:rsidP="00FA03F1">
            <w:pPr>
              <w:spacing w:after="0"/>
              <w:jc w:val="center"/>
              <w:rPr>
                <w:rFonts w:ascii="Arial" w:hAnsi="Arial" w:cs="Arial"/>
                <w:sz w:val="18"/>
                <w:szCs w:val="18"/>
                <w:lang w:val="es-ES_tradnl"/>
              </w:rPr>
            </w:pPr>
          </w:p>
        </w:tc>
        <w:tc>
          <w:tcPr>
            <w:tcW w:w="630" w:type="dxa"/>
            <w:tcBorders>
              <w:left w:val="nil"/>
              <w:right w:val="nil"/>
            </w:tcBorders>
          </w:tcPr>
          <w:p w:rsidR="00506774" w:rsidRPr="00007908" w:rsidRDefault="00506774" w:rsidP="00FA03F1">
            <w:pPr>
              <w:spacing w:after="0"/>
              <w:jc w:val="center"/>
              <w:rPr>
                <w:rFonts w:ascii="Arial" w:hAnsi="Arial" w:cs="Arial"/>
                <w:sz w:val="18"/>
                <w:szCs w:val="18"/>
                <w:lang w:val="es-ES_tradnl"/>
              </w:rPr>
            </w:pPr>
          </w:p>
        </w:tc>
        <w:tc>
          <w:tcPr>
            <w:tcW w:w="630" w:type="dxa"/>
            <w:tcBorders>
              <w:left w:val="nil"/>
              <w:right w:val="nil"/>
            </w:tcBorders>
          </w:tcPr>
          <w:p w:rsidR="00506774" w:rsidRPr="00007908" w:rsidRDefault="00506774" w:rsidP="00FA03F1">
            <w:pPr>
              <w:spacing w:after="0"/>
              <w:jc w:val="center"/>
              <w:rPr>
                <w:rFonts w:ascii="Arial" w:hAnsi="Arial" w:cs="Arial"/>
                <w:sz w:val="18"/>
                <w:szCs w:val="18"/>
                <w:lang w:val="es-ES_tradnl"/>
              </w:rPr>
            </w:pPr>
          </w:p>
        </w:tc>
        <w:tc>
          <w:tcPr>
            <w:tcW w:w="630" w:type="dxa"/>
            <w:tcBorders>
              <w:left w:val="nil"/>
              <w:right w:val="nil"/>
            </w:tcBorders>
          </w:tcPr>
          <w:p w:rsidR="00506774" w:rsidRPr="00007908" w:rsidRDefault="00506774" w:rsidP="00FA03F1">
            <w:pPr>
              <w:spacing w:after="0"/>
              <w:jc w:val="center"/>
              <w:rPr>
                <w:rFonts w:ascii="Arial" w:hAnsi="Arial" w:cs="Arial"/>
                <w:sz w:val="18"/>
                <w:szCs w:val="18"/>
                <w:lang w:val="es-ES_tradnl"/>
              </w:rPr>
            </w:pPr>
          </w:p>
        </w:tc>
        <w:tc>
          <w:tcPr>
            <w:tcW w:w="630" w:type="dxa"/>
            <w:tcBorders>
              <w:left w:val="nil"/>
              <w:right w:val="nil"/>
            </w:tcBorders>
          </w:tcPr>
          <w:p w:rsidR="00506774" w:rsidRPr="00007908" w:rsidRDefault="00506774" w:rsidP="00FA03F1">
            <w:pPr>
              <w:spacing w:after="0"/>
              <w:jc w:val="center"/>
              <w:rPr>
                <w:rFonts w:ascii="Arial" w:hAnsi="Arial" w:cs="Arial"/>
                <w:sz w:val="18"/>
                <w:szCs w:val="18"/>
                <w:lang w:val="es-ES_tradnl"/>
              </w:rPr>
            </w:pPr>
          </w:p>
        </w:tc>
        <w:tc>
          <w:tcPr>
            <w:tcW w:w="1723" w:type="dxa"/>
            <w:tcBorders>
              <w:left w:val="nil"/>
            </w:tcBorders>
          </w:tcPr>
          <w:p w:rsidR="00506774" w:rsidRPr="00007908" w:rsidRDefault="001F3871" w:rsidP="001F3871">
            <w:pPr>
              <w:spacing w:after="0"/>
              <w:jc w:val="right"/>
              <w:rPr>
                <w:rFonts w:ascii="Arial" w:hAnsi="Arial" w:cs="Arial"/>
                <w:sz w:val="18"/>
                <w:szCs w:val="18"/>
                <w:lang w:val="es-ES_tradnl"/>
              </w:rPr>
            </w:pPr>
            <w:r w:rsidRPr="00007908">
              <w:rPr>
                <w:rFonts w:ascii="Arial" w:hAnsi="Arial" w:cs="Arial"/>
                <w:b/>
                <w:sz w:val="18"/>
                <w:szCs w:val="18"/>
                <w:lang w:val="es-ES_tradnl"/>
              </w:rPr>
              <w:t>US$</w:t>
            </w:r>
            <w:r w:rsidR="003D06A9" w:rsidRPr="00007908">
              <w:rPr>
                <w:rFonts w:ascii="Arial" w:hAnsi="Arial" w:cs="Arial"/>
                <w:b/>
                <w:sz w:val="18"/>
                <w:szCs w:val="18"/>
                <w:lang w:val="es-ES_tradnl"/>
              </w:rPr>
              <w:t>30</w:t>
            </w:r>
            <w:r w:rsidR="00506774" w:rsidRPr="00007908">
              <w:rPr>
                <w:rFonts w:ascii="Arial" w:hAnsi="Arial" w:cs="Arial"/>
                <w:b/>
                <w:sz w:val="18"/>
                <w:szCs w:val="18"/>
                <w:lang w:val="es-ES_tradnl"/>
              </w:rPr>
              <w:t>.000</w:t>
            </w:r>
          </w:p>
        </w:tc>
      </w:tr>
    </w:tbl>
    <w:p w:rsidR="00051B6C" w:rsidRPr="00007908" w:rsidRDefault="00051B6C" w:rsidP="00051B6C">
      <w:pPr>
        <w:spacing w:after="0"/>
        <w:rPr>
          <w:rFonts w:ascii="Arial" w:hAnsi="Arial" w:cs="Arial"/>
          <w:sz w:val="24"/>
          <w:szCs w:val="24"/>
          <w:lang w:val="es-ES_tradnl"/>
        </w:rPr>
      </w:pPr>
    </w:p>
    <w:p w:rsidR="00A6797B" w:rsidRPr="00007908" w:rsidRDefault="00A6797B">
      <w:pPr>
        <w:rPr>
          <w:rFonts w:ascii="Arial" w:hAnsi="Arial" w:cs="Arial"/>
        </w:rPr>
      </w:pPr>
    </w:p>
    <w:sectPr w:rsidR="00A6797B" w:rsidRPr="00007908" w:rsidSect="00C823E0">
      <w:headerReference w:type="default" r:id="rId19"/>
      <w:headerReference w:type="first" r:id="rId20"/>
      <w:pgSz w:w="12240" w:h="16340"/>
      <w:pgMar w:top="1440" w:right="1800" w:bottom="1440" w:left="1800"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89A" w:rsidRDefault="0051689A" w:rsidP="00051B6C">
      <w:pPr>
        <w:spacing w:after="0" w:line="240" w:lineRule="auto"/>
      </w:pPr>
      <w:r>
        <w:separator/>
      </w:r>
    </w:p>
  </w:endnote>
  <w:endnote w:type="continuationSeparator" w:id="0">
    <w:p w:rsidR="0051689A" w:rsidRDefault="0051689A" w:rsidP="0005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Default="0051689A" w:rsidP="00AF2C5C">
    <w:pPr>
      <w:pStyle w:val="Footer"/>
      <w:tabs>
        <w:tab w:val="left" w:pos="48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89A" w:rsidRDefault="0051689A" w:rsidP="00051B6C">
      <w:pPr>
        <w:spacing w:after="0" w:line="240" w:lineRule="auto"/>
      </w:pPr>
      <w:r>
        <w:separator/>
      </w:r>
    </w:p>
  </w:footnote>
  <w:footnote w:type="continuationSeparator" w:id="0">
    <w:p w:rsidR="0051689A" w:rsidRDefault="0051689A" w:rsidP="00051B6C">
      <w:pPr>
        <w:spacing w:after="0" w:line="240" w:lineRule="auto"/>
      </w:pPr>
      <w:r>
        <w:continuationSeparator/>
      </w:r>
    </w:p>
  </w:footnote>
  <w:footnote w:id="1">
    <w:p w:rsidR="0051689A" w:rsidRPr="00F618D2" w:rsidRDefault="0051689A" w:rsidP="00F618D2">
      <w:pPr>
        <w:pStyle w:val="FootnoteText"/>
        <w:spacing w:after="0"/>
        <w:ind w:left="180" w:hanging="180"/>
        <w:rPr>
          <w:rFonts w:ascii="Arial" w:hAnsi="Arial" w:cs="Arial"/>
          <w:sz w:val="18"/>
          <w:szCs w:val="18"/>
          <w:lang w:val="es-ES"/>
        </w:rPr>
      </w:pPr>
      <w:r w:rsidRPr="00F618D2">
        <w:rPr>
          <w:rStyle w:val="FootnoteReference"/>
          <w:rFonts w:ascii="Arial" w:hAnsi="Arial" w:cs="Arial"/>
          <w:sz w:val="18"/>
          <w:szCs w:val="18"/>
        </w:rPr>
        <w:footnoteRef/>
      </w:r>
      <w:r w:rsidRPr="00F618D2">
        <w:rPr>
          <w:rFonts w:ascii="Arial" w:hAnsi="Arial" w:cs="Arial"/>
          <w:sz w:val="18"/>
          <w:szCs w:val="18"/>
          <w:lang w:val="es-ES"/>
        </w:rPr>
        <w:t xml:space="preserve"> </w:t>
      </w:r>
      <w:r w:rsidR="00F618D2">
        <w:rPr>
          <w:rFonts w:ascii="Arial" w:hAnsi="Arial" w:cs="Arial"/>
          <w:sz w:val="18"/>
          <w:szCs w:val="18"/>
          <w:lang w:val="es-ES"/>
        </w:rPr>
        <w:tab/>
      </w:r>
      <w:r w:rsidRPr="00F618D2">
        <w:rPr>
          <w:rFonts w:ascii="Arial" w:hAnsi="Arial" w:cs="Arial"/>
          <w:sz w:val="18"/>
          <w:szCs w:val="18"/>
          <w:lang w:val="es-ES"/>
        </w:rPr>
        <w:t xml:space="preserve">En el documento </w:t>
      </w:r>
      <w:hyperlink r:id="rId1" w:history="1">
        <w:r w:rsidRPr="00F618D2">
          <w:rPr>
            <w:rStyle w:val="Hyperlink"/>
            <w:rFonts w:ascii="Arial" w:hAnsi="Arial" w:cs="Arial"/>
            <w:sz w:val="18"/>
            <w:szCs w:val="18"/>
            <w:lang w:val="es-ES"/>
          </w:rPr>
          <w:t>Programa Institucional Bancomext 2013-2018</w:t>
        </w:r>
      </w:hyperlink>
      <w:r w:rsidRPr="00F618D2">
        <w:rPr>
          <w:rFonts w:ascii="Arial" w:hAnsi="Arial" w:cs="Arial"/>
          <w:sz w:val="18"/>
          <w:szCs w:val="18"/>
          <w:lang w:val="es-ES"/>
        </w:rPr>
        <w:t xml:space="preserve"> se oficializa la importancia de la BPD en las reformas estructurales. </w:t>
      </w:r>
    </w:p>
  </w:footnote>
  <w:footnote w:id="2">
    <w:p w:rsidR="0051689A" w:rsidRPr="00F618D2" w:rsidRDefault="0051689A" w:rsidP="00F618D2">
      <w:pPr>
        <w:pStyle w:val="FootnoteText"/>
        <w:spacing w:after="0"/>
        <w:ind w:left="180" w:hanging="180"/>
        <w:rPr>
          <w:rFonts w:ascii="Arial" w:hAnsi="Arial" w:cs="Arial"/>
          <w:sz w:val="18"/>
          <w:szCs w:val="18"/>
          <w:lang w:val="es-ES"/>
        </w:rPr>
      </w:pPr>
      <w:r w:rsidRPr="00F618D2">
        <w:rPr>
          <w:rStyle w:val="FootnoteReference"/>
          <w:rFonts w:ascii="Arial" w:hAnsi="Arial" w:cs="Arial"/>
          <w:sz w:val="18"/>
          <w:szCs w:val="18"/>
        </w:rPr>
        <w:footnoteRef/>
      </w:r>
      <w:r w:rsidRPr="00F618D2">
        <w:rPr>
          <w:rFonts w:ascii="Arial" w:hAnsi="Arial" w:cs="Arial"/>
          <w:sz w:val="18"/>
          <w:szCs w:val="18"/>
          <w:lang w:val="es-ES"/>
        </w:rPr>
        <w:t xml:space="preserve"> </w:t>
      </w:r>
      <w:r w:rsidR="00F618D2">
        <w:rPr>
          <w:rFonts w:ascii="Arial" w:hAnsi="Arial" w:cs="Arial"/>
          <w:sz w:val="18"/>
          <w:szCs w:val="18"/>
          <w:lang w:val="es-ES"/>
        </w:rPr>
        <w:tab/>
      </w:r>
      <w:r w:rsidRPr="00F618D2">
        <w:rPr>
          <w:rFonts w:ascii="Arial" w:hAnsi="Arial" w:cs="Arial"/>
          <w:sz w:val="18"/>
          <w:szCs w:val="18"/>
          <w:lang w:val="es-ES"/>
        </w:rPr>
        <w:t xml:space="preserve">La cogeneración se define como la producción simultánea de energía eléctrica y energía térmica (calor) útil a partir de un mismo combustible o fuente de energía primaria. </w:t>
      </w:r>
    </w:p>
  </w:footnote>
  <w:footnote w:id="3">
    <w:p w:rsidR="0051689A" w:rsidRPr="00F618D2" w:rsidRDefault="0051689A" w:rsidP="00F618D2">
      <w:pPr>
        <w:pStyle w:val="FootnoteText"/>
        <w:spacing w:after="0"/>
        <w:ind w:left="180" w:hanging="180"/>
        <w:rPr>
          <w:rFonts w:ascii="Arial" w:hAnsi="Arial" w:cs="Arial"/>
          <w:sz w:val="18"/>
          <w:szCs w:val="18"/>
        </w:rPr>
      </w:pPr>
      <w:r w:rsidRPr="00F618D2">
        <w:rPr>
          <w:rStyle w:val="FootnoteReference"/>
          <w:rFonts w:ascii="Arial" w:hAnsi="Arial" w:cs="Arial"/>
          <w:sz w:val="18"/>
          <w:szCs w:val="18"/>
        </w:rPr>
        <w:footnoteRef/>
      </w:r>
      <w:r w:rsidRPr="00F618D2">
        <w:rPr>
          <w:rFonts w:ascii="Arial" w:hAnsi="Arial" w:cs="Arial"/>
          <w:sz w:val="18"/>
          <w:szCs w:val="18"/>
        </w:rPr>
        <w:t xml:space="preserve"> </w:t>
      </w:r>
      <w:r w:rsidRPr="00F618D2">
        <w:rPr>
          <w:rFonts w:ascii="Arial" w:hAnsi="Arial" w:cs="Arial"/>
          <w:sz w:val="18"/>
          <w:szCs w:val="18"/>
        </w:rPr>
        <w:tab/>
        <w:t xml:space="preserve">Saidur, R., </w:t>
      </w:r>
      <w:r w:rsidRPr="00F618D2">
        <w:rPr>
          <w:rFonts w:ascii="Arial" w:hAnsi="Arial" w:cs="Arial"/>
          <w:i/>
          <w:sz w:val="18"/>
          <w:szCs w:val="18"/>
        </w:rPr>
        <w:t xml:space="preserve">et al. </w:t>
      </w:r>
      <w:r w:rsidRPr="00F618D2">
        <w:rPr>
          <w:rFonts w:ascii="Arial" w:hAnsi="Arial" w:cs="Arial"/>
          <w:sz w:val="18"/>
          <w:szCs w:val="18"/>
        </w:rPr>
        <w:t xml:space="preserve">(2011). “Environmental impact of wind energy”, </w:t>
      </w:r>
      <w:r w:rsidRPr="00F618D2">
        <w:rPr>
          <w:rFonts w:ascii="Arial" w:hAnsi="Arial" w:cs="Arial"/>
          <w:i/>
          <w:sz w:val="18"/>
          <w:szCs w:val="18"/>
        </w:rPr>
        <w:t>Renewable and Sustainable Energy Reviews</w:t>
      </w:r>
      <w:r w:rsidRPr="00F618D2">
        <w:rPr>
          <w:rFonts w:ascii="Arial" w:hAnsi="Arial" w:cs="Arial"/>
          <w:sz w:val="18"/>
          <w:szCs w:val="18"/>
        </w:rPr>
        <w:t>, 15(2011): 2423-2430.</w:t>
      </w:r>
    </w:p>
  </w:footnote>
  <w:footnote w:id="4">
    <w:p w:rsidR="0051689A" w:rsidRPr="00F618D2" w:rsidRDefault="0051689A" w:rsidP="00F618D2">
      <w:pPr>
        <w:pStyle w:val="FootnoteText"/>
        <w:spacing w:after="0"/>
        <w:ind w:left="180" w:hanging="180"/>
        <w:rPr>
          <w:rFonts w:ascii="Arial" w:hAnsi="Arial" w:cs="Arial"/>
          <w:sz w:val="18"/>
          <w:szCs w:val="18"/>
        </w:rPr>
      </w:pPr>
      <w:r w:rsidRPr="00F618D2">
        <w:rPr>
          <w:rStyle w:val="FootnoteReference"/>
          <w:rFonts w:ascii="Arial" w:hAnsi="Arial" w:cs="Arial"/>
          <w:sz w:val="18"/>
          <w:szCs w:val="18"/>
        </w:rPr>
        <w:footnoteRef/>
      </w:r>
      <w:r w:rsidRPr="00F618D2">
        <w:rPr>
          <w:rFonts w:ascii="Arial" w:hAnsi="Arial" w:cs="Arial"/>
          <w:sz w:val="18"/>
          <w:szCs w:val="18"/>
        </w:rPr>
        <w:t xml:space="preserve"> </w:t>
      </w:r>
      <w:r w:rsidRPr="00F618D2">
        <w:rPr>
          <w:rFonts w:ascii="Arial" w:hAnsi="Arial" w:cs="Arial"/>
          <w:sz w:val="18"/>
          <w:szCs w:val="18"/>
        </w:rPr>
        <w:tab/>
        <w:t xml:space="preserve">Tsoutsos, T., </w:t>
      </w:r>
      <w:r w:rsidRPr="00F618D2">
        <w:rPr>
          <w:rFonts w:ascii="Arial" w:hAnsi="Arial" w:cs="Arial"/>
          <w:i/>
          <w:sz w:val="18"/>
          <w:szCs w:val="18"/>
        </w:rPr>
        <w:t>et al</w:t>
      </w:r>
      <w:r w:rsidRPr="00F618D2">
        <w:rPr>
          <w:rFonts w:ascii="Arial" w:hAnsi="Arial" w:cs="Arial"/>
          <w:sz w:val="18"/>
          <w:szCs w:val="18"/>
        </w:rPr>
        <w:t xml:space="preserve">. (2005). “Environemntal impacts from the solar energy technologies”, </w:t>
      </w:r>
      <w:r w:rsidRPr="00F618D2">
        <w:rPr>
          <w:rFonts w:ascii="Arial" w:hAnsi="Arial" w:cs="Arial"/>
          <w:i/>
          <w:sz w:val="18"/>
          <w:szCs w:val="18"/>
        </w:rPr>
        <w:t>Energy Policy</w:t>
      </w:r>
      <w:r w:rsidRPr="00F618D2">
        <w:rPr>
          <w:rFonts w:ascii="Arial" w:hAnsi="Arial" w:cs="Arial"/>
          <w:sz w:val="18"/>
          <w:szCs w:val="18"/>
        </w:rPr>
        <w:t>, 33(2005): 289-296.</w:t>
      </w:r>
    </w:p>
  </w:footnote>
  <w:footnote w:id="5">
    <w:p w:rsidR="0051689A" w:rsidRPr="00F618D2" w:rsidRDefault="0051689A" w:rsidP="00F618D2">
      <w:pPr>
        <w:pStyle w:val="FootnoteText"/>
        <w:spacing w:after="0"/>
        <w:ind w:left="180" w:hanging="180"/>
        <w:rPr>
          <w:rFonts w:ascii="Arial" w:hAnsi="Arial" w:cs="Arial"/>
          <w:sz w:val="18"/>
          <w:szCs w:val="18"/>
        </w:rPr>
      </w:pPr>
      <w:r w:rsidRPr="00F618D2">
        <w:rPr>
          <w:rStyle w:val="FootnoteReference"/>
          <w:rFonts w:ascii="Arial" w:hAnsi="Arial" w:cs="Arial"/>
          <w:sz w:val="18"/>
          <w:szCs w:val="18"/>
        </w:rPr>
        <w:footnoteRef/>
      </w:r>
      <w:r w:rsidRPr="00F618D2">
        <w:rPr>
          <w:rFonts w:ascii="Arial" w:hAnsi="Arial" w:cs="Arial"/>
          <w:sz w:val="18"/>
          <w:szCs w:val="18"/>
        </w:rPr>
        <w:t xml:space="preserve"> </w:t>
      </w:r>
      <w:r w:rsidRPr="00F618D2">
        <w:rPr>
          <w:rFonts w:ascii="Arial" w:hAnsi="Arial" w:cs="Arial"/>
          <w:sz w:val="18"/>
          <w:szCs w:val="18"/>
        </w:rPr>
        <w:tab/>
        <w:t xml:space="preserve">BID (2000). </w:t>
      </w:r>
      <w:r w:rsidRPr="00F618D2">
        <w:rPr>
          <w:rFonts w:ascii="Arial" w:hAnsi="Arial" w:cs="Arial"/>
          <w:i/>
          <w:sz w:val="18"/>
          <w:szCs w:val="18"/>
        </w:rPr>
        <w:t>Mexico Monterrey Cogeneration Power Plant ME-0228</w:t>
      </w:r>
      <w:r w:rsidRPr="00F618D2">
        <w:rPr>
          <w:rFonts w:ascii="Arial" w:hAnsi="Arial" w:cs="Arial"/>
          <w:sz w:val="18"/>
          <w:szCs w:val="18"/>
        </w:rPr>
        <w:t xml:space="preserve">, </w:t>
      </w:r>
      <w:r w:rsidRPr="00F618D2">
        <w:rPr>
          <w:rFonts w:ascii="Arial" w:hAnsi="Arial" w:cs="Arial"/>
          <w:i/>
          <w:sz w:val="18"/>
          <w:szCs w:val="18"/>
        </w:rPr>
        <w:t>Environmental and Social Impact Report</w:t>
      </w:r>
      <w:r w:rsidRPr="00F618D2">
        <w:rPr>
          <w:rFonts w:ascii="Arial" w:hAnsi="Arial" w:cs="Arial"/>
          <w:sz w:val="18"/>
          <w:szCs w:val="18"/>
        </w:rPr>
        <w:t>, BID.</w:t>
      </w:r>
    </w:p>
  </w:footnote>
  <w:footnote w:id="6">
    <w:p w:rsidR="0051689A" w:rsidRPr="00F618D2" w:rsidRDefault="0051689A" w:rsidP="00F618D2">
      <w:pPr>
        <w:pStyle w:val="FootnoteText"/>
        <w:spacing w:after="0"/>
        <w:ind w:left="180" w:hanging="180"/>
        <w:rPr>
          <w:rFonts w:ascii="Arial" w:hAnsi="Arial" w:cs="Arial"/>
          <w:sz w:val="18"/>
          <w:szCs w:val="18"/>
          <w:lang w:val="es-ES_tradnl"/>
        </w:rPr>
      </w:pPr>
      <w:r w:rsidRPr="00F618D2">
        <w:rPr>
          <w:rStyle w:val="FootnoteReference"/>
          <w:rFonts w:ascii="Arial" w:hAnsi="Arial" w:cs="Arial"/>
          <w:sz w:val="18"/>
          <w:szCs w:val="18"/>
        </w:rPr>
        <w:footnoteRef/>
      </w:r>
      <w:r w:rsidRPr="00F618D2">
        <w:rPr>
          <w:rFonts w:ascii="Arial" w:hAnsi="Arial" w:cs="Arial"/>
          <w:sz w:val="18"/>
          <w:szCs w:val="18"/>
          <w:lang w:val="es-ES_tradnl"/>
        </w:rPr>
        <w:t xml:space="preserve"> </w:t>
      </w:r>
      <w:r w:rsidRPr="00F618D2">
        <w:rPr>
          <w:rFonts w:ascii="Arial" w:hAnsi="Arial" w:cs="Arial"/>
          <w:sz w:val="18"/>
          <w:szCs w:val="18"/>
          <w:lang w:val="es-ES_tradnl"/>
        </w:rPr>
        <w:tab/>
        <w:t xml:space="preserve">CFE (2015). </w:t>
      </w:r>
      <w:hyperlink r:id="rId2" w:history="1">
        <w:r w:rsidRPr="00F618D2">
          <w:rPr>
            <w:rStyle w:val="Hyperlink"/>
            <w:rFonts w:ascii="Arial" w:hAnsi="Arial" w:cs="Arial"/>
            <w:sz w:val="18"/>
            <w:szCs w:val="18"/>
            <w:lang w:val="es-ES_tradnl"/>
          </w:rPr>
          <w:t>Programa de Obras e Inversiones del Sector Eléctrico 2014-2028</w:t>
        </w:r>
      </w:hyperlink>
    </w:p>
  </w:footnote>
  <w:footnote w:id="7">
    <w:p w:rsidR="0051689A" w:rsidRPr="00F618D2" w:rsidRDefault="0051689A" w:rsidP="00F618D2">
      <w:pPr>
        <w:pStyle w:val="FootnoteText"/>
        <w:spacing w:after="0"/>
        <w:ind w:left="180" w:hanging="180"/>
        <w:rPr>
          <w:rFonts w:ascii="Arial" w:hAnsi="Arial" w:cs="Arial"/>
          <w:sz w:val="18"/>
          <w:szCs w:val="18"/>
          <w:lang w:val="es-ES_tradnl"/>
        </w:rPr>
      </w:pPr>
      <w:r w:rsidRPr="00F618D2">
        <w:rPr>
          <w:rStyle w:val="FootnoteReference"/>
          <w:rFonts w:ascii="Arial" w:hAnsi="Arial" w:cs="Arial"/>
          <w:sz w:val="18"/>
          <w:szCs w:val="18"/>
        </w:rPr>
        <w:footnoteRef/>
      </w:r>
      <w:r w:rsidR="009A0AFA" w:rsidRPr="00F618D2">
        <w:rPr>
          <w:rFonts w:ascii="Arial" w:hAnsi="Arial" w:cs="Arial"/>
          <w:sz w:val="18"/>
          <w:szCs w:val="18"/>
          <w:lang w:val="es-ES_tradnl"/>
        </w:rPr>
        <w:t xml:space="preserve"> </w:t>
      </w:r>
      <w:r w:rsidR="00F618D2">
        <w:rPr>
          <w:rFonts w:ascii="Arial" w:hAnsi="Arial" w:cs="Arial"/>
          <w:sz w:val="18"/>
          <w:szCs w:val="18"/>
          <w:lang w:val="es-ES_tradnl"/>
        </w:rPr>
        <w:tab/>
      </w:r>
      <w:r w:rsidRPr="00F618D2">
        <w:rPr>
          <w:rFonts w:ascii="Arial" w:hAnsi="Arial" w:cs="Arial"/>
          <w:sz w:val="18"/>
          <w:szCs w:val="18"/>
          <w:lang w:val="es-ES_tradnl"/>
        </w:rPr>
        <w:t>Para mayor detalle ver</w:t>
      </w:r>
      <w:r w:rsidRPr="00F618D2">
        <w:rPr>
          <w:rFonts w:ascii="Arial" w:hAnsi="Arial" w:cs="Arial"/>
          <w:sz w:val="18"/>
          <w:szCs w:val="18"/>
          <w:lang w:val="es-ES"/>
        </w:rPr>
        <w:t xml:space="preserve"> </w:t>
      </w:r>
      <w:hyperlink r:id="rId3" w:history="1">
        <w:r w:rsidRPr="00F618D2">
          <w:rPr>
            <w:rStyle w:val="Hyperlink"/>
            <w:rFonts w:ascii="Arial" w:hAnsi="Arial" w:cs="Arial"/>
            <w:sz w:val="18"/>
            <w:szCs w:val="18"/>
            <w:lang w:val="es-ES"/>
          </w:rPr>
          <w:t>Análisis Costo Beneficio</w:t>
        </w:r>
      </w:hyperlink>
      <w:r w:rsidRPr="00F618D2">
        <w:rPr>
          <w:rStyle w:val="Hyperlink"/>
          <w:rFonts w:ascii="Arial" w:hAnsi="Arial" w:cs="Arial"/>
          <w:sz w:val="18"/>
          <w:szCs w:val="18"/>
          <w:u w:val="none"/>
          <w:lang w:val="es-ES"/>
        </w:rPr>
        <w:t>.</w:t>
      </w:r>
      <w:r w:rsidR="009A0AFA" w:rsidRPr="00F618D2">
        <w:rPr>
          <w:rStyle w:val="Hyperlink"/>
          <w:rFonts w:ascii="Arial" w:hAnsi="Arial" w:cs="Arial"/>
          <w:sz w:val="18"/>
          <w:szCs w:val="18"/>
          <w:u w:val="none"/>
          <w:lang w:val="es-ES"/>
        </w:rPr>
        <w:t xml:space="preserve"> </w:t>
      </w:r>
      <w:r w:rsidR="009A0AFA" w:rsidRPr="00F618D2">
        <w:rPr>
          <w:rFonts w:ascii="Arial" w:hAnsi="Arial" w:cs="Arial"/>
          <w:sz w:val="18"/>
          <w:szCs w:val="18"/>
          <w:lang w:val="es-ES_tradnl"/>
        </w:rPr>
        <w:t>Estos conceptos son similares</w:t>
      </w:r>
      <w:r w:rsidR="008E1868" w:rsidRPr="00F618D2">
        <w:rPr>
          <w:rFonts w:ascii="Arial" w:hAnsi="Arial" w:cs="Arial"/>
          <w:sz w:val="18"/>
          <w:szCs w:val="18"/>
          <w:lang w:val="es-ES_tradnl"/>
        </w:rPr>
        <w:t xml:space="preserve"> a los que aparecen en el POISE 2014-2028 (cuadro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Default="0051689A" w:rsidP="00AF2C5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51689A" w:rsidRDefault="005168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Pr="00927F92" w:rsidRDefault="0051689A" w:rsidP="00AF2C5C">
    <w:pPr>
      <w:jc w:val="center"/>
    </w:pPr>
    <w:r w:rsidRPr="00927F92">
      <w:fldChar w:fldCharType="begin"/>
    </w:r>
    <w:r w:rsidRPr="00927F92">
      <w:instrText xml:space="preserve"> PAGE </w:instrText>
    </w:r>
    <w:r w:rsidRPr="00927F92">
      <w:fldChar w:fldCharType="separate"/>
    </w:r>
    <w:r>
      <w:rPr>
        <w:noProof/>
      </w:rPr>
      <w:t>ii</w:t>
    </w:r>
    <w:r w:rsidRPr="00927F92">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Default="0051689A" w:rsidP="00AF2C5C">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Pr="00E10708" w:rsidRDefault="0051689A" w:rsidP="00FA03F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Default="0051689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301458298"/>
      <w:docPartObj>
        <w:docPartGallery w:val="Page Numbers (Top of Page)"/>
        <w:docPartUnique/>
      </w:docPartObj>
    </w:sdtPr>
    <w:sdtEndPr>
      <w:rPr>
        <w:rFonts w:ascii="Gotham Book" w:hAnsi="Gotham Book"/>
        <w:sz w:val="18"/>
        <w:szCs w:val="18"/>
      </w:rPr>
    </w:sdtEndPr>
    <w:sdtContent>
      <w:p w:rsidR="0051689A" w:rsidRPr="00AF2C5C" w:rsidRDefault="0051689A" w:rsidP="00AF2C5C">
        <w:pPr>
          <w:pStyle w:val="Header"/>
          <w:jc w:val="center"/>
          <w:rPr>
            <w:rFonts w:ascii="Gotham Book" w:eastAsiaTheme="majorEastAsia" w:hAnsi="Gotham Book" w:cstheme="majorBidi"/>
            <w:sz w:val="18"/>
            <w:szCs w:val="18"/>
          </w:rPr>
        </w:pPr>
        <w:r w:rsidRPr="00C823E0">
          <w:rPr>
            <w:rFonts w:ascii="Gotham Book" w:eastAsiaTheme="majorEastAsia" w:hAnsi="Gotham Book" w:cstheme="majorBidi"/>
            <w:sz w:val="18"/>
            <w:szCs w:val="18"/>
          </w:rPr>
          <w:t xml:space="preserve">- </w:t>
        </w:r>
        <w:r w:rsidRPr="00C823E0">
          <w:rPr>
            <w:rFonts w:ascii="Gotham Book" w:eastAsiaTheme="minorEastAsia" w:hAnsi="Gotham Book" w:cstheme="minorBidi"/>
            <w:sz w:val="18"/>
            <w:szCs w:val="18"/>
          </w:rPr>
          <w:fldChar w:fldCharType="begin"/>
        </w:r>
        <w:r w:rsidRPr="00C823E0">
          <w:rPr>
            <w:rFonts w:ascii="Gotham Book" w:hAnsi="Gotham Book"/>
            <w:sz w:val="18"/>
            <w:szCs w:val="18"/>
          </w:rPr>
          <w:instrText xml:space="preserve"> PAGE    \* MERGEFORMAT </w:instrText>
        </w:r>
        <w:r w:rsidRPr="00C823E0">
          <w:rPr>
            <w:rFonts w:ascii="Gotham Book" w:eastAsiaTheme="minorEastAsia" w:hAnsi="Gotham Book" w:cstheme="minorBidi"/>
            <w:sz w:val="18"/>
            <w:szCs w:val="18"/>
          </w:rPr>
          <w:fldChar w:fldCharType="separate"/>
        </w:r>
        <w:r w:rsidR="00F618D2" w:rsidRPr="00F618D2">
          <w:rPr>
            <w:rFonts w:ascii="Gotham Book" w:eastAsiaTheme="majorEastAsia" w:hAnsi="Gotham Book" w:cstheme="majorBidi"/>
            <w:noProof/>
            <w:sz w:val="18"/>
            <w:szCs w:val="18"/>
          </w:rPr>
          <w:t>7</w:t>
        </w:r>
        <w:r w:rsidRPr="00C823E0">
          <w:rPr>
            <w:rFonts w:ascii="Gotham Book" w:eastAsiaTheme="majorEastAsia" w:hAnsi="Gotham Book" w:cstheme="majorBidi"/>
            <w:noProof/>
            <w:sz w:val="18"/>
            <w:szCs w:val="18"/>
          </w:rPr>
          <w:fldChar w:fldCharType="end"/>
        </w:r>
        <w:r w:rsidRPr="00C823E0">
          <w:rPr>
            <w:rFonts w:ascii="Gotham Book" w:eastAsiaTheme="majorEastAsia" w:hAnsi="Gotham Book" w:cstheme="majorBidi"/>
            <w:sz w:val="18"/>
            <w:szCs w:val="18"/>
          </w:rPr>
          <w:t xml:space="preserve"> -</w:t>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9A" w:rsidRDefault="005168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42F878B7"/>
    <w:multiLevelType w:val="multilevel"/>
    <w:tmpl w:val="CF14DDD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47820AD3"/>
    <w:multiLevelType w:val="multilevel"/>
    <w:tmpl w:val="130E827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4FE14200"/>
    <w:multiLevelType w:val="hybridMultilevel"/>
    <w:tmpl w:val="54EC371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551F3FF8"/>
    <w:multiLevelType w:val="multilevel"/>
    <w:tmpl w:val="DE2CEAE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nsid w:val="74275CD0"/>
    <w:multiLevelType w:val="hybridMultilevel"/>
    <w:tmpl w:val="BAA4B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5"/>
  </w:num>
  <w:num w:numId="6">
    <w:abstractNumId w:val="4"/>
  </w:num>
  <w:num w:numId="7">
    <w:abstractNumId w:val="1"/>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a Pulido José Alberto">
    <w15:presenceInfo w15:providerId="AD" w15:userId="S-1-5-21-1147869151-1018829497-1850952788-23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AR" w:vendorID="64" w:dllVersion="131078" w:nlCheck="1" w:checkStyle="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4CE"/>
    <w:rsid w:val="000041EC"/>
    <w:rsid w:val="00007270"/>
    <w:rsid w:val="00007908"/>
    <w:rsid w:val="00011F3A"/>
    <w:rsid w:val="000410FA"/>
    <w:rsid w:val="000422E9"/>
    <w:rsid w:val="000449E9"/>
    <w:rsid w:val="00044D3E"/>
    <w:rsid w:val="000466D3"/>
    <w:rsid w:val="00051361"/>
    <w:rsid w:val="00051B6C"/>
    <w:rsid w:val="00066E57"/>
    <w:rsid w:val="00070947"/>
    <w:rsid w:val="00077A51"/>
    <w:rsid w:val="000835F5"/>
    <w:rsid w:val="00090922"/>
    <w:rsid w:val="00097C57"/>
    <w:rsid w:val="000B3125"/>
    <w:rsid w:val="000C39FD"/>
    <w:rsid w:val="000D7F56"/>
    <w:rsid w:val="000E4DAA"/>
    <w:rsid w:val="00103D97"/>
    <w:rsid w:val="00110638"/>
    <w:rsid w:val="00114423"/>
    <w:rsid w:val="0012076F"/>
    <w:rsid w:val="00125360"/>
    <w:rsid w:val="00134A25"/>
    <w:rsid w:val="00137679"/>
    <w:rsid w:val="00143B6F"/>
    <w:rsid w:val="00165F6C"/>
    <w:rsid w:val="0016681B"/>
    <w:rsid w:val="0016697D"/>
    <w:rsid w:val="001676BC"/>
    <w:rsid w:val="0017197F"/>
    <w:rsid w:val="00177159"/>
    <w:rsid w:val="00182A4B"/>
    <w:rsid w:val="00186C78"/>
    <w:rsid w:val="001A3F78"/>
    <w:rsid w:val="001B313E"/>
    <w:rsid w:val="001D434B"/>
    <w:rsid w:val="001F1AFC"/>
    <w:rsid w:val="001F3871"/>
    <w:rsid w:val="00200EE5"/>
    <w:rsid w:val="002024B8"/>
    <w:rsid w:val="002034DF"/>
    <w:rsid w:val="00205BC8"/>
    <w:rsid w:val="00211339"/>
    <w:rsid w:val="00216230"/>
    <w:rsid w:val="0022491A"/>
    <w:rsid w:val="0025251D"/>
    <w:rsid w:val="00257C65"/>
    <w:rsid w:val="00282152"/>
    <w:rsid w:val="002869CA"/>
    <w:rsid w:val="00290758"/>
    <w:rsid w:val="002B7F9A"/>
    <w:rsid w:val="002D2FC5"/>
    <w:rsid w:val="00311FCE"/>
    <w:rsid w:val="00313A60"/>
    <w:rsid w:val="003155A8"/>
    <w:rsid w:val="003204DF"/>
    <w:rsid w:val="0033517E"/>
    <w:rsid w:val="0035553A"/>
    <w:rsid w:val="00357FA3"/>
    <w:rsid w:val="003730FD"/>
    <w:rsid w:val="00381E73"/>
    <w:rsid w:val="00383960"/>
    <w:rsid w:val="00394009"/>
    <w:rsid w:val="00395BE4"/>
    <w:rsid w:val="003B4828"/>
    <w:rsid w:val="003D06A9"/>
    <w:rsid w:val="003D086E"/>
    <w:rsid w:val="003D17DC"/>
    <w:rsid w:val="003F0560"/>
    <w:rsid w:val="003F1412"/>
    <w:rsid w:val="00404114"/>
    <w:rsid w:val="004057EB"/>
    <w:rsid w:val="00417504"/>
    <w:rsid w:val="0042556B"/>
    <w:rsid w:val="004301E9"/>
    <w:rsid w:val="00446EFA"/>
    <w:rsid w:val="004540F0"/>
    <w:rsid w:val="00481F56"/>
    <w:rsid w:val="00486711"/>
    <w:rsid w:val="00497489"/>
    <w:rsid w:val="004B1102"/>
    <w:rsid w:val="004B36F0"/>
    <w:rsid w:val="004B558A"/>
    <w:rsid w:val="004C2D85"/>
    <w:rsid w:val="004D29EB"/>
    <w:rsid w:val="004E0308"/>
    <w:rsid w:val="004F7E0F"/>
    <w:rsid w:val="00506774"/>
    <w:rsid w:val="0051689A"/>
    <w:rsid w:val="0052094B"/>
    <w:rsid w:val="0052099D"/>
    <w:rsid w:val="0052280B"/>
    <w:rsid w:val="00536432"/>
    <w:rsid w:val="005652CC"/>
    <w:rsid w:val="00565756"/>
    <w:rsid w:val="00595CBE"/>
    <w:rsid w:val="005E4127"/>
    <w:rsid w:val="005F7E5F"/>
    <w:rsid w:val="00626E8B"/>
    <w:rsid w:val="00633C28"/>
    <w:rsid w:val="00656D15"/>
    <w:rsid w:val="0066360A"/>
    <w:rsid w:val="00666830"/>
    <w:rsid w:val="00692EA2"/>
    <w:rsid w:val="006A25E8"/>
    <w:rsid w:val="006C38D8"/>
    <w:rsid w:val="006C595F"/>
    <w:rsid w:val="006D13B1"/>
    <w:rsid w:val="006D7AB5"/>
    <w:rsid w:val="006E1FD3"/>
    <w:rsid w:val="006F1320"/>
    <w:rsid w:val="006F2C7D"/>
    <w:rsid w:val="006F457B"/>
    <w:rsid w:val="0072570D"/>
    <w:rsid w:val="007279CF"/>
    <w:rsid w:val="007329B4"/>
    <w:rsid w:val="00736540"/>
    <w:rsid w:val="007471BA"/>
    <w:rsid w:val="00750F40"/>
    <w:rsid w:val="007600C9"/>
    <w:rsid w:val="00765A60"/>
    <w:rsid w:val="0077626E"/>
    <w:rsid w:val="007A6758"/>
    <w:rsid w:val="007A6B01"/>
    <w:rsid w:val="007B71E3"/>
    <w:rsid w:val="007C2FEE"/>
    <w:rsid w:val="007C48A4"/>
    <w:rsid w:val="007D215D"/>
    <w:rsid w:val="007D7B6E"/>
    <w:rsid w:val="007E7701"/>
    <w:rsid w:val="00804762"/>
    <w:rsid w:val="008052D7"/>
    <w:rsid w:val="0081439A"/>
    <w:rsid w:val="00817584"/>
    <w:rsid w:val="00824030"/>
    <w:rsid w:val="00831100"/>
    <w:rsid w:val="008350ED"/>
    <w:rsid w:val="0083666B"/>
    <w:rsid w:val="00841EC7"/>
    <w:rsid w:val="00843D54"/>
    <w:rsid w:val="00846B57"/>
    <w:rsid w:val="008478D4"/>
    <w:rsid w:val="00853D4E"/>
    <w:rsid w:val="008578C6"/>
    <w:rsid w:val="00857F1E"/>
    <w:rsid w:val="00857F62"/>
    <w:rsid w:val="00877C16"/>
    <w:rsid w:val="00884D75"/>
    <w:rsid w:val="00886559"/>
    <w:rsid w:val="00891137"/>
    <w:rsid w:val="00893744"/>
    <w:rsid w:val="00897949"/>
    <w:rsid w:val="008A19C5"/>
    <w:rsid w:val="008A1E15"/>
    <w:rsid w:val="008A4558"/>
    <w:rsid w:val="008B1E7A"/>
    <w:rsid w:val="008C2032"/>
    <w:rsid w:val="008C756A"/>
    <w:rsid w:val="008D7388"/>
    <w:rsid w:val="008E1868"/>
    <w:rsid w:val="008E31EA"/>
    <w:rsid w:val="008E6811"/>
    <w:rsid w:val="008F3B80"/>
    <w:rsid w:val="0092388E"/>
    <w:rsid w:val="009278B3"/>
    <w:rsid w:val="009440E3"/>
    <w:rsid w:val="00952699"/>
    <w:rsid w:val="00962540"/>
    <w:rsid w:val="00973918"/>
    <w:rsid w:val="009814A8"/>
    <w:rsid w:val="009A02E5"/>
    <w:rsid w:val="009A0AFA"/>
    <w:rsid w:val="009C43D3"/>
    <w:rsid w:val="009C5046"/>
    <w:rsid w:val="00A17A4F"/>
    <w:rsid w:val="00A33168"/>
    <w:rsid w:val="00A34F79"/>
    <w:rsid w:val="00A4197F"/>
    <w:rsid w:val="00A5399B"/>
    <w:rsid w:val="00A60BF8"/>
    <w:rsid w:val="00A6797B"/>
    <w:rsid w:val="00A71CFC"/>
    <w:rsid w:val="00A8555F"/>
    <w:rsid w:val="00A87FDD"/>
    <w:rsid w:val="00AF2C5C"/>
    <w:rsid w:val="00B02B3D"/>
    <w:rsid w:val="00B10673"/>
    <w:rsid w:val="00B164A0"/>
    <w:rsid w:val="00B26519"/>
    <w:rsid w:val="00B32450"/>
    <w:rsid w:val="00B41DDD"/>
    <w:rsid w:val="00B51B50"/>
    <w:rsid w:val="00B52474"/>
    <w:rsid w:val="00B62D0C"/>
    <w:rsid w:val="00B63E64"/>
    <w:rsid w:val="00B659E2"/>
    <w:rsid w:val="00B7606C"/>
    <w:rsid w:val="00B84DD9"/>
    <w:rsid w:val="00BA74A0"/>
    <w:rsid w:val="00BB1522"/>
    <w:rsid w:val="00BB525A"/>
    <w:rsid w:val="00BB5C7F"/>
    <w:rsid w:val="00BC0528"/>
    <w:rsid w:val="00BC6323"/>
    <w:rsid w:val="00BD084E"/>
    <w:rsid w:val="00BD3716"/>
    <w:rsid w:val="00BD64E3"/>
    <w:rsid w:val="00BE0B15"/>
    <w:rsid w:val="00BF3FC4"/>
    <w:rsid w:val="00C0023C"/>
    <w:rsid w:val="00C10762"/>
    <w:rsid w:val="00C46817"/>
    <w:rsid w:val="00C47AC0"/>
    <w:rsid w:val="00C5361D"/>
    <w:rsid w:val="00C56A33"/>
    <w:rsid w:val="00C605F0"/>
    <w:rsid w:val="00C81B6E"/>
    <w:rsid w:val="00C823E0"/>
    <w:rsid w:val="00C87628"/>
    <w:rsid w:val="00C955ED"/>
    <w:rsid w:val="00C95A4E"/>
    <w:rsid w:val="00CB3921"/>
    <w:rsid w:val="00CB6B79"/>
    <w:rsid w:val="00CB7BCF"/>
    <w:rsid w:val="00CC015D"/>
    <w:rsid w:val="00CC2CE9"/>
    <w:rsid w:val="00CC4070"/>
    <w:rsid w:val="00CE2394"/>
    <w:rsid w:val="00CE7053"/>
    <w:rsid w:val="00CF620D"/>
    <w:rsid w:val="00D04B54"/>
    <w:rsid w:val="00D06131"/>
    <w:rsid w:val="00D211E1"/>
    <w:rsid w:val="00D80C3D"/>
    <w:rsid w:val="00D914CE"/>
    <w:rsid w:val="00D93B74"/>
    <w:rsid w:val="00D94320"/>
    <w:rsid w:val="00D9637F"/>
    <w:rsid w:val="00DB5DCB"/>
    <w:rsid w:val="00DC54D5"/>
    <w:rsid w:val="00DF443C"/>
    <w:rsid w:val="00E03E9E"/>
    <w:rsid w:val="00E07157"/>
    <w:rsid w:val="00E46464"/>
    <w:rsid w:val="00E54083"/>
    <w:rsid w:val="00E54445"/>
    <w:rsid w:val="00E555DA"/>
    <w:rsid w:val="00E57B60"/>
    <w:rsid w:val="00E81FAF"/>
    <w:rsid w:val="00E84FA1"/>
    <w:rsid w:val="00E855E6"/>
    <w:rsid w:val="00E870AC"/>
    <w:rsid w:val="00E877DE"/>
    <w:rsid w:val="00EB445D"/>
    <w:rsid w:val="00EB68A2"/>
    <w:rsid w:val="00EC1416"/>
    <w:rsid w:val="00ED2221"/>
    <w:rsid w:val="00EE1B42"/>
    <w:rsid w:val="00EE7A3C"/>
    <w:rsid w:val="00EF0621"/>
    <w:rsid w:val="00F07AA4"/>
    <w:rsid w:val="00F11520"/>
    <w:rsid w:val="00F15A0B"/>
    <w:rsid w:val="00F2072D"/>
    <w:rsid w:val="00F24B9A"/>
    <w:rsid w:val="00F321DF"/>
    <w:rsid w:val="00F41133"/>
    <w:rsid w:val="00F52587"/>
    <w:rsid w:val="00F52F5C"/>
    <w:rsid w:val="00F618D2"/>
    <w:rsid w:val="00F66013"/>
    <w:rsid w:val="00F84D78"/>
    <w:rsid w:val="00FA03F1"/>
    <w:rsid w:val="00FB09C4"/>
    <w:rsid w:val="00FB2C78"/>
    <w:rsid w:val="00FB74C5"/>
    <w:rsid w:val="00FC2034"/>
    <w:rsid w:val="00FD48DF"/>
    <w:rsid w:val="00FE63A7"/>
    <w:rsid w:val="00FF7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6C"/>
    <w:rPr>
      <w:rFonts w:ascii="Calibri" w:eastAsia="Times New Roman" w:hAnsi="Calibri" w:cs="Times New Roman"/>
    </w:rPr>
  </w:style>
  <w:style w:type="paragraph" w:styleId="Heading5">
    <w:name w:val="heading 5"/>
    <w:aliases w:val="Heading 5.(i)"/>
    <w:basedOn w:val="Normal"/>
    <w:next w:val="Normal"/>
    <w:link w:val="Heading5Char"/>
    <w:unhideWhenUsed/>
    <w:qFormat/>
    <w:rsid w:val="00051B6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051B6C"/>
    <w:pPr>
      <w:numPr>
        <w:ilvl w:val="5"/>
        <w:numId w:val="1"/>
      </w:numPr>
      <w:spacing w:before="240" w:after="60"/>
      <w:outlineLvl w:val="5"/>
    </w:pPr>
    <w:rPr>
      <w:b/>
      <w:bCs/>
    </w:rPr>
  </w:style>
  <w:style w:type="paragraph" w:styleId="Heading7">
    <w:name w:val="heading 7"/>
    <w:basedOn w:val="Normal"/>
    <w:next w:val="Normal"/>
    <w:link w:val="Heading7Char"/>
    <w:uiPriority w:val="9"/>
    <w:unhideWhenUsed/>
    <w:qFormat/>
    <w:rsid w:val="00051B6C"/>
    <w:pPr>
      <w:numPr>
        <w:ilvl w:val="6"/>
        <w:numId w:val="1"/>
      </w:numPr>
      <w:spacing w:before="240" w:after="60"/>
      <w:outlineLvl w:val="6"/>
    </w:pPr>
    <w:rPr>
      <w:sz w:val="24"/>
      <w:szCs w:val="24"/>
    </w:rPr>
  </w:style>
  <w:style w:type="paragraph" w:styleId="Heading8">
    <w:name w:val="heading 8"/>
    <w:basedOn w:val="Normal"/>
    <w:next w:val="Normal"/>
    <w:link w:val="Heading8Char"/>
    <w:uiPriority w:val="9"/>
    <w:unhideWhenUsed/>
    <w:qFormat/>
    <w:rsid w:val="00051B6C"/>
    <w:pPr>
      <w:numPr>
        <w:ilvl w:val="7"/>
        <w:numId w:val="1"/>
      </w:numPr>
      <w:spacing w:before="240" w:after="60"/>
      <w:outlineLvl w:val="7"/>
    </w:pPr>
    <w:rPr>
      <w:i/>
      <w:iCs/>
      <w:sz w:val="24"/>
      <w:szCs w:val="24"/>
    </w:rPr>
  </w:style>
  <w:style w:type="paragraph" w:styleId="Heading9">
    <w:name w:val="heading 9"/>
    <w:basedOn w:val="Normal"/>
    <w:next w:val="Normal"/>
    <w:link w:val="Heading9Char"/>
    <w:uiPriority w:val="9"/>
    <w:unhideWhenUsed/>
    <w:qFormat/>
    <w:rsid w:val="00051B6C"/>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051B6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051B6C"/>
    <w:rPr>
      <w:rFonts w:ascii="Calibri" w:eastAsia="Times New Roman" w:hAnsi="Calibri" w:cs="Times New Roman"/>
      <w:b/>
      <w:bCs/>
    </w:rPr>
  </w:style>
  <w:style w:type="character" w:customStyle="1" w:styleId="Heading7Char">
    <w:name w:val="Heading 7 Char"/>
    <w:basedOn w:val="DefaultParagraphFont"/>
    <w:link w:val="Heading7"/>
    <w:uiPriority w:val="9"/>
    <w:rsid w:val="00051B6C"/>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051B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051B6C"/>
    <w:rPr>
      <w:rFonts w:ascii="Cambria" w:eastAsia="Times New Roman" w:hAnsi="Cambria" w:cs="Times New Roman"/>
    </w:rPr>
  </w:style>
  <w:style w:type="paragraph" w:customStyle="1" w:styleId="Default">
    <w:name w:val="Default"/>
    <w:rsid w:val="00051B6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link w:val="ChapterChar"/>
    <w:rsid w:val="00051B6C"/>
    <w:pPr>
      <w:keepNext/>
      <w:numPr>
        <w:numId w:val="2"/>
      </w:numPr>
      <w:tabs>
        <w:tab w:val="clear" w:pos="2088"/>
        <w:tab w:val="num" w:pos="648"/>
        <w:tab w:val="left" w:pos="1440"/>
      </w:tabs>
      <w:spacing w:before="240" w:after="240" w:line="240" w:lineRule="auto"/>
      <w:ind w:left="0"/>
      <w:jc w:val="center"/>
    </w:pPr>
    <w:rPr>
      <w:rFonts w:ascii="Times New Roman" w:hAnsi="Times New Roman"/>
      <w:b/>
      <w:smallCaps/>
      <w:sz w:val="24"/>
      <w:szCs w:val="24"/>
    </w:rPr>
  </w:style>
  <w:style w:type="character" w:customStyle="1" w:styleId="ChapterChar">
    <w:name w:val="Chapter Char"/>
    <w:basedOn w:val="DefaultParagraphFont"/>
    <w:link w:val="Chapter"/>
    <w:locked/>
    <w:rsid w:val="00051B6C"/>
    <w:rPr>
      <w:rFonts w:ascii="Times New Roman" w:eastAsia="Times New Roman" w:hAnsi="Times New Roman" w:cs="Times New Roman"/>
      <w:b/>
      <w:smallCaps/>
      <w:sz w:val="24"/>
      <w:szCs w:val="24"/>
    </w:rPr>
  </w:style>
  <w:style w:type="paragraph" w:customStyle="1" w:styleId="FirstHeading">
    <w:name w:val="FirstHeading"/>
    <w:basedOn w:val="Normal"/>
    <w:next w:val="Normal"/>
    <w:link w:val="FirstHeadingChar"/>
    <w:rsid w:val="00051B6C"/>
    <w:pPr>
      <w:keepNext/>
      <w:numPr>
        <w:numId w:val="1"/>
      </w:numPr>
      <w:tabs>
        <w:tab w:val="left" w:pos="0"/>
        <w:tab w:val="left" w:pos="86"/>
      </w:tabs>
      <w:spacing w:before="120" w:after="120" w:line="240" w:lineRule="auto"/>
    </w:pPr>
    <w:rPr>
      <w:rFonts w:ascii="Times New Roman" w:hAnsi="Times New Roman"/>
      <w:b/>
      <w:sz w:val="24"/>
      <w:szCs w:val="24"/>
    </w:rPr>
  </w:style>
  <w:style w:type="character" w:customStyle="1" w:styleId="FirstHeadingChar">
    <w:name w:val="FirstHeading Char"/>
    <w:basedOn w:val="DefaultParagraphFont"/>
    <w:link w:val="FirstHeading"/>
    <w:locked/>
    <w:rsid w:val="00051B6C"/>
    <w:rPr>
      <w:rFonts w:ascii="Times New Roman" w:eastAsia="Times New Roman" w:hAnsi="Times New Roman" w:cs="Times New Roman"/>
      <w:b/>
      <w:sz w:val="24"/>
      <w:szCs w:val="24"/>
    </w:rPr>
  </w:style>
  <w:style w:type="paragraph" w:customStyle="1" w:styleId="SecHeading">
    <w:name w:val="SecHeading"/>
    <w:basedOn w:val="Normal"/>
    <w:next w:val="Paragraph"/>
    <w:rsid w:val="00051B6C"/>
    <w:pPr>
      <w:keepNext/>
      <w:numPr>
        <w:ilvl w:val="1"/>
        <w:numId w:val="1"/>
      </w:numPr>
      <w:tabs>
        <w:tab w:val="clear" w:pos="5400"/>
        <w:tab w:val="num" w:pos="1296"/>
      </w:tabs>
      <w:spacing w:before="120" w:after="120" w:line="240" w:lineRule="auto"/>
      <w:ind w:left="1296"/>
    </w:pPr>
    <w:rPr>
      <w:rFonts w:ascii="Times New Roman" w:hAnsi="Times New Roman"/>
      <w:b/>
      <w:sz w:val="24"/>
      <w:szCs w:val="24"/>
    </w:rPr>
  </w:style>
  <w:style w:type="paragraph" w:customStyle="1" w:styleId="SubHeading1">
    <w:name w:val="SubHeading1"/>
    <w:basedOn w:val="SecHeading"/>
    <w:rsid w:val="00051B6C"/>
    <w:pPr>
      <w:numPr>
        <w:ilvl w:val="2"/>
      </w:numPr>
      <w:tabs>
        <w:tab w:val="clear" w:pos="5976"/>
        <w:tab w:val="num" w:pos="1872"/>
      </w:tabs>
      <w:ind w:left="1872"/>
    </w:pPr>
  </w:style>
  <w:style w:type="paragraph" w:customStyle="1" w:styleId="Subheading2">
    <w:name w:val="Subheading2"/>
    <w:basedOn w:val="SecHeading"/>
    <w:rsid w:val="00051B6C"/>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051B6C"/>
    <w:pPr>
      <w:numPr>
        <w:ilvl w:val="1"/>
        <w:numId w:val="2"/>
      </w:numPr>
      <w:spacing w:before="120" w:line="240" w:lineRule="auto"/>
      <w:jc w:val="both"/>
      <w:outlineLvl w:val="1"/>
    </w:pPr>
    <w:rPr>
      <w:rFonts w:ascii="Times New Roman" w:hAnsi="Times New Roman"/>
      <w:sz w:val="24"/>
      <w:szCs w:val="24"/>
    </w:rPr>
  </w:style>
  <w:style w:type="character" w:customStyle="1" w:styleId="ParagraphChar">
    <w:name w:val="Paragraph Char"/>
    <w:basedOn w:val="DefaultParagraphFont"/>
    <w:link w:val="Paragraph"/>
    <w:locked/>
    <w:rsid w:val="00051B6C"/>
    <w:rPr>
      <w:rFonts w:ascii="Times New Roman" w:eastAsia="Times New Roman" w:hAnsi="Times New Roman" w:cs="Times New Roman"/>
      <w:sz w:val="24"/>
      <w:szCs w:val="24"/>
    </w:rPr>
  </w:style>
  <w:style w:type="paragraph" w:customStyle="1" w:styleId="subpar">
    <w:name w:val="subpar"/>
    <w:basedOn w:val="BodyTextIndent3"/>
    <w:link w:val="subparChar"/>
    <w:rsid w:val="00051B6C"/>
    <w:pPr>
      <w:numPr>
        <w:ilvl w:val="2"/>
        <w:numId w:val="2"/>
      </w:numPr>
      <w:tabs>
        <w:tab w:val="clear" w:pos="2592"/>
        <w:tab w:val="num" w:pos="1152"/>
      </w:tabs>
      <w:spacing w:before="120" w:line="240" w:lineRule="auto"/>
      <w:ind w:left="1152"/>
      <w:jc w:val="both"/>
      <w:outlineLvl w:val="2"/>
    </w:pPr>
    <w:rPr>
      <w:rFonts w:ascii="Times New Roman" w:hAnsi="Times New Roman"/>
      <w:sz w:val="24"/>
      <w:szCs w:val="24"/>
    </w:rPr>
  </w:style>
  <w:style w:type="character" w:customStyle="1" w:styleId="subparChar">
    <w:name w:val="subpar Char"/>
    <w:basedOn w:val="DefaultParagraphFont"/>
    <w:link w:val="subpar"/>
    <w:locked/>
    <w:rsid w:val="00051B6C"/>
    <w:rPr>
      <w:rFonts w:ascii="Times New Roman" w:eastAsia="Times New Roman" w:hAnsi="Times New Roman" w:cs="Times New Roman"/>
      <w:sz w:val="24"/>
      <w:szCs w:val="24"/>
    </w:rPr>
  </w:style>
  <w:style w:type="paragraph" w:customStyle="1" w:styleId="SubSubPar">
    <w:name w:val="SubSubPar"/>
    <w:basedOn w:val="subpar"/>
    <w:rsid w:val="00051B6C"/>
    <w:pPr>
      <w:numPr>
        <w:ilvl w:val="3"/>
      </w:numPr>
      <w:tabs>
        <w:tab w:val="clear" w:pos="3024"/>
        <w:tab w:val="left" w:pos="0"/>
        <w:tab w:val="num" w:pos="360"/>
        <w:tab w:val="num" w:pos="1296"/>
      </w:tabs>
      <w:ind w:left="1296"/>
    </w:p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unhideWhenUsed/>
    <w:rsid w:val="00051B6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051B6C"/>
    <w:rPr>
      <w:rFonts w:ascii="Times New Roman" w:eastAsia="Times New Roman" w:hAnsi="Times New Roman" w:cs="Times New Roman"/>
      <w:spacing w:val="-3"/>
      <w:sz w:val="20"/>
      <w:szCs w:val="20"/>
    </w:rPr>
  </w:style>
  <w:style w:type="character" w:styleId="FootnoteReference">
    <w:name w:val="footnote reference"/>
    <w:aliases w:val="ftref,titulo 2,FC,referencia nota al pie,Fußnotenzeichen DISS,16 Point,Superscript 6 Point,BVI fnr, BVI fnr,Знак сноски 1,Footnote Referencefra,Ref. de nota al pie.,Stinking Styles11,Texto de nota al pie,Footnote symbol,Footnote"/>
    <w:basedOn w:val="DefaultParagraphFont"/>
    <w:uiPriority w:val="99"/>
    <w:unhideWhenUsed/>
    <w:rsid w:val="00051B6C"/>
    <w:rPr>
      <w:rFonts w:cs="Times New Roman"/>
      <w:vertAlign w:val="superscript"/>
    </w:rPr>
  </w:style>
  <w:style w:type="paragraph" w:styleId="TOC1">
    <w:name w:val="toc 1"/>
    <w:basedOn w:val="Normal"/>
    <w:next w:val="Normal"/>
    <w:autoRedefine/>
    <w:uiPriority w:val="39"/>
    <w:unhideWhenUsed/>
    <w:rsid w:val="00216230"/>
    <w:pPr>
      <w:tabs>
        <w:tab w:val="left" w:pos="380"/>
        <w:tab w:val="right" w:leader="dot" w:pos="8741"/>
      </w:tabs>
      <w:spacing w:before="240" w:after="240" w:line="240" w:lineRule="auto"/>
      <w:ind w:left="547" w:hanging="547"/>
    </w:pPr>
    <w:rPr>
      <w:rFonts w:ascii="Gotham Book" w:hAnsi="Gotham Book"/>
      <w:b/>
      <w:smallCaps/>
      <w:noProof/>
      <w:sz w:val="24"/>
      <w:lang w:val="es-ES_tradnl"/>
    </w:rPr>
  </w:style>
  <w:style w:type="paragraph" w:styleId="TOC2">
    <w:name w:val="toc 2"/>
    <w:basedOn w:val="Normal"/>
    <w:next w:val="Normal"/>
    <w:autoRedefine/>
    <w:uiPriority w:val="39"/>
    <w:unhideWhenUsed/>
    <w:rsid w:val="00051B6C"/>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unhideWhenUsed/>
    <w:rsid w:val="00051B6C"/>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unhideWhenUsed/>
    <w:rsid w:val="00051B6C"/>
    <w:pPr>
      <w:tabs>
        <w:tab w:val="center" w:pos="4680"/>
        <w:tab w:val="right" w:pos="9360"/>
      </w:tabs>
    </w:pPr>
  </w:style>
  <w:style w:type="character" w:customStyle="1" w:styleId="HeaderChar">
    <w:name w:val="Header Char"/>
    <w:basedOn w:val="DefaultParagraphFont"/>
    <w:link w:val="Header"/>
    <w:uiPriority w:val="99"/>
    <w:rsid w:val="00051B6C"/>
    <w:rPr>
      <w:rFonts w:ascii="Calibri" w:eastAsia="Times New Roman" w:hAnsi="Calibri" w:cs="Times New Roman"/>
    </w:rPr>
  </w:style>
  <w:style w:type="paragraph" w:styleId="Footer">
    <w:name w:val="footer"/>
    <w:basedOn w:val="Normal"/>
    <w:link w:val="FooterChar"/>
    <w:uiPriority w:val="99"/>
    <w:unhideWhenUsed/>
    <w:rsid w:val="00051B6C"/>
    <w:pPr>
      <w:tabs>
        <w:tab w:val="center" w:pos="4680"/>
        <w:tab w:val="right" w:pos="9360"/>
      </w:tabs>
    </w:pPr>
  </w:style>
  <w:style w:type="character" w:customStyle="1" w:styleId="FooterChar">
    <w:name w:val="Footer Char"/>
    <w:basedOn w:val="DefaultParagraphFont"/>
    <w:link w:val="Footer"/>
    <w:uiPriority w:val="99"/>
    <w:rsid w:val="00051B6C"/>
    <w:rPr>
      <w:rFonts w:ascii="Calibri" w:eastAsia="Times New Roman" w:hAnsi="Calibri" w:cs="Times New Roman"/>
    </w:rPr>
  </w:style>
  <w:style w:type="character" w:styleId="Hyperlink">
    <w:name w:val="Hyperlink"/>
    <w:basedOn w:val="DefaultParagraphFont"/>
    <w:uiPriority w:val="99"/>
    <w:unhideWhenUsed/>
    <w:rsid w:val="00051B6C"/>
    <w:rPr>
      <w:color w:val="0000FF" w:themeColor="hyperlink"/>
      <w:u w:val="single"/>
    </w:rPr>
  </w:style>
  <w:style w:type="table" w:customStyle="1" w:styleId="TableGrid1">
    <w:name w:val="Table Grid1"/>
    <w:basedOn w:val="TableNormal"/>
    <w:next w:val="TableGrid"/>
    <w:uiPriority w:val="59"/>
    <w:rsid w:val="00051B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051B6C"/>
    <w:pPr>
      <w:spacing w:after="120"/>
      <w:ind w:left="360"/>
    </w:pPr>
  </w:style>
  <w:style w:type="character" w:customStyle="1" w:styleId="BodyTextIndentChar">
    <w:name w:val="Body Text Indent Char"/>
    <w:basedOn w:val="DefaultParagraphFont"/>
    <w:link w:val="BodyTextIndent"/>
    <w:uiPriority w:val="99"/>
    <w:semiHidden/>
    <w:rsid w:val="00051B6C"/>
    <w:rPr>
      <w:rFonts w:ascii="Calibri" w:eastAsia="Times New Roman" w:hAnsi="Calibri" w:cs="Times New Roman"/>
    </w:rPr>
  </w:style>
  <w:style w:type="paragraph" w:styleId="BodyTextIndent3">
    <w:name w:val="Body Text Indent 3"/>
    <w:basedOn w:val="Normal"/>
    <w:link w:val="BodyTextIndent3Char"/>
    <w:uiPriority w:val="99"/>
    <w:semiHidden/>
    <w:unhideWhenUsed/>
    <w:rsid w:val="00051B6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51B6C"/>
    <w:rPr>
      <w:rFonts w:ascii="Calibri" w:eastAsia="Times New Roman" w:hAnsi="Calibri" w:cs="Times New Roman"/>
      <w:sz w:val="16"/>
      <w:szCs w:val="16"/>
    </w:rPr>
  </w:style>
  <w:style w:type="table" w:styleId="TableGrid">
    <w:name w:val="Table Grid"/>
    <w:basedOn w:val="TableNormal"/>
    <w:uiPriority w:val="59"/>
    <w:rsid w:val="00051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84D78"/>
    <w:pPr>
      <w:spacing w:after="120"/>
    </w:pPr>
    <w:rPr>
      <w:rFonts w:asciiTheme="minorHAnsi" w:eastAsiaTheme="minorEastAsia" w:hAnsiTheme="minorHAnsi" w:cstheme="minorBidi"/>
      <w:lang w:val="es-ES" w:eastAsia="es-ES"/>
    </w:rPr>
  </w:style>
  <w:style w:type="character" w:customStyle="1" w:styleId="BodyTextChar">
    <w:name w:val="Body Text Char"/>
    <w:basedOn w:val="DefaultParagraphFont"/>
    <w:link w:val="BodyText"/>
    <w:uiPriority w:val="99"/>
    <w:rsid w:val="00F84D78"/>
    <w:rPr>
      <w:rFonts w:eastAsiaTheme="minorEastAsia"/>
      <w:lang w:val="es-ES" w:eastAsia="es-ES"/>
    </w:rPr>
  </w:style>
  <w:style w:type="paragraph" w:styleId="ListParagraph">
    <w:name w:val="List Paragraph"/>
    <w:basedOn w:val="Normal"/>
    <w:uiPriority w:val="34"/>
    <w:qFormat/>
    <w:rsid w:val="00B52474"/>
    <w:pPr>
      <w:ind w:left="720"/>
      <w:contextualSpacing/>
    </w:pPr>
    <w:rPr>
      <w:rFonts w:asciiTheme="minorHAnsi" w:eastAsiaTheme="minorHAnsi" w:hAnsiTheme="minorHAnsi" w:cstheme="minorBidi"/>
      <w:lang w:val="es-MX"/>
    </w:rPr>
  </w:style>
  <w:style w:type="paragraph" w:styleId="BalloonText">
    <w:name w:val="Balloon Text"/>
    <w:basedOn w:val="Normal"/>
    <w:link w:val="BalloonTextChar"/>
    <w:uiPriority w:val="99"/>
    <w:semiHidden/>
    <w:unhideWhenUsed/>
    <w:rsid w:val="0025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51D"/>
    <w:rPr>
      <w:rFonts w:ascii="Tahoma" w:eastAsia="Times New Roman" w:hAnsi="Tahoma" w:cs="Tahoma"/>
      <w:sz w:val="16"/>
      <w:szCs w:val="16"/>
    </w:rPr>
  </w:style>
  <w:style w:type="character" w:styleId="PageNumber">
    <w:name w:val="page number"/>
    <w:basedOn w:val="DefaultParagraphFont"/>
    <w:rsid w:val="00E81FAF"/>
  </w:style>
  <w:style w:type="character" w:styleId="CommentReference">
    <w:name w:val="annotation reference"/>
    <w:basedOn w:val="DefaultParagraphFont"/>
    <w:uiPriority w:val="99"/>
    <w:semiHidden/>
    <w:unhideWhenUsed/>
    <w:rsid w:val="00893744"/>
    <w:rPr>
      <w:sz w:val="16"/>
      <w:szCs w:val="16"/>
    </w:rPr>
  </w:style>
  <w:style w:type="paragraph" w:styleId="CommentText">
    <w:name w:val="annotation text"/>
    <w:basedOn w:val="Normal"/>
    <w:link w:val="CommentTextChar"/>
    <w:uiPriority w:val="99"/>
    <w:semiHidden/>
    <w:unhideWhenUsed/>
    <w:rsid w:val="00893744"/>
    <w:pPr>
      <w:spacing w:line="240" w:lineRule="auto"/>
    </w:pPr>
    <w:rPr>
      <w:sz w:val="20"/>
      <w:szCs w:val="20"/>
    </w:rPr>
  </w:style>
  <w:style w:type="character" w:customStyle="1" w:styleId="CommentTextChar">
    <w:name w:val="Comment Text Char"/>
    <w:basedOn w:val="DefaultParagraphFont"/>
    <w:link w:val="CommentText"/>
    <w:uiPriority w:val="99"/>
    <w:semiHidden/>
    <w:rsid w:val="0089374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4"/>
    <w:rPr>
      <w:b/>
      <w:bCs/>
    </w:rPr>
  </w:style>
  <w:style w:type="character" w:customStyle="1" w:styleId="CommentSubjectChar">
    <w:name w:val="Comment Subject Char"/>
    <w:basedOn w:val="CommentTextChar"/>
    <w:link w:val="CommentSubject"/>
    <w:uiPriority w:val="99"/>
    <w:semiHidden/>
    <w:rsid w:val="00893744"/>
    <w:rPr>
      <w:rFonts w:ascii="Calibri" w:eastAsia="Times New Roman" w:hAnsi="Calibri" w:cs="Times New Roman"/>
      <w:b/>
      <w:bCs/>
      <w:sz w:val="20"/>
      <w:szCs w:val="20"/>
    </w:rPr>
  </w:style>
  <w:style w:type="paragraph" w:styleId="Revision">
    <w:name w:val="Revision"/>
    <w:hidden/>
    <w:uiPriority w:val="99"/>
    <w:semiHidden/>
    <w:rsid w:val="001676BC"/>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6C"/>
    <w:rPr>
      <w:rFonts w:ascii="Calibri" w:eastAsia="Times New Roman" w:hAnsi="Calibri" w:cs="Times New Roman"/>
    </w:rPr>
  </w:style>
  <w:style w:type="paragraph" w:styleId="Heading5">
    <w:name w:val="heading 5"/>
    <w:aliases w:val="Heading 5.(i)"/>
    <w:basedOn w:val="Normal"/>
    <w:next w:val="Normal"/>
    <w:link w:val="Heading5Char"/>
    <w:unhideWhenUsed/>
    <w:qFormat/>
    <w:rsid w:val="00051B6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051B6C"/>
    <w:pPr>
      <w:numPr>
        <w:ilvl w:val="5"/>
        <w:numId w:val="1"/>
      </w:numPr>
      <w:spacing w:before="240" w:after="60"/>
      <w:outlineLvl w:val="5"/>
    </w:pPr>
    <w:rPr>
      <w:b/>
      <w:bCs/>
    </w:rPr>
  </w:style>
  <w:style w:type="paragraph" w:styleId="Heading7">
    <w:name w:val="heading 7"/>
    <w:basedOn w:val="Normal"/>
    <w:next w:val="Normal"/>
    <w:link w:val="Heading7Char"/>
    <w:uiPriority w:val="9"/>
    <w:unhideWhenUsed/>
    <w:qFormat/>
    <w:rsid w:val="00051B6C"/>
    <w:pPr>
      <w:numPr>
        <w:ilvl w:val="6"/>
        <w:numId w:val="1"/>
      </w:numPr>
      <w:spacing w:before="240" w:after="60"/>
      <w:outlineLvl w:val="6"/>
    </w:pPr>
    <w:rPr>
      <w:sz w:val="24"/>
      <w:szCs w:val="24"/>
    </w:rPr>
  </w:style>
  <w:style w:type="paragraph" w:styleId="Heading8">
    <w:name w:val="heading 8"/>
    <w:basedOn w:val="Normal"/>
    <w:next w:val="Normal"/>
    <w:link w:val="Heading8Char"/>
    <w:uiPriority w:val="9"/>
    <w:unhideWhenUsed/>
    <w:qFormat/>
    <w:rsid w:val="00051B6C"/>
    <w:pPr>
      <w:numPr>
        <w:ilvl w:val="7"/>
        <w:numId w:val="1"/>
      </w:numPr>
      <w:spacing w:before="240" w:after="60"/>
      <w:outlineLvl w:val="7"/>
    </w:pPr>
    <w:rPr>
      <w:i/>
      <w:iCs/>
      <w:sz w:val="24"/>
      <w:szCs w:val="24"/>
    </w:rPr>
  </w:style>
  <w:style w:type="paragraph" w:styleId="Heading9">
    <w:name w:val="heading 9"/>
    <w:basedOn w:val="Normal"/>
    <w:next w:val="Normal"/>
    <w:link w:val="Heading9Char"/>
    <w:uiPriority w:val="9"/>
    <w:unhideWhenUsed/>
    <w:qFormat/>
    <w:rsid w:val="00051B6C"/>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basedOn w:val="DefaultParagraphFont"/>
    <w:link w:val="Heading5"/>
    <w:rsid w:val="00051B6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051B6C"/>
    <w:rPr>
      <w:rFonts w:ascii="Calibri" w:eastAsia="Times New Roman" w:hAnsi="Calibri" w:cs="Times New Roman"/>
      <w:b/>
      <w:bCs/>
    </w:rPr>
  </w:style>
  <w:style w:type="character" w:customStyle="1" w:styleId="Heading7Char">
    <w:name w:val="Heading 7 Char"/>
    <w:basedOn w:val="DefaultParagraphFont"/>
    <w:link w:val="Heading7"/>
    <w:uiPriority w:val="9"/>
    <w:rsid w:val="00051B6C"/>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051B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051B6C"/>
    <w:rPr>
      <w:rFonts w:ascii="Cambria" w:eastAsia="Times New Roman" w:hAnsi="Cambria" w:cs="Times New Roman"/>
    </w:rPr>
  </w:style>
  <w:style w:type="paragraph" w:customStyle="1" w:styleId="Default">
    <w:name w:val="Default"/>
    <w:rsid w:val="00051B6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link w:val="ChapterChar"/>
    <w:rsid w:val="00051B6C"/>
    <w:pPr>
      <w:keepNext/>
      <w:numPr>
        <w:numId w:val="2"/>
      </w:numPr>
      <w:tabs>
        <w:tab w:val="clear" w:pos="2088"/>
        <w:tab w:val="num" w:pos="648"/>
        <w:tab w:val="left" w:pos="1440"/>
      </w:tabs>
      <w:spacing w:before="240" w:after="240" w:line="240" w:lineRule="auto"/>
      <w:ind w:left="0"/>
      <w:jc w:val="center"/>
    </w:pPr>
    <w:rPr>
      <w:rFonts w:ascii="Times New Roman" w:hAnsi="Times New Roman"/>
      <w:b/>
      <w:smallCaps/>
      <w:sz w:val="24"/>
      <w:szCs w:val="24"/>
    </w:rPr>
  </w:style>
  <w:style w:type="character" w:customStyle="1" w:styleId="ChapterChar">
    <w:name w:val="Chapter Char"/>
    <w:basedOn w:val="DefaultParagraphFont"/>
    <w:link w:val="Chapter"/>
    <w:locked/>
    <w:rsid w:val="00051B6C"/>
    <w:rPr>
      <w:rFonts w:ascii="Times New Roman" w:eastAsia="Times New Roman" w:hAnsi="Times New Roman" w:cs="Times New Roman"/>
      <w:b/>
      <w:smallCaps/>
      <w:sz w:val="24"/>
      <w:szCs w:val="24"/>
    </w:rPr>
  </w:style>
  <w:style w:type="paragraph" w:customStyle="1" w:styleId="FirstHeading">
    <w:name w:val="FirstHeading"/>
    <w:basedOn w:val="Normal"/>
    <w:next w:val="Normal"/>
    <w:link w:val="FirstHeadingChar"/>
    <w:rsid w:val="00051B6C"/>
    <w:pPr>
      <w:keepNext/>
      <w:numPr>
        <w:numId w:val="1"/>
      </w:numPr>
      <w:tabs>
        <w:tab w:val="left" w:pos="0"/>
        <w:tab w:val="left" w:pos="86"/>
      </w:tabs>
      <w:spacing w:before="120" w:after="120" w:line="240" w:lineRule="auto"/>
    </w:pPr>
    <w:rPr>
      <w:rFonts w:ascii="Times New Roman" w:hAnsi="Times New Roman"/>
      <w:b/>
      <w:sz w:val="24"/>
      <w:szCs w:val="24"/>
    </w:rPr>
  </w:style>
  <w:style w:type="character" w:customStyle="1" w:styleId="FirstHeadingChar">
    <w:name w:val="FirstHeading Char"/>
    <w:basedOn w:val="DefaultParagraphFont"/>
    <w:link w:val="FirstHeading"/>
    <w:locked/>
    <w:rsid w:val="00051B6C"/>
    <w:rPr>
      <w:rFonts w:ascii="Times New Roman" w:eastAsia="Times New Roman" w:hAnsi="Times New Roman" w:cs="Times New Roman"/>
      <w:b/>
      <w:sz w:val="24"/>
      <w:szCs w:val="24"/>
    </w:rPr>
  </w:style>
  <w:style w:type="paragraph" w:customStyle="1" w:styleId="SecHeading">
    <w:name w:val="SecHeading"/>
    <w:basedOn w:val="Normal"/>
    <w:next w:val="Paragraph"/>
    <w:rsid w:val="00051B6C"/>
    <w:pPr>
      <w:keepNext/>
      <w:numPr>
        <w:ilvl w:val="1"/>
        <w:numId w:val="1"/>
      </w:numPr>
      <w:tabs>
        <w:tab w:val="clear" w:pos="5400"/>
        <w:tab w:val="num" w:pos="1296"/>
      </w:tabs>
      <w:spacing w:before="120" w:after="120" w:line="240" w:lineRule="auto"/>
      <w:ind w:left="1296"/>
    </w:pPr>
    <w:rPr>
      <w:rFonts w:ascii="Times New Roman" w:hAnsi="Times New Roman"/>
      <w:b/>
      <w:sz w:val="24"/>
      <w:szCs w:val="24"/>
    </w:rPr>
  </w:style>
  <w:style w:type="paragraph" w:customStyle="1" w:styleId="SubHeading1">
    <w:name w:val="SubHeading1"/>
    <w:basedOn w:val="SecHeading"/>
    <w:rsid w:val="00051B6C"/>
    <w:pPr>
      <w:numPr>
        <w:ilvl w:val="2"/>
      </w:numPr>
      <w:tabs>
        <w:tab w:val="clear" w:pos="5976"/>
        <w:tab w:val="num" w:pos="1872"/>
      </w:tabs>
      <w:ind w:left="1872"/>
    </w:pPr>
  </w:style>
  <w:style w:type="paragraph" w:customStyle="1" w:styleId="Subheading2">
    <w:name w:val="Subheading2"/>
    <w:basedOn w:val="SecHeading"/>
    <w:rsid w:val="00051B6C"/>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051B6C"/>
    <w:pPr>
      <w:numPr>
        <w:ilvl w:val="1"/>
        <w:numId w:val="2"/>
      </w:numPr>
      <w:spacing w:before="120" w:line="240" w:lineRule="auto"/>
      <w:jc w:val="both"/>
      <w:outlineLvl w:val="1"/>
    </w:pPr>
    <w:rPr>
      <w:rFonts w:ascii="Times New Roman" w:hAnsi="Times New Roman"/>
      <w:sz w:val="24"/>
      <w:szCs w:val="24"/>
    </w:rPr>
  </w:style>
  <w:style w:type="character" w:customStyle="1" w:styleId="ParagraphChar">
    <w:name w:val="Paragraph Char"/>
    <w:basedOn w:val="DefaultParagraphFont"/>
    <w:link w:val="Paragraph"/>
    <w:locked/>
    <w:rsid w:val="00051B6C"/>
    <w:rPr>
      <w:rFonts w:ascii="Times New Roman" w:eastAsia="Times New Roman" w:hAnsi="Times New Roman" w:cs="Times New Roman"/>
      <w:sz w:val="24"/>
      <w:szCs w:val="24"/>
    </w:rPr>
  </w:style>
  <w:style w:type="paragraph" w:customStyle="1" w:styleId="subpar">
    <w:name w:val="subpar"/>
    <w:basedOn w:val="BodyTextIndent3"/>
    <w:link w:val="subparChar"/>
    <w:rsid w:val="00051B6C"/>
    <w:pPr>
      <w:numPr>
        <w:ilvl w:val="2"/>
        <w:numId w:val="2"/>
      </w:numPr>
      <w:tabs>
        <w:tab w:val="clear" w:pos="2592"/>
        <w:tab w:val="num" w:pos="1152"/>
      </w:tabs>
      <w:spacing w:before="120" w:line="240" w:lineRule="auto"/>
      <w:ind w:left="1152"/>
      <w:jc w:val="both"/>
      <w:outlineLvl w:val="2"/>
    </w:pPr>
    <w:rPr>
      <w:rFonts w:ascii="Times New Roman" w:hAnsi="Times New Roman"/>
      <w:sz w:val="24"/>
      <w:szCs w:val="24"/>
    </w:rPr>
  </w:style>
  <w:style w:type="character" w:customStyle="1" w:styleId="subparChar">
    <w:name w:val="subpar Char"/>
    <w:basedOn w:val="DefaultParagraphFont"/>
    <w:link w:val="subpar"/>
    <w:locked/>
    <w:rsid w:val="00051B6C"/>
    <w:rPr>
      <w:rFonts w:ascii="Times New Roman" w:eastAsia="Times New Roman" w:hAnsi="Times New Roman" w:cs="Times New Roman"/>
      <w:sz w:val="24"/>
      <w:szCs w:val="24"/>
    </w:rPr>
  </w:style>
  <w:style w:type="paragraph" w:customStyle="1" w:styleId="SubSubPar">
    <w:name w:val="SubSubPar"/>
    <w:basedOn w:val="subpar"/>
    <w:rsid w:val="00051B6C"/>
    <w:pPr>
      <w:numPr>
        <w:ilvl w:val="3"/>
      </w:numPr>
      <w:tabs>
        <w:tab w:val="clear" w:pos="3024"/>
        <w:tab w:val="left" w:pos="0"/>
        <w:tab w:val="num" w:pos="360"/>
        <w:tab w:val="num" w:pos="1296"/>
      </w:tabs>
      <w:ind w:left="1296"/>
    </w:p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unhideWhenUsed/>
    <w:rsid w:val="00051B6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051B6C"/>
    <w:rPr>
      <w:rFonts w:ascii="Times New Roman" w:eastAsia="Times New Roman" w:hAnsi="Times New Roman" w:cs="Times New Roman"/>
      <w:spacing w:val="-3"/>
      <w:sz w:val="20"/>
      <w:szCs w:val="20"/>
    </w:rPr>
  </w:style>
  <w:style w:type="character" w:styleId="FootnoteReference">
    <w:name w:val="footnote reference"/>
    <w:aliases w:val="ftref,titulo 2,FC,referencia nota al pie,Fußnotenzeichen DISS,16 Point,Superscript 6 Point,BVI fnr, BVI fnr,Знак сноски 1,Footnote Referencefra,Ref. de nota al pie.,Stinking Styles11,Texto de nota al pie,Footnote symbol,Footnote"/>
    <w:basedOn w:val="DefaultParagraphFont"/>
    <w:uiPriority w:val="99"/>
    <w:unhideWhenUsed/>
    <w:rsid w:val="00051B6C"/>
    <w:rPr>
      <w:rFonts w:cs="Times New Roman"/>
      <w:vertAlign w:val="superscript"/>
    </w:rPr>
  </w:style>
  <w:style w:type="paragraph" w:styleId="TOC1">
    <w:name w:val="toc 1"/>
    <w:basedOn w:val="Normal"/>
    <w:next w:val="Normal"/>
    <w:autoRedefine/>
    <w:uiPriority w:val="39"/>
    <w:unhideWhenUsed/>
    <w:rsid w:val="00216230"/>
    <w:pPr>
      <w:tabs>
        <w:tab w:val="left" w:pos="380"/>
        <w:tab w:val="right" w:leader="dot" w:pos="8741"/>
      </w:tabs>
      <w:spacing w:before="240" w:after="240" w:line="240" w:lineRule="auto"/>
      <w:ind w:left="547" w:hanging="547"/>
    </w:pPr>
    <w:rPr>
      <w:rFonts w:ascii="Gotham Book" w:hAnsi="Gotham Book"/>
      <w:b/>
      <w:smallCaps/>
      <w:noProof/>
      <w:sz w:val="24"/>
      <w:lang w:val="es-ES_tradnl"/>
    </w:rPr>
  </w:style>
  <w:style w:type="paragraph" w:styleId="TOC2">
    <w:name w:val="toc 2"/>
    <w:basedOn w:val="Normal"/>
    <w:next w:val="Normal"/>
    <w:autoRedefine/>
    <w:uiPriority w:val="39"/>
    <w:unhideWhenUsed/>
    <w:rsid w:val="00051B6C"/>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unhideWhenUsed/>
    <w:rsid w:val="00051B6C"/>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unhideWhenUsed/>
    <w:rsid w:val="00051B6C"/>
    <w:pPr>
      <w:tabs>
        <w:tab w:val="center" w:pos="4680"/>
        <w:tab w:val="right" w:pos="9360"/>
      </w:tabs>
    </w:pPr>
  </w:style>
  <w:style w:type="character" w:customStyle="1" w:styleId="HeaderChar">
    <w:name w:val="Header Char"/>
    <w:basedOn w:val="DefaultParagraphFont"/>
    <w:link w:val="Header"/>
    <w:uiPriority w:val="99"/>
    <w:rsid w:val="00051B6C"/>
    <w:rPr>
      <w:rFonts w:ascii="Calibri" w:eastAsia="Times New Roman" w:hAnsi="Calibri" w:cs="Times New Roman"/>
    </w:rPr>
  </w:style>
  <w:style w:type="paragraph" w:styleId="Footer">
    <w:name w:val="footer"/>
    <w:basedOn w:val="Normal"/>
    <w:link w:val="FooterChar"/>
    <w:uiPriority w:val="99"/>
    <w:unhideWhenUsed/>
    <w:rsid w:val="00051B6C"/>
    <w:pPr>
      <w:tabs>
        <w:tab w:val="center" w:pos="4680"/>
        <w:tab w:val="right" w:pos="9360"/>
      </w:tabs>
    </w:pPr>
  </w:style>
  <w:style w:type="character" w:customStyle="1" w:styleId="FooterChar">
    <w:name w:val="Footer Char"/>
    <w:basedOn w:val="DefaultParagraphFont"/>
    <w:link w:val="Footer"/>
    <w:uiPriority w:val="99"/>
    <w:rsid w:val="00051B6C"/>
    <w:rPr>
      <w:rFonts w:ascii="Calibri" w:eastAsia="Times New Roman" w:hAnsi="Calibri" w:cs="Times New Roman"/>
    </w:rPr>
  </w:style>
  <w:style w:type="character" w:styleId="Hyperlink">
    <w:name w:val="Hyperlink"/>
    <w:basedOn w:val="DefaultParagraphFont"/>
    <w:uiPriority w:val="99"/>
    <w:unhideWhenUsed/>
    <w:rsid w:val="00051B6C"/>
    <w:rPr>
      <w:color w:val="0000FF" w:themeColor="hyperlink"/>
      <w:u w:val="single"/>
    </w:rPr>
  </w:style>
  <w:style w:type="table" w:customStyle="1" w:styleId="TableGrid1">
    <w:name w:val="Table Grid1"/>
    <w:basedOn w:val="TableNormal"/>
    <w:next w:val="TableGrid"/>
    <w:uiPriority w:val="59"/>
    <w:rsid w:val="00051B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051B6C"/>
    <w:pPr>
      <w:spacing w:after="120"/>
      <w:ind w:left="360"/>
    </w:pPr>
  </w:style>
  <w:style w:type="character" w:customStyle="1" w:styleId="BodyTextIndentChar">
    <w:name w:val="Body Text Indent Char"/>
    <w:basedOn w:val="DefaultParagraphFont"/>
    <w:link w:val="BodyTextIndent"/>
    <w:uiPriority w:val="99"/>
    <w:semiHidden/>
    <w:rsid w:val="00051B6C"/>
    <w:rPr>
      <w:rFonts w:ascii="Calibri" w:eastAsia="Times New Roman" w:hAnsi="Calibri" w:cs="Times New Roman"/>
    </w:rPr>
  </w:style>
  <w:style w:type="paragraph" w:styleId="BodyTextIndent3">
    <w:name w:val="Body Text Indent 3"/>
    <w:basedOn w:val="Normal"/>
    <w:link w:val="BodyTextIndent3Char"/>
    <w:uiPriority w:val="99"/>
    <w:semiHidden/>
    <w:unhideWhenUsed/>
    <w:rsid w:val="00051B6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51B6C"/>
    <w:rPr>
      <w:rFonts w:ascii="Calibri" w:eastAsia="Times New Roman" w:hAnsi="Calibri" w:cs="Times New Roman"/>
      <w:sz w:val="16"/>
      <w:szCs w:val="16"/>
    </w:rPr>
  </w:style>
  <w:style w:type="table" w:styleId="TableGrid">
    <w:name w:val="Table Grid"/>
    <w:basedOn w:val="TableNormal"/>
    <w:uiPriority w:val="59"/>
    <w:rsid w:val="00051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84D78"/>
    <w:pPr>
      <w:spacing w:after="120"/>
    </w:pPr>
    <w:rPr>
      <w:rFonts w:asciiTheme="minorHAnsi" w:eastAsiaTheme="minorEastAsia" w:hAnsiTheme="minorHAnsi" w:cstheme="minorBidi"/>
      <w:lang w:val="es-ES" w:eastAsia="es-ES"/>
    </w:rPr>
  </w:style>
  <w:style w:type="character" w:customStyle="1" w:styleId="BodyTextChar">
    <w:name w:val="Body Text Char"/>
    <w:basedOn w:val="DefaultParagraphFont"/>
    <w:link w:val="BodyText"/>
    <w:uiPriority w:val="99"/>
    <w:rsid w:val="00F84D78"/>
    <w:rPr>
      <w:rFonts w:eastAsiaTheme="minorEastAsia"/>
      <w:lang w:val="es-ES" w:eastAsia="es-ES"/>
    </w:rPr>
  </w:style>
  <w:style w:type="paragraph" w:styleId="ListParagraph">
    <w:name w:val="List Paragraph"/>
    <w:basedOn w:val="Normal"/>
    <w:uiPriority w:val="34"/>
    <w:qFormat/>
    <w:rsid w:val="00B52474"/>
    <w:pPr>
      <w:ind w:left="720"/>
      <w:contextualSpacing/>
    </w:pPr>
    <w:rPr>
      <w:rFonts w:asciiTheme="minorHAnsi" w:eastAsiaTheme="minorHAnsi" w:hAnsiTheme="minorHAnsi" w:cstheme="minorBidi"/>
      <w:lang w:val="es-MX"/>
    </w:rPr>
  </w:style>
  <w:style w:type="paragraph" w:styleId="BalloonText">
    <w:name w:val="Balloon Text"/>
    <w:basedOn w:val="Normal"/>
    <w:link w:val="BalloonTextChar"/>
    <w:uiPriority w:val="99"/>
    <w:semiHidden/>
    <w:unhideWhenUsed/>
    <w:rsid w:val="0025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51D"/>
    <w:rPr>
      <w:rFonts w:ascii="Tahoma" w:eastAsia="Times New Roman" w:hAnsi="Tahoma" w:cs="Tahoma"/>
      <w:sz w:val="16"/>
      <w:szCs w:val="16"/>
    </w:rPr>
  </w:style>
  <w:style w:type="character" w:styleId="PageNumber">
    <w:name w:val="page number"/>
    <w:basedOn w:val="DefaultParagraphFont"/>
    <w:rsid w:val="00E81FAF"/>
  </w:style>
  <w:style w:type="character" w:styleId="CommentReference">
    <w:name w:val="annotation reference"/>
    <w:basedOn w:val="DefaultParagraphFont"/>
    <w:uiPriority w:val="99"/>
    <w:semiHidden/>
    <w:unhideWhenUsed/>
    <w:rsid w:val="00893744"/>
    <w:rPr>
      <w:sz w:val="16"/>
      <w:szCs w:val="16"/>
    </w:rPr>
  </w:style>
  <w:style w:type="paragraph" w:styleId="CommentText">
    <w:name w:val="annotation text"/>
    <w:basedOn w:val="Normal"/>
    <w:link w:val="CommentTextChar"/>
    <w:uiPriority w:val="99"/>
    <w:semiHidden/>
    <w:unhideWhenUsed/>
    <w:rsid w:val="00893744"/>
    <w:pPr>
      <w:spacing w:line="240" w:lineRule="auto"/>
    </w:pPr>
    <w:rPr>
      <w:sz w:val="20"/>
      <w:szCs w:val="20"/>
    </w:rPr>
  </w:style>
  <w:style w:type="character" w:customStyle="1" w:styleId="CommentTextChar">
    <w:name w:val="Comment Text Char"/>
    <w:basedOn w:val="DefaultParagraphFont"/>
    <w:link w:val="CommentText"/>
    <w:uiPriority w:val="99"/>
    <w:semiHidden/>
    <w:rsid w:val="0089374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4"/>
    <w:rPr>
      <w:b/>
      <w:bCs/>
    </w:rPr>
  </w:style>
  <w:style w:type="character" w:customStyle="1" w:styleId="CommentSubjectChar">
    <w:name w:val="Comment Subject Char"/>
    <w:basedOn w:val="CommentTextChar"/>
    <w:link w:val="CommentSubject"/>
    <w:uiPriority w:val="99"/>
    <w:semiHidden/>
    <w:rsid w:val="00893744"/>
    <w:rPr>
      <w:rFonts w:ascii="Calibri" w:eastAsia="Times New Roman" w:hAnsi="Calibri" w:cs="Times New Roman"/>
      <w:b/>
      <w:bCs/>
      <w:sz w:val="20"/>
      <w:szCs w:val="20"/>
    </w:rPr>
  </w:style>
  <w:style w:type="paragraph" w:styleId="Revision">
    <w:name w:val="Revision"/>
    <w:hidden/>
    <w:uiPriority w:val="99"/>
    <w:semiHidden/>
    <w:rsid w:val="001676BC"/>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4.unfccc.int/submissions/INDC/Published%20Documents/Mexico/1/MEXICO%20INDC%2003.30.2015.pdf"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data.worldbank.org/indicator/NY.GDP.MKTP.PP.CD"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energyatlas.iea.org/?subject=1378539487"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www.bancomext.com/sector/energetico" TargetMode="External"/><Relationship Id="rId23" Type="http://schemas.microsoft.com/office/2011/relationships/people" Target="people.xml"/><Relationship Id="rId28"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9184886" TargetMode="External"/><Relationship Id="rId2" Type="http://schemas.openxmlformats.org/officeDocument/2006/relationships/hyperlink" Target="http://www.amdee.org/Publicaciones/POISE-2014-2028.pdf" TargetMode="External"/><Relationship Id="rId1" Type="http://schemas.openxmlformats.org/officeDocument/2006/relationships/hyperlink" Target="http://www.bancomext.com/wp-content/uploads/2014/07/Plan_Inst_2013-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AB34BE0489A4A4587159359AC46DA7B" ma:contentTypeVersion="0" ma:contentTypeDescription="A content type to manage public (operations) IDB documents" ma:contentTypeScope="" ma:versionID="5e44f64f3cbfdfa5231017584e36aabe">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39606517</IDBDocs_x0020_Number>
    <Document_x0020_Author xmlns="9c571b2f-e523-4ab2-ba2e-09e151a03ef4">Prats Cabrera, Joan Oriol</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ME-L1172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86E057A-3A31-4069-92B8-28EF75E1425F}"/>
</file>

<file path=customXml/itemProps2.xml><?xml version="1.0" encoding="utf-8"?>
<ds:datastoreItem xmlns:ds="http://schemas.openxmlformats.org/officeDocument/2006/customXml" ds:itemID="{410FBDBE-38BB-406F-8F7D-DC955E7EB0BB}"/>
</file>

<file path=customXml/itemProps3.xml><?xml version="1.0" encoding="utf-8"?>
<ds:datastoreItem xmlns:ds="http://schemas.openxmlformats.org/officeDocument/2006/customXml" ds:itemID="{63C5E63D-B5D2-4A63-9FAA-FD740E39F2D0}"/>
</file>

<file path=customXml/itemProps4.xml><?xml version="1.0" encoding="utf-8"?>
<ds:datastoreItem xmlns:ds="http://schemas.openxmlformats.org/officeDocument/2006/customXml" ds:itemID="{122B939A-7743-4154-BA07-3E8D144DAA23}"/>
</file>

<file path=customXml/itemProps5.xml><?xml version="1.0" encoding="utf-8"?>
<ds:datastoreItem xmlns:ds="http://schemas.openxmlformats.org/officeDocument/2006/customXml" ds:itemID="{01057A9A-93FC-43C7-A4A9-A3E24CD727F5}"/>
</file>

<file path=customXml/itemProps6.xml><?xml version="1.0" encoding="utf-8"?>
<ds:datastoreItem xmlns:ds="http://schemas.openxmlformats.org/officeDocument/2006/customXml" ds:itemID="{601DBA8F-3307-4B7F-A84E-648986E12B36}"/>
</file>

<file path=docProps/app.xml><?xml version="1.0" encoding="utf-8"?>
<Properties xmlns="http://schemas.openxmlformats.org/officeDocument/2006/extended-properties" xmlns:vt="http://schemas.openxmlformats.org/officeDocument/2006/docPropsVTypes">
  <Template>Normal.dotm</Template>
  <TotalTime>1093</TotalTime>
  <Pages>14</Pages>
  <Words>4650</Words>
  <Characters>26505</Characters>
  <Application>Microsoft Office Word</Application>
  <DocSecurity>0</DocSecurity>
  <Lines>220</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Test</dc:creator>
  <cp:lastModifiedBy>Test</cp:lastModifiedBy>
  <cp:revision>42</cp:revision>
  <dcterms:created xsi:type="dcterms:W3CDTF">2015-05-21T20:18:00Z</dcterms:created>
  <dcterms:modified xsi:type="dcterms:W3CDTF">2015-07-31T21:15:00Z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0x01010046CF21643EE8D14686A648AA6DAD0892006AB34BE0489A4A4587159359AC46DA7B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