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4286" w:rsidRDefault="0039123E" w:rsidP="0039123E">
      <w:pPr>
        <w:spacing w:before="120" w:after="120" w:line="240" w:lineRule="auto"/>
        <w:jc w:val="center"/>
        <w:rPr>
          <w:rFonts w:ascii="Arial" w:hAnsi="Arial" w:cs="Arial"/>
          <w:b/>
          <w:sz w:val="24"/>
          <w:szCs w:val="24"/>
          <w:lang w:val="es-ES"/>
        </w:rPr>
      </w:pPr>
      <w:r>
        <w:rPr>
          <w:rFonts w:ascii="Arial" w:hAnsi="Arial" w:cs="Arial"/>
          <w:b/>
          <w:sz w:val="24"/>
          <w:szCs w:val="24"/>
          <w:lang w:val="es-ES"/>
        </w:rPr>
        <w:t xml:space="preserve">Documento </w:t>
      </w:r>
      <w:r w:rsidR="0091508A" w:rsidRPr="00D97FAD">
        <w:rPr>
          <w:rFonts w:ascii="Arial" w:hAnsi="Arial" w:cs="Arial"/>
          <w:b/>
          <w:sz w:val="24"/>
          <w:szCs w:val="24"/>
          <w:lang w:val="es-ES"/>
        </w:rPr>
        <w:t xml:space="preserve">de </w:t>
      </w:r>
      <w:r w:rsidR="00F00960" w:rsidRPr="00D97FAD">
        <w:rPr>
          <w:rFonts w:ascii="Arial" w:hAnsi="Arial" w:cs="Arial"/>
          <w:b/>
          <w:sz w:val="24"/>
          <w:szCs w:val="24"/>
          <w:lang w:val="es-ES"/>
        </w:rPr>
        <w:t>Cooperación</w:t>
      </w:r>
      <w:r w:rsidR="0091508A" w:rsidRPr="00D97FAD">
        <w:rPr>
          <w:rFonts w:ascii="Arial" w:hAnsi="Arial" w:cs="Arial"/>
          <w:b/>
          <w:sz w:val="24"/>
          <w:szCs w:val="24"/>
          <w:lang w:val="es-ES"/>
        </w:rPr>
        <w:t xml:space="preserve"> T</w:t>
      </w:r>
      <w:r w:rsidR="00F00960" w:rsidRPr="00D97FAD">
        <w:rPr>
          <w:rFonts w:ascii="Arial" w:hAnsi="Arial" w:cs="Arial"/>
          <w:b/>
          <w:sz w:val="24"/>
          <w:szCs w:val="24"/>
          <w:lang w:val="es-ES"/>
        </w:rPr>
        <w:t>é</w:t>
      </w:r>
      <w:r w:rsidR="0091508A" w:rsidRPr="00D97FAD">
        <w:rPr>
          <w:rFonts w:ascii="Arial" w:hAnsi="Arial" w:cs="Arial"/>
          <w:b/>
          <w:sz w:val="24"/>
          <w:szCs w:val="24"/>
          <w:lang w:val="es-ES"/>
        </w:rPr>
        <w:t xml:space="preserve">cnica </w:t>
      </w:r>
    </w:p>
    <w:p w:rsidR="0095711B" w:rsidRPr="00D97FAD" w:rsidRDefault="00E33333" w:rsidP="00E82882">
      <w:pPr>
        <w:pStyle w:val="ListParagraph"/>
        <w:numPr>
          <w:ilvl w:val="0"/>
          <w:numId w:val="5"/>
        </w:numPr>
        <w:spacing w:before="240" w:after="120" w:line="240" w:lineRule="auto"/>
        <w:contextualSpacing w:val="0"/>
        <w:jc w:val="both"/>
        <w:rPr>
          <w:rFonts w:ascii="Arial" w:hAnsi="Arial" w:cs="Arial"/>
          <w:b/>
          <w:lang w:val="es-ES"/>
        </w:rPr>
      </w:pPr>
      <w:r w:rsidRPr="00D97FAD">
        <w:rPr>
          <w:rFonts w:ascii="Arial" w:hAnsi="Arial" w:cs="Arial"/>
          <w:b/>
          <w:lang w:val="es-ES"/>
        </w:rPr>
        <w:t>Información</w:t>
      </w:r>
      <w:r w:rsidR="0091508A" w:rsidRPr="00D97FAD">
        <w:rPr>
          <w:rFonts w:ascii="Arial" w:hAnsi="Arial" w:cs="Arial"/>
          <w:b/>
          <w:lang w:val="es-ES"/>
        </w:rPr>
        <w:t xml:space="preserve"> </w:t>
      </w:r>
      <w:r w:rsidRPr="00D97FAD">
        <w:rPr>
          <w:rFonts w:ascii="Arial" w:hAnsi="Arial" w:cs="Arial"/>
          <w:b/>
          <w:lang w:val="es-ES"/>
        </w:rPr>
        <w:t>Básica</w:t>
      </w:r>
      <w:r w:rsidR="008C1D97">
        <w:rPr>
          <w:rFonts w:ascii="Arial" w:hAnsi="Arial" w:cs="Arial"/>
          <w:b/>
          <w:lang w:val="es-ES"/>
        </w:rPr>
        <w:t xml:space="preserve"> de la CT</w:t>
      </w:r>
    </w:p>
    <w:tbl>
      <w:tblPr>
        <w:tblStyle w:val="TableGrid"/>
        <w:tblW w:w="8887" w:type="dxa"/>
        <w:tblInd w:w="37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firstRow="1" w:lastRow="0" w:firstColumn="1" w:lastColumn="0" w:noHBand="0" w:noVBand="1"/>
      </w:tblPr>
      <w:tblGrid>
        <w:gridCol w:w="3510"/>
        <w:gridCol w:w="5377"/>
      </w:tblGrid>
      <w:tr w:rsidR="000C16F9" w:rsidRPr="00D97FAD" w:rsidTr="008C1D97">
        <w:tc>
          <w:tcPr>
            <w:tcW w:w="3510" w:type="dxa"/>
          </w:tcPr>
          <w:p w:rsidR="009F33FF" w:rsidRPr="00D97FAD" w:rsidRDefault="0091508A" w:rsidP="00DA0911">
            <w:pPr>
              <w:pStyle w:val="ListParagraph"/>
              <w:numPr>
                <w:ilvl w:val="0"/>
                <w:numId w:val="2"/>
              </w:numPr>
              <w:spacing w:after="60"/>
              <w:ind w:left="180" w:hanging="180"/>
              <w:contextualSpacing w:val="0"/>
              <w:jc w:val="both"/>
              <w:rPr>
                <w:rFonts w:ascii="Arial" w:hAnsi="Arial" w:cs="Arial"/>
                <w:sz w:val="18"/>
                <w:szCs w:val="18"/>
                <w:lang w:val="es-ES"/>
              </w:rPr>
            </w:pPr>
            <w:r w:rsidRPr="00D97FAD">
              <w:rPr>
                <w:rFonts w:ascii="Arial" w:hAnsi="Arial" w:cs="Arial"/>
                <w:sz w:val="18"/>
                <w:szCs w:val="18"/>
                <w:lang w:val="es-ES"/>
              </w:rPr>
              <w:t>País</w:t>
            </w:r>
            <w:r w:rsidR="009F33FF" w:rsidRPr="00D97FAD">
              <w:rPr>
                <w:rFonts w:ascii="Arial" w:hAnsi="Arial" w:cs="Arial"/>
                <w:sz w:val="18"/>
                <w:szCs w:val="18"/>
                <w:lang w:val="es-ES"/>
              </w:rPr>
              <w:t>/Regi</w:t>
            </w:r>
            <w:r w:rsidRPr="00D97FAD">
              <w:rPr>
                <w:rFonts w:ascii="Arial" w:hAnsi="Arial" w:cs="Arial"/>
                <w:sz w:val="18"/>
                <w:szCs w:val="18"/>
                <w:lang w:val="es-ES"/>
              </w:rPr>
              <w:t>ó</w:t>
            </w:r>
            <w:r w:rsidR="009F33FF" w:rsidRPr="00D97FAD">
              <w:rPr>
                <w:rFonts w:ascii="Arial" w:hAnsi="Arial" w:cs="Arial"/>
                <w:sz w:val="18"/>
                <w:szCs w:val="18"/>
                <w:lang w:val="es-ES"/>
              </w:rPr>
              <w:t>n:</w:t>
            </w:r>
          </w:p>
        </w:tc>
        <w:tc>
          <w:tcPr>
            <w:tcW w:w="5377" w:type="dxa"/>
          </w:tcPr>
          <w:p w:rsidR="009F33FF" w:rsidRPr="00D97FAD" w:rsidRDefault="0019595A" w:rsidP="00DA0911">
            <w:pPr>
              <w:spacing w:after="60"/>
              <w:ind w:left="360"/>
              <w:rPr>
                <w:rFonts w:ascii="Arial" w:hAnsi="Arial" w:cs="Arial"/>
                <w:sz w:val="18"/>
                <w:szCs w:val="18"/>
                <w:lang w:val="es-ES"/>
              </w:rPr>
            </w:pPr>
            <w:r>
              <w:rPr>
                <w:rFonts w:ascii="Arial" w:hAnsi="Arial" w:cs="Arial"/>
                <w:sz w:val="18"/>
                <w:szCs w:val="18"/>
                <w:lang w:val="es-ES"/>
              </w:rPr>
              <w:t>Honduras</w:t>
            </w:r>
          </w:p>
        </w:tc>
      </w:tr>
      <w:tr w:rsidR="000C16F9" w:rsidRPr="00E82882" w:rsidTr="008C1D97">
        <w:tc>
          <w:tcPr>
            <w:tcW w:w="3510" w:type="dxa"/>
          </w:tcPr>
          <w:p w:rsidR="009F33FF" w:rsidRPr="00D97FAD" w:rsidRDefault="0091508A" w:rsidP="00DA0911">
            <w:pPr>
              <w:pStyle w:val="ListParagraph"/>
              <w:numPr>
                <w:ilvl w:val="0"/>
                <w:numId w:val="2"/>
              </w:numPr>
              <w:spacing w:after="60"/>
              <w:ind w:left="180" w:hanging="180"/>
              <w:contextualSpacing w:val="0"/>
              <w:jc w:val="both"/>
              <w:rPr>
                <w:rFonts w:ascii="Arial" w:hAnsi="Arial" w:cs="Arial"/>
                <w:sz w:val="18"/>
                <w:szCs w:val="18"/>
                <w:lang w:val="es-ES"/>
              </w:rPr>
            </w:pPr>
            <w:r w:rsidRPr="00D97FAD">
              <w:rPr>
                <w:rFonts w:ascii="Arial" w:hAnsi="Arial" w:cs="Arial"/>
                <w:sz w:val="18"/>
                <w:szCs w:val="18"/>
                <w:lang w:val="es-ES"/>
              </w:rPr>
              <w:t>Nombre de la C</w:t>
            </w:r>
            <w:r w:rsidR="009F33FF" w:rsidRPr="00D97FAD">
              <w:rPr>
                <w:rFonts w:ascii="Arial" w:hAnsi="Arial" w:cs="Arial"/>
                <w:sz w:val="18"/>
                <w:szCs w:val="18"/>
                <w:lang w:val="es-ES"/>
              </w:rPr>
              <w:t>T:</w:t>
            </w:r>
          </w:p>
        </w:tc>
        <w:tc>
          <w:tcPr>
            <w:tcW w:w="5377" w:type="dxa"/>
          </w:tcPr>
          <w:p w:rsidR="009F33FF" w:rsidRPr="00D97FAD" w:rsidRDefault="0019595A" w:rsidP="00DA0911">
            <w:pPr>
              <w:spacing w:after="60"/>
              <w:ind w:left="360"/>
              <w:rPr>
                <w:rFonts w:ascii="Arial" w:hAnsi="Arial" w:cs="Arial"/>
                <w:sz w:val="18"/>
                <w:szCs w:val="18"/>
                <w:lang w:val="es-ES"/>
              </w:rPr>
            </w:pPr>
            <w:r w:rsidRPr="0019595A">
              <w:rPr>
                <w:rFonts w:ascii="Arial" w:hAnsi="Arial" w:cs="Arial"/>
                <w:sz w:val="18"/>
                <w:szCs w:val="18"/>
                <w:lang w:val="es-ES"/>
              </w:rPr>
              <w:t>Apoyo a la planificación presupuestal plurianual y a la gestión macro-fiscal de mediano plazo</w:t>
            </w:r>
          </w:p>
        </w:tc>
      </w:tr>
      <w:tr w:rsidR="000C16F9" w:rsidRPr="00D97FAD" w:rsidTr="008C1D97">
        <w:tc>
          <w:tcPr>
            <w:tcW w:w="3510" w:type="dxa"/>
          </w:tcPr>
          <w:p w:rsidR="009F33FF" w:rsidRPr="00D97FAD" w:rsidRDefault="0091508A" w:rsidP="00DA0911">
            <w:pPr>
              <w:pStyle w:val="ListParagraph"/>
              <w:numPr>
                <w:ilvl w:val="0"/>
                <w:numId w:val="2"/>
              </w:numPr>
              <w:spacing w:after="60"/>
              <w:ind w:left="180" w:hanging="180"/>
              <w:contextualSpacing w:val="0"/>
              <w:jc w:val="both"/>
              <w:rPr>
                <w:rFonts w:ascii="Arial" w:hAnsi="Arial" w:cs="Arial"/>
                <w:sz w:val="18"/>
                <w:szCs w:val="18"/>
                <w:lang w:val="es-ES"/>
              </w:rPr>
            </w:pPr>
            <w:r w:rsidRPr="00D97FAD">
              <w:rPr>
                <w:rFonts w:ascii="Arial" w:hAnsi="Arial" w:cs="Arial"/>
                <w:sz w:val="18"/>
                <w:szCs w:val="18"/>
                <w:lang w:val="es-ES"/>
              </w:rPr>
              <w:t>Número de C</w:t>
            </w:r>
            <w:r w:rsidR="009F33FF" w:rsidRPr="00D97FAD">
              <w:rPr>
                <w:rFonts w:ascii="Arial" w:hAnsi="Arial" w:cs="Arial"/>
                <w:sz w:val="18"/>
                <w:szCs w:val="18"/>
                <w:lang w:val="es-ES"/>
              </w:rPr>
              <w:t>T:</w:t>
            </w:r>
          </w:p>
        </w:tc>
        <w:tc>
          <w:tcPr>
            <w:tcW w:w="5377" w:type="dxa"/>
          </w:tcPr>
          <w:p w:rsidR="009F33FF" w:rsidRPr="00D97FAD" w:rsidRDefault="0019595A" w:rsidP="00DA0911">
            <w:pPr>
              <w:spacing w:after="60"/>
              <w:ind w:left="360"/>
              <w:rPr>
                <w:rFonts w:ascii="Arial" w:hAnsi="Arial" w:cs="Arial"/>
                <w:sz w:val="18"/>
                <w:szCs w:val="18"/>
                <w:lang w:val="es-ES"/>
              </w:rPr>
            </w:pPr>
            <w:r>
              <w:rPr>
                <w:rFonts w:ascii="Arial" w:hAnsi="Arial" w:cs="Arial"/>
                <w:sz w:val="18"/>
                <w:szCs w:val="18"/>
                <w:lang w:val="es-ES"/>
              </w:rPr>
              <w:t>HO-T1232</w:t>
            </w:r>
          </w:p>
        </w:tc>
      </w:tr>
      <w:tr w:rsidR="000C16F9" w:rsidRPr="00E82882" w:rsidTr="008C1D97">
        <w:tc>
          <w:tcPr>
            <w:tcW w:w="3510" w:type="dxa"/>
          </w:tcPr>
          <w:p w:rsidR="009F33FF" w:rsidRPr="00D97FAD" w:rsidRDefault="00CC716E" w:rsidP="00DA0911">
            <w:pPr>
              <w:pStyle w:val="ListParagraph"/>
              <w:numPr>
                <w:ilvl w:val="0"/>
                <w:numId w:val="2"/>
              </w:numPr>
              <w:spacing w:after="60"/>
              <w:ind w:left="180" w:hanging="180"/>
              <w:contextualSpacing w:val="0"/>
              <w:jc w:val="both"/>
              <w:rPr>
                <w:rFonts w:ascii="Arial" w:hAnsi="Arial" w:cs="Arial"/>
                <w:sz w:val="18"/>
                <w:szCs w:val="18"/>
                <w:lang w:val="es-ES"/>
              </w:rPr>
            </w:pPr>
            <w:r w:rsidRPr="00D97FAD">
              <w:rPr>
                <w:rFonts w:ascii="Arial" w:hAnsi="Arial" w:cs="Arial"/>
                <w:sz w:val="18"/>
                <w:szCs w:val="18"/>
                <w:lang w:val="es-ES"/>
              </w:rPr>
              <w:t>Jefe de Equipo/Miembros:</w:t>
            </w:r>
          </w:p>
        </w:tc>
        <w:tc>
          <w:tcPr>
            <w:tcW w:w="5377" w:type="dxa"/>
          </w:tcPr>
          <w:p w:rsidR="009F33FF" w:rsidRPr="00D97FAD" w:rsidRDefault="0019595A" w:rsidP="00DA0911">
            <w:pPr>
              <w:spacing w:after="60"/>
              <w:ind w:left="360"/>
              <w:rPr>
                <w:rFonts w:ascii="Arial" w:hAnsi="Arial" w:cs="Arial"/>
                <w:sz w:val="18"/>
                <w:szCs w:val="18"/>
                <w:lang w:val="es-ES"/>
              </w:rPr>
            </w:pPr>
            <w:r>
              <w:rPr>
                <w:rFonts w:ascii="Arial" w:hAnsi="Arial" w:cs="Arial"/>
                <w:sz w:val="18"/>
                <w:szCs w:val="18"/>
                <w:lang w:val="es-ES"/>
              </w:rPr>
              <w:t>Alejandro Quijada (CID/CHO), Jefe de Equipo; Amalia Guzmán (CID/CHO</w:t>
            </w:r>
            <w:r w:rsidRPr="007716BE">
              <w:rPr>
                <w:rFonts w:ascii="Arial" w:hAnsi="Arial" w:cs="Arial"/>
                <w:sz w:val="18"/>
                <w:szCs w:val="18"/>
                <w:lang w:val="es-ES"/>
              </w:rPr>
              <w:t xml:space="preserve">); </w:t>
            </w:r>
            <w:r>
              <w:rPr>
                <w:rFonts w:ascii="Arial" w:hAnsi="Arial" w:cs="Arial"/>
                <w:sz w:val="18"/>
                <w:szCs w:val="18"/>
                <w:lang w:val="es-ES"/>
              </w:rPr>
              <w:t xml:space="preserve">Edna Armendariz (IFD/FMM); Gerardo Reyes-Tagle (IFD/FMM); </w:t>
            </w:r>
            <w:r w:rsidRPr="007716BE">
              <w:rPr>
                <w:rFonts w:ascii="Arial" w:hAnsi="Arial" w:cs="Arial"/>
                <w:sz w:val="18"/>
                <w:szCs w:val="18"/>
                <w:lang w:val="es-ES"/>
              </w:rPr>
              <w:t>Belinda Pérez (FMM/CDR);</w:t>
            </w:r>
            <w:r>
              <w:rPr>
                <w:rFonts w:ascii="Arial" w:hAnsi="Arial" w:cs="Arial"/>
                <w:sz w:val="18"/>
                <w:szCs w:val="18"/>
                <w:lang w:val="es-ES"/>
              </w:rPr>
              <w:t xml:space="preserve"> Nalda Morales (FMP/CHO); </w:t>
            </w:r>
            <w:r w:rsidR="00B21AB5">
              <w:rPr>
                <w:rFonts w:ascii="Arial" w:hAnsi="Arial" w:cs="Arial"/>
                <w:sz w:val="18"/>
                <w:szCs w:val="18"/>
                <w:lang w:val="es-ES"/>
              </w:rPr>
              <w:t xml:space="preserve">María Cecilia del Puerto (FMP/CGU); </w:t>
            </w:r>
            <w:r w:rsidR="00917FEE">
              <w:rPr>
                <w:rFonts w:ascii="Arial" w:hAnsi="Arial" w:cs="Arial"/>
                <w:sz w:val="18"/>
                <w:szCs w:val="18"/>
                <w:lang w:val="es-ES"/>
              </w:rPr>
              <w:t>Juan Carlos Pérez-</w:t>
            </w:r>
            <w:proofErr w:type="spellStart"/>
            <w:r w:rsidR="00917FEE">
              <w:rPr>
                <w:rFonts w:ascii="Arial" w:hAnsi="Arial" w:cs="Arial"/>
                <w:sz w:val="18"/>
                <w:szCs w:val="18"/>
                <w:lang w:val="es-ES"/>
              </w:rPr>
              <w:t>Segnini</w:t>
            </w:r>
            <w:proofErr w:type="spellEnd"/>
            <w:r w:rsidR="00917FEE">
              <w:rPr>
                <w:rFonts w:ascii="Arial" w:hAnsi="Arial" w:cs="Arial"/>
                <w:sz w:val="18"/>
                <w:szCs w:val="18"/>
                <w:lang w:val="es-ES"/>
              </w:rPr>
              <w:t xml:space="preserve"> (SGO/CME).</w:t>
            </w:r>
          </w:p>
        </w:tc>
      </w:tr>
      <w:tr w:rsidR="00CC716E" w:rsidRPr="0039123E" w:rsidTr="008C1D97">
        <w:tc>
          <w:tcPr>
            <w:tcW w:w="3510" w:type="dxa"/>
          </w:tcPr>
          <w:p w:rsidR="00CC716E" w:rsidRPr="00D97FAD" w:rsidRDefault="00CC716E" w:rsidP="00DA0911">
            <w:pPr>
              <w:pStyle w:val="ListParagraph"/>
              <w:numPr>
                <w:ilvl w:val="0"/>
                <w:numId w:val="2"/>
              </w:numPr>
              <w:spacing w:after="60"/>
              <w:ind w:left="180" w:hanging="180"/>
              <w:contextualSpacing w:val="0"/>
              <w:jc w:val="both"/>
              <w:rPr>
                <w:rFonts w:ascii="Arial" w:hAnsi="Arial" w:cs="Arial"/>
                <w:sz w:val="18"/>
                <w:szCs w:val="18"/>
                <w:lang w:val="es-ES"/>
              </w:rPr>
            </w:pPr>
            <w:r w:rsidRPr="00D97FAD">
              <w:rPr>
                <w:rFonts w:ascii="Arial" w:hAnsi="Arial" w:cs="Arial"/>
                <w:sz w:val="18"/>
                <w:szCs w:val="18"/>
                <w:lang w:val="es-ES"/>
              </w:rPr>
              <w:t xml:space="preserve">Indicar si es: Apoyo Operativo, Apoyo al Cliente, o Investigación y Difusión </w:t>
            </w:r>
          </w:p>
        </w:tc>
        <w:tc>
          <w:tcPr>
            <w:tcW w:w="5377" w:type="dxa"/>
          </w:tcPr>
          <w:p w:rsidR="00CC716E" w:rsidRPr="00D97FAD" w:rsidRDefault="0019595A" w:rsidP="00DA0911">
            <w:pPr>
              <w:spacing w:after="60"/>
              <w:ind w:left="360"/>
              <w:rPr>
                <w:rFonts w:ascii="Arial" w:hAnsi="Arial" w:cs="Arial"/>
                <w:sz w:val="18"/>
                <w:szCs w:val="18"/>
                <w:lang w:val="es-ES"/>
              </w:rPr>
            </w:pPr>
            <w:r>
              <w:rPr>
                <w:rFonts w:ascii="Arial" w:hAnsi="Arial" w:cs="Arial"/>
                <w:sz w:val="18"/>
                <w:szCs w:val="18"/>
                <w:lang w:val="es-ES"/>
              </w:rPr>
              <w:t>Apoyo al Cliente</w:t>
            </w:r>
          </w:p>
        </w:tc>
      </w:tr>
      <w:tr w:rsidR="00CC716E" w:rsidRPr="0039123E" w:rsidTr="008C1D97">
        <w:tc>
          <w:tcPr>
            <w:tcW w:w="3510" w:type="dxa"/>
          </w:tcPr>
          <w:p w:rsidR="00CC716E" w:rsidRPr="00D97FAD" w:rsidRDefault="00CC716E" w:rsidP="00DA0911">
            <w:pPr>
              <w:pStyle w:val="ListParagraph"/>
              <w:numPr>
                <w:ilvl w:val="0"/>
                <w:numId w:val="2"/>
              </w:numPr>
              <w:spacing w:after="60"/>
              <w:ind w:left="180" w:hanging="180"/>
              <w:contextualSpacing w:val="0"/>
              <w:jc w:val="both"/>
              <w:rPr>
                <w:rFonts w:ascii="Arial" w:hAnsi="Arial" w:cs="Arial"/>
                <w:sz w:val="18"/>
                <w:szCs w:val="18"/>
                <w:lang w:val="es-ES"/>
              </w:rPr>
            </w:pPr>
            <w:r w:rsidRPr="00D97FAD">
              <w:rPr>
                <w:rFonts w:ascii="Arial" w:hAnsi="Arial" w:cs="Arial"/>
                <w:sz w:val="18"/>
                <w:szCs w:val="18"/>
                <w:lang w:val="es-ES"/>
              </w:rPr>
              <w:t>Si es Apoyo Operativo, proveer número y nombre de la operación que apoyará la CT:</w:t>
            </w:r>
          </w:p>
        </w:tc>
        <w:tc>
          <w:tcPr>
            <w:tcW w:w="5377" w:type="dxa"/>
          </w:tcPr>
          <w:p w:rsidR="00CC716E" w:rsidRPr="00D97FAD" w:rsidRDefault="0019595A" w:rsidP="00DA0911">
            <w:pPr>
              <w:spacing w:after="60"/>
              <w:ind w:left="360"/>
              <w:rPr>
                <w:rFonts w:ascii="Arial" w:hAnsi="Arial" w:cs="Arial"/>
                <w:sz w:val="18"/>
                <w:szCs w:val="18"/>
                <w:lang w:val="es-ES"/>
              </w:rPr>
            </w:pPr>
            <w:r>
              <w:rPr>
                <w:rFonts w:ascii="Arial" w:hAnsi="Arial" w:cs="Arial"/>
                <w:sz w:val="18"/>
                <w:szCs w:val="18"/>
                <w:lang w:val="es-ES"/>
              </w:rPr>
              <w:t>NA</w:t>
            </w:r>
          </w:p>
        </w:tc>
      </w:tr>
      <w:tr w:rsidR="008C1D97" w:rsidRPr="00E82882" w:rsidTr="008C1D97">
        <w:tc>
          <w:tcPr>
            <w:tcW w:w="3510" w:type="dxa"/>
          </w:tcPr>
          <w:p w:rsidR="008C1D97" w:rsidRPr="00D97FAD" w:rsidRDefault="008C1D97" w:rsidP="00DA0911">
            <w:pPr>
              <w:pStyle w:val="ListParagraph"/>
              <w:numPr>
                <w:ilvl w:val="0"/>
                <w:numId w:val="2"/>
              </w:numPr>
              <w:spacing w:after="60"/>
              <w:ind w:left="180" w:hanging="180"/>
              <w:contextualSpacing w:val="0"/>
              <w:jc w:val="both"/>
              <w:rPr>
                <w:rFonts w:ascii="Arial" w:hAnsi="Arial" w:cs="Arial"/>
                <w:sz w:val="18"/>
                <w:szCs w:val="18"/>
                <w:lang w:val="es-ES"/>
              </w:rPr>
            </w:pPr>
            <w:r>
              <w:rPr>
                <w:rFonts w:ascii="Arial" w:hAnsi="Arial" w:cs="Arial"/>
                <w:sz w:val="18"/>
                <w:szCs w:val="18"/>
                <w:lang w:val="es-ES"/>
              </w:rPr>
              <w:t>Referencia a la Solicitud (IDBDOCS #)</w:t>
            </w:r>
          </w:p>
        </w:tc>
        <w:tc>
          <w:tcPr>
            <w:tcW w:w="5377" w:type="dxa"/>
          </w:tcPr>
          <w:p w:rsidR="008C1D97" w:rsidRDefault="008C1D97" w:rsidP="008C1D97">
            <w:pPr>
              <w:spacing w:before="60" w:after="60"/>
              <w:ind w:left="360"/>
              <w:rPr>
                <w:rFonts w:ascii="Arial" w:hAnsi="Arial" w:cs="Arial"/>
                <w:sz w:val="18"/>
                <w:szCs w:val="18"/>
                <w:lang w:val="es-ES"/>
              </w:rPr>
            </w:pPr>
            <w:r>
              <w:rPr>
                <w:rFonts w:ascii="Arial" w:hAnsi="Arial" w:cs="Arial"/>
                <w:sz w:val="18"/>
                <w:szCs w:val="18"/>
                <w:lang w:val="es-ES"/>
              </w:rPr>
              <w:t>Oficio CGG-558-2015 del 27 mayo 2015-SCGG.</w:t>
            </w:r>
          </w:p>
          <w:p w:rsidR="008C1D97" w:rsidRPr="00E82882" w:rsidRDefault="00E82882" w:rsidP="00E82882">
            <w:pPr>
              <w:ind w:left="342"/>
              <w:rPr>
                <w:rFonts w:ascii="Arial" w:hAnsi="Arial" w:cs="Arial"/>
                <w:color w:val="1F497D"/>
                <w:sz w:val="18"/>
                <w:szCs w:val="18"/>
                <w:lang w:val="es-ES" w:eastAsia="es-ES"/>
              </w:rPr>
            </w:pPr>
            <w:hyperlink r:id="rId9" w:history="1">
              <w:r w:rsidR="008C1D97" w:rsidRPr="00E82882">
                <w:rPr>
                  <w:rStyle w:val="Hyperlink"/>
                  <w:rFonts w:ascii="Arial" w:hAnsi="Arial" w:cs="Arial"/>
                  <w:sz w:val="18"/>
                  <w:szCs w:val="18"/>
                  <w:lang w:val="es-ES" w:eastAsia="es-ES"/>
                </w:rPr>
                <w:t>http://idbdocs.iadb.org/WSDocs/getDocument.aspx?DOCNUM=39760521</w:t>
              </w:r>
            </w:hyperlink>
          </w:p>
          <w:p w:rsidR="008C1D97" w:rsidRDefault="008C1D97" w:rsidP="008C1D97">
            <w:pPr>
              <w:spacing w:before="60" w:after="60"/>
              <w:ind w:left="360"/>
              <w:rPr>
                <w:rFonts w:ascii="Arial" w:hAnsi="Arial" w:cs="Arial"/>
                <w:sz w:val="18"/>
                <w:szCs w:val="18"/>
                <w:lang w:val="es-ES"/>
              </w:rPr>
            </w:pPr>
            <w:r>
              <w:rPr>
                <w:rFonts w:ascii="Arial" w:hAnsi="Arial" w:cs="Arial"/>
                <w:sz w:val="18"/>
                <w:szCs w:val="18"/>
                <w:lang w:val="es-ES"/>
              </w:rPr>
              <w:t>Oficio SCIP-010-2015 del 8 de junio 2015</w:t>
            </w:r>
          </w:p>
          <w:p w:rsidR="008C1D97" w:rsidRDefault="00E82882" w:rsidP="00E82882">
            <w:pPr>
              <w:ind w:left="342"/>
              <w:rPr>
                <w:rFonts w:ascii="Arial" w:hAnsi="Arial" w:cs="Arial"/>
                <w:sz w:val="18"/>
                <w:szCs w:val="18"/>
                <w:lang w:val="es-ES"/>
              </w:rPr>
            </w:pPr>
            <w:hyperlink r:id="rId10" w:history="1">
              <w:r w:rsidR="008C1D97" w:rsidRPr="00E82882">
                <w:rPr>
                  <w:rStyle w:val="Hyperlink"/>
                  <w:rFonts w:ascii="Arial" w:hAnsi="Arial" w:cs="Arial"/>
                  <w:sz w:val="18"/>
                  <w:szCs w:val="18"/>
                  <w:lang w:val="es-ES" w:eastAsia="es-ES"/>
                </w:rPr>
                <w:t>http://idbdocs.iadb.org/WSDocs/getDocument.aspx?DOCNUM=39671154</w:t>
              </w:r>
            </w:hyperlink>
          </w:p>
        </w:tc>
      </w:tr>
      <w:tr w:rsidR="000C16F9" w:rsidRPr="0039123E" w:rsidTr="008C1D97">
        <w:tc>
          <w:tcPr>
            <w:tcW w:w="3510" w:type="dxa"/>
          </w:tcPr>
          <w:p w:rsidR="009F33FF" w:rsidRPr="00D97FAD" w:rsidRDefault="0091508A" w:rsidP="00DA0911">
            <w:pPr>
              <w:pStyle w:val="ListParagraph"/>
              <w:numPr>
                <w:ilvl w:val="0"/>
                <w:numId w:val="2"/>
              </w:numPr>
              <w:spacing w:after="60"/>
              <w:ind w:left="180" w:hanging="180"/>
              <w:contextualSpacing w:val="0"/>
              <w:jc w:val="both"/>
              <w:rPr>
                <w:rFonts w:ascii="Arial" w:hAnsi="Arial" w:cs="Arial"/>
                <w:sz w:val="18"/>
                <w:szCs w:val="18"/>
                <w:lang w:val="es-ES"/>
              </w:rPr>
            </w:pPr>
            <w:r w:rsidRPr="00D97FAD">
              <w:rPr>
                <w:rFonts w:ascii="Arial" w:hAnsi="Arial" w:cs="Arial"/>
                <w:sz w:val="18"/>
                <w:szCs w:val="18"/>
                <w:lang w:val="es-ES"/>
              </w:rPr>
              <w:t xml:space="preserve">Fecha de </w:t>
            </w:r>
            <w:r w:rsidR="00E33333" w:rsidRPr="00D97FAD">
              <w:rPr>
                <w:rFonts w:ascii="Arial" w:hAnsi="Arial" w:cs="Arial"/>
                <w:sz w:val="18"/>
                <w:szCs w:val="18"/>
                <w:lang w:val="es-ES"/>
              </w:rPr>
              <w:t>Autorización</w:t>
            </w:r>
            <w:r w:rsidRPr="00D97FAD">
              <w:rPr>
                <w:rFonts w:ascii="Arial" w:hAnsi="Arial" w:cs="Arial"/>
                <w:sz w:val="18"/>
                <w:szCs w:val="18"/>
                <w:lang w:val="es-ES"/>
              </w:rPr>
              <w:t xml:space="preserve"> del Abstracto de CT</w:t>
            </w:r>
            <w:r w:rsidR="009F33FF" w:rsidRPr="00D97FAD">
              <w:rPr>
                <w:rFonts w:ascii="Arial" w:hAnsi="Arial" w:cs="Arial"/>
                <w:sz w:val="18"/>
                <w:szCs w:val="18"/>
                <w:lang w:val="es-ES"/>
              </w:rPr>
              <w:t>:</w:t>
            </w:r>
          </w:p>
        </w:tc>
        <w:tc>
          <w:tcPr>
            <w:tcW w:w="5377" w:type="dxa"/>
          </w:tcPr>
          <w:p w:rsidR="009F33FF" w:rsidRPr="00D97FAD" w:rsidRDefault="0019595A" w:rsidP="00DA0911">
            <w:pPr>
              <w:spacing w:after="60"/>
              <w:ind w:left="360"/>
              <w:rPr>
                <w:rFonts w:ascii="Arial" w:hAnsi="Arial" w:cs="Arial"/>
                <w:sz w:val="18"/>
                <w:szCs w:val="18"/>
                <w:lang w:val="es-ES"/>
              </w:rPr>
            </w:pPr>
            <w:r>
              <w:rPr>
                <w:rFonts w:ascii="Arial" w:hAnsi="Arial" w:cs="Arial"/>
                <w:sz w:val="18"/>
                <w:szCs w:val="18"/>
                <w:lang w:val="es-ES"/>
              </w:rPr>
              <w:t>1 de septiembre 2015</w:t>
            </w:r>
          </w:p>
        </w:tc>
      </w:tr>
      <w:tr w:rsidR="000C16F9" w:rsidRPr="00E82882" w:rsidTr="008C1D97">
        <w:tc>
          <w:tcPr>
            <w:tcW w:w="3510" w:type="dxa"/>
          </w:tcPr>
          <w:p w:rsidR="009F33FF" w:rsidRPr="00D97FAD" w:rsidRDefault="009F33FF" w:rsidP="00DA0911">
            <w:pPr>
              <w:pStyle w:val="ListParagraph"/>
              <w:numPr>
                <w:ilvl w:val="0"/>
                <w:numId w:val="2"/>
              </w:numPr>
              <w:spacing w:after="60"/>
              <w:ind w:left="180" w:hanging="180"/>
              <w:contextualSpacing w:val="0"/>
              <w:jc w:val="both"/>
              <w:rPr>
                <w:rFonts w:ascii="Arial" w:hAnsi="Arial" w:cs="Arial"/>
                <w:sz w:val="18"/>
                <w:szCs w:val="18"/>
                <w:lang w:val="es-ES"/>
              </w:rPr>
            </w:pPr>
            <w:r w:rsidRPr="00D97FAD">
              <w:rPr>
                <w:rFonts w:ascii="Arial" w:hAnsi="Arial" w:cs="Arial"/>
                <w:sz w:val="18"/>
                <w:szCs w:val="18"/>
                <w:lang w:val="es-ES"/>
              </w:rPr>
              <w:t>Beneficiar</w:t>
            </w:r>
            <w:r w:rsidR="0091508A" w:rsidRPr="00D97FAD">
              <w:rPr>
                <w:rFonts w:ascii="Arial" w:hAnsi="Arial" w:cs="Arial"/>
                <w:sz w:val="18"/>
                <w:szCs w:val="18"/>
                <w:lang w:val="es-ES"/>
              </w:rPr>
              <w:t xml:space="preserve">io </w:t>
            </w:r>
            <w:r w:rsidRPr="00D97FAD">
              <w:rPr>
                <w:rFonts w:ascii="Arial" w:hAnsi="Arial" w:cs="Arial"/>
                <w:sz w:val="18"/>
                <w:szCs w:val="18"/>
                <w:lang w:val="es-ES"/>
              </w:rPr>
              <w:t>(</w:t>
            </w:r>
            <w:r w:rsidR="00E33333" w:rsidRPr="00D97FAD">
              <w:rPr>
                <w:rFonts w:ascii="Arial" w:hAnsi="Arial" w:cs="Arial"/>
                <w:sz w:val="18"/>
                <w:szCs w:val="18"/>
                <w:lang w:val="es-ES"/>
              </w:rPr>
              <w:t>países</w:t>
            </w:r>
            <w:r w:rsidR="0091508A" w:rsidRPr="00D97FAD">
              <w:rPr>
                <w:rFonts w:ascii="Arial" w:hAnsi="Arial" w:cs="Arial"/>
                <w:sz w:val="18"/>
                <w:szCs w:val="18"/>
                <w:lang w:val="es-ES"/>
              </w:rPr>
              <w:t xml:space="preserve"> o entidades que </w:t>
            </w:r>
            <w:r w:rsidR="00E33333" w:rsidRPr="00D97FAD">
              <w:rPr>
                <w:rFonts w:ascii="Arial" w:hAnsi="Arial" w:cs="Arial"/>
                <w:sz w:val="18"/>
                <w:szCs w:val="18"/>
                <w:lang w:val="es-ES"/>
              </w:rPr>
              <w:t>recibirán</w:t>
            </w:r>
            <w:r w:rsidR="0091508A" w:rsidRPr="00D97FAD">
              <w:rPr>
                <w:rFonts w:ascii="Arial" w:hAnsi="Arial" w:cs="Arial"/>
                <w:sz w:val="18"/>
                <w:szCs w:val="18"/>
                <w:lang w:val="es-ES"/>
              </w:rPr>
              <w:t xml:space="preserve"> la asistencia </w:t>
            </w:r>
            <w:r w:rsidR="00E33333" w:rsidRPr="00D97FAD">
              <w:rPr>
                <w:rFonts w:ascii="Arial" w:hAnsi="Arial" w:cs="Arial"/>
                <w:sz w:val="18"/>
                <w:szCs w:val="18"/>
                <w:lang w:val="es-ES"/>
              </w:rPr>
              <w:t>técnica</w:t>
            </w:r>
            <w:r w:rsidRPr="00D97FAD">
              <w:rPr>
                <w:rFonts w:ascii="Arial" w:hAnsi="Arial" w:cs="Arial"/>
                <w:sz w:val="18"/>
                <w:szCs w:val="18"/>
                <w:lang w:val="es-ES"/>
              </w:rPr>
              <w:t>):</w:t>
            </w:r>
          </w:p>
        </w:tc>
        <w:tc>
          <w:tcPr>
            <w:tcW w:w="5377" w:type="dxa"/>
          </w:tcPr>
          <w:p w:rsidR="009F33FF" w:rsidRPr="00D97FAD" w:rsidRDefault="0019595A" w:rsidP="00DA0911">
            <w:pPr>
              <w:spacing w:after="60"/>
              <w:ind w:left="360"/>
              <w:rPr>
                <w:rFonts w:ascii="Arial" w:hAnsi="Arial" w:cs="Arial"/>
                <w:sz w:val="18"/>
                <w:szCs w:val="18"/>
                <w:lang w:val="es-ES"/>
              </w:rPr>
            </w:pPr>
            <w:r>
              <w:rPr>
                <w:rFonts w:ascii="Arial" w:hAnsi="Arial" w:cs="Arial"/>
                <w:sz w:val="18"/>
                <w:szCs w:val="18"/>
                <w:lang w:val="es-ES"/>
              </w:rPr>
              <w:t>Secretaría de Finanzas de Honduras (SEFIN) y Secretaría de Coordinación General de Gobierno de Honduras (SCGG)</w:t>
            </w:r>
          </w:p>
        </w:tc>
      </w:tr>
      <w:tr w:rsidR="000C16F9" w:rsidRPr="00E82882" w:rsidTr="008C1D97">
        <w:tc>
          <w:tcPr>
            <w:tcW w:w="3510" w:type="dxa"/>
          </w:tcPr>
          <w:p w:rsidR="009F33FF" w:rsidRPr="00D97FAD" w:rsidRDefault="0091508A" w:rsidP="00DA0911">
            <w:pPr>
              <w:pStyle w:val="ListParagraph"/>
              <w:numPr>
                <w:ilvl w:val="0"/>
                <w:numId w:val="2"/>
              </w:numPr>
              <w:spacing w:after="60"/>
              <w:ind w:left="180" w:hanging="180"/>
              <w:contextualSpacing w:val="0"/>
              <w:jc w:val="both"/>
              <w:rPr>
                <w:rFonts w:ascii="Arial" w:hAnsi="Arial" w:cs="Arial"/>
                <w:sz w:val="18"/>
                <w:szCs w:val="18"/>
                <w:lang w:val="es-ES"/>
              </w:rPr>
            </w:pPr>
            <w:r w:rsidRPr="00D97FAD">
              <w:rPr>
                <w:rFonts w:ascii="Arial" w:hAnsi="Arial" w:cs="Arial"/>
                <w:sz w:val="18"/>
                <w:szCs w:val="18"/>
                <w:lang w:val="es-ES"/>
              </w:rPr>
              <w:t xml:space="preserve">Agencia Ejecutora y nombre de contacto </w:t>
            </w:r>
            <w:r w:rsidR="009F33FF" w:rsidRPr="00D97FAD">
              <w:rPr>
                <w:rFonts w:ascii="Arial" w:hAnsi="Arial" w:cs="Arial"/>
                <w:sz w:val="18"/>
                <w:szCs w:val="18"/>
                <w:lang w:val="es-ES"/>
              </w:rPr>
              <w:t>(</w:t>
            </w:r>
            <w:r w:rsidR="00E33333" w:rsidRPr="00D97FAD">
              <w:rPr>
                <w:rFonts w:ascii="Arial" w:hAnsi="Arial" w:cs="Arial"/>
                <w:sz w:val="18"/>
                <w:szCs w:val="18"/>
                <w:lang w:val="es-ES"/>
              </w:rPr>
              <w:t>organización</w:t>
            </w:r>
            <w:r w:rsidRPr="00D97FAD">
              <w:rPr>
                <w:rFonts w:ascii="Arial" w:hAnsi="Arial" w:cs="Arial"/>
                <w:sz w:val="18"/>
                <w:szCs w:val="18"/>
                <w:lang w:val="es-ES"/>
              </w:rPr>
              <w:t xml:space="preserve"> o entidad responsable de la </w:t>
            </w:r>
            <w:r w:rsidR="00E33333" w:rsidRPr="00D97FAD">
              <w:rPr>
                <w:rFonts w:ascii="Arial" w:hAnsi="Arial" w:cs="Arial"/>
                <w:sz w:val="18"/>
                <w:szCs w:val="18"/>
                <w:lang w:val="es-ES"/>
              </w:rPr>
              <w:t>ejecución</w:t>
            </w:r>
            <w:r w:rsidRPr="00D97FAD">
              <w:rPr>
                <w:rFonts w:ascii="Arial" w:hAnsi="Arial" w:cs="Arial"/>
                <w:sz w:val="18"/>
                <w:szCs w:val="18"/>
                <w:lang w:val="es-ES"/>
              </w:rPr>
              <w:t xml:space="preserve"> del programa de CT</w:t>
            </w:r>
            <w:r w:rsidR="009F33FF" w:rsidRPr="00D97FAD">
              <w:rPr>
                <w:rFonts w:ascii="Arial" w:hAnsi="Arial" w:cs="Arial"/>
                <w:sz w:val="18"/>
                <w:szCs w:val="18"/>
                <w:lang w:val="es-ES"/>
              </w:rPr>
              <w:t>) {</w:t>
            </w:r>
            <w:r w:rsidRPr="00D97FAD">
              <w:rPr>
                <w:rFonts w:ascii="Arial" w:hAnsi="Arial" w:cs="Arial"/>
                <w:sz w:val="18"/>
                <w:szCs w:val="18"/>
                <w:lang w:val="es-ES"/>
              </w:rPr>
              <w:t>Si es el Banco: entidad contratista</w:t>
            </w:r>
            <w:r w:rsidR="009F33FF" w:rsidRPr="00D97FAD">
              <w:rPr>
                <w:rFonts w:ascii="Arial" w:hAnsi="Arial" w:cs="Arial"/>
                <w:sz w:val="18"/>
                <w:szCs w:val="18"/>
                <w:lang w:val="es-ES"/>
              </w:rPr>
              <w:t>} {</w:t>
            </w:r>
            <w:r w:rsidR="00E33333" w:rsidRPr="00D97FAD">
              <w:rPr>
                <w:rFonts w:ascii="Arial" w:hAnsi="Arial" w:cs="Arial"/>
                <w:sz w:val="18"/>
                <w:szCs w:val="18"/>
                <w:lang w:val="es-ES"/>
              </w:rPr>
              <w:t>Si es la misma que el Beneficiario, favor de indicar</w:t>
            </w:r>
            <w:r w:rsidR="009F33FF" w:rsidRPr="00D97FAD">
              <w:rPr>
                <w:rFonts w:ascii="Arial" w:hAnsi="Arial" w:cs="Arial"/>
                <w:sz w:val="18"/>
                <w:szCs w:val="18"/>
                <w:lang w:val="es-ES"/>
              </w:rPr>
              <w:t>}</w:t>
            </w:r>
          </w:p>
        </w:tc>
        <w:tc>
          <w:tcPr>
            <w:tcW w:w="5377" w:type="dxa"/>
          </w:tcPr>
          <w:p w:rsidR="009F33FF" w:rsidRPr="00D97FAD" w:rsidRDefault="0019595A" w:rsidP="00DA0911">
            <w:pPr>
              <w:spacing w:after="60"/>
              <w:ind w:left="360"/>
              <w:rPr>
                <w:rFonts w:ascii="Arial" w:hAnsi="Arial" w:cs="Arial"/>
                <w:sz w:val="18"/>
                <w:szCs w:val="18"/>
                <w:lang w:val="es-ES"/>
              </w:rPr>
            </w:pPr>
            <w:r>
              <w:rPr>
                <w:rFonts w:ascii="Arial" w:hAnsi="Arial" w:cs="Arial"/>
                <w:sz w:val="18"/>
                <w:szCs w:val="18"/>
                <w:lang w:val="es-ES"/>
              </w:rPr>
              <w:t>Banco Interamericano de Desarrollo por intermedio de CID/CHO</w:t>
            </w:r>
          </w:p>
        </w:tc>
      </w:tr>
      <w:tr w:rsidR="00075F42" w:rsidRPr="00D97FAD" w:rsidTr="00E82882">
        <w:trPr>
          <w:trHeight w:val="413"/>
        </w:trPr>
        <w:tc>
          <w:tcPr>
            <w:tcW w:w="3510" w:type="dxa"/>
          </w:tcPr>
          <w:p w:rsidR="00075F42" w:rsidRPr="00D97FAD" w:rsidRDefault="00075F42" w:rsidP="00DA0911">
            <w:pPr>
              <w:pStyle w:val="ListParagraph"/>
              <w:numPr>
                <w:ilvl w:val="0"/>
                <w:numId w:val="2"/>
              </w:numPr>
              <w:spacing w:after="60"/>
              <w:ind w:left="180" w:hanging="180"/>
              <w:contextualSpacing w:val="0"/>
              <w:jc w:val="both"/>
              <w:rPr>
                <w:rFonts w:ascii="Arial" w:hAnsi="Arial" w:cs="Arial"/>
                <w:sz w:val="18"/>
                <w:szCs w:val="18"/>
                <w:lang w:val="es-ES"/>
              </w:rPr>
            </w:pPr>
            <w:r w:rsidRPr="00D97FAD">
              <w:rPr>
                <w:rFonts w:ascii="Arial" w:hAnsi="Arial" w:cs="Arial"/>
                <w:sz w:val="18"/>
                <w:szCs w:val="18"/>
                <w:lang w:val="es-ES"/>
              </w:rPr>
              <w:t>Donantes que pr</w:t>
            </w:r>
            <w:r w:rsidR="003835F0" w:rsidRPr="00D97FAD">
              <w:rPr>
                <w:rFonts w:ascii="Arial" w:hAnsi="Arial" w:cs="Arial"/>
                <w:sz w:val="18"/>
                <w:szCs w:val="18"/>
                <w:lang w:val="es-ES"/>
              </w:rPr>
              <w:t>o</w:t>
            </w:r>
            <w:r w:rsidRPr="00D97FAD">
              <w:rPr>
                <w:rFonts w:ascii="Arial" w:hAnsi="Arial" w:cs="Arial"/>
                <w:sz w:val="18"/>
                <w:szCs w:val="18"/>
                <w:lang w:val="es-ES"/>
              </w:rPr>
              <w:t>veerán financiamiento:</w:t>
            </w:r>
          </w:p>
        </w:tc>
        <w:tc>
          <w:tcPr>
            <w:tcW w:w="5377" w:type="dxa"/>
          </w:tcPr>
          <w:p w:rsidR="00075F42" w:rsidRPr="00D97FAD" w:rsidRDefault="0019595A" w:rsidP="00DA0911">
            <w:pPr>
              <w:spacing w:after="60"/>
              <w:ind w:left="360"/>
              <w:rPr>
                <w:rFonts w:ascii="Arial" w:hAnsi="Arial" w:cs="Arial"/>
                <w:sz w:val="18"/>
                <w:szCs w:val="18"/>
                <w:lang w:val="es-ES"/>
              </w:rPr>
            </w:pPr>
            <w:r>
              <w:rPr>
                <w:rFonts w:ascii="Arial" w:hAnsi="Arial" w:cs="Arial"/>
                <w:sz w:val="18"/>
                <w:szCs w:val="18"/>
                <w:lang w:val="es-ES"/>
              </w:rPr>
              <w:t>NA</w:t>
            </w:r>
          </w:p>
        </w:tc>
      </w:tr>
      <w:tr w:rsidR="000C16F9" w:rsidRPr="00E82882" w:rsidTr="008C1D97">
        <w:tc>
          <w:tcPr>
            <w:tcW w:w="3510" w:type="dxa"/>
          </w:tcPr>
          <w:p w:rsidR="009F33FF" w:rsidRPr="00D97FAD" w:rsidRDefault="00E33333" w:rsidP="00DA0911">
            <w:pPr>
              <w:pStyle w:val="ListParagraph"/>
              <w:numPr>
                <w:ilvl w:val="0"/>
                <w:numId w:val="2"/>
              </w:numPr>
              <w:spacing w:after="60"/>
              <w:ind w:left="180" w:hanging="180"/>
              <w:contextualSpacing w:val="0"/>
              <w:jc w:val="both"/>
              <w:rPr>
                <w:rFonts w:ascii="Arial" w:hAnsi="Arial" w:cs="Arial"/>
                <w:sz w:val="18"/>
                <w:szCs w:val="18"/>
                <w:lang w:val="es-ES"/>
              </w:rPr>
            </w:pPr>
            <w:r w:rsidRPr="00D97FAD">
              <w:rPr>
                <w:rFonts w:ascii="Arial" w:hAnsi="Arial" w:cs="Arial"/>
                <w:sz w:val="18"/>
                <w:szCs w:val="18"/>
                <w:lang w:val="es-ES"/>
              </w:rPr>
              <w:t>Financiamiento Solicitado del BID</w:t>
            </w:r>
            <w:r w:rsidR="009F33FF" w:rsidRPr="00D97FAD">
              <w:rPr>
                <w:rFonts w:ascii="Arial" w:hAnsi="Arial" w:cs="Arial"/>
                <w:sz w:val="18"/>
                <w:szCs w:val="18"/>
                <w:lang w:val="es-ES"/>
              </w:rPr>
              <w:t>:</w:t>
            </w:r>
          </w:p>
        </w:tc>
        <w:tc>
          <w:tcPr>
            <w:tcW w:w="5377" w:type="dxa"/>
          </w:tcPr>
          <w:p w:rsidR="009F33FF" w:rsidRPr="00D97FAD" w:rsidRDefault="0019595A" w:rsidP="00DA0911">
            <w:pPr>
              <w:spacing w:after="60"/>
              <w:ind w:left="360"/>
              <w:rPr>
                <w:rFonts w:ascii="Arial" w:hAnsi="Arial" w:cs="Arial"/>
                <w:sz w:val="18"/>
                <w:szCs w:val="18"/>
                <w:lang w:val="es-ES"/>
              </w:rPr>
            </w:pPr>
            <w:r w:rsidRPr="002A1B3C">
              <w:rPr>
                <w:rFonts w:ascii="Arial" w:hAnsi="Arial" w:cs="Arial"/>
                <w:sz w:val="18"/>
                <w:szCs w:val="18"/>
                <w:lang w:val="es-ES"/>
              </w:rPr>
              <w:t>Ventanilla I: Países pequeños y vulnerables que sean elegibles para recibir financiamiento del  FOE (SVC I):</w:t>
            </w:r>
            <w:r>
              <w:rPr>
                <w:rFonts w:ascii="Arial" w:hAnsi="Arial" w:cs="Arial"/>
                <w:sz w:val="18"/>
                <w:szCs w:val="18"/>
                <w:lang w:val="es-ES"/>
              </w:rPr>
              <w:t xml:space="preserve"> US$700.000</w:t>
            </w:r>
          </w:p>
        </w:tc>
      </w:tr>
      <w:tr w:rsidR="000C16F9" w:rsidRPr="00D97FAD" w:rsidTr="008C1D97">
        <w:tc>
          <w:tcPr>
            <w:tcW w:w="3510" w:type="dxa"/>
          </w:tcPr>
          <w:p w:rsidR="009F33FF" w:rsidRPr="00D97FAD" w:rsidRDefault="00E33333" w:rsidP="00DA0911">
            <w:pPr>
              <w:pStyle w:val="ListParagraph"/>
              <w:numPr>
                <w:ilvl w:val="0"/>
                <w:numId w:val="2"/>
              </w:numPr>
              <w:spacing w:after="60"/>
              <w:ind w:left="180" w:hanging="180"/>
              <w:contextualSpacing w:val="0"/>
              <w:jc w:val="both"/>
              <w:rPr>
                <w:rFonts w:ascii="Arial" w:hAnsi="Arial" w:cs="Arial"/>
                <w:sz w:val="18"/>
                <w:szCs w:val="18"/>
                <w:lang w:val="es-ES"/>
              </w:rPr>
            </w:pPr>
            <w:r w:rsidRPr="00D97FAD">
              <w:rPr>
                <w:rFonts w:ascii="Arial" w:hAnsi="Arial" w:cs="Arial"/>
                <w:sz w:val="18"/>
                <w:szCs w:val="18"/>
                <w:lang w:val="es-ES"/>
              </w:rPr>
              <w:t xml:space="preserve">Contrapartida </w:t>
            </w:r>
            <w:r w:rsidR="009F33FF" w:rsidRPr="00D97FAD">
              <w:rPr>
                <w:rFonts w:ascii="Arial" w:hAnsi="Arial" w:cs="Arial"/>
                <w:sz w:val="18"/>
                <w:szCs w:val="18"/>
                <w:lang w:val="es-ES"/>
              </w:rPr>
              <w:t xml:space="preserve">Local, </w:t>
            </w:r>
            <w:r w:rsidRPr="00D97FAD">
              <w:rPr>
                <w:rFonts w:ascii="Arial" w:hAnsi="Arial" w:cs="Arial"/>
                <w:sz w:val="18"/>
                <w:szCs w:val="18"/>
                <w:lang w:val="es-ES"/>
              </w:rPr>
              <w:t>si hay</w:t>
            </w:r>
            <w:r w:rsidR="009F33FF" w:rsidRPr="00D97FAD">
              <w:rPr>
                <w:rFonts w:ascii="Arial" w:hAnsi="Arial" w:cs="Arial"/>
                <w:sz w:val="18"/>
                <w:szCs w:val="18"/>
                <w:lang w:val="es-ES"/>
              </w:rPr>
              <w:t>:</w:t>
            </w:r>
          </w:p>
        </w:tc>
        <w:tc>
          <w:tcPr>
            <w:tcW w:w="5377" w:type="dxa"/>
          </w:tcPr>
          <w:p w:rsidR="009F33FF" w:rsidRPr="00D97FAD" w:rsidRDefault="0019595A" w:rsidP="00DA0911">
            <w:pPr>
              <w:spacing w:after="60"/>
              <w:ind w:left="360"/>
              <w:rPr>
                <w:rFonts w:ascii="Arial" w:hAnsi="Arial" w:cs="Arial"/>
                <w:sz w:val="18"/>
                <w:szCs w:val="18"/>
                <w:lang w:val="es-ES"/>
              </w:rPr>
            </w:pPr>
            <w:r>
              <w:rPr>
                <w:rFonts w:ascii="Arial" w:hAnsi="Arial" w:cs="Arial"/>
                <w:sz w:val="18"/>
                <w:szCs w:val="18"/>
                <w:lang w:val="es-ES"/>
              </w:rPr>
              <w:t>NA</w:t>
            </w:r>
          </w:p>
        </w:tc>
      </w:tr>
      <w:tr w:rsidR="000C16F9" w:rsidRPr="0039123E" w:rsidTr="00E82882">
        <w:trPr>
          <w:trHeight w:val="395"/>
        </w:trPr>
        <w:tc>
          <w:tcPr>
            <w:tcW w:w="3510" w:type="dxa"/>
          </w:tcPr>
          <w:p w:rsidR="009F33FF" w:rsidRPr="00D97FAD" w:rsidRDefault="00E33333" w:rsidP="00DA0911">
            <w:pPr>
              <w:pStyle w:val="ListParagraph"/>
              <w:numPr>
                <w:ilvl w:val="0"/>
                <w:numId w:val="2"/>
              </w:numPr>
              <w:spacing w:after="60"/>
              <w:ind w:left="180" w:hanging="180"/>
              <w:contextualSpacing w:val="0"/>
              <w:jc w:val="both"/>
              <w:rPr>
                <w:rFonts w:ascii="Arial" w:hAnsi="Arial" w:cs="Arial"/>
                <w:sz w:val="18"/>
                <w:szCs w:val="18"/>
                <w:lang w:val="es-ES"/>
              </w:rPr>
            </w:pPr>
            <w:r w:rsidRPr="00D97FAD">
              <w:rPr>
                <w:rFonts w:ascii="Arial" w:hAnsi="Arial" w:cs="Arial"/>
                <w:sz w:val="18"/>
                <w:szCs w:val="18"/>
                <w:lang w:val="es-ES"/>
              </w:rPr>
              <w:t xml:space="preserve">Periodo de Desembolso </w:t>
            </w:r>
            <w:r w:rsidR="00433246" w:rsidRPr="00D97FAD">
              <w:rPr>
                <w:rFonts w:ascii="Arial" w:hAnsi="Arial" w:cs="Arial"/>
                <w:sz w:val="18"/>
                <w:szCs w:val="18"/>
                <w:lang w:val="es-ES"/>
              </w:rPr>
              <w:t>(</w:t>
            </w:r>
            <w:r w:rsidRPr="00D97FAD">
              <w:rPr>
                <w:rFonts w:ascii="Arial" w:hAnsi="Arial" w:cs="Arial"/>
                <w:sz w:val="18"/>
                <w:szCs w:val="18"/>
                <w:lang w:val="es-ES"/>
              </w:rPr>
              <w:t>incluye periodo de ejecución</w:t>
            </w:r>
            <w:r w:rsidR="009F33FF" w:rsidRPr="00D97FAD">
              <w:rPr>
                <w:rFonts w:ascii="Arial" w:hAnsi="Arial" w:cs="Arial"/>
                <w:sz w:val="18"/>
                <w:szCs w:val="18"/>
                <w:lang w:val="es-ES"/>
              </w:rPr>
              <w:t>):</w:t>
            </w:r>
          </w:p>
        </w:tc>
        <w:tc>
          <w:tcPr>
            <w:tcW w:w="5377" w:type="dxa"/>
          </w:tcPr>
          <w:p w:rsidR="009F33FF" w:rsidRPr="00D97FAD" w:rsidRDefault="0019595A" w:rsidP="00DA0911">
            <w:pPr>
              <w:spacing w:after="60"/>
              <w:ind w:left="360"/>
              <w:rPr>
                <w:rFonts w:ascii="Arial" w:hAnsi="Arial" w:cs="Arial"/>
                <w:sz w:val="18"/>
                <w:szCs w:val="18"/>
                <w:lang w:val="es-ES"/>
              </w:rPr>
            </w:pPr>
            <w:r>
              <w:rPr>
                <w:rFonts w:ascii="Arial" w:hAnsi="Arial" w:cs="Arial"/>
                <w:sz w:val="18"/>
                <w:szCs w:val="18"/>
                <w:lang w:val="es-ES"/>
              </w:rPr>
              <w:t>36 meses</w:t>
            </w:r>
          </w:p>
        </w:tc>
      </w:tr>
      <w:tr w:rsidR="000C16F9" w:rsidRPr="00D97FAD" w:rsidTr="008C1D97">
        <w:tc>
          <w:tcPr>
            <w:tcW w:w="3510" w:type="dxa"/>
          </w:tcPr>
          <w:p w:rsidR="009F33FF" w:rsidRPr="00D97FAD" w:rsidRDefault="00E33333" w:rsidP="00DA0911">
            <w:pPr>
              <w:pStyle w:val="ListParagraph"/>
              <w:numPr>
                <w:ilvl w:val="0"/>
                <w:numId w:val="2"/>
              </w:numPr>
              <w:spacing w:after="60"/>
              <w:ind w:left="180" w:hanging="180"/>
              <w:contextualSpacing w:val="0"/>
              <w:jc w:val="both"/>
              <w:rPr>
                <w:rFonts w:ascii="Arial" w:hAnsi="Arial" w:cs="Arial"/>
                <w:sz w:val="18"/>
                <w:szCs w:val="18"/>
                <w:lang w:val="es-ES"/>
              </w:rPr>
            </w:pPr>
            <w:r w:rsidRPr="00D97FAD">
              <w:rPr>
                <w:rFonts w:ascii="Arial" w:hAnsi="Arial" w:cs="Arial"/>
                <w:sz w:val="18"/>
                <w:szCs w:val="18"/>
                <w:lang w:val="es-ES"/>
              </w:rPr>
              <w:t>Fecha de Inicio</w:t>
            </w:r>
            <w:r w:rsidR="00F50742" w:rsidRPr="00D97FAD">
              <w:rPr>
                <w:rFonts w:ascii="Arial" w:hAnsi="Arial" w:cs="Arial"/>
                <w:sz w:val="18"/>
                <w:szCs w:val="18"/>
                <w:lang w:val="es-ES"/>
              </w:rPr>
              <w:t xml:space="preserve"> requerido</w:t>
            </w:r>
            <w:r w:rsidR="009F33FF" w:rsidRPr="00D97FAD">
              <w:rPr>
                <w:rFonts w:ascii="Arial" w:hAnsi="Arial" w:cs="Arial"/>
                <w:sz w:val="18"/>
                <w:szCs w:val="18"/>
                <w:lang w:val="es-ES"/>
              </w:rPr>
              <w:t>:</w:t>
            </w:r>
          </w:p>
        </w:tc>
        <w:tc>
          <w:tcPr>
            <w:tcW w:w="5377" w:type="dxa"/>
          </w:tcPr>
          <w:p w:rsidR="009F33FF" w:rsidRPr="00D97FAD" w:rsidRDefault="00D173D5" w:rsidP="00DA0911">
            <w:pPr>
              <w:spacing w:after="60"/>
              <w:ind w:left="360"/>
              <w:rPr>
                <w:rFonts w:ascii="Arial" w:hAnsi="Arial" w:cs="Arial"/>
                <w:sz w:val="18"/>
                <w:szCs w:val="18"/>
                <w:lang w:val="es-ES"/>
              </w:rPr>
            </w:pPr>
            <w:r>
              <w:rPr>
                <w:rFonts w:ascii="Arial" w:hAnsi="Arial" w:cs="Arial"/>
                <w:sz w:val="18"/>
                <w:szCs w:val="18"/>
                <w:lang w:val="es-ES"/>
              </w:rPr>
              <w:t>Enero 2016</w:t>
            </w:r>
          </w:p>
        </w:tc>
      </w:tr>
      <w:tr w:rsidR="000C16F9" w:rsidRPr="00E82882" w:rsidTr="008C1D97">
        <w:tc>
          <w:tcPr>
            <w:tcW w:w="3510" w:type="dxa"/>
          </w:tcPr>
          <w:p w:rsidR="009F33FF" w:rsidRPr="00D97FAD" w:rsidRDefault="00E33333" w:rsidP="00DA0911">
            <w:pPr>
              <w:pStyle w:val="ListParagraph"/>
              <w:numPr>
                <w:ilvl w:val="0"/>
                <w:numId w:val="2"/>
              </w:numPr>
              <w:spacing w:after="60"/>
              <w:ind w:left="180" w:hanging="180"/>
              <w:contextualSpacing w:val="0"/>
              <w:jc w:val="both"/>
              <w:rPr>
                <w:rFonts w:ascii="Arial" w:hAnsi="Arial" w:cs="Arial"/>
                <w:sz w:val="18"/>
                <w:szCs w:val="18"/>
                <w:lang w:val="es-ES"/>
              </w:rPr>
            </w:pPr>
            <w:r w:rsidRPr="00D97FAD">
              <w:rPr>
                <w:rFonts w:ascii="Arial" w:hAnsi="Arial" w:cs="Arial"/>
                <w:sz w:val="18"/>
                <w:szCs w:val="18"/>
                <w:lang w:val="es-ES"/>
              </w:rPr>
              <w:t xml:space="preserve">Tipos de consultores </w:t>
            </w:r>
            <w:r w:rsidR="009F33FF" w:rsidRPr="00D97FAD">
              <w:rPr>
                <w:rFonts w:ascii="Arial" w:hAnsi="Arial" w:cs="Arial"/>
                <w:sz w:val="18"/>
                <w:szCs w:val="18"/>
                <w:lang w:val="es-ES"/>
              </w:rPr>
              <w:t>(firm</w:t>
            </w:r>
            <w:r w:rsidRPr="00D97FAD">
              <w:rPr>
                <w:rFonts w:ascii="Arial" w:hAnsi="Arial" w:cs="Arial"/>
                <w:sz w:val="18"/>
                <w:szCs w:val="18"/>
                <w:lang w:val="es-ES"/>
              </w:rPr>
              <w:t>as</w:t>
            </w:r>
            <w:r w:rsidR="009F33FF" w:rsidRPr="00D97FAD">
              <w:rPr>
                <w:rFonts w:ascii="Arial" w:hAnsi="Arial" w:cs="Arial"/>
                <w:sz w:val="18"/>
                <w:szCs w:val="18"/>
                <w:lang w:val="es-ES"/>
              </w:rPr>
              <w:t xml:space="preserve"> o </w:t>
            </w:r>
            <w:r w:rsidRPr="00D97FAD">
              <w:rPr>
                <w:rFonts w:ascii="Arial" w:hAnsi="Arial" w:cs="Arial"/>
                <w:sz w:val="18"/>
                <w:szCs w:val="18"/>
                <w:lang w:val="es-ES"/>
              </w:rPr>
              <w:t xml:space="preserve">consultores </w:t>
            </w:r>
            <w:r w:rsidR="009F33FF" w:rsidRPr="00D97FAD">
              <w:rPr>
                <w:rFonts w:ascii="Arial" w:hAnsi="Arial" w:cs="Arial"/>
                <w:sz w:val="18"/>
                <w:szCs w:val="18"/>
                <w:lang w:val="es-ES"/>
              </w:rPr>
              <w:t>individual</w:t>
            </w:r>
            <w:r w:rsidRPr="00D97FAD">
              <w:rPr>
                <w:rFonts w:ascii="Arial" w:hAnsi="Arial" w:cs="Arial"/>
                <w:sz w:val="18"/>
                <w:szCs w:val="18"/>
                <w:lang w:val="es-ES"/>
              </w:rPr>
              <w:t>es</w:t>
            </w:r>
            <w:r w:rsidR="009F33FF" w:rsidRPr="00D97FAD">
              <w:rPr>
                <w:rFonts w:ascii="Arial" w:hAnsi="Arial" w:cs="Arial"/>
                <w:sz w:val="18"/>
                <w:szCs w:val="18"/>
                <w:lang w:val="es-ES"/>
              </w:rPr>
              <w:t>):</w:t>
            </w:r>
          </w:p>
        </w:tc>
        <w:tc>
          <w:tcPr>
            <w:tcW w:w="5377" w:type="dxa"/>
          </w:tcPr>
          <w:p w:rsidR="009F33FF" w:rsidRPr="00D97FAD" w:rsidRDefault="0019595A" w:rsidP="00DA0911">
            <w:pPr>
              <w:spacing w:after="60"/>
              <w:ind w:left="360"/>
              <w:rPr>
                <w:rFonts w:ascii="Arial" w:hAnsi="Arial" w:cs="Arial"/>
                <w:sz w:val="18"/>
                <w:szCs w:val="18"/>
                <w:lang w:val="es-ES"/>
              </w:rPr>
            </w:pPr>
            <w:r>
              <w:rPr>
                <w:rFonts w:ascii="Arial" w:hAnsi="Arial" w:cs="Arial"/>
                <w:sz w:val="18"/>
                <w:szCs w:val="18"/>
                <w:lang w:val="es-ES"/>
              </w:rPr>
              <w:t>Consultores individuales</w:t>
            </w:r>
            <w:r w:rsidR="008D6D65">
              <w:rPr>
                <w:rFonts w:ascii="Arial" w:hAnsi="Arial" w:cs="Arial"/>
                <w:sz w:val="18"/>
                <w:szCs w:val="18"/>
                <w:lang w:val="es-ES"/>
              </w:rPr>
              <w:t>, nacionales y/o internacionales, y firmas</w:t>
            </w:r>
            <w:r w:rsidR="00C00F1E">
              <w:rPr>
                <w:rFonts w:ascii="Arial" w:hAnsi="Arial" w:cs="Arial"/>
                <w:sz w:val="18"/>
                <w:szCs w:val="18"/>
                <w:lang w:val="es-ES"/>
              </w:rPr>
              <w:t xml:space="preserve"> y servicios de no </w:t>
            </w:r>
            <w:r w:rsidR="00E82882">
              <w:rPr>
                <w:rFonts w:ascii="Arial" w:hAnsi="Arial" w:cs="Arial"/>
                <w:sz w:val="18"/>
                <w:szCs w:val="18"/>
                <w:lang w:val="es-ES"/>
              </w:rPr>
              <w:t>consultoría</w:t>
            </w:r>
          </w:p>
        </w:tc>
      </w:tr>
      <w:tr w:rsidR="000C16F9" w:rsidRPr="00D97FAD" w:rsidTr="008C1D97">
        <w:tc>
          <w:tcPr>
            <w:tcW w:w="3510" w:type="dxa"/>
          </w:tcPr>
          <w:p w:rsidR="009F33FF" w:rsidRPr="00D97FAD" w:rsidRDefault="00E33333" w:rsidP="00DA0911">
            <w:pPr>
              <w:pStyle w:val="ListParagraph"/>
              <w:numPr>
                <w:ilvl w:val="0"/>
                <w:numId w:val="2"/>
              </w:numPr>
              <w:spacing w:after="60"/>
              <w:ind w:left="180" w:hanging="180"/>
              <w:contextualSpacing w:val="0"/>
              <w:jc w:val="both"/>
              <w:rPr>
                <w:rFonts w:ascii="Arial" w:hAnsi="Arial" w:cs="Arial"/>
                <w:sz w:val="18"/>
                <w:szCs w:val="18"/>
                <w:lang w:val="es-ES"/>
              </w:rPr>
            </w:pPr>
            <w:r w:rsidRPr="00D97FAD">
              <w:rPr>
                <w:rFonts w:ascii="Arial" w:hAnsi="Arial" w:cs="Arial"/>
                <w:sz w:val="18"/>
                <w:szCs w:val="18"/>
                <w:lang w:val="es-ES"/>
              </w:rPr>
              <w:t>Unidad de Preparación</w:t>
            </w:r>
            <w:r w:rsidR="009F33FF" w:rsidRPr="00D97FAD">
              <w:rPr>
                <w:rFonts w:ascii="Arial" w:hAnsi="Arial" w:cs="Arial"/>
                <w:sz w:val="18"/>
                <w:szCs w:val="18"/>
                <w:lang w:val="es-ES"/>
              </w:rPr>
              <w:t>:</w:t>
            </w:r>
          </w:p>
        </w:tc>
        <w:tc>
          <w:tcPr>
            <w:tcW w:w="5377" w:type="dxa"/>
          </w:tcPr>
          <w:p w:rsidR="009F33FF" w:rsidRPr="00D97FAD" w:rsidRDefault="0019595A" w:rsidP="00DA0911">
            <w:pPr>
              <w:spacing w:after="60"/>
              <w:ind w:left="360"/>
              <w:rPr>
                <w:rFonts w:ascii="Arial" w:hAnsi="Arial" w:cs="Arial"/>
                <w:sz w:val="18"/>
                <w:szCs w:val="18"/>
                <w:lang w:val="es-ES"/>
              </w:rPr>
            </w:pPr>
            <w:r>
              <w:rPr>
                <w:rFonts w:ascii="Arial" w:hAnsi="Arial" w:cs="Arial"/>
                <w:sz w:val="18"/>
                <w:szCs w:val="18"/>
                <w:lang w:val="es-ES"/>
              </w:rPr>
              <w:t>CID/CHO</w:t>
            </w:r>
          </w:p>
        </w:tc>
      </w:tr>
      <w:tr w:rsidR="000C16F9" w:rsidRPr="00D97FAD" w:rsidTr="008C1D97">
        <w:tc>
          <w:tcPr>
            <w:tcW w:w="3510" w:type="dxa"/>
          </w:tcPr>
          <w:p w:rsidR="009F33FF" w:rsidRPr="00D97FAD" w:rsidRDefault="009F33FF" w:rsidP="00DA0911">
            <w:pPr>
              <w:pStyle w:val="ListParagraph"/>
              <w:numPr>
                <w:ilvl w:val="0"/>
                <w:numId w:val="2"/>
              </w:numPr>
              <w:spacing w:after="60"/>
              <w:ind w:left="180" w:hanging="180"/>
              <w:contextualSpacing w:val="0"/>
              <w:jc w:val="both"/>
              <w:rPr>
                <w:rFonts w:ascii="Arial" w:hAnsi="Arial" w:cs="Arial"/>
                <w:sz w:val="18"/>
                <w:szCs w:val="18"/>
                <w:lang w:val="es-ES"/>
              </w:rPr>
            </w:pPr>
            <w:r w:rsidRPr="00D97FAD">
              <w:rPr>
                <w:rFonts w:ascii="Arial" w:hAnsi="Arial" w:cs="Arial"/>
                <w:sz w:val="18"/>
                <w:szCs w:val="18"/>
                <w:lang w:val="es-ES"/>
              </w:rPr>
              <w:t>Uni</w:t>
            </w:r>
            <w:r w:rsidR="00E33333" w:rsidRPr="00D97FAD">
              <w:rPr>
                <w:rFonts w:ascii="Arial" w:hAnsi="Arial" w:cs="Arial"/>
                <w:sz w:val="18"/>
                <w:szCs w:val="18"/>
                <w:lang w:val="es-ES"/>
              </w:rPr>
              <w:t>dad Responsab</w:t>
            </w:r>
            <w:r w:rsidR="00F50742" w:rsidRPr="00D97FAD">
              <w:rPr>
                <w:rFonts w:ascii="Arial" w:hAnsi="Arial" w:cs="Arial"/>
                <w:sz w:val="18"/>
                <w:szCs w:val="18"/>
                <w:lang w:val="es-ES"/>
              </w:rPr>
              <w:t>le</w:t>
            </w:r>
            <w:r w:rsidR="00E33333" w:rsidRPr="00D97FAD">
              <w:rPr>
                <w:rFonts w:ascii="Arial" w:hAnsi="Arial" w:cs="Arial"/>
                <w:sz w:val="18"/>
                <w:szCs w:val="18"/>
                <w:lang w:val="es-ES"/>
              </w:rPr>
              <w:t xml:space="preserve"> de Desembolso</w:t>
            </w:r>
            <w:r w:rsidRPr="00D97FAD">
              <w:rPr>
                <w:rFonts w:ascii="Arial" w:hAnsi="Arial" w:cs="Arial"/>
                <w:sz w:val="18"/>
                <w:szCs w:val="18"/>
                <w:lang w:val="es-ES"/>
              </w:rPr>
              <w:t>:</w:t>
            </w:r>
          </w:p>
        </w:tc>
        <w:tc>
          <w:tcPr>
            <w:tcW w:w="5377" w:type="dxa"/>
          </w:tcPr>
          <w:p w:rsidR="009F33FF" w:rsidRPr="00D97FAD" w:rsidRDefault="0019595A" w:rsidP="00DA0911">
            <w:pPr>
              <w:spacing w:after="60"/>
              <w:ind w:left="360"/>
              <w:rPr>
                <w:rFonts w:ascii="Arial" w:hAnsi="Arial" w:cs="Arial"/>
                <w:sz w:val="18"/>
                <w:szCs w:val="18"/>
                <w:lang w:val="es-ES"/>
              </w:rPr>
            </w:pPr>
            <w:r>
              <w:rPr>
                <w:rFonts w:ascii="Arial" w:hAnsi="Arial" w:cs="Arial"/>
                <w:sz w:val="18"/>
                <w:szCs w:val="18"/>
                <w:lang w:val="es-ES"/>
              </w:rPr>
              <w:t>CID/CHO</w:t>
            </w:r>
          </w:p>
        </w:tc>
      </w:tr>
      <w:tr w:rsidR="000C16F9" w:rsidRPr="00D97FAD" w:rsidTr="008C1D97">
        <w:tc>
          <w:tcPr>
            <w:tcW w:w="3510" w:type="dxa"/>
          </w:tcPr>
          <w:p w:rsidR="009F33FF" w:rsidRPr="00D97FAD" w:rsidRDefault="009F33FF" w:rsidP="00DA0911">
            <w:pPr>
              <w:pStyle w:val="ListParagraph"/>
              <w:numPr>
                <w:ilvl w:val="0"/>
                <w:numId w:val="2"/>
              </w:numPr>
              <w:spacing w:after="60"/>
              <w:ind w:left="180" w:hanging="180"/>
              <w:contextualSpacing w:val="0"/>
              <w:jc w:val="both"/>
              <w:rPr>
                <w:rFonts w:ascii="Arial" w:hAnsi="Arial" w:cs="Arial"/>
                <w:sz w:val="18"/>
                <w:szCs w:val="18"/>
                <w:lang w:val="pt-BR"/>
              </w:rPr>
            </w:pPr>
            <w:r w:rsidRPr="00D97FAD">
              <w:rPr>
                <w:rFonts w:ascii="Arial" w:hAnsi="Arial" w:cs="Arial"/>
                <w:sz w:val="18"/>
                <w:szCs w:val="18"/>
                <w:lang w:val="es-ES"/>
              </w:rPr>
              <w:t>C</w:t>
            </w:r>
            <w:r w:rsidR="00E33333" w:rsidRPr="00D97FAD">
              <w:rPr>
                <w:rFonts w:ascii="Arial" w:hAnsi="Arial" w:cs="Arial"/>
                <w:sz w:val="18"/>
                <w:szCs w:val="18"/>
                <w:lang w:val="es-ES"/>
              </w:rPr>
              <w:t>T incluida en la Estrategia de País</w:t>
            </w:r>
            <w:r w:rsidRPr="00D97FAD">
              <w:rPr>
                <w:rFonts w:ascii="Arial" w:hAnsi="Arial" w:cs="Arial"/>
                <w:sz w:val="18"/>
                <w:szCs w:val="18"/>
                <w:lang w:val="es-ES"/>
              </w:rPr>
              <w:t xml:space="preserve"> (</w:t>
            </w:r>
            <w:r w:rsidR="00E33333" w:rsidRPr="00D97FAD">
              <w:rPr>
                <w:rFonts w:ascii="Arial" w:hAnsi="Arial" w:cs="Arial"/>
                <w:sz w:val="18"/>
                <w:szCs w:val="18"/>
                <w:lang w:val="es-ES"/>
              </w:rPr>
              <w:t>s</w:t>
            </w:r>
            <w:r w:rsidRPr="00D97FAD">
              <w:rPr>
                <w:rFonts w:ascii="Arial" w:hAnsi="Arial" w:cs="Arial"/>
                <w:sz w:val="18"/>
                <w:szCs w:val="18"/>
                <w:lang w:val="es-ES"/>
              </w:rPr>
              <w:t xml:space="preserve">/n): </w:t>
            </w:r>
          </w:p>
        </w:tc>
        <w:tc>
          <w:tcPr>
            <w:tcW w:w="5377" w:type="dxa"/>
          </w:tcPr>
          <w:p w:rsidR="009F33FF" w:rsidRPr="00D97FAD" w:rsidRDefault="00E82882" w:rsidP="00DA0911">
            <w:pPr>
              <w:spacing w:after="60"/>
              <w:ind w:left="360"/>
              <w:rPr>
                <w:rFonts w:ascii="Arial" w:hAnsi="Arial" w:cs="Arial"/>
                <w:sz w:val="18"/>
                <w:szCs w:val="18"/>
                <w:lang w:val="pt-BR"/>
              </w:rPr>
            </w:pPr>
            <w:r>
              <w:rPr>
                <w:rFonts w:ascii="Arial" w:hAnsi="Arial" w:cs="Arial"/>
                <w:sz w:val="18"/>
                <w:szCs w:val="18"/>
                <w:lang w:val="pt-BR"/>
              </w:rPr>
              <w:t>Si</w:t>
            </w:r>
          </w:p>
        </w:tc>
      </w:tr>
      <w:tr w:rsidR="007C6B4B" w:rsidRPr="0039123E" w:rsidTr="008C1D97">
        <w:tc>
          <w:tcPr>
            <w:tcW w:w="3510" w:type="dxa"/>
          </w:tcPr>
          <w:p w:rsidR="007C6B4B" w:rsidRPr="00D97FAD" w:rsidRDefault="007C6B4B" w:rsidP="00DA0911">
            <w:pPr>
              <w:pStyle w:val="ListParagraph"/>
              <w:numPr>
                <w:ilvl w:val="0"/>
                <w:numId w:val="2"/>
              </w:numPr>
              <w:spacing w:after="60"/>
              <w:ind w:left="180" w:hanging="180"/>
              <w:contextualSpacing w:val="0"/>
              <w:jc w:val="both"/>
              <w:rPr>
                <w:rFonts w:ascii="Arial" w:hAnsi="Arial" w:cs="Arial"/>
                <w:sz w:val="18"/>
                <w:szCs w:val="18"/>
                <w:lang w:val="pt-BR"/>
              </w:rPr>
            </w:pPr>
            <w:r w:rsidRPr="00D97FAD">
              <w:rPr>
                <w:rFonts w:ascii="Arial" w:hAnsi="Arial" w:cs="Arial"/>
                <w:sz w:val="18"/>
                <w:szCs w:val="18"/>
                <w:lang w:val="pt-BR"/>
              </w:rPr>
              <w:t xml:space="preserve">CT incluída </w:t>
            </w:r>
            <w:proofErr w:type="spellStart"/>
            <w:r w:rsidRPr="00D97FAD">
              <w:rPr>
                <w:rFonts w:ascii="Arial" w:hAnsi="Arial" w:cs="Arial"/>
                <w:sz w:val="18"/>
                <w:szCs w:val="18"/>
                <w:lang w:val="pt-BR"/>
              </w:rPr>
              <w:t>en</w:t>
            </w:r>
            <w:proofErr w:type="spellEnd"/>
            <w:r w:rsidRPr="00D97FAD">
              <w:rPr>
                <w:rFonts w:ascii="Arial" w:hAnsi="Arial" w:cs="Arial"/>
                <w:sz w:val="18"/>
                <w:szCs w:val="18"/>
                <w:lang w:val="pt-BR"/>
              </w:rPr>
              <w:t xml:space="preserve"> CPD (s/n):</w:t>
            </w:r>
          </w:p>
        </w:tc>
        <w:tc>
          <w:tcPr>
            <w:tcW w:w="5377" w:type="dxa"/>
          </w:tcPr>
          <w:p w:rsidR="007C6B4B" w:rsidRPr="00D97FAD" w:rsidRDefault="008C1D97" w:rsidP="00DA0911">
            <w:pPr>
              <w:spacing w:after="60"/>
              <w:ind w:left="360"/>
              <w:rPr>
                <w:rFonts w:ascii="Arial" w:hAnsi="Arial" w:cs="Arial"/>
                <w:sz w:val="18"/>
                <w:szCs w:val="18"/>
                <w:lang w:val="pt-BR"/>
              </w:rPr>
            </w:pPr>
            <w:r>
              <w:rPr>
                <w:rFonts w:ascii="Arial" w:hAnsi="Arial" w:cs="Arial"/>
                <w:sz w:val="18"/>
                <w:szCs w:val="18"/>
                <w:lang w:val="pt-BR"/>
              </w:rPr>
              <w:t>No</w:t>
            </w:r>
          </w:p>
        </w:tc>
      </w:tr>
      <w:tr w:rsidR="000C16F9" w:rsidRPr="00E82882" w:rsidTr="008C1D97">
        <w:tc>
          <w:tcPr>
            <w:tcW w:w="3510" w:type="dxa"/>
          </w:tcPr>
          <w:p w:rsidR="009F33FF" w:rsidRPr="00D97FAD" w:rsidRDefault="00E33333" w:rsidP="00DA0911">
            <w:pPr>
              <w:pStyle w:val="ListParagraph"/>
              <w:numPr>
                <w:ilvl w:val="0"/>
                <w:numId w:val="2"/>
              </w:numPr>
              <w:spacing w:after="60"/>
              <w:ind w:left="180" w:hanging="180"/>
              <w:contextualSpacing w:val="0"/>
              <w:jc w:val="both"/>
              <w:rPr>
                <w:rFonts w:ascii="Arial" w:hAnsi="Arial" w:cs="Arial"/>
                <w:sz w:val="18"/>
                <w:szCs w:val="18"/>
                <w:lang w:val="es-ES"/>
              </w:rPr>
            </w:pPr>
            <w:r w:rsidRPr="00D97FAD">
              <w:rPr>
                <w:rFonts w:ascii="Arial" w:hAnsi="Arial" w:cs="Arial"/>
                <w:sz w:val="18"/>
                <w:szCs w:val="18"/>
                <w:lang w:val="es-ES"/>
              </w:rPr>
              <w:t xml:space="preserve">Sector Prioritario </w:t>
            </w:r>
            <w:r w:rsidR="009F33FF" w:rsidRPr="00D97FAD">
              <w:rPr>
                <w:rFonts w:ascii="Arial" w:hAnsi="Arial" w:cs="Arial"/>
                <w:sz w:val="18"/>
                <w:szCs w:val="18"/>
                <w:lang w:val="es-ES"/>
              </w:rPr>
              <w:t>GCI-9:</w:t>
            </w:r>
          </w:p>
        </w:tc>
        <w:tc>
          <w:tcPr>
            <w:tcW w:w="5377" w:type="dxa"/>
          </w:tcPr>
          <w:p w:rsidR="009F33FF" w:rsidRPr="00D97FAD" w:rsidRDefault="008C1D97" w:rsidP="00DA0911">
            <w:pPr>
              <w:spacing w:after="60"/>
              <w:ind w:left="360"/>
              <w:rPr>
                <w:rFonts w:ascii="Arial" w:hAnsi="Arial" w:cs="Arial"/>
                <w:sz w:val="18"/>
                <w:szCs w:val="18"/>
                <w:lang w:val="es-ES"/>
              </w:rPr>
            </w:pPr>
            <w:r>
              <w:rPr>
                <w:rFonts w:ascii="Arial" w:hAnsi="Arial" w:cs="Arial"/>
                <w:sz w:val="18"/>
                <w:szCs w:val="18"/>
                <w:lang w:val="es-ES"/>
              </w:rPr>
              <w:t>Instituciones para el crecimiento y bienestar social (eficiencia fiscal y sostenibilidad)</w:t>
            </w:r>
          </w:p>
        </w:tc>
      </w:tr>
    </w:tbl>
    <w:p w:rsidR="0095711B" w:rsidRPr="00D97FAD" w:rsidRDefault="00190DB7" w:rsidP="008F4286">
      <w:pPr>
        <w:pStyle w:val="ListParagraph"/>
        <w:numPr>
          <w:ilvl w:val="0"/>
          <w:numId w:val="5"/>
        </w:numPr>
        <w:spacing w:before="120" w:after="120" w:line="240" w:lineRule="auto"/>
        <w:contextualSpacing w:val="0"/>
        <w:rPr>
          <w:rFonts w:ascii="Arial" w:hAnsi="Arial" w:cs="Arial"/>
          <w:b/>
          <w:lang w:val="es-ES"/>
        </w:rPr>
      </w:pPr>
      <w:r>
        <w:rPr>
          <w:rFonts w:ascii="Arial" w:hAnsi="Arial" w:cs="Arial"/>
          <w:b/>
          <w:lang w:val="es-ES"/>
        </w:rPr>
        <w:lastRenderedPageBreak/>
        <w:t xml:space="preserve">Justificación y </w:t>
      </w:r>
      <w:r w:rsidR="00C43E24" w:rsidRPr="00D97FAD">
        <w:rPr>
          <w:rFonts w:ascii="Arial" w:hAnsi="Arial" w:cs="Arial"/>
          <w:b/>
          <w:lang w:val="es-ES"/>
        </w:rPr>
        <w:t>Obje</w:t>
      </w:r>
      <w:r>
        <w:rPr>
          <w:rFonts w:ascii="Arial" w:hAnsi="Arial" w:cs="Arial"/>
          <w:b/>
          <w:lang w:val="es-ES"/>
        </w:rPr>
        <w:t>tivo</w:t>
      </w:r>
    </w:p>
    <w:p w:rsidR="00190DB7" w:rsidRPr="00E957D0" w:rsidRDefault="00190DB7" w:rsidP="00190DB7">
      <w:pPr>
        <w:pStyle w:val="ListParagraph"/>
        <w:numPr>
          <w:ilvl w:val="1"/>
          <w:numId w:val="5"/>
        </w:numPr>
        <w:spacing w:before="120" w:after="120" w:line="240" w:lineRule="auto"/>
        <w:ind w:left="360" w:hanging="630"/>
        <w:jc w:val="both"/>
        <w:rPr>
          <w:rFonts w:ascii="Arial" w:hAnsi="Arial" w:cs="Arial"/>
          <w:lang w:val="es-ES"/>
        </w:rPr>
      </w:pPr>
      <w:r w:rsidRPr="00E957D0">
        <w:rPr>
          <w:rFonts w:ascii="Arial" w:hAnsi="Arial" w:cs="Arial"/>
          <w:b/>
          <w:lang w:val="es-ES"/>
        </w:rPr>
        <w:t>Antecedentes.</w:t>
      </w:r>
      <w:r w:rsidRPr="00E957D0">
        <w:rPr>
          <w:rFonts w:ascii="Arial" w:hAnsi="Arial" w:cs="Arial"/>
          <w:lang w:val="es-ES"/>
        </w:rPr>
        <w:t xml:space="preserve"> Entre 2012 y 2013 Honduras experimentó un rápido deterioro de las cuentas fiscales, debido a niveles crecientes de gasto público y al estancamiento de la recaudación tributaria, ambos aspectos estrechamente ligados a deficiencias en </w:t>
      </w:r>
      <w:r w:rsidR="00A87E8F" w:rsidRPr="00E957D0">
        <w:rPr>
          <w:rFonts w:ascii="Arial" w:hAnsi="Arial" w:cs="Arial"/>
          <w:lang w:val="es-ES"/>
        </w:rPr>
        <w:t>la</w:t>
      </w:r>
      <w:r w:rsidRPr="00E957D0">
        <w:rPr>
          <w:rFonts w:ascii="Arial" w:hAnsi="Arial" w:cs="Arial"/>
          <w:lang w:val="es-ES"/>
        </w:rPr>
        <w:t xml:space="preserve"> formulación y </w:t>
      </w:r>
      <w:r w:rsidR="00A87E8F" w:rsidRPr="00E957D0">
        <w:rPr>
          <w:rFonts w:ascii="Arial" w:hAnsi="Arial" w:cs="Arial"/>
          <w:lang w:val="es-ES"/>
        </w:rPr>
        <w:t xml:space="preserve">el </w:t>
      </w:r>
      <w:r w:rsidRPr="00E957D0">
        <w:rPr>
          <w:rFonts w:ascii="Arial" w:hAnsi="Arial" w:cs="Arial"/>
          <w:lang w:val="es-ES"/>
        </w:rPr>
        <w:t>seguimiento de la política fiscal.</w:t>
      </w:r>
      <w:r w:rsidR="005F77FB" w:rsidRPr="00E957D0">
        <w:rPr>
          <w:rFonts w:ascii="Arial" w:hAnsi="Arial" w:cs="Arial"/>
          <w:lang w:val="es-ES"/>
        </w:rPr>
        <w:t xml:space="preserve"> </w:t>
      </w:r>
      <w:r w:rsidR="0065349E" w:rsidRPr="00E957D0">
        <w:rPr>
          <w:rFonts w:ascii="Arial" w:hAnsi="Arial" w:cs="Arial"/>
          <w:lang w:val="es-ES"/>
        </w:rPr>
        <w:t>Adicionalmente, la falta de articulación entre las políticas de planificación</w:t>
      </w:r>
      <w:r w:rsidR="00A87E8F" w:rsidRPr="00E957D0">
        <w:rPr>
          <w:rFonts w:ascii="Arial" w:hAnsi="Arial" w:cs="Arial"/>
          <w:lang w:val="es-ES"/>
        </w:rPr>
        <w:t>, i.e. metas de gobierno</w:t>
      </w:r>
      <w:r w:rsidR="00CD2217" w:rsidRPr="00E957D0">
        <w:rPr>
          <w:rFonts w:ascii="Arial" w:hAnsi="Arial" w:cs="Arial"/>
          <w:lang w:val="es-ES"/>
        </w:rPr>
        <w:t xml:space="preserve"> de mediano plazo, y la asignación de recursos públicos para esos fines, ha</w:t>
      </w:r>
      <w:r w:rsidR="00A87E8F" w:rsidRPr="00E957D0">
        <w:rPr>
          <w:rFonts w:ascii="Arial" w:hAnsi="Arial" w:cs="Arial"/>
          <w:lang w:val="es-ES"/>
        </w:rPr>
        <w:t xml:space="preserve"> conducido a importantes desvíos fiscales</w:t>
      </w:r>
      <w:r w:rsidR="00CD2217" w:rsidRPr="00E957D0">
        <w:rPr>
          <w:rFonts w:ascii="Arial" w:hAnsi="Arial" w:cs="Arial"/>
          <w:lang w:val="es-ES"/>
        </w:rPr>
        <w:t xml:space="preserve">, socavando así la credibilidad del presupuesto. En este sentido, en </w:t>
      </w:r>
      <w:r w:rsidR="003F213D">
        <w:rPr>
          <w:rFonts w:ascii="Arial" w:hAnsi="Arial" w:cs="Arial"/>
          <w:lang w:val="es-ES"/>
        </w:rPr>
        <w:t>2012-</w:t>
      </w:r>
      <w:r w:rsidR="00CD2217" w:rsidRPr="00E957D0">
        <w:rPr>
          <w:rFonts w:ascii="Arial" w:hAnsi="Arial" w:cs="Arial"/>
          <w:lang w:val="es-ES"/>
        </w:rPr>
        <w:t>13 se registraron desfases del balance primario en relaci</w:t>
      </w:r>
      <w:r w:rsidR="00E957D0" w:rsidRPr="00E957D0">
        <w:rPr>
          <w:rFonts w:ascii="Arial" w:hAnsi="Arial" w:cs="Arial"/>
          <w:lang w:val="es-ES"/>
        </w:rPr>
        <w:t>ón al presupuesto aprobado</w:t>
      </w:r>
      <w:r w:rsidR="00027656">
        <w:rPr>
          <w:rFonts w:ascii="Arial" w:hAnsi="Arial" w:cs="Arial"/>
          <w:lang w:val="es-ES"/>
        </w:rPr>
        <w:t xml:space="preserve"> de 2,</w:t>
      </w:r>
      <w:r w:rsidR="00914721">
        <w:rPr>
          <w:rFonts w:ascii="Arial" w:hAnsi="Arial" w:cs="Arial"/>
          <w:lang w:val="es-ES"/>
        </w:rPr>
        <w:t>6</w:t>
      </w:r>
      <w:r w:rsidR="00027656">
        <w:rPr>
          <w:rFonts w:ascii="Arial" w:hAnsi="Arial" w:cs="Arial"/>
          <w:lang w:val="es-ES"/>
        </w:rPr>
        <w:t xml:space="preserve"> y 4,</w:t>
      </w:r>
      <w:r w:rsidR="00E957D0" w:rsidRPr="00E957D0">
        <w:rPr>
          <w:rFonts w:ascii="Arial" w:hAnsi="Arial" w:cs="Arial"/>
          <w:lang w:val="es-ES"/>
        </w:rPr>
        <w:t>4% del PIB respectivamente</w:t>
      </w:r>
      <w:r w:rsidR="00CD2217" w:rsidRPr="00E957D0">
        <w:rPr>
          <w:rFonts w:ascii="Arial" w:hAnsi="Arial" w:cs="Arial"/>
          <w:lang w:val="es-ES"/>
        </w:rPr>
        <w:t>.</w:t>
      </w:r>
      <w:r w:rsidR="00E957D0" w:rsidRPr="00E957D0">
        <w:rPr>
          <w:rFonts w:ascii="Arial" w:hAnsi="Arial" w:cs="Arial"/>
          <w:lang w:val="es-ES"/>
        </w:rPr>
        <w:t xml:space="preserve"> </w:t>
      </w:r>
      <w:r w:rsidRPr="00E957D0">
        <w:rPr>
          <w:rFonts w:ascii="Arial" w:hAnsi="Arial" w:cs="Arial"/>
          <w:lang w:val="es-ES"/>
        </w:rPr>
        <w:t>Esto se traduj</w:t>
      </w:r>
      <w:r w:rsidR="00E957D0">
        <w:rPr>
          <w:rFonts w:ascii="Arial" w:hAnsi="Arial" w:cs="Arial"/>
          <w:lang w:val="es-ES"/>
        </w:rPr>
        <w:t>o en déficits</w:t>
      </w:r>
      <w:r w:rsidRPr="00E957D0">
        <w:rPr>
          <w:rFonts w:ascii="Arial" w:hAnsi="Arial" w:cs="Arial"/>
          <w:lang w:val="es-ES"/>
        </w:rPr>
        <w:t xml:space="preserve"> de la administración central por el orden de 6,</w:t>
      </w:r>
      <w:r w:rsidR="00914721">
        <w:rPr>
          <w:rFonts w:ascii="Arial" w:hAnsi="Arial" w:cs="Arial"/>
          <w:lang w:val="es-ES"/>
        </w:rPr>
        <w:t>0 y 7,9% del PIB para el período anteriormente mencionado</w:t>
      </w:r>
      <w:r w:rsidRPr="00E957D0">
        <w:rPr>
          <w:rFonts w:ascii="Arial" w:hAnsi="Arial" w:cs="Arial"/>
          <w:lang w:val="es-ES"/>
        </w:rPr>
        <w:t>,</w:t>
      </w:r>
      <w:r w:rsidR="00E82882">
        <w:rPr>
          <w:rFonts w:ascii="Arial" w:hAnsi="Arial" w:cs="Arial"/>
          <w:lang w:val="es-ES"/>
        </w:rPr>
        <w:t xml:space="preserve"> </w:t>
      </w:r>
      <w:r w:rsidRPr="00E957D0">
        <w:rPr>
          <w:rFonts w:ascii="Arial" w:hAnsi="Arial" w:cs="Arial"/>
          <w:lang w:val="es-ES"/>
        </w:rPr>
        <w:t>los cuales condujeron al incremento del endeudamiento público en 12 puntos del PIB (31% en 2011, 43% en 2013).</w:t>
      </w:r>
    </w:p>
    <w:p w:rsidR="00190DB7" w:rsidRDefault="00190DB7" w:rsidP="00190DB7">
      <w:pPr>
        <w:pStyle w:val="ListParagraph"/>
        <w:spacing w:before="120" w:after="120" w:line="240" w:lineRule="auto"/>
        <w:ind w:left="360"/>
        <w:jc w:val="both"/>
        <w:rPr>
          <w:rFonts w:ascii="Arial" w:hAnsi="Arial" w:cs="Arial"/>
          <w:lang w:val="es-ES"/>
        </w:rPr>
      </w:pPr>
    </w:p>
    <w:p w:rsidR="00190DB7" w:rsidRPr="00A72E1D" w:rsidRDefault="00190DB7" w:rsidP="00A72E1D">
      <w:pPr>
        <w:pStyle w:val="ListParagraph"/>
        <w:numPr>
          <w:ilvl w:val="1"/>
          <w:numId w:val="5"/>
        </w:numPr>
        <w:spacing w:before="120" w:after="120" w:line="240" w:lineRule="auto"/>
        <w:ind w:left="360" w:hanging="630"/>
        <w:jc w:val="both"/>
        <w:rPr>
          <w:rFonts w:ascii="Arial" w:hAnsi="Arial" w:cs="Arial"/>
          <w:lang w:val="es-ES"/>
        </w:rPr>
      </w:pPr>
      <w:r w:rsidRPr="00B10AF3">
        <w:rPr>
          <w:rFonts w:ascii="Arial" w:hAnsi="Arial" w:cs="Arial"/>
          <w:lang w:val="es-ES"/>
        </w:rPr>
        <w:t>En respuesta al desbalance fiscal, el Gobierno de Honduras (</w:t>
      </w:r>
      <w:proofErr w:type="spellStart"/>
      <w:r w:rsidRPr="00B10AF3">
        <w:rPr>
          <w:rFonts w:ascii="Arial" w:hAnsi="Arial" w:cs="Arial"/>
          <w:lang w:val="es-ES"/>
        </w:rPr>
        <w:t>GdH</w:t>
      </w:r>
      <w:proofErr w:type="spellEnd"/>
      <w:r w:rsidRPr="00B10AF3">
        <w:rPr>
          <w:rFonts w:ascii="Arial" w:hAnsi="Arial" w:cs="Arial"/>
          <w:lang w:val="es-ES"/>
        </w:rPr>
        <w:t>) implementó un conjunto de reformas destinadas a contener el gasto público e incrementar los ingresos fiscales. Las medidas fiscales adoptadas en el marco de la Ley de Ordenamiento de las Finanzas Públicas de diciembre 2013</w:t>
      </w:r>
      <w:r>
        <w:rPr>
          <w:rStyle w:val="FootnoteReference"/>
          <w:rFonts w:ascii="Arial" w:hAnsi="Arial" w:cs="Arial"/>
          <w:lang w:val="es-ES"/>
        </w:rPr>
        <w:footnoteReference w:id="1"/>
      </w:r>
      <w:r w:rsidRPr="00B10AF3">
        <w:rPr>
          <w:rFonts w:ascii="Arial" w:hAnsi="Arial" w:cs="Arial"/>
          <w:lang w:val="es-ES"/>
        </w:rPr>
        <w:t xml:space="preserve">, presentaron, según estimaciones de la Secretaría de Finanzas, un rendimiento fiscal de </w:t>
      </w:r>
      <w:r w:rsidR="00A72E1D">
        <w:rPr>
          <w:rFonts w:ascii="Arial" w:hAnsi="Arial" w:cs="Arial"/>
          <w:lang w:val="es-ES"/>
        </w:rPr>
        <w:t>3,5</w:t>
      </w:r>
      <w:r w:rsidRPr="00B10AF3">
        <w:rPr>
          <w:rFonts w:ascii="Arial" w:hAnsi="Arial" w:cs="Arial"/>
          <w:lang w:val="es-ES"/>
        </w:rPr>
        <w:t>% del PIB</w:t>
      </w:r>
      <w:r w:rsidR="00A72E1D">
        <w:rPr>
          <w:rFonts w:ascii="Arial" w:hAnsi="Arial" w:cs="Arial"/>
          <w:lang w:val="es-ES"/>
        </w:rPr>
        <w:t xml:space="preserve"> al cierre de 2014</w:t>
      </w:r>
      <w:r w:rsidRPr="00B10AF3">
        <w:rPr>
          <w:rFonts w:ascii="Arial" w:hAnsi="Arial" w:cs="Arial"/>
          <w:lang w:val="es-ES"/>
        </w:rPr>
        <w:t>. Entre las principales acciones adoptadas destacan:</w:t>
      </w:r>
      <w:r w:rsidR="00A72E1D">
        <w:rPr>
          <w:rFonts w:ascii="Arial" w:hAnsi="Arial" w:cs="Arial"/>
          <w:lang w:val="es-ES"/>
        </w:rPr>
        <w:t xml:space="preserve"> </w:t>
      </w:r>
      <w:r w:rsidR="00A72E1D" w:rsidRPr="00A72E1D">
        <w:rPr>
          <w:rFonts w:ascii="Arial" w:hAnsi="Arial" w:cs="Arial"/>
          <w:lang w:val="es-ES"/>
        </w:rPr>
        <w:t>i) incremento de 3 puntos porcentuales del impuesto sobre ventas (d</w:t>
      </w:r>
      <w:r w:rsidR="00A72E1D">
        <w:rPr>
          <w:rFonts w:ascii="Arial" w:hAnsi="Arial" w:cs="Arial"/>
          <w:lang w:val="es-ES"/>
        </w:rPr>
        <w:t>e 12% a 15%); ii) incremento de 25</w:t>
      </w:r>
      <w:r w:rsidR="00A72E1D" w:rsidRPr="00A72E1D">
        <w:rPr>
          <w:rFonts w:ascii="Arial" w:hAnsi="Arial" w:cs="Arial"/>
          <w:lang w:val="es-ES"/>
        </w:rPr>
        <w:t xml:space="preserve">% al impuesto a la gasolina y el diésel; iii) requerimiento de pago mínimo de impuesto sobre la renta a personas y empresas con </w:t>
      </w:r>
      <w:r w:rsidR="00A72E1D">
        <w:rPr>
          <w:rFonts w:ascii="Arial" w:hAnsi="Arial" w:cs="Arial"/>
          <w:lang w:val="es-ES"/>
        </w:rPr>
        <w:t>ingresos superiores a US$500 mil</w:t>
      </w:r>
      <w:r w:rsidR="00A72E1D" w:rsidRPr="00A72E1D">
        <w:rPr>
          <w:rFonts w:ascii="Arial" w:hAnsi="Arial" w:cs="Arial"/>
          <w:lang w:val="es-ES"/>
        </w:rPr>
        <w:t xml:space="preserve"> anuales; iv) reducción de transferencias a entes descen</w:t>
      </w:r>
      <w:r w:rsidR="00A72E1D">
        <w:rPr>
          <w:rFonts w:ascii="Arial" w:hAnsi="Arial" w:cs="Arial"/>
          <w:lang w:val="es-ES"/>
        </w:rPr>
        <w:t>tralizados</w:t>
      </w:r>
      <w:r w:rsidR="00A72E1D" w:rsidRPr="00A72E1D">
        <w:rPr>
          <w:rFonts w:ascii="Arial" w:hAnsi="Arial" w:cs="Arial"/>
          <w:lang w:val="es-ES"/>
        </w:rPr>
        <w:t xml:space="preserve">; v) supresión de plazas y congelamiento de salarios en la administración pública; vi) reducción del subsidio a la electricidad (disminución del umbral de subsidio de 150 </w:t>
      </w:r>
      <w:proofErr w:type="spellStart"/>
      <w:r w:rsidR="00A72E1D" w:rsidRPr="00A72E1D">
        <w:rPr>
          <w:rFonts w:ascii="Arial" w:hAnsi="Arial" w:cs="Arial"/>
          <w:lang w:val="es-ES"/>
        </w:rPr>
        <w:t>Kwh</w:t>
      </w:r>
      <w:proofErr w:type="spellEnd"/>
      <w:r w:rsidR="00A72E1D" w:rsidRPr="00A72E1D">
        <w:rPr>
          <w:rFonts w:ascii="Arial" w:hAnsi="Arial" w:cs="Arial"/>
          <w:lang w:val="es-ES"/>
        </w:rPr>
        <w:t xml:space="preserve">/mes a 75 </w:t>
      </w:r>
      <w:proofErr w:type="spellStart"/>
      <w:r w:rsidR="00A72E1D" w:rsidRPr="00A72E1D">
        <w:rPr>
          <w:rFonts w:ascii="Arial" w:hAnsi="Arial" w:cs="Arial"/>
          <w:lang w:val="es-ES"/>
        </w:rPr>
        <w:t>kwh</w:t>
      </w:r>
      <w:proofErr w:type="spellEnd"/>
      <w:r w:rsidR="00A72E1D" w:rsidRPr="00A72E1D">
        <w:rPr>
          <w:rFonts w:ascii="Arial" w:hAnsi="Arial" w:cs="Arial"/>
          <w:lang w:val="es-ES"/>
        </w:rPr>
        <w:t>/mes).</w:t>
      </w:r>
      <w:r w:rsidR="00A72E1D">
        <w:rPr>
          <w:rFonts w:ascii="Arial" w:hAnsi="Arial" w:cs="Arial"/>
          <w:lang w:val="es-ES"/>
        </w:rPr>
        <w:t xml:space="preserve"> </w:t>
      </w:r>
      <w:r w:rsidRPr="00A72E1D">
        <w:rPr>
          <w:rFonts w:ascii="Arial" w:hAnsi="Arial" w:cs="Arial"/>
          <w:lang w:val="es-ES"/>
        </w:rPr>
        <w:t>Como resultado de estas medidas el déficit de la administ</w:t>
      </w:r>
      <w:r w:rsidR="00A72E1D">
        <w:rPr>
          <w:rFonts w:ascii="Arial" w:hAnsi="Arial" w:cs="Arial"/>
          <w:lang w:val="es-ES"/>
        </w:rPr>
        <w:t>ración central se redujo</w:t>
      </w:r>
      <w:r w:rsidRPr="00A72E1D">
        <w:rPr>
          <w:rFonts w:ascii="Arial" w:hAnsi="Arial" w:cs="Arial"/>
          <w:lang w:val="es-ES"/>
        </w:rPr>
        <w:t xml:space="preserve"> a 4,4% del PIB</w:t>
      </w:r>
      <w:r w:rsidR="00A72E1D">
        <w:rPr>
          <w:rFonts w:ascii="Arial" w:hAnsi="Arial" w:cs="Arial"/>
          <w:lang w:val="es-ES"/>
        </w:rPr>
        <w:t xml:space="preserve"> en 2014</w:t>
      </w:r>
      <w:r w:rsidR="007E1916">
        <w:rPr>
          <w:rFonts w:ascii="Arial" w:hAnsi="Arial" w:cs="Arial"/>
          <w:lang w:val="es-ES"/>
        </w:rPr>
        <w:t xml:space="preserve"> </w:t>
      </w:r>
      <w:r w:rsidR="00A72E1D">
        <w:rPr>
          <w:rFonts w:ascii="Arial" w:hAnsi="Arial" w:cs="Arial"/>
          <w:lang w:val="es-ES"/>
        </w:rPr>
        <w:t>(7,9% del PIB en 2013)</w:t>
      </w:r>
      <w:r w:rsidRPr="00A72E1D">
        <w:rPr>
          <w:rFonts w:ascii="Arial" w:hAnsi="Arial" w:cs="Arial"/>
          <w:lang w:val="es-ES"/>
        </w:rPr>
        <w:t>.</w:t>
      </w:r>
      <w:r w:rsidR="00A72E1D">
        <w:rPr>
          <w:rStyle w:val="FootnoteReference"/>
          <w:rFonts w:ascii="Arial" w:hAnsi="Arial" w:cs="Arial"/>
          <w:lang w:val="es-ES"/>
        </w:rPr>
        <w:footnoteReference w:id="2"/>
      </w:r>
    </w:p>
    <w:p w:rsidR="00190DB7" w:rsidRPr="00156A99" w:rsidRDefault="00190DB7" w:rsidP="00190DB7">
      <w:pPr>
        <w:pStyle w:val="ListParagraph"/>
        <w:spacing w:before="120" w:after="120" w:line="240" w:lineRule="auto"/>
        <w:ind w:left="360"/>
        <w:jc w:val="both"/>
        <w:rPr>
          <w:rFonts w:ascii="Arial" w:hAnsi="Arial" w:cs="Arial"/>
          <w:lang w:val="es-ES"/>
        </w:rPr>
      </w:pPr>
    </w:p>
    <w:p w:rsidR="00190DB7" w:rsidRPr="00B10AF3" w:rsidRDefault="00190DB7" w:rsidP="00190DB7">
      <w:pPr>
        <w:pStyle w:val="ListParagraph"/>
        <w:numPr>
          <w:ilvl w:val="1"/>
          <w:numId w:val="5"/>
        </w:numPr>
        <w:spacing w:before="120" w:after="120" w:line="240" w:lineRule="auto"/>
        <w:ind w:left="360" w:hanging="630"/>
        <w:jc w:val="both"/>
        <w:rPr>
          <w:rFonts w:ascii="Arial" w:hAnsi="Arial" w:cs="Arial"/>
          <w:lang w:val="es-ES"/>
        </w:rPr>
      </w:pPr>
      <w:r w:rsidRPr="00B10AF3">
        <w:rPr>
          <w:rFonts w:ascii="Arial" w:hAnsi="Arial" w:cs="Arial"/>
          <w:lang w:val="es-ES"/>
        </w:rPr>
        <w:t xml:space="preserve">Las medidas de ajuste adoptadas por el </w:t>
      </w:r>
      <w:proofErr w:type="spellStart"/>
      <w:r w:rsidRPr="00B10AF3">
        <w:rPr>
          <w:rFonts w:ascii="Arial" w:hAnsi="Arial" w:cs="Arial"/>
          <w:lang w:val="es-ES"/>
        </w:rPr>
        <w:t>GdH</w:t>
      </w:r>
      <w:proofErr w:type="spellEnd"/>
      <w:r w:rsidRPr="00B10AF3">
        <w:rPr>
          <w:rFonts w:ascii="Arial" w:hAnsi="Arial" w:cs="Arial"/>
          <w:lang w:val="es-ES"/>
        </w:rPr>
        <w:t xml:space="preserve"> sentaron las bases para la adopción de un Acuerdo de Derecho de Giro (Stand-</w:t>
      </w:r>
      <w:proofErr w:type="spellStart"/>
      <w:r w:rsidRPr="00B10AF3">
        <w:rPr>
          <w:rFonts w:ascii="Arial" w:hAnsi="Arial" w:cs="Arial"/>
          <w:lang w:val="es-ES"/>
        </w:rPr>
        <w:t>By</w:t>
      </w:r>
      <w:proofErr w:type="spellEnd"/>
      <w:r w:rsidRPr="00B10AF3">
        <w:rPr>
          <w:rFonts w:ascii="Arial" w:hAnsi="Arial" w:cs="Arial"/>
          <w:lang w:val="es-ES"/>
        </w:rPr>
        <w:t>) con el Fondo Monetario Internacional (FMI) en diciembre 2014. El acuerdo de 36 meses con revisión semestral de metas, plantea, en relación a las finanzas públicas, un conjunto de medidas y reformas estructurales, tales como: i) la recuperación financiera de las empresas públicas de electricidad y telefonía; ii) la adopción de un marco legal de seguridad social fiscalmente viable; iii) el fortalecimiento de la administración tributaria y aduanera; iv) la contención del gasto salarial y de transferencias a entes descentralizados; v) el fortalecimiento del marco fiscal y de presupuesto.</w:t>
      </w:r>
      <w:r>
        <w:rPr>
          <w:rStyle w:val="FootnoteReference"/>
          <w:rFonts w:ascii="Arial" w:hAnsi="Arial" w:cs="Arial"/>
          <w:lang w:val="es-ES"/>
        </w:rPr>
        <w:footnoteReference w:id="3"/>
      </w:r>
      <w:r w:rsidRPr="00B10AF3">
        <w:rPr>
          <w:rFonts w:ascii="Arial" w:hAnsi="Arial" w:cs="Arial"/>
          <w:lang w:val="es-ES"/>
        </w:rPr>
        <w:t xml:space="preserve"> </w:t>
      </w:r>
    </w:p>
    <w:p w:rsidR="00190DB7" w:rsidRPr="00F13167" w:rsidRDefault="00190DB7" w:rsidP="00190DB7">
      <w:pPr>
        <w:pStyle w:val="ListParagraph"/>
        <w:spacing w:before="120" w:after="120" w:line="240" w:lineRule="auto"/>
        <w:ind w:left="360"/>
        <w:jc w:val="both"/>
        <w:rPr>
          <w:rFonts w:ascii="Arial" w:hAnsi="Arial" w:cs="Arial"/>
          <w:lang w:val="es-ES"/>
        </w:rPr>
      </w:pPr>
    </w:p>
    <w:p w:rsidR="00190DB7" w:rsidRDefault="00190DB7" w:rsidP="00190DB7">
      <w:pPr>
        <w:pStyle w:val="ListParagraph"/>
        <w:numPr>
          <w:ilvl w:val="1"/>
          <w:numId w:val="5"/>
        </w:numPr>
        <w:spacing w:before="120" w:after="120" w:line="240" w:lineRule="auto"/>
        <w:ind w:left="360" w:hanging="630"/>
        <w:jc w:val="both"/>
        <w:rPr>
          <w:rFonts w:ascii="Arial" w:hAnsi="Arial" w:cs="Arial"/>
          <w:lang w:val="es-ES"/>
        </w:rPr>
      </w:pPr>
      <w:r>
        <w:rPr>
          <w:rFonts w:ascii="Arial" w:hAnsi="Arial" w:cs="Arial"/>
          <w:lang w:val="es-ES"/>
        </w:rPr>
        <w:t xml:space="preserve">En el contexto de las reformas estructurales destinadas a fortalecer el marco fiscal y de presupuesto, el </w:t>
      </w:r>
      <w:proofErr w:type="spellStart"/>
      <w:r>
        <w:rPr>
          <w:rFonts w:ascii="Arial" w:hAnsi="Arial" w:cs="Arial"/>
          <w:lang w:val="es-ES"/>
        </w:rPr>
        <w:t>GdH</w:t>
      </w:r>
      <w:proofErr w:type="spellEnd"/>
      <w:r>
        <w:rPr>
          <w:rFonts w:ascii="Arial" w:hAnsi="Arial" w:cs="Arial"/>
          <w:lang w:val="es-ES"/>
        </w:rPr>
        <w:t xml:space="preserve"> se ha comprometido a implementar progresivamente un Marco Fiscal de Mediano Plazo (MFMP), el cual extiende el horizonte de diseño y </w:t>
      </w:r>
      <w:r>
        <w:rPr>
          <w:rFonts w:ascii="Arial" w:hAnsi="Arial" w:cs="Arial"/>
          <w:lang w:val="es-ES"/>
        </w:rPr>
        <w:lastRenderedPageBreak/>
        <w:t>ejecución de la política fiscal más allá del período presupuestario anual.</w:t>
      </w:r>
      <w:r>
        <w:rPr>
          <w:rStyle w:val="FootnoteReference"/>
          <w:rFonts w:ascii="Arial" w:hAnsi="Arial" w:cs="Arial"/>
          <w:lang w:val="es-ES"/>
        </w:rPr>
        <w:footnoteReference w:id="4"/>
      </w:r>
      <w:r>
        <w:rPr>
          <w:rFonts w:ascii="Arial" w:hAnsi="Arial" w:cs="Arial"/>
          <w:lang w:val="es-ES"/>
        </w:rPr>
        <w:t xml:space="preserve"> Para esto es indispensable</w:t>
      </w:r>
      <w:r w:rsidR="00130C11">
        <w:rPr>
          <w:rFonts w:ascii="Arial" w:hAnsi="Arial" w:cs="Arial"/>
          <w:lang w:val="es-ES"/>
        </w:rPr>
        <w:t>:</w:t>
      </w:r>
      <w:r>
        <w:rPr>
          <w:rFonts w:ascii="Arial" w:hAnsi="Arial" w:cs="Arial"/>
          <w:lang w:val="es-ES"/>
        </w:rPr>
        <w:t xml:space="preserve"> </w:t>
      </w:r>
      <w:r w:rsidR="00130C11">
        <w:rPr>
          <w:rFonts w:ascii="Arial" w:hAnsi="Arial" w:cs="Arial"/>
          <w:lang w:val="es-ES"/>
        </w:rPr>
        <w:t xml:space="preserve">i) fortalecer </w:t>
      </w:r>
      <w:r w:rsidR="00CE6A3D">
        <w:rPr>
          <w:rFonts w:ascii="Arial" w:hAnsi="Arial" w:cs="Arial"/>
          <w:lang w:val="es-ES"/>
        </w:rPr>
        <w:t xml:space="preserve">las </w:t>
      </w:r>
      <w:r w:rsidR="00130C11">
        <w:rPr>
          <w:rFonts w:ascii="Arial" w:hAnsi="Arial" w:cs="Arial"/>
          <w:lang w:val="es-ES"/>
        </w:rPr>
        <w:t>capacidades de análisis macroeconómico, incluyendo la evaluación de contingencias</w:t>
      </w:r>
      <w:r w:rsidR="00CE6A3D">
        <w:rPr>
          <w:rFonts w:ascii="Arial" w:hAnsi="Arial" w:cs="Arial"/>
          <w:lang w:val="es-ES"/>
        </w:rPr>
        <w:t xml:space="preserve"> fiscales</w:t>
      </w:r>
      <w:r w:rsidR="00130C11">
        <w:rPr>
          <w:rFonts w:ascii="Arial" w:hAnsi="Arial" w:cs="Arial"/>
          <w:lang w:val="es-ES"/>
        </w:rPr>
        <w:t>; ii)</w:t>
      </w:r>
      <w:r w:rsidR="00A41A16">
        <w:rPr>
          <w:rFonts w:ascii="Arial" w:hAnsi="Arial" w:cs="Arial"/>
          <w:lang w:val="es-ES"/>
        </w:rPr>
        <w:t xml:space="preserve"> adecuar el marco legal presupuestario vigente; iii) </w:t>
      </w:r>
      <w:r>
        <w:rPr>
          <w:rFonts w:ascii="Arial" w:hAnsi="Arial" w:cs="Arial"/>
          <w:lang w:val="es-ES"/>
        </w:rPr>
        <w:t xml:space="preserve">mejorar la articulación entre la política fiscal y las políticas nacionales y sectoriales de planificación, incluyendo aspectos institucionales y operativos. </w:t>
      </w:r>
    </w:p>
    <w:p w:rsidR="00190DB7" w:rsidRPr="00D7493D" w:rsidRDefault="00190DB7" w:rsidP="00190DB7">
      <w:pPr>
        <w:pStyle w:val="ListParagraph"/>
        <w:rPr>
          <w:rFonts w:ascii="Arial" w:hAnsi="Arial" w:cs="Arial"/>
          <w:lang w:val="es-ES"/>
        </w:rPr>
      </w:pPr>
    </w:p>
    <w:p w:rsidR="00190DB7" w:rsidRPr="00341343" w:rsidRDefault="00190DB7" w:rsidP="00190DB7">
      <w:pPr>
        <w:pStyle w:val="ListParagraph"/>
        <w:numPr>
          <w:ilvl w:val="1"/>
          <w:numId w:val="5"/>
        </w:numPr>
        <w:spacing w:before="120" w:after="120" w:line="240" w:lineRule="auto"/>
        <w:ind w:left="360" w:hanging="630"/>
        <w:jc w:val="both"/>
        <w:rPr>
          <w:rFonts w:ascii="Arial" w:hAnsi="Arial" w:cs="Arial"/>
          <w:lang w:val="es-ES"/>
        </w:rPr>
      </w:pPr>
      <w:r w:rsidRPr="00BE070F">
        <w:rPr>
          <w:rFonts w:ascii="Arial" w:hAnsi="Arial" w:cs="Arial"/>
          <w:b/>
          <w:lang w:val="es-ES"/>
        </w:rPr>
        <w:t>Objetivo.</w:t>
      </w:r>
      <w:r>
        <w:rPr>
          <w:rFonts w:ascii="Arial" w:hAnsi="Arial" w:cs="Arial"/>
          <w:lang w:val="es-ES"/>
        </w:rPr>
        <w:t xml:space="preserve"> La Secretaría de Finanzas (SEFIN) y la Secretaría de Coordinación General de Gobierno (SCGG) han solicitado al Banco una Cooperación Técnica (CT) para llevar a cabo parte de la agenda de reformas estructurales contemplada en la estrategia de consolidación fiscal. El objetivo de esta CT es apoyar la implementación del Marco Fiscal de Mediano Plazo y fortalecer l</w:t>
      </w:r>
      <w:r w:rsidR="00863C61">
        <w:rPr>
          <w:rFonts w:ascii="Arial" w:hAnsi="Arial" w:cs="Arial"/>
          <w:lang w:val="es-ES"/>
        </w:rPr>
        <w:t>as capacidades de planificación</w:t>
      </w:r>
      <w:r>
        <w:rPr>
          <w:rFonts w:ascii="Arial" w:hAnsi="Arial" w:cs="Arial"/>
          <w:lang w:val="es-ES"/>
        </w:rPr>
        <w:t xml:space="preserve"> de la Secretaría de Finanzas y de la Secretaría de Coordinacion General de Gobierno.</w:t>
      </w:r>
    </w:p>
    <w:p w:rsidR="00190DB7" w:rsidRDefault="00190DB7" w:rsidP="00190DB7">
      <w:pPr>
        <w:pStyle w:val="ListParagraph"/>
        <w:spacing w:before="120" w:after="120" w:line="240" w:lineRule="auto"/>
        <w:ind w:left="360"/>
        <w:jc w:val="both"/>
        <w:rPr>
          <w:rFonts w:ascii="Arial" w:hAnsi="Arial" w:cs="Arial"/>
          <w:lang w:val="es-ES"/>
        </w:rPr>
      </w:pPr>
      <w:r>
        <w:rPr>
          <w:rFonts w:ascii="Arial" w:hAnsi="Arial" w:cs="Arial"/>
          <w:lang w:val="es-ES"/>
        </w:rPr>
        <w:t xml:space="preserve">    </w:t>
      </w:r>
    </w:p>
    <w:p w:rsidR="00190DB7" w:rsidRDefault="00190DB7" w:rsidP="00190DB7">
      <w:pPr>
        <w:pStyle w:val="ListParagraph"/>
        <w:numPr>
          <w:ilvl w:val="1"/>
          <w:numId w:val="5"/>
        </w:numPr>
        <w:spacing w:before="120" w:after="120" w:line="240" w:lineRule="auto"/>
        <w:ind w:left="360" w:hanging="630"/>
        <w:jc w:val="both"/>
        <w:rPr>
          <w:rFonts w:ascii="Arial" w:hAnsi="Arial" w:cs="Arial"/>
          <w:lang w:val="es-ES"/>
        </w:rPr>
      </w:pPr>
      <w:r w:rsidRPr="00532C66">
        <w:rPr>
          <w:rFonts w:ascii="Arial" w:hAnsi="Arial" w:cs="Arial"/>
          <w:lang w:val="es-ES"/>
        </w:rPr>
        <w:t>La CT se enmarca en las prioridades del GCI-9, Instituciones para el Crecimiento y el Bienestar Social</w:t>
      </w:r>
      <w:r>
        <w:rPr>
          <w:rFonts w:ascii="Arial" w:hAnsi="Arial" w:cs="Arial"/>
          <w:lang w:val="es-ES"/>
        </w:rPr>
        <w:t xml:space="preserve"> </w:t>
      </w:r>
      <w:r w:rsidRPr="004E5244">
        <w:rPr>
          <w:rFonts w:ascii="Arial" w:hAnsi="Arial" w:cs="Arial"/>
          <w:lang w:val="es-ES"/>
        </w:rPr>
        <w:t>(eficiencia fiscal y sostenibilidad)</w:t>
      </w:r>
      <w:r>
        <w:rPr>
          <w:rFonts w:ascii="Arial" w:hAnsi="Arial" w:cs="Arial"/>
          <w:lang w:val="es-ES"/>
        </w:rPr>
        <w:t>. La operación</w:t>
      </w:r>
      <w:r w:rsidRPr="00532C66">
        <w:rPr>
          <w:rFonts w:ascii="Arial" w:hAnsi="Arial" w:cs="Arial"/>
          <w:lang w:val="es-ES"/>
        </w:rPr>
        <w:t xml:space="preserve"> es consistente con la Estrategia del Banco con Honduras 2015-2018 (GN-2796-1) a través del pilar de consolidación fiscal, cuyas acciones incluyen: i) hacer más eficiente el gasto público, ii) mejorar la gestión del presupuesto por intermedio de la creación de un MFMP</w:t>
      </w:r>
      <w:r w:rsidR="006D2259">
        <w:rPr>
          <w:rFonts w:ascii="Arial" w:hAnsi="Arial" w:cs="Arial"/>
          <w:lang w:val="es-ES"/>
        </w:rPr>
        <w:t xml:space="preserve"> y iii) reducir las contingencias fiscales</w:t>
      </w:r>
      <w:r w:rsidRPr="00532C66">
        <w:rPr>
          <w:rFonts w:ascii="Arial" w:hAnsi="Arial" w:cs="Arial"/>
          <w:lang w:val="es-ES"/>
        </w:rPr>
        <w:t xml:space="preserve">. </w:t>
      </w:r>
      <w:r>
        <w:rPr>
          <w:rFonts w:ascii="Arial" w:hAnsi="Arial" w:cs="Arial"/>
          <w:lang w:val="es-ES"/>
        </w:rPr>
        <w:t>L</w:t>
      </w:r>
      <w:r w:rsidRPr="00532C66">
        <w:rPr>
          <w:rFonts w:ascii="Arial" w:hAnsi="Arial" w:cs="Arial"/>
          <w:lang w:val="es-ES"/>
        </w:rPr>
        <w:t xml:space="preserve">a CT es </w:t>
      </w:r>
      <w:r>
        <w:rPr>
          <w:rFonts w:ascii="Arial" w:hAnsi="Arial" w:cs="Arial"/>
          <w:lang w:val="es-ES"/>
        </w:rPr>
        <w:t xml:space="preserve">igualmente </w:t>
      </w:r>
      <w:r w:rsidRPr="00532C66">
        <w:rPr>
          <w:rFonts w:ascii="Arial" w:hAnsi="Arial" w:cs="Arial"/>
          <w:lang w:val="es-ES"/>
        </w:rPr>
        <w:t>coherente con el Programa de Apoyo a la Consolidación Fiscal (HO-L1103), actualmente en preparación y cuyo objetivo es contribuir a la estabilidad fiscal por medio de medidas de política orientadas al fortalecim</w:t>
      </w:r>
      <w:r>
        <w:rPr>
          <w:rFonts w:ascii="Arial" w:hAnsi="Arial" w:cs="Arial"/>
          <w:lang w:val="es-ES"/>
        </w:rPr>
        <w:t>iento de la gestión macroeconómica</w:t>
      </w:r>
      <w:r w:rsidRPr="00532C66">
        <w:rPr>
          <w:rFonts w:ascii="Arial" w:hAnsi="Arial" w:cs="Arial"/>
          <w:lang w:val="es-ES"/>
        </w:rPr>
        <w:t>, entre otras.</w:t>
      </w:r>
      <w:r>
        <w:rPr>
          <w:rFonts w:ascii="Arial" w:hAnsi="Arial" w:cs="Arial"/>
          <w:lang w:val="es-ES"/>
        </w:rPr>
        <w:t xml:space="preserve"> Asimismo, se articula con el Programa para la Consolidación de la Gestió</w:t>
      </w:r>
      <w:r w:rsidR="00E705BC">
        <w:rPr>
          <w:rFonts w:ascii="Arial" w:hAnsi="Arial" w:cs="Arial"/>
          <w:lang w:val="es-ES"/>
        </w:rPr>
        <w:t>n Fiscal y Municipal (HO-L1015) y con el apoyo provisto a SEFIN para la conformación de la unidad de contingencias fiscales (HO-T1179).</w:t>
      </w:r>
      <w:r>
        <w:rPr>
          <w:rFonts w:ascii="Arial" w:hAnsi="Arial" w:cs="Arial"/>
          <w:lang w:val="es-ES"/>
        </w:rPr>
        <w:t xml:space="preserve"> De igual forma, la CT profundiza el apoyo provisto a la Secretaría de Coordinación General de Gobierno en las áreas de gestión y planificación (HO-T1205)</w:t>
      </w:r>
      <w:r w:rsidR="00E705BC">
        <w:rPr>
          <w:rFonts w:ascii="Arial" w:hAnsi="Arial" w:cs="Arial"/>
          <w:lang w:val="es-ES"/>
        </w:rPr>
        <w:t>.</w:t>
      </w:r>
      <w:r>
        <w:rPr>
          <w:rFonts w:ascii="Arial" w:hAnsi="Arial" w:cs="Arial"/>
          <w:lang w:val="es-ES"/>
        </w:rPr>
        <w:t xml:space="preserve"> Adicionalmente, la CT está alineada con las acciones de fortalecimiento institucional del Plan de la Alianza para la Prosperidad del Triángulo Norte, en particular, respecto al fortalecimiento de la capacidad de los gobiernos de planificar y gestionar el desarrollo; y el desarrollo de herramientas de ejecución, seguimiento y control del gasto público.</w:t>
      </w:r>
    </w:p>
    <w:p w:rsidR="0095711B" w:rsidRPr="00190DB7" w:rsidRDefault="00190DB7" w:rsidP="00190DB7">
      <w:pPr>
        <w:pStyle w:val="ListParagraph"/>
        <w:spacing w:before="120" w:after="120" w:line="240" w:lineRule="auto"/>
        <w:ind w:left="360"/>
        <w:jc w:val="both"/>
        <w:rPr>
          <w:rFonts w:ascii="Arial" w:hAnsi="Arial" w:cs="Arial"/>
          <w:lang w:val="es-ES"/>
        </w:rPr>
      </w:pPr>
      <w:r>
        <w:rPr>
          <w:rFonts w:ascii="Arial" w:hAnsi="Arial" w:cs="Arial"/>
          <w:lang w:val="es-ES"/>
        </w:rPr>
        <w:t xml:space="preserve"> </w:t>
      </w:r>
      <w:r w:rsidR="006C6059" w:rsidRPr="00190DB7">
        <w:rPr>
          <w:rFonts w:ascii="Arial" w:hAnsi="Arial" w:cs="Arial"/>
          <w:lang w:val="es-ES"/>
        </w:rPr>
        <w:t xml:space="preserve">  </w:t>
      </w:r>
    </w:p>
    <w:p w:rsidR="0095711B" w:rsidRPr="00D97FAD" w:rsidRDefault="00394867" w:rsidP="008F4286">
      <w:pPr>
        <w:pStyle w:val="ListParagraph"/>
        <w:numPr>
          <w:ilvl w:val="0"/>
          <w:numId w:val="5"/>
        </w:numPr>
        <w:spacing w:before="120" w:after="120" w:line="240" w:lineRule="auto"/>
        <w:contextualSpacing w:val="0"/>
        <w:rPr>
          <w:rFonts w:ascii="Arial" w:hAnsi="Arial" w:cs="Arial"/>
          <w:b/>
          <w:lang w:val="es-ES"/>
        </w:rPr>
      </w:pPr>
      <w:r>
        <w:rPr>
          <w:rFonts w:ascii="Arial" w:hAnsi="Arial" w:cs="Arial"/>
          <w:b/>
          <w:lang w:val="es-ES"/>
        </w:rPr>
        <w:t>Descripción de</w:t>
      </w:r>
      <w:r w:rsidR="00BD79D8">
        <w:rPr>
          <w:rFonts w:ascii="Arial" w:hAnsi="Arial" w:cs="Arial"/>
          <w:b/>
          <w:lang w:val="es-ES"/>
        </w:rPr>
        <w:t xml:space="preserve"> </w:t>
      </w:r>
      <w:r w:rsidR="00F6363D" w:rsidRPr="00D97FAD">
        <w:rPr>
          <w:rFonts w:ascii="Arial" w:hAnsi="Arial" w:cs="Arial"/>
          <w:b/>
          <w:lang w:val="es-ES"/>
        </w:rPr>
        <w:t>component</w:t>
      </w:r>
      <w:r w:rsidR="00F00960" w:rsidRPr="00D97FAD">
        <w:rPr>
          <w:rFonts w:ascii="Arial" w:hAnsi="Arial" w:cs="Arial"/>
          <w:b/>
          <w:lang w:val="es-ES"/>
        </w:rPr>
        <w:t>e</w:t>
      </w:r>
      <w:r w:rsidR="00F6363D" w:rsidRPr="00D97FAD">
        <w:rPr>
          <w:rFonts w:ascii="Arial" w:hAnsi="Arial" w:cs="Arial"/>
          <w:b/>
          <w:lang w:val="es-ES"/>
        </w:rPr>
        <w:t>s</w:t>
      </w:r>
      <w:r w:rsidR="009C5C06" w:rsidRPr="00D97FAD">
        <w:rPr>
          <w:rFonts w:ascii="Arial" w:hAnsi="Arial" w:cs="Arial"/>
          <w:b/>
          <w:lang w:val="es-ES"/>
        </w:rPr>
        <w:t xml:space="preserve"> </w:t>
      </w:r>
      <w:r w:rsidR="00BD79D8">
        <w:rPr>
          <w:rFonts w:ascii="Arial" w:hAnsi="Arial" w:cs="Arial"/>
          <w:b/>
          <w:lang w:val="es-ES"/>
        </w:rPr>
        <w:t xml:space="preserve">actividades </w:t>
      </w:r>
      <w:r w:rsidR="00F00960" w:rsidRPr="00D97FAD">
        <w:rPr>
          <w:rFonts w:ascii="Arial" w:hAnsi="Arial" w:cs="Arial"/>
          <w:b/>
          <w:lang w:val="es-ES"/>
        </w:rPr>
        <w:t xml:space="preserve">y presupuesto </w:t>
      </w:r>
    </w:p>
    <w:p w:rsidR="006D2259" w:rsidRDefault="006D2259" w:rsidP="006D2259">
      <w:pPr>
        <w:pStyle w:val="ListParagraph"/>
        <w:numPr>
          <w:ilvl w:val="1"/>
          <w:numId w:val="5"/>
        </w:numPr>
        <w:spacing w:after="0" w:line="240" w:lineRule="auto"/>
        <w:ind w:left="360" w:hanging="630"/>
        <w:contextualSpacing w:val="0"/>
        <w:jc w:val="both"/>
        <w:rPr>
          <w:rFonts w:ascii="Arial" w:hAnsi="Arial" w:cs="Arial"/>
          <w:lang w:val="es-ES"/>
        </w:rPr>
      </w:pPr>
      <w:r w:rsidRPr="00136702">
        <w:rPr>
          <w:rFonts w:ascii="Arial" w:hAnsi="Arial" w:cs="Arial"/>
          <w:b/>
          <w:lang w:val="es-ES"/>
        </w:rPr>
        <w:t>Componente 1. Apoyo a la implementación del Mar</w:t>
      </w:r>
      <w:r w:rsidR="00B809A4">
        <w:rPr>
          <w:rFonts w:ascii="Arial" w:hAnsi="Arial" w:cs="Arial"/>
          <w:b/>
          <w:lang w:val="es-ES"/>
        </w:rPr>
        <w:t>co Fiscal de Mediano Plazo (US$4</w:t>
      </w:r>
      <w:r w:rsidR="003F213D">
        <w:rPr>
          <w:rFonts w:ascii="Arial" w:hAnsi="Arial" w:cs="Arial"/>
          <w:b/>
          <w:lang w:val="es-ES"/>
        </w:rPr>
        <w:t>50.</w:t>
      </w:r>
      <w:r>
        <w:rPr>
          <w:rFonts w:ascii="Arial" w:hAnsi="Arial" w:cs="Arial"/>
          <w:b/>
          <w:lang w:val="es-ES"/>
        </w:rPr>
        <w:t>0</w:t>
      </w:r>
      <w:r w:rsidR="003F213D">
        <w:rPr>
          <w:rFonts w:ascii="Arial" w:hAnsi="Arial" w:cs="Arial"/>
          <w:b/>
          <w:lang w:val="es-ES"/>
        </w:rPr>
        <w:t>00</w:t>
      </w:r>
      <w:r w:rsidRPr="00136702">
        <w:rPr>
          <w:rFonts w:ascii="Arial" w:hAnsi="Arial" w:cs="Arial"/>
          <w:b/>
          <w:lang w:val="es-ES"/>
        </w:rPr>
        <w:t>).</w:t>
      </w:r>
      <w:r>
        <w:rPr>
          <w:rFonts w:ascii="Arial" w:hAnsi="Arial" w:cs="Arial"/>
          <w:lang w:val="es-ES"/>
        </w:rPr>
        <w:t xml:space="preserve"> El objetivo de este componente es apoyar el fortalecimiento de las capacidades técnicas, operativas e institucionales necesarias </w:t>
      </w:r>
      <w:r w:rsidR="00130C11">
        <w:rPr>
          <w:rFonts w:ascii="Arial" w:hAnsi="Arial" w:cs="Arial"/>
          <w:lang w:val="es-ES"/>
        </w:rPr>
        <w:t xml:space="preserve">para la implementación del MFMP, particularmente en lo que respecta: i) el análisis macro-fiscal; ii) el marco regulatorio de la política de endeudamiento; iii) la evaluación de contingencias fiscales.  </w:t>
      </w:r>
      <w:r>
        <w:rPr>
          <w:rFonts w:ascii="Arial" w:hAnsi="Arial" w:cs="Arial"/>
          <w:lang w:val="es-ES"/>
        </w:rPr>
        <w:t xml:space="preserve"> </w:t>
      </w:r>
    </w:p>
    <w:p w:rsidR="006D2259" w:rsidRDefault="006D2259" w:rsidP="006D2259">
      <w:pPr>
        <w:pStyle w:val="ListParagraph"/>
        <w:spacing w:after="0" w:line="240" w:lineRule="auto"/>
        <w:ind w:left="360"/>
        <w:contextualSpacing w:val="0"/>
        <w:jc w:val="both"/>
        <w:rPr>
          <w:rFonts w:ascii="Arial" w:hAnsi="Arial" w:cs="Arial"/>
          <w:lang w:val="es-ES"/>
        </w:rPr>
      </w:pPr>
    </w:p>
    <w:p w:rsidR="006D2259" w:rsidRPr="008C3BB3" w:rsidRDefault="006D2259" w:rsidP="00D1042B">
      <w:pPr>
        <w:pStyle w:val="ListParagraph"/>
        <w:numPr>
          <w:ilvl w:val="1"/>
          <w:numId w:val="5"/>
        </w:numPr>
        <w:spacing w:after="0" w:line="240" w:lineRule="auto"/>
        <w:ind w:left="360" w:hanging="630"/>
        <w:contextualSpacing w:val="0"/>
        <w:jc w:val="both"/>
        <w:rPr>
          <w:rFonts w:ascii="Arial" w:hAnsi="Arial" w:cs="Arial"/>
          <w:lang w:val="es-ES"/>
        </w:rPr>
      </w:pPr>
      <w:r w:rsidRPr="008C3BB3">
        <w:rPr>
          <w:rFonts w:ascii="Arial" w:hAnsi="Arial" w:cs="Arial"/>
          <w:lang w:val="es-ES"/>
        </w:rPr>
        <w:lastRenderedPageBreak/>
        <w:t xml:space="preserve">Este componente financiará: i) asistencia técnica orientada a consolidar el desarrollo de modelos cuantitativos para la realización de proyecciones macroeconómicas, análisis de consistencia, y medición del impacto de la política fiscal; ii) </w:t>
      </w:r>
      <w:r w:rsidR="00CE6A3D" w:rsidRPr="008C3BB3">
        <w:rPr>
          <w:rFonts w:ascii="Arial" w:hAnsi="Arial" w:cs="Arial"/>
          <w:lang w:val="es-ES"/>
        </w:rPr>
        <w:t>asistencia técnica para apoyar la implementación de reformas sectoriales enmarcadas en el programa de consolidación fiscal</w:t>
      </w:r>
      <w:r w:rsidR="00EF54C3">
        <w:rPr>
          <w:rFonts w:ascii="Arial" w:hAnsi="Arial" w:cs="Arial"/>
          <w:lang w:val="es-ES"/>
        </w:rPr>
        <w:t>, la cual incluiría apoyo al fortalecimiento financiero de la Empresa Nacional de Energía Eléctrica y a la socialización de la Ley de Responsabilidad y Transparencia fiscal</w:t>
      </w:r>
      <w:r w:rsidR="00CE6A3D" w:rsidRPr="008C3BB3">
        <w:rPr>
          <w:rFonts w:ascii="Arial" w:hAnsi="Arial" w:cs="Arial"/>
          <w:lang w:val="es-ES"/>
        </w:rPr>
        <w:t xml:space="preserve">; </w:t>
      </w:r>
      <w:r w:rsidRPr="008C3BB3">
        <w:rPr>
          <w:rFonts w:ascii="Arial" w:hAnsi="Arial" w:cs="Arial"/>
          <w:lang w:val="es-ES"/>
        </w:rPr>
        <w:t xml:space="preserve">iii) </w:t>
      </w:r>
      <w:r w:rsidR="00CE6A3D" w:rsidRPr="008C3BB3">
        <w:rPr>
          <w:rFonts w:ascii="Arial" w:hAnsi="Arial" w:cs="Arial"/>
          <w:lang w:val="es-ES"/>
        </w:rPr>
        <w:t>asistencia técnica para desarrollar propuesta de modificación de</w:t>
      </w:r>
      <w:r w:rsidR="00CE6A3D">
        <w:rPr>
          <w:rFonts w:ascii="Arial" w:hAnsi="Arial" w:cs="Arial"/>
          <w:lang w:val="es-ES"/>
        </w:rPr>
        <w:t>l</w:t>
      </w:r>
      <w:r w:rsidR="00CE6A3D" w:rsidRPr="008C3BB3">
        <w:rPr>
          <w:rFonts w:ascii="Arial" w:hAnsi="Arial" w:cs="Arial"/>
          <w:lang w:val="es-ES"/>
        </w:rPr>
        <w:t xml:space="preserve"> marco legal de política de endeudamiento (propósito del endeudamiento, normativa para elaboración de política y estrategia de endeudamiento, entre otros);</w:t>
      </w:r>
      <w:r w:rsidR="00CE6A3D">
        <w:rPr>
          <w:rFonts w:ascii="Arial" w:hAnsi="Arial" w:cs="Arial"/>
          <w:lang w:val="es-ES"/>
        </w:rPr>
        <w:t xml:space="preserve"> iv) </w:t>
      </w:r>
      <w:r w:rsidR="00255E47" w:rsidRPr="008C3BB3">
        <w:rPr>
          <w:rFonts w:ascii="Arial" w:hAnsi="Arial" w:cs="Arial"/>
          <w:lang w:val="es-ES"/>
        </w:rPr>
        <w:t>asistencia técnica para desarrollar reglamentación de emisión de gar</w:t>
      </w:r>
      <w:r w:rsidR="00CE6A3D">
        <w:rPr>
          <w:rFonts w:ascii="Arial" w:hAnsi="Arial" w:cs="Arial"/>
          <w:lang w:val="es-ES"/>
        </w:rPr>
        <w:t>antías del gobierno central;</w:t>
      </w:r>
      <w:r w:rsidR="00255E47" w:rsidRPr="008C3BB3">
        <w:rPr>
          <w:rFonts w:ascii="Arial" w:hAnsi="Arial" w:cs="Arial"/>
          <w:lang w:val="es-ES"/>
        </w:rPr>
        <w:t xml:space="preserve"> v) asistencia técnica para la identificación y cuantificación de contingencias fiscales (incluye </w:t>
      </w:r>
      <w:r w:rsidR="008C3BB3" w:rsidRPr="008C3BB3">
        <w:rPr>
          <w:rFonts w:ascii="Arial" w:hAnsi="Arial" w:cs="Arial"/>
          <w:lang w:val="es-ES"/>
        </w:rPr>
        <w:t>el impacto de eventos climatológicos y el de asociaciones p</w:t>
      </w:r>
      <w:r w:rsidR="008C3BB3">
        <w:rPr>
          <w:rFonts w:ascii="Arial" w:hAnsi="Arial" w:cs="Arial"/>
          <w:lang w:val="es-ES"/>
        </w:rPr>
        <w:t>úblico privadas en</w:t>
      </w:r>
      <w:r w:rsidR="008C3BB3" w:rsidRPr="008C3BB3">
        <w:rPr>
          <w:rFonts w:ascii="Arial" w:hAnsi="Arial" w:cs="Arial"/>
          <w:lang w:val="es-ES"/>
        </w:rPr>
        <w:t xml:space="preserve"> empresas públicas, entre otros</w:t>
      </w:r>
      <w:r w:rsidR="00255E47" w:rsidRPr="008C3BB3">
        <w:rPr>
          <w:rFonts w:ascii="Arial" w:hAnsi="Arial" w:cs="Arial"/>
          <w:lang w:val="es-ES"/>
        </w:rPr>
        <w:t>)</w:t>
      </w:r>
      <w:r w:rsidR="008C3BB3" w:rsidRPr="008C3BB3">
        <w:rPr>
          <w:rFonts w:ascii="Arial" w:hAnsi="Arial" w:cs="Arial"/>
          <w:lang w:val="es-ES"/>
        </w:rPr>
        <w:t>;</w:t>
      </w:r>
      <w:r w:rsidR="00D1042B">
        <w:rPr>
          <w:rFonts w:ascii="Arial" w:hAnsi="Arial" w:cs="Arial"/>
          <w:lang w:val="es-ES"/>
        </w:rPr>
        <w:t xml:space="preserve"> vi) asistencia técnica para desarrollar propuesta de marco de coordinación institucional </w:t>
      </w:r>
      <w:r w:rsidR="00D1042B" w:rsidRPr="00D1042B">
        <w:rPr>
          <w:rFonts w:ascii="Arial" w:hAnsi="Arial" w:cs="Arial"/>
          <w:lang w:val="es-ES"/>
        </w:rPr>
        <w:t>entre direcciones responsables del registro, análisis y cuantificación de contingencias fiscales</w:t>
      </w:r>
      <w:r w:rsidR="00D1042B">
        <w:rPr>
          <w:rFonts w:ascii="Arial" w:hAnsi="Arial" w:cs="Arial"/>
          <w:lang w:val="es-ES"/>
        </w:rPr>
        <w:t>;</w:t>
      </w:r>
      <w:r w:rsidR="00D1042B" w:rsidRPr="00D1042B">
        <w:rPr>
          <w:rFonts w:ascii="Arial" w:hAnsi="Arial" w:cs="Arial"/>
          <w:lang w:val="es-ES"/>
        </w:rPr>
        <w:t xml:space="preserve"> </w:t>
      </w:r>
      <w:r w:rsidRPr="008C3BB3">
        <w:rPr>
          <w:rFonts w:ascii="Arial" w:hAnsi="Arial" w:cs="Arial"/>
          <w:lang w:val="es-ES"/>
        </w:rPr>
        <w:t>v</w:t>
      </w:r>
      <w:r w:rsidR="008C3BB3">
        <w:rPr>
          <w:rFonts w:ascii="Arial" w:hAnsi="Arial" w:cs="Arial"/>
          <w:lang w:val="es-ES"/>
        </w:rPr>
        <w:t>i</w:t>
      </w:r>
      <w:r w:rsidR="00D1042B">
        <w:rPr>
          <w:rFonts w:ascii="Arial" w:hAnsi="Arial" w:cs="Arial"/>
          <w:lang w:val="es-ES"/>
        </w:rPr>
        <w:t>i</w:t>
      </w:r>
      <w:r w:rsidRPr="008C3BB3">
        <w:rPr>
          <w:rFonts w:ascii="Arial" w:hAnsi="Arial" w:cs="Arial"/>
          <w:lang w:val="es-ES"/>
        </w:rPr>
        <w:t>) implementación de un programa de capacitación en análisis macroeconómico y de sostenibilidad de la deuda (incluyendo análisis de derivados financieros).</w:t>
      </w:r>
      <w:r w:rsidRPr="008C3BB3">
        <w:rPr>
          <w:lang w:val="es-ES"/>
        </w:rPr>
        <w:t xml:space="preserve"> </w:t>
      </w:r>
      <w:r w:rsidRPr="008C3BB3">
        <w:rPr>
          <w:rFonts w:ascii="Arial" w:hAnsi="Arial" w:cs="Arial"/>
          <w:lang w:val="es-ES"/>
        </w:rPr>
        <w:t>Se prevé la contrataci</w:t>
      </w:r>
      <w:r w:rsidR="00BD79D8" w:rsidRPr="008C3BB3">
        <w:rPr>
          <w:rFonts w:ascii="Arial" w:hAnsi="Arial" w:cs="Arial"/>
          <w:lang w:val="es-ES"/>
        </w:rPr>
        <w:t>ón de consultorías individuales y de</w:t>
      </w:r>
      <w:r w:rsidRPr="008C3BB3">
        <w:rPr>
          <w:rFonts w:ascii="Arial" w:hAnsi="Arial" w:cs="Arial"/>
          <w:lang w:val="es-ES"/>
        </w:rPr>
        <w:t xml:space="preserve"> servicios de capacitación</w:t>
      </w:r>
      <w:r w:rsidR="00255E47" w:rsidRPr="008C3BB3">
        <w:rPr>
          <w:rFonts w:ascii="Arial" w:hAnsi="Arial" w:cs="Arial"/>
          <w:lang w:val="es-ES"/>
        </w:rPr>
        <w:t>.</w:t>
      </w:r>
      <w:r w:rsidRPr="008C3BB3">
        <w:rPr>
          <w:rFonts w:ascii="Arial" w:hAnsi="Arial" w:cs="Arial"/>
          <w:lang w:val="es-ES"/>
        </w:rPr>
        <w:t xml:space="preserve"> </w:t>
      </w:r>
    </w:p>
    <w:p w:rsidR="006D2259" w:rsidRDefault="006D2259" w:rsidP="006D2259">
      <w:pPr>
        <w:pStyle w:val="ListParagraph"/>
        <w:spacing w:after="0" w:line="240" w:lineRule="auto"/>
        <w:ind w:left="360"/>
        <w:contextualSpacing w:val="0"/>
        <w:jc w:val="both"/>
        <w:rPr>
          <w:rFonts w:ascii="Arial" w:hAnsi="Arial" w:cs="Arial"/>
          <w:lang w:val="es-ES"/>
        </w:rPr>
      </w:pPr>
    </w:p>
    <w:p w:rsidR="006D2259" w:rsidRDefault="006D2259" w:rsidP="006D2259">
      <w:pPr>
        <w:pStyle w:val="ListParagraph"/>
        <w:numPr>
          <w:ilvl w:val="1"/>
          <w:numId w:val="5"/>
        </w:numPr>
        <w:spacing w:after="0" w:line="240" w:lineRule="auto"/>
        <w:ind w:left="360" w:hanging="630"/>
        <w:contextualSpacing w:val="0"/>
        <w:jc w:val="both"/>
        <w:rPr>
          <w:rFonts w:ascii="Arial" w:hAnsi="Arial" w:cs="Arial"/>
          <w:lang w:val="es-ES"/>
        </w:rPr>
      </w:pPr>
      <w:r w:rsidRPr="008313FA">
        <w:rPr>
          <w:rFonts w:ascii="Arial" w:hAnsi="Arial" w:cs="Arial"/>
          <w:b/>
          <w:lang w:val="es-ES"/>
        </w:rPr>
        <w:t xml:space="preserve">Componente 2. Apoyo a la consolidación del sistema </w:t>
      </w:r>
      <w:r>
        <w:rPr>
          <w:rFonts w:ascii="Arial" w:hAnsi="Arial" w:cs="Arial"/>
          <w:b/>
          <w:lang w:val="es-ES"/>
        </w:rPr>
        <w:t xml:space="preserve">nacional </w:t>
      </w:r>
      <w:r w:rsidR="00B809A4">
        <w:rPr>
          <w:rFonts w:ascii="Arial" w:hAnsi="Arial" w:cs="Arial"/>
          <w:b/>
          <w:lang w:val="es-ES"/>
        </w:rPr>
        <w:t>de planificación (US$2</w:t>
      </w:r>
      <w:r w:rsidR="003F213D">
        <w:rPr>
          <w:rFonts w:ascii="Arial" w:hAnsi="Arial" w:cs="Arial"/>
          <w:b/>
          <w:lang w:val="es-ES"/>
        </w:rPr>
        <w:t>15</w:t>
      </w:r>
      <w:r w:rsidRPr="008313FA">
        <w:rPr>
          <w:rFonts w:ascii="Arial" w:hAnsi="Arial" w:cs="Arial"/>
          <w:b/>
          <w:lang w:val="es-ES"/>
        </w:rPr>
        <w:t>.000).</w:t>
      </w:r>
      <w:r>
        <w:rPr>
          <w:rFonts w:ascii="Arial" w:hAnsi="Arial" w:cs="Arial"/>
          <w:lang w:val="es-ES"/>
        </w:rPr>
        <w:t xml:space="preserve"> El objetivo de este componente es apoyar la articulación, en términos operativos e institucionales,</w:t>
      </w:r>
      <w:r w:rsidRPr="00466FD0">
        <w:rPr>
          <w:rFonts w:ascii="Arial" w:hAnsi="Arial" w:cs="Arial"/>
          <w:lang w:val="es-ES"/>
        </w:rPr>
        <w:t xml:space="preserve"> </w:t>
      </w:r>
      <w:r>
        <w:rPr>
          <w:rFonts w:ascii="Arial" w:hAnsi="Arial" w:cs="Arial"/>
          <w:lang w:val="es-ES"/>
        </w:rPr>
        <w:t>d</w:t>
      </w:r>
      <w:r w:rsidRPr="00466FD0">
        <w:rPr>
          <w:rFonts w:ascii="Arial" w:hAnsi="Arial" w:cs="Arial"/>
          <w:lang w:val="es-ES"/>
        </w:rPr>
        <w:t>el sistema nacional de planificaci</w:t>
      </w:r>
      <w:r>
        <w:rPr>
          <w:rFonts w:ascii="Arial" w:hAnsi="Arial" w:cs="Arial"/>
          <w:lang w:val="es-ES"/>
        </w:rPr>
        <w:t>ón con los planes nacionales</w:t>
      </w:r>
      <w:r w:rsidRPr="00466FD0">
        <w:rPr>
          <w:rFonts w:ascii="Arial" w:hAnsi="Arial" w:cs="Arial"/>
          <w:lang w:val="es-ES"/>
        </w:rPr>
        <w:t xml:space="preserve"> de desarrollo</w:t>
      </w:r>
      <w:r>
        <w:rPr>
          <w:rFonts w:ascii="Arial" w:hAnsi="Arial" w:cs="Arial"/>
          <w:lang w:val="es-ES"/>
        </w:rPr>
        <w:t>, el proceso presupuestario y el MFMP.</w:t>
      </w:r>
    </w:p>
    <w:p w:rsidR="005C2C19" w:rsidRDefault="005C2C19" w:rsidP="005C2C19">
      <w:pPr>
        <w:pStyle w:val="ListParagraph"/>
        <w:spacing w:after="0" w:line="240" w:lineRule="auto"/>
        <w:ind w:left="360"/>
        <w:contextualSpacing w:val="0"/>
        <w:jc w:val="both"/>
        <w:rPr>
          <w:rFonts w:ascii="Arial" w:hAnsi="Arial" w:cs="Arial"/>
          <w:lang w:val="es-ES"/>
        </w:rPr>
      </w:pPr>
    </w:p>
    <w:p w:rsidR="005C2C19" w:rsidRDefault="005C2C19" w:rsidP="005C2C19">
      <w:pPr>
        <w:pStyle w:val="ListParagraph"/>
        <w:numPr>
          <w:ilvl w:val="1"/>
          <w:numId w:val="5"/>
        </w:numPr>
        <w:spacing w:after="0" w:line="240" w:lineRule="auto"/>
        <w:ind w:left="360" w:hanging="630"/>
        <w:contextualSpacing w:val="0"/>
        <w:jc w:val="both"/>
        <w:rPr>
          <w:rFonts w:ascii="Arial" w:hAnsi="Arial" w:cs="Arial"/>
          <w:lang w:val="es-ES"/>
        </w:rPr>
      </w:pPr>
      <w:r w:rsidRPr="000A7E1E">
        <w:rPr>
          <w:rFonts w:ascii="Arial" w:hAnsi="Arial" w:cs="Arial"/>
          <w:lang w:val="es-ES"/>
        </w:rPr>
        <w:t>Este componente financiará las siguientes actividades: i) asistencia técnica para alinear la producción de bienes y servicios de las instituciones del sector público con las prioridades de gobierno; ii) asistencia técnica para definir criterios de formulación de proyectos de inversión pública coherentes con metas de desarrollo, presupuesto</w:t>
      </w:r>
      <w:r w:rsidR="00D400BC">
        <w:rPr>
          <w:rFonts w:ascii="Arial" w:hAnsi="Arial" w:cs="Arial"/>
          <w:lang w:val="es-ES"/>
        </w:rPr>
        <w:t>, marco de gasto de mediano plazo</w:t>
      </w:r>
      <w:r w:rsidRPr="000A7E1E">
        <w:rPr>
          <w:rFonts w:ascii="Arial" w:hAnsi="Arial" w:cs="Arial"/>
          <w:lang w:val="es-ES"/>
        </w:rPr>
        <w:t xml:space="preserve"> y MFMP; iii) asistencia técnica para fortalecer vinculación entre planificación, presupuesto</w:t>
      </w:r>
      <w:r w:rsidR="00D400BC">
        <w:rPr>
          <w:rFonts w:ascii="Arial" w:hAnsi="Arial" w:cs="Arial"/>
          <w:lang w:val="es-ES"/>
        </w:rPr>
        <w:t>, marco de gasto de mediano plazo</w:t>
      </w:r>
      <w:r w:rsidRPr="000A7E1E">
        <w:rPr>
          <w:rFonts w:ascii="Arial" w:hAnsi="Arial" w:cs="Arial"/>
          <w:lang w:val="es-ES"/>
        </w:rPr>
        <w:t xml:space="preserve"> y metas macroeconómicas establecidas en MFMP</w:t>
      </w:r>
      <w:r>
        <w:rPr>
          <w:rFonts w:ascii="Arial" w:hAnsi="Arial" w:cs="Arial"/>
          <w:lang w:val="es-ES"/>
        </w:rPr>
        <w:t xml:space="preserve"> a nivel de</w:t>
      </w:r>
      <w:r w:rsidRPr="000A7E1E">
        <w:rPr>
          <w:rFonts w:ascii="Arial" w:hAnsi="Arial" w:cs="Arial"/>
          <w:lang w:val="es-ES"/>
        </w:rPr>
        <w:t xml:space="preserve"> gabinetes</w:t>
      </w:r>
      <w:r>
        <w:rPr>
          <w:rFonts w:ascii="Arial" w:hAnsi="Arial" w:cs="Arial"/>
          <w:lang w:val="es-ES"/>
        </w:rPr>
        <w:t xml:space="preserve"> sectoriales</w:t>
      </w:r>
      <w:r w:rsidRPr="000A7E1E">
        <w:rPr>
          <w:rFonts w:ascii="Arial" w:hAnsi="Arial" w:cs="Arial"/>
          <w:lang w:val="es-ES"/>
        </w:rPr>
        <w:t xml:space="preserve"> </w:t>
      </w:r>
      <w:r>
        <w:rPr>
          <w:rFonts w:ascii="Arial" w:hAnsi="Arial" w:cs="Arial"/>
          <w:lang w:val="es-ES"/>
        </w:rPr>
        <w:t xml:space="preserve">priorizados </w:t>
      </w:r>
      <w:r w:rsidRPr="000A7E1E">
        <w:rPr>
          <w:rFonts w:ascii="Arial" w:hAnsi="Arial" w:cs="Arial"/>
          <w:lang w:val="es-ES"/>
        </w:rPr>
        <w:t>(Desarrollo Económico</w:t>
      </w:r>
      <w:r w:rsidR="00022D4A">
        <w:rPr>
          <w:rFonts w:ascii="Arial" w:hAnsi="Arial" w:cs="Arial"/>
          <w:lang w:val="es-ES"/>
        </w:rPr>
        <w:t xml:space="preserve"> con énfasis en infraestructura productiva</w:t>
      </w:r>
      <w:r w:rsidRPr="000A7E1E">
        <w:rPr>
          <w:rFonts w:ascii="Arial" w:hAnsi="Arial" w:cs="Arial"/>
          <w:lang w:val="es-ES"/>
        </w:rPr>
        <w:t>); iv) capacitaciones en temas presupuestarios y de planificación. Se prevé la contrataci</w:t>
      </w:r>
      <w:r>
        <w:rPr>
          <w:rFonts w:ascii="Arial" w:hAnsi="Arial" w:cs="Arial"/>
          <w:lang w:val="es-ES"/>
        </w:rPr>
        <w:t>ón de consultorías individuales y de</w:t>
      </w:r>
      <w:r w:rsidRPr="000A7E1E">
        <w:rPr>
          <w:rFonts w:ascii="Arial" w:hAnsi="Arial" w:cs="Arial"/>
          <w:lang w:val="es-ES"/>
        </w:rPr>
        <w:t xml:space="preserve"> servicios de capacitación.   </w:t>
      </w:r>
    </w:p>
    <w:p w:rsidR="005C2C19" w:rsidRDefault="005C2C19" w:rsidP="005C2C19">
      <w:pPr>
        <w:pStyle w:val="Default"/>
      </w:pPr>
    </w:p>
    <w:p w:rsidR="00D03FA0" w:rsidRPr="00AD6EBC" w:rsidRDefault="005C2C19" w:rsidP="005C2C19">
      <w:pPr>
        <w:pStyle w:val="ListParagraph"/>
        <w:numPr>
          <w:ilvl w:val="1"/>
          <w:numId w:val="5"/>
        </w:numPr>
        <w:spacing w:after="0" w:line="240" w:lineRule="auto"/>
        <w:ind w:left="360" w:hanging="630"/>
        <w:contextualSpacing w:val="0"/>
        <w:jc w:val="both"/>
        <w:rPr>
          <w:rFonts w:ascii="Arial" w:hAnsi="Arial" w:cs="Arial"/>
          <w:sz w:val="23"/>
          <w:szCs w:val="23"/>
          <w:lang w:val="es-ES"/>
        </w:rPr>
      </w:pPr>
      <w:r>
        <w:rPr>
          <w:rFonts w:ascii="Arial" w:hAnsi="Arial" w:cs="Arial"/>
          <w:b/>
          <w:lang w:val="es-ES"/>
        </w:rPr>
        <w:t>Componente 3. Talleres, logística y d</w:t>
      </w:r>
      <w:r w:rsidR="003F213D">
        <w:rPr>
          <w:rFonts w:ascii="Arial" w:hAnsi="Arial" w:cs="Arial"/>
          <w:b/>
          <w:lang w:val="es-ES"/>
        </w:rPr>
        <w:t>ivulgación. (US$25</w:t>
      </w:r>
      <w:r w:rsidRPr="008176B2">
        <w:rPr>
          <w:rFonts w:ascii="Arial" w:hAnsi="Arial" w:cs="Arial"/>
          <w:b/>
          <w:lang w:val="es-ES"/>
        </w:rPr>
        <w:t>.000)</w:t>
      </w:r>
      <w:r w:rsidRPr="008176B2">
        <w:rPr>
          <w:rFonts w:ascii="Arial" w:hAnsi="Arial" w:cs="Arial"/>
          <w:lang w:val="es-ES"/>
        </w:rPr>
        <w:t>. Este componente</w:t>
      </w:r>
      <w:r w:rsidRPr="008176B2">
        <w:rPr>
          <w:rFonts w:ascii="Arial" w:hAnsi="Arial" w:cs="Arial"/>
          <w:sz w:val="23"/>
          <w:szCs w:val="23"/>
          <w:lang w:val="es-ES_tradnl"/>
        </w:rPr>
        <w:t xml:space="preserve"> se centra en actividades relacionadas con los aspectos logísticos y de divulgación </w:t>
      </w:r>
      <w:r>
        <w:rPr>
          <w:rFonts w:ascii="Arial" w:hAnsi="Arial" w:cs="Arial"/>
          <w:sz w:val="23"/>
          <w:szCs w:val="23"/>
          <w:lang w:val="es-ES_tradnl"/>
        </w:rPr>
        <w:t>d</w:t>
      </w:r>
      <w:r w:rsidRPr="008176B2">
        <w:rPr>
          <w:rFonts w:ascii="Arial" w:hAnsi="Arial" w:cs="Arial"/>
          <w:sz w:val="23"/>
          <w:szCs w:val="23"/>
          <w:lang w:val="es-ES_tradnl"/>
        </w:rPr>
        <w:t xml:space="preserve">e </w:t>
      </w:r>
      <w:r w:rsidR="00BA2D6A">
        <w:rPr>
          <w:rFonts w:ascii="Arial" w:hAnsi="Arial" w:cs="Arial"/>
          <w:sz w:val="23"/>
          <w:szCs w:val="23"/>
          <w:lang w:val="es-ES_tradnl"/>
        </w:rPr>
        <w:t>resultados asociados a la implementación del MFMP</w:t>
      </w:r>
      <w:r w:rsidRPr="008176B2">
        <w:rPr>
          <w:rFonts w:ascii="Arial" w:hAnsi="Arial" w:cs="Arial"/>
          <w:sz w:val="23"/>
          <w:szCs w:val="23"/>
          <w:lang w:val="es-ES_tradnl"/>
        </w:rPr>
        <w:t>, incluye talleres de di</w:t>
      </w:r>
      <w:r>
        <w:rPr>
          <w:rFonts w:ascii="Arial" w:hAnsi="Arial" w:cs="Arial"/>
          <w:sz w:val="23"/>
          <w:szCs w:val="23"/>
          <w:lang w:val="es-ES_tradnl"/>
        </w:rPr>
        <w:t>á</w:t>
      </w:r>
      <w:r w:rsidRPr="008176B2">
        <w:rPr>
          <w:rFonts w:ascii="Arial" w:hAnsi="Arial" w:cs="Arial"/>
          <w:sz w:val="23"/>
          <w:szCs w:val="23"/>
          <w:lang w:val="es-ES_tradnl"/>
        </w:rPr>
        <w:t>logo, validaci</w:t>
      </w:r>
      <w:r>
        <w:rPr>
          <w:rFonts w:ascii="Arial" w:hAnsi="Arial" w:cs="Arial"/>
          <w:sz w:val="23"/>
          <w:szCs w:val="23"/>
          <w:lang w:val="es-ES_tradnl"/>
        </w:rPr>
        <w:t>ó</w:t>
      </w:r>
      <w:r w:rsidRPr="008176B2">
        <w:rPr>
          <w:rFonts w:ascii="Arial" w:hAnsi="Arial" w:cs="Arial"/>
          <w:sz w:val="23"/>
          <w:szCs w:val="23"/>
          <w:lang w:val="es-ES_tradnl"/>
        </w:rPr>
        <w:t xml:space="preserve">n y consenso entre los actores </w:t>
      </w:r>
      <w:r>
        <w:rPr>
          <w:rFonts w:ascii="Arial" w:hAnsi="Arial" w:cs="Arial"/>
          <w:sz w:val="23"/>
          <w:szCs w:val="23"/>
          <w:lang w:val="es-ES_tradnl"/>
        </w:rPr>
        <w:t xml:space="preserve">participantes </w:t>
      </w:r>
      <w:r w:rsidRPr="008176B2">
        <w:rPr>
          <w:rFonts w:ascii="Arial" w:hAnsi="Arial" w:cs="Arial"/>
          <w:sz w:val="23"/>
          <w:szCs w:val="23"/>
          <w:lang w:val="es-ES_tradnl"/>
        </w:rPr>
        <w:t>del sector p</w:t>
      </w:r>
      <w:r>
        <w:rPr>
          <w:rFonts w:ascii="Arial" w:hAnsi="Arial" w:cs="Arial"/>
          <w:sz w:val="23"/>
          <w:szCs w:val="23"/>
          <w:lang w:val="es-ES_tradnl"/>
        </w:rPr>
        <w:t>ú</w:t>
      </w:r>
      <w:r w:rsidRPr="008176B2">
        <w:rPr>
          <w:rFonts w:ascii="Arial" w:hAnsi="Arial" w:cs="Arial"/>
          <w:sz w:val="23"/>
          <w:szCs w:val="23"/>
          <w:lang w:val="es-ES_tradnl"/>
        </w:rPr>
        <w:t>blico</w:t>
      </w:r>
      <w:r w:rsidR="00396B4C">
        <w:rPr>
          <w:rFonts w:ascii="Arial" w:hAnsi="Arial" w:cs="Arial"/>
          <w:sz w:val="23"/>
          <w:szCs w:val="23"/>
          <w:lang w:val="es-ES_tradnl"/>
        </w:rPr>
        <w:t>, así como la difusión de material informativo.</w:t>
      </w:r>
    </w:p>
    <w:p w:rsidR="00AD6EBC" w:rsidRPr="00AD6EBC" w:rsidRDefault="00AD6EBC" w:rsidP="00AD6EBC">
      <w:pPr>
        <w:pStyle w:val="ListParagraph"/>
        <w:rPr>
          <w:rFonts w:ascii="Arial" w:hAnsi="Arial" w:cs="Arial"/>
          <w:sz w:val="23"/>
          <w:szCs w:val="23"/>
          <w:lang w:val="es-ES"/>
        </w:rPr>
      </w:pPr>
    </w:p>
    <w:p w:rsidR="00AD6EBC" w:rsidRDefault="00AD6EBC" w:rsidP="005C2C19">
      <w:pPr>
        <w:pStyle w:val="ListParagraph"/>
        <w:numPr>
          <w:ilvl w:val="1"/>
          <w:numId w:val="5"/>
        </w:numPr>
        <w:spacing w:after="0" w:line="240" w:lineRule="auto"/>
        <w:ind w:left="360" w:hanging="630"/>
        <w:contextualSpacing w:val="0"/>
        <w:jc w:val="both"/>
        <w:rPr>
          <w:rFonts w:ascii="Arial" w:hAnsi="Arial" w:cs="Arial"/>
          <w:sz w:val="23"/>
          <w:szCs w:val="23"/>
          <w:lang w:val="es-ES"/>
        </w:rPr>
      </w:pPr>
      <w:r w:rsidRPr="00AD6EBC">
        <w:rPr>
          <w:rFonts w:ascii="Arial" w:hAnsi="Arial" w:cs="Arial"/>
          <w:b/>
          <w:sz w:val="23"/>
          <w:szCs w:val="23"/>
          <w:lang w:val="es-ES"/>
        </w:rPr>
        <w:t>Matriz indicativa de resultados.</w:t>
      </w:r>
      <w:r>
        <w:rPr>
          <w:rFonts w:ascii="Arial" w:hAnsi="Arial" w:cs="Arial"/>
          <w:sz w:val="23"/>
          <w:szCs w:val="23"/>
          <w:lang w:val="es-ES"/>
        </w:rPr>
        <w:t xml:space="preserve"> Al finalizar la ejecución de las actividades previstas en los componentes, se habrán obtenido los siguientes resultados y productos. </w:t>
      </w:r>
    </w:p>
    <w:p w:rsidR="00E82882" w:rsidRPr="00E82882" w:rsidRDefault="00E82882" w:rsidP="00E82882">
      <w:pPr>
        <w:pStyle w:val="ListParagraph"/>
        <w:rPr>
          <w:rFonts w:ascii="Arial" w:hAnsi="Arial" w:cs="Arial"/>
          <w:sz w:val="23"/>
          <w:szCs w:val="23"/>
          <w:lang w:val="es-ES"/>
        </w:rPr>
      </w:pPr>
    </w:p>
    <w:p w:rsidR="00E82882" w:rsidRDefault="00E82882" w:rsidP="00E82882">
      <w:pPr>
        <w:pStyle w:val="ListParagraph"/>
        <w:spacing w:after="0" w:line="240" w:lineRule="auto"/>
        <w:ind w:left="360"/>
        <w:contextualSpacing w:val="0"/>
        <w:jc w:val="both"/>
        <w:rPr>
          <w:rFonts w:ascii="Arial" w:hAnsi="Arial" w:cs="Arial"/>
          <w:sz w:val="23"/>
          <w:szCs w:val="23"/>
          <w:lang w:val="es-ES"/>
        </w:rPr>
      </w:pPr>
    </w:p>
    <w:p w:rsidR="00E82882" w:rsidRDefault="00E82882" w:rsidP="00E82882">
      <w:pPr>
        <w:pStyle w:val="ListParagraph"/>
        <w:spacing w:after="0" w:line="240" w:lineRule="auto"/>
        <w:ind w:left="360"/>
        <w:contextualSpacing w:val="0"/>
        <w:jc w:val="both"/>
        <w:rPr>
          <w:rFonts w:ascii="Arial" w:hAnsi="Arial" w:cs="Arial"/>
          <w:sz w:val="23"/>
          <w:szCs w:val="23"/>
          <w:lang w:val="es-ES"/>
        </w:rPr>
      </w:pPr>
    </w:p>
    <w:p w:rsidR="00E82882" w:rsidRPr="00D03FA0" w:rsidRDefault="00E82882" w:rsidP="00E82882">
      <w:pPr>
        <w:pStyle w:val="ListParagraph"/>
        <w:spacing w:after="0" w:line="240" w:lineRule="auto"/>
        <w:ind w:left="360"/>
        <w:contextualSpacing w:val="0"/>
        <w:jc w:val="both"/>
        <w:rPr>
          <w:rFonts w:ascii="Arial" w:hAnsi="Arial" w:cs="Arial"/>
          <w:sz w:val="23"/>
          <w:szCs w:val="23"/>
          <w:lang w:val="es-ES"/>
        </w:rPr>
      </w:pPr>
      <w:bookmarkStart w:id="0" w:name="_GoBack"/>
      <w:bookmarkEnd w:id="0"/>
    </w:p>
    <w:p w:rsidR="005C2C19" w:rsidRPr="00D03FA0" w:rsidRDefault="005C2C19" w:rsidP="00D03FA0">
      <w:pPr>
        <w:spacing w:after="0" w:line="240" w:lineRule="auto"/>
        <w:jc w:val="both"/>
        <w:rPr>
          <w:rFonts w:ascii="Arial" w:hAnsi="Arial" w:cs="Arial"/>
          <w:sz w:val="23"/>
          <w:szCs w:val="23"/>
          <w:lang w:val="es-ES"/>
        </w:rPr>
      </w:pPr>
      <w:r w:rsidRPr="00D03FA0">
        <w:rPr>
          <w:rFonts w:ascii="Arial" w:hAnsi="Arial" w:cs="Arial"/>
          <w:sz w:val="23"/>
          <w:szCs w:val="23"/>
          <w:lang w:val="es-ES_tradnl"/>
        </w:rPr>
        <w:t xml:space="preserve"> </w:t>
      </w:r>
    </w:p>
    <w:p w:rsidR="00863C61" w:rsidRPr="00D97FAD" w:rsidRDefault="005C2C19" w:rsidP="005C2C19">
      <w:pPr>
        <w:pStyle w:val="ListParagraph"/>
        <w:spacing w:before="60" w:after="60" w:line="240" w:lineRule="auto"/>
        <w:ind w:left="360"/>
        <w:contextualSpacing w:val="0"/>
        <w:jc w:val="center"/>
        <w:rPr>
          <w:rFonts w:ascii="Arial" w:hAnsi="Arial" w:cs="Arial"/>
          <w:b/>
          <w:lang w:val="es-ES"/>
        </w:rPr>
      </w:pPr>
      <w:r w:rsidRPr="00D97FAD">
        <w:rPr>
          <w:rFonts w:ascii="Arial" w:hAnsi="Arial" w:cs="Arial"/>
          <w:b/>
          <w:lang w:val="es-ES"/>
        </w:rPr>
        <w:lastRenderedPageBreak/>
        <w:t xml:space="preserve">Matriz </w:t>
      </w:r>
      <w:r w:rsidR="00AD6EBC">
        <w:rPr>
          <w:rFonts w:ascii="Arial" w:hAnsi="Arial" w:cs="Arial"/>
          <w:b/>
          <w:lang w:val="es-ES"/>
        </w:rPr>
        <w:t>indicativa de r</w:t>
      </w:r>
      <w:r w:rsidRPr="00D97FAD">
        <w:rPr>
          <w:rFonts w:ascii="Arial" w:hAnsi="Arial" w:cs="Arial"/>
          <w:b/>
          <w:lang w:val="es-ES"/>
        </w:rPr>
        <w:t>esultados</w:t>
      </w:r>
    </w:p>
    <w:tbl>
      <w:tblPr>
        <w:tblW w:w="9540" w:type="dxa"/>
        <w:jc w:val="center"/>
        <w:tblInd w:w="55" w:type="dxa"/>
        <w:tblCellMar>
          <w:left w:w="70" w:type="dxa"/>
          <w:right w:w="70" w:type="dxa"/>
        </w:tblCellMar>
        <w:tblLook w:val="04A0" w:firstRow="1" w:lastRow="0" w:firstColumn="1" w:lastColumn="0" w:noHBand="0" w:noVBand="1"/>
      </w:tblPr>
      <w:tblGrid>
        <w:gridCol w:w="2010"/>
        <w:gridCol w:w="2140"/>
        <w:gridCol w:w="680"/>
        <w:gridCol w:w="680"/>
        <w:gridCol w:w="490"/>
        <w:gridCol w:w="490"/>
        <w:gridCol w:w="490"/>
        <w:gridCol w:w="720"/>
        <w:gridCol w:w="1840"/>
      </w:tblGrid>
      <w:tr w:rsidR="007D7932" w:rsidRPr="007D7932" w:rsidTr="007D7932">
        <w:trPr>
          <w:trHeight w:val="495"/>
          <w:jc w:val="center"/>
        </w:trPr>
        <w:tc>
          <w:tcPr>
            <w:tcW w:w="2040" w:type="dxa"/>
            <w:vMerge w:val="restart"/>
            <w:tcBorders>
              <w:top w:val="single" w:sz="8" w:space="0" w:color="auto"/>
              <w:left w:val="single" w:sz="8" w:space="0" w:color="auto"/>
              <w:bottom w:val="single" w:sz="8" w:space="0" w:color="000000"/>
              <w:right w:val="nil"/>
            </w:tcBorders>
            <w:shd w:val="clear" w:color="000000" w:fill="95B3D7"/>
            <w:vAlign w:val="center"/>
            <w:hideMark/>
          </w:tcPr>
          <w:p w:rsidR="007D7932" w:rsidRPr="007D7932" w:rsidRDefault="007D7932" w:rsidP="007D7932">
            <w:pPr>
              <w:spacing w:after="0" w:line="240" w:lineRule="auto"/>
              <w:jc w:val="center"/>
              <w:rPr>
                <w:rFonts w:ascii="Arial" w:eastAsia="Times New Roman" w:hAnsi="Arial" w:cs="Arial"/>
                <w:b/>
                <w:bCs/>
                <w:color w:val="000000"/>
                <w:sz w:val="18"/>
                <w:szCs w:val="18"/>
                <w:lang w:val="es-ES" w:eastAsia="es-ES"/>
              </w:rPr>
            </w:pPr>
            <w:r w:rsidRPr="007D7932">
              <w:rPr>
                <w:rFonts w:ascii="Arial" w:eastAsia="Times New Roman" w:hAnsi="Arial" w:cs="Arial"/>
                <w:b/>
                <w:bCs/>
                <w:color w:val="000000"/>
                <w:sz w:val="18"/>
                <w:szCs w:val="18"/>
                <w:lang w:val="es-ES" w:eastAsia="es-ES"/>
              </w:rPr>
              <w:t>Indicadores</w:t>
            </w:r>
          </w:p>
        </w:tc>
        <w:tc>
          <w:tcPr>
            <w:tcW w:w="2140" w:type="dxa"/>
            <w:vMerge w:val="restart"/>
            <w:tcBorders>
              <w:top w:val="single" w:sz="8" w:space="0" w:color="auto"/>
              <w:left w:val="single" w:sz="8" w:space="0" w:color="auto"/>
              <w:bottom w:val="single" w:sz="8" w:space="0" w:color="000000"/>
              <w:right w:val="single" w:sz="8" w:space="0" w:color="auto"/>
            </w:tcBorders>
            <w:shd w:val="clear" w:color="000000" w:fill="95B3D7"/>
            <w:vAlign w:val="center"/>
            <w:hideMark/>
          </w:tcPr>
          <w:p w:rsidR="007D7932" w:rsidRPr="007D7932" w:rsidRDefault="007D7932" w:rsidP="007D7932">
            <w:pPr>
              <w:spacing w:after="0" w:line="240" w:lineRule="auto"/>
              <w:jc w:val="center"/>
              <w:rPr>
                <w:rFonts w:ascii="Arial" w:eastAsia="Times New Roman" w:hAnsi="Arial" w:cs="Arial"/>
                <w:b/>
                <w:bCs/>
                <w:color w:val="000000"/>
                <w:sz w:val="18"/>
                <w:szCs w:val="18"/>
                <w:lang w:val="es-ES" w:eastAsia="es-ES"/>
              </w:rPr>
            </w:pPr>
            <w:r w:rsidRPr="007D7932">
              <w:rPr>
                <w:rFonts w:ascii="Arial" w:eastAsia="Times New Roman" w:hAnsi="Arial" w:cs="Arial"/>
                <w:b/>
                <w:bCs/>
                <w:color w:val="000000"/>
                <w:sz w:val="18"/>
                <w:szCs w:val="18"/>
                <w:lang w:val="es-ES" w:eastAsia="es-ES"/>
              </w:rPr>
              <w:t>Unidad de medida</w:t>
            </w:r>
          </w:p>
        </w:tc>
        <w:tc>
          <w:tcPr>
            <w:tcW w:w="1360" w:type="dxa"/>
            <w:gridSpan w:val="2"/>
            <w:tcBorders>
              <w:top w:val="single" w:sz="8" w:space="0" w:color="auto"/>
              <w:left w:val="nil"/>
              <w:bottom w:val="single" w:sz="8" w:space="0" w:color="auto"/>
              <w:right w:val="single" w:sz="8" w:space="0" w:color="auto"/>
            </w:tcBorders>
            <w:shd w:val="clear" w:color="000000" w:fill="95B3D7"/>
            <w:vAlign w:val="center"/>
            <w:hideMark/>
          </w:tcPr>
          <w:p w:rsidR="007D7932" w:rsidRPr="007D7932" w:rsidRDefault="007D7932" w:rsidP="007D7932">
            <w:pPr>
              <w:spacing w:after="0" w:line="240" w:lineRule="auto"/>
              <w:jc w:val="center"/>
              <w:rPr>
                <w:rFonts w:ascii="Arial" w:eastAsia="Times New Roman" w:hAnsi="Arial" w:cs="Arial"/>
                <w:b/>
                <w:bCs/>
                <w:color w:val="000000"/>
                <w:sz w:val="18"/>
                <w:szCs w:val="18"/>
                <w:lang w:val="es-ES" w:eastAsia="es-ES"/>
              </w:rPr>
            </w:pPr>
            <w:r w:rsidRPr="007D7932">
              <w:rPr>
                <w:rFonts w:ascii="Arial" w:eastAsia="Times New Roman" w:hAnsi="Arial" w:cs="Arial"/>
                <w:b/>
                <w:bCs/>
                <w:color w:val="000000"/>
                <w:sz w:val="18"/>
                <w:szCs w:val="18"/>
                <w:lang w:val="es-ES" w:eastAsia="es-ES"/>
              </w:rPr>
              <w:t>Línea de base</w:t>
            </w:r>
          </w:p>
        </w:tc>
        <w:tc>
          <w:tcPr>
            <w:tcW w:w="480" w:type="dxa"/>
            <w:vMerge w:val="restart"/>
            <w:tcBorders>
              <w:top w:val="single" w:sz="8" w:space="0" w:color="auto"/>
              <w:left w:val="single" w:sz="8" w:space="0" w:color="auto"/>
              <w:bottom w:val="single" w:sz="8" w:space="0" w:color="000000"/>
              <w:right w:val="nil"/>
            </w:tcBorders>
            <w:shd w:val="clear" w:color="000000" w:fill="95B3D7"/>
            <w:vAlign w:val="center"/>
            <w:hideMark/>
          </w:tcPr>
          <w:p w:rsidR="007D7932" w:rsidRPr="007D7932" w:rsidRDefault="007D7932" w:rsidP="007D7932">
            <w:pPr>
              <w:spacing w:after="0" w:line="240" w:lineRule="auto"/>
              <w:jc w:val="center"/>
              <w:rPr>
                <w:rFonts w:ascii="Arial" w:eastAsia="Times New Roman" w:hAnsi="Arial" w:cs="Arial"/>
                <w:b/>
                <w:bCs/>
                <w:color w:val="000000"/>
                <w:sz w:val="18"/>
                <w:szCs w:val="18"/>
                <w:lang w:val="es-ES" w:eastAsia="es-ES"/>
              </w:rPr>
            </w:pPr>
            <w:r w:rsidRPr="007D7932">
              <w:rPr>
                <w:rFonts w:ascii="Arial" w:eastAsia="Times New Roman" w:hAnsi="Arial" w:cs="Arial"/>
                <w:b/>
                <w:bCs/>
                <w:color w:val="000000"/>
                <w:sz w:val="18"/>
                <w:szCs w:val="18"/>
                <w:lang w:val="es-ES" w:eastAsia="es-ES"/>
              </w:rPr>
              <w:t>Año 1</w:t>
            </w:r>
          </w:p>
        </w:tc>
        <w:tc>
          <w:tcPr>
            <w:tcW w:w="480" w:type="dxa"/>
            <w:vMerge w:val="restart"/>
            <w:tcBorders>
              <w:top w:val="single" w:sz="8" w:space="0" w:color="auto"/>
              <w:left w:val="single" w:sz="8" w:space="0" w:color="auto"/>
              <w:bottom w:val="single" w:sz="8" w:space="0" w:color="000000"/>
              <w:right w:val="single" w:sz="8" w:space="0" w:color="auto"/>
            </w:tcBorders>
            <w:shd w:val="clear" w:color="000000" w:fill="95B3D7"/>
            <w:vAlign w:val="center"/>
            <w:hideMark/>
          </w:tcPr>
          <w:p w:rsidR="007D7932" w:rsidRPr="007D7932" w:rsidRDefault="007D7932" w:rsidP="007D7932">
            <w:pPr>
              <w:spacing w:after="0" w:line="240" w:lineRule="auto"/>
              <w:jc w:val="center"/>
              <w:rPr>
                <w:rFonts w:ascii="Arial" w:eastAsia="Times New Roman" w:hAnsi="Arial" w:cs="Arial"/>
                <w:b/>
                <w:bCs/>
                <w:color w:val="000000"/>
                <w:sz w:val="18"/>
                <w:szCs w:val="18"/>
                <w:lang w:val="es-ES" w:eastAsia="es-ES"/>
              </w:rPr>
            </w:pPr>
            <w:r w:rsidRPr="007D7932">
              <w:rPr>
                <w:rFonts w:ascii="Arial" w:eastAsia="Times New Roman" w:hAnsi="Arial" w:cs="Arial"/>
                <w:b/>
                <w:bCs/>
                <w:color w:val="000000"/>
                <w:sz w:val="18"/>
                <w:szCs w:val="18"/>
                <w:lang w:val="es-ES" w:eastAsia="es-ES"/>
              </w:rPr>
              <w:t>Año 2</w:t>
            </w:r>
          </w:p>
        </w:tc>
        <w:tc>
          <w:tcPr>
            <w:tcW w:w="480" w:type="dxa"/>
            <w:vMerge w:val="restart"/>
            <w:tcBorders>
              <w:top w:val="single" w:sz="8" w:space="0" w:color="auto"/>
              <w:left w:val="single" w:sz="8" w:space="0" w:color="auto"/>
              <w:bottom w:val="single" w:sz="8" w:space="0" w:color="000000"/>
              <w:right w:val="nil"/>
            </w:tcBorders>
            <w:shd w:val="clear" w:color="000000" w:fill="95B3D7"/>
            <w:vAlign w:val="center"/>
            <w:hideMark/>
          </w:tcPr>
          <w:p w:rsidR="007D7932" w:rsidRPr="007D7932" w:rsidRDefault="007D7932" w:rsidP="007D7932">
            <w:pPr>
              <w:spacing w:after="0" w:line="240" w:lineRule="auto"/>
              <w:jc w:val="center"/>
              <w:rPr>
                <w:rFonts w:ascii="Arial" w:eastAsia="Times New Roman" w:hAnsi="Arial" w:cs="Arial"/>
                <w:b/>
                <w:bCs/>
                <w:color w:val="000000"/>
                <w:sz w:val="18"/>
                <w:szCs w:val="18"/>
                <w:lang w:val="es-ES" w:eastAsia="es-ES"/>
              </w:rPr>
            </w:pPr>
            <w:r w:rsidRPr="007D7932">
              <w:rPr>
                <w:rFonts w:ascii="Arial" w:eastAsia="Times New Roman" w:hAnsi="Arial" w:cs="Arial"/>
                <w:b/>
                <w:bCs/>
                <w:color w:val="000000"/>
                <w:sz w:val="18"/>
                <w:szCs w:val="18"/>
                <w:lang w:val="es-ES" w:eastAsia="es-ES"/>
              </w:rPr>
              <w:t>Año 3</w:t>
            </w:r>
          </w:p>
        </w:tc>
        <w:tc>
          <w:tcPr>
            <w:tcW w:w="720" w:type="dxa"/>
            <w:vMerge w:val="restart"/>
            <w:tcBorders>
              <w:top w:val="single" w:sz="8" w:space="0" w:color="auto"/>
              <w:left w:val="single" w:sz="8" w:space="0" w:color="auto"/>
              <w:bottom w:val="single" w:sz="8" w:space="0" w:color="000000"/>
              <w:right w:val="single" w:sz="8" w:space="0" w:color="auto"/>
            </w:tcBorders>
            <w:shd w:val="clear" w:color="000000" w:fill="95B3D7"/>
            <w:vAlign w:val="center"/>
            <w:hideMark/>
          </w:tcPr>
          <w:p w:rsidR="007D7932" w:rsidRPr="007D7932" w:rsidRDefault="007D7932" w:rsidP="007D7932">
            <w:pPr>
              <w:spacing w:after="0" w:line="240" w:lineRule="auto"/>
              <w:jc w:val="center"/>
              <w:rPr>
                <w:rFonts w:ascii="Arial" w:eastAsia="Times New Roman" w:hAnsi="Arial" w:cs="Arial"/>
                <w:b/>
                <w:bCs/>
                <w:color w:val="000000"/>
                <w:sz w:val="18"/>
                <w:szCs w:val="18"/>
                <w:lang w:val="es-ES" w:eastAsia="es-ES"/>
              </w:rPr>
            </w:pPr>
            <w:r w:rsidRPr="007D7932">
              <w:rPr>
                <w:rFonts w:ascii="Arial" w:eastAsia="Times New Roman" w:hAnsi="Arial" w:cs="Arial"/>
                <w:b/>
                <w:bCs/>
                <w:color w:val="000000"/>
                <w:sz w:val="18"/>
                <w:szCs w:val="18"/>
                <w:lang w:val="es-ES" w:eastAsia="es-ES"/>
              </w:rPr>
              <w:t>Meta final</w:t>
            </w:r>
          </w:p>
        </w:tc>
        <w:tc>
          <w:tcPr>
            <w:tcW w:w="1840" w:type="dxa"/>
            <w:vMerge w:val="restart"/>
            <w:tcBorders>
              <w:top w:val="single" w:sz="8" w:space="0" w:color="auto"/>
              <w:left w:val="nil"/>
              <w:bottom w:val="single" w:sz="8" w:space="0" w:color="000000"/>
              <w:right w:val="single" w:sz="8" w:space="0" w:color="auto"/>
            </w:tcBorders>
            <w:shd w:val="clear" w:color="000000" w:fill="95B3D7"/>
            <w:vAlign w:val="center"/>
            <w:hideMark/>
          </w:tcPr>
          <w:p w:rsidR="007D7932" w:rsidRPr="007D7932" w:rsidRDefault="007D7932" w:rsidP="007D7932">
            <w:pPr>
              <w:spacing w:after="0" w:line="240" w:lineRule="auto"/>
              <w:jc w:val="center"/>
              <w:rPr>
                <w:rFonts w:ascii="Arial" w:eastAsia="Times New Roman" w:hAnsi="Arial" w:cs="Arial"/>
                <w:b/>
                <w:bCs/>
                <w:color w:val="000000"/>
                <w:sz w:val="18"/>
                <w:szCs w:val="18"/>
                <w:lang w:val="es-ES" w:eastAsia="es-ES"/>
              </w:rPr>
            </w:pPr>
            <w:r w:rsidRPr="007D7932">
              <w:rPr>
                <w:rFonts w:ascii="Arial" w:eastAsia="Times New Roman" w:hAnsi="Arial" w:cs="Arial"/>
                <w:b/>
                <w:bCs/>
                <w:color w:val="000000"/>
                <w:sz w:val="18"/>
                <w:szCs w:val="18"/>
                <w:lang w:val="es-ES" w:eastAsia="es-ES"/>
              </w:rPr>
              <w:t>Medio de verificación</w:t>
            </w:r>
          </w:p>
        </w:tc>
      </w:tr>
      <w:tr w:rsidR="007D7932" w:rsidRPr="007D7932" w:rsidTr="007D7932">
        <w:trPr>
          <w:trHeight w:val="315"/>
          <w:jc w:val="center"/>
        </w:trPr>
        <w:tc>
          <w:tcPr>
            <w:tcW w:w="2040" w:type="dxa"/>
            <w:vMerge/>
            <w:tcBorders>
              <w:top w:val="single" w:sz="8" w:space="0" w:color="auto"/>
              <w:left w:val="single" w:sz="8" w:space="0" w:color="auto"/>
              <w:bottom w:val="single" w:sz="8" w:space="0" w:color="000000"/>
              <w:right w:val="nil"/>
            </w:tcBorders>
            <w:vAlign w:val="center"/>
            <w:hideMark/>
          </w:tcPr>
          <w:p w:rsidR="007D7932" w:rsidRPr="007D7932" w:rsidRDefault="007D7932" w:rsidP="007D7932">
            <w:pPr>
              <w:spacing w:after="0" w:line="240" w:lineRule="auto"/>
              <w:rPr>
                <w:rFonts w:ascii="Arial" w:eastAsia="Times New Roman" w:hAnsi="Arial" w:cs="Arial"/>
                <w:b/>
                <w:bCs/>
                <w:color w:val="000000"/>
                <w:sz w:val="18"/>
                <w:szCs w:val="18"/>
                <w:lang w:val="es-ES" w:eastAsia="es-ES"/>
              </w:rPr>
            </w:pPr>
          </w:p>
        </w:tc>
        <w:tc>
          <w:tcPr>
            <w:tcW w:w="2140" w:type="dxa"/>
            <w:vMerge/>
            <w:tcBorders>
              <w:top w:val="single" w:sz="8" w:space="0" w:color="auto"/>
              <w:left w:val="single" w:sz="8" w:space="0" w:color="auto"/>
              <w:bottom w:val="single" w:sz="8" w:space="0" w:color="000000"/>
              <w:right w:val="single" w:sz="8" w:space="0" w:color="auto"/>
            </w:tcBorders>
            <w:vAlign w:val="center"/>
            <w:hideMark/>
          </w:tcPr>
          <w:p w:rsidR="007D7932" w:rsidRPr="007D7932" w:rsidRDefault="007D7932" w:rsidP="007D7932">
            <w:pPr>
              <w:spacing w:after="0" w:line="240" w:lineRule="auto"/>
              <w:rPr>
                <w:rFonts w:ascii="Arial" w:eastAsia="Times New Roman" w:hAnsi="Arial" w:cs="Arial"/>
                <w:b/>
                <w:bCs/>
                <w:color w:val="000000"/>
                <w:sz w:val="18"/>
                <w:szCs w:val="18"/>
                <w:lang w:val="es-ES" w:eastAsia="es-ES"/>
              </w:rPr>
            </w:pPr>
          </w:p>
        </w:tc>
        <w:tc>
          <w:tcPr>
            <w:tcW w:w="680" w:type="dxa"/>
            <w:tcBorders>
              <w:top w:val="nil"/>
              <w:left w:val="nil"/>
              <w:bottom w:val="single" w:sz="8" w:space="0" w:color="auto"/>
              <w:right w:val="single" w:sz="8" w:space="0" w:color="auto"/>
            </w:tcBorders>
            <w:shd w:val="clear" w:color="000000" w:fill="95B3D7"/>
            <w:vAlign w:val="center"/>
            <w:hideMark/>
          </w:tcPr>
          <w:p w:rsidR="007D7932" w:rsidRPr="007D7932" w:rsidRDefault="007D7932" w:rsidP="007D7932">
            <w:pPr>
              <w:spacing w:after="0" w:line="240" w:lineRule="auto"/>
              <w:jc w:val="center"/>
              <w:rPr>
                <w:rFonts w:ascii="Arial" w:eastAsia="Times New Roman" w:hAnsi="Arial" w:cs="Arial"/>
                <w:b/>
                <w:bCs/>
                <w:color w:val="000000"/>
                <w:sz w:val="18"/>
                <w:szCs w:val="18"/>
                <w:lang w:val="es-ES" w:eastAsia="es-ES"/>
              </w:rPr>
            </w:pPr>
            <w:r w:rsidRPr="007D7932">
              <w:rPr>
                <w:rFonts w:ascii="Arial" w:eastAsia="Times New Roman" w:hAnsi="Arial" w:cs="Arial"/>
                <w:b/>
                <w:bCs/>
                <w:color w:val="000000"/>
                <w:sz w:val="18"/>
                <w:szCs w:val="18"/>
                <w:lang w:val="es-ES" w:eastAsia="es-ES"/>
              </w:rPr>
              <w:t>Valor</w:t>
            </w:r>
          </w:p>
        </w:tc>
        <w:tc>
          <w:tcPr>
            <w:tcW w:w="680" w:type="dxa"/>
            <w:tcBorders>
              <w:top w:val="nil"/>
              <w:left w:val="nil"/>
              <w:bottom w:val="single" w:sz="8" w:space="0" w:color="auto"/>
              <w:right w:val="single" w:sz="8" w:space="0" w:color="auto"/>
            </w:tcBorders>
            <w:shd w:val="clear" w:color="000000" w:fill="95B3D7"/>
            <w:vAlign w:val="center"/>
            <w:hideMark/>
          </w:tcPr>
          <w:p w:rsidR="007D7932" w:rsidRPr="007D7932" w:rsidRDefault="007D7932" w:rsidP="007D7932">
            <w:pPr>
              <w:spacing w:after="0" w:line="240" w:lineRule="auto"/>
              <w:jc w:val="center"/>
              <w:rPr>
                <w:rFonts w:ascii="Arial" w:eastAsia="Times New Roman" w:hAnsi="Arial" w:cs="Arial"/>
                <w:b/>
                <w:bCs/>
                <w:color w:val="000000"/>
                <w:sz w:val="18"/>
                <w:szCs w:val="18"/>
                <w:lang w:val="es-ES" w:eastAsia="es-ES"/>
              </w:rPr>
            </w:pPr>
            <w:r w:rsidRPr="007D7932">
              <w:rPr>
                <w:rFonts w:ascii="Arial" w:eastAsia="Times New Roman" w:hAnsi="Arial" w:cs="Arial"/>
                <w:b/>
                <w:bCs/>
                <w:color w:val="000000"/>
                <w:sz w:val="18"/>
                <w:szCs w:val="18"/>
                <w:lang w:val="es-ES" w:eastAsia="es-ES"/>
              </w:rPr>
              <w:t>Año</w:t>
            </w:r>
          </w:p>
        </w:tc>
        <w:tc>
          <w:tcPr>
            <w:tcW w:w="480" w:type="dxa"/>
            <w:vMerge/>
            <w:tcBorders>
              <w:top w:val="single" w:sz="8" w:space="0" w:color="auto"/>
              <w:left w:val="single" w:sz="8" w:space="0" w:color="auto"/>
              <w:bottom w:val="single" w:sz="8" w:space="0" w:color="000000"/>
              <w:right w:val="nil"/>
            </w:tcBorders>
            <w:vAlign w:val="center"/>
            <w:hideMark/>
          </w:tcPr>
          <w:p w:rsidR="007D7932" w:rsidRPr="007D7932" w:rsidRDefault="007D7932" w:rsidP="007D7932">
            <w:pPr>
              <w:spacing w:after="0" w:line="240" w:lineRule="auto"/>
              <w:rPr>
                <w:rFonts w:ascii="Arial" w:eastAsia="Times New Roman" w:hAnsi="Arial" w:cs="Arial"/>
                <w:b/>
                <w:bCs/>
                <w:color w:val="000000"/>
                <w:sz w:val="18"/>
                <w:szCs w:val="18"/>
                <w:lang w:val="es-ES" w:eastAsia="es-ES"/>
              </w:rPr>
            </w:pPr>
          </w:p>
        </w:tc>
        <w:tc>
          <w:tcPr>
            <w:tcW w:w="480" w:type="dxa"/>
            <w:vMerge/>
            <w:tcBorders>
              <w:top w:val="single" w:sz="8" w:space="0" w:color="auto"/>
              <w:left w:val="single" w:sz="8" w:space="0" w:color="auto"/>
              <w:bottom w:val="single" w:sz="8" w:space="0" w:color="000000"/>
              <w:right w:val="single" w:sz="8" w:space="0" w:color="auto"/>
            </w:tcBorders>
            <w:vAlign w:val="center"/>
            <w:hideMark/>
          </w:tcPr>
          <w:p w:rsidR="007D7932" w:rsidRPr="007D7932" w:rsidRDefault="007D7932" w:rsidP="007D7932">
            <w:pPr>
              <w:spacing w:after="0" w:line="240" w:lineRule="auto"/>
              <w:rPr>
                <w:rFonts w:ascii="Arial" w:eastAsia="Times New Roman" w:hAnsi="Arial" w:cs="Arial"/>
                <w:b/>
                <w:bCs/>
                <w:color w:val="000000"/>
                <w:sz w:val="18"/>
                <w:szCs w:val="18"/>
                <w:lang w:val="es-ES" w:eastAsia="es-ES"/>
              </w:rPr>
            </w:pPr>
          </w:p>
        </w:tc>
        <w:tc>
          <w:tcPr>
            <w:tcW w:w="480" w:type="dxa"/>
            <w:vMerge/>
            <w:tcBorders>
              <w:top w:val="single" w:sz="8" w:space="0" w:color="auto"/>
              <w:left w:val="single" w:sz="8" w:space="0" w:color="auto"/>
              <w:bottom w:val="single" w:sz="8" w:space="0" w:color="000000"/>
              <w:right w:val="nil"/>
            </w:tcBorders>
            <w:vAlign w:val="center"/>
            <w:hideMark/>
          </w:tcPr>
          <w:p w:rsidR="007D7932" w:rsidRPr="007D7932" w:rsidRDefault="007D7932" w:rsidP="007D7932">
            <w:pPr>
              <w:spacing w:after="0" w:line="240" w:lineRule="auto"/>
              <w:rPr>
                <w:rFonts w:ascii="Arial" w:eastAsia="Times New Roman" w:hAnsi="Arial" w:cs="Arial"/>
                <w:b/>
                <w:bCs/>
                <w:color w:val="000000"/>
                <w:sz w:val="18"/>
                <w:szCs w:val="18"/>
                <w:lang w:val="es-ES" w:eastAsia="es-ES"/>
              </w:rPr>
            </w:pPr>
          </w:p>
        </w:tc>
        <w:tc>
          <w:tcPr>
            <w:tcW w:w="720" w:type="dxa"/>
            <w:vMerge/>
            <w:tcBorders>
              <w:top w:val="single" w:sz="8" w:space="0" w:color="auto"/>
              <w:left w:val="single" w:sz="8" w:space="0" w:color="auto"/>
              <w:bottom w:val="single" w:sz="8" w:space="0" w:color="000000"/>
              <w:right w:val="single" w:sz="8" w:space="0" w:color="auto"/>
            </w:tcBorders>
            <w:vAlign w:val="center"/>
            <w:hideMark/>
          </w:tcPr>
          <w:p w:rsidR="007D7932" w:rsidRPr="007D7932" w:rsidRDefault="007D7932" w:rsidP="007D7932">
            <w:pPr>
              <w:spacing w:after="0" w:line="240" w:lineRule="auto"/>
              <w:rPr>
                <w:rFonts w:ascii="Arial" w:eastAsia="Times New Roman" w:hAnsi="Arial" w:cs="Arial"/>
                <w:b/>
                <w:bCs/>
                <w:color w:val="000000"/>
                <w:sz w:val="18"/>
                <w:szCs w:val="18"/>
                <w:lang w:val="es-ES" w:eastAsia="es-ES"/>
              </w:rPr>
            </w:pPr>
          </w:p>
        </w:tc>
        <w:tc>
          <w:tcPr>
            <w:tcW w:w="1840" w:type="dxa"/>
            <w:vMerge/>
            <w:tcBorders>
              <w:top w:val="single" w:sz="8" w:space="0" w:color="auto"/>
              <w:left w:val="nil"/>
              <w:bottom w:val="single" w:sz="8" w:space="0" w:color="000000"/>
              <w:right w:val="single" w:sz="8" w:space="0" w:color="auto"/>
            </w:tcBorders>
            <w:vAlign w:val="center"/>
            <w:hideMark/>
          </w:tcPr>
          <w:p w:rsidR="007D7932" w:rsidRPr="007D7932" w:rsidRDefault="007D7932" w:rsidP="007D7932">
            <w:pPr>
              <w:spacing w:after="0" w:line="240" w:lineRule="auto"/>
              <w:rPr>
                <w:rFonts w:ascii="Arial" w:eastAsia="Times New Roman" w:hAnsi="Arial" w:cs="Arial"/>
                <w:b/>
                <w:bCs/>
                <w:color w:val="000000"/>
                <w:sz w:val="18"/>
                <w:szCs w:val="18"/>
                <w:lang w:val="es-ES" w:eastAsia="es-ES"/>
              </w:rPr>
            </w:pPr>
          </w:p>
        </w:tc>
      </w:tr>
      <w:tr w:rsidR="007D7932" w:rsidRPr="007D7932" w:rsidTr="007D7932">
        <w:trPr>
          <w:trHeight w:val="285"/>
          <w:jc w:val="center"/>
        </w:trPr>
        <w:tc>
          <w:tcPr>
            <w:tcW w:w="9540" w:type="dxa"/>
            <w:gridSpan w:val="9"/>
            <w:tcBorders>
              <w:top w:val="single" w:sz="8" w:space="0" w:color="auto"/>
              <w:left w:val="single" w:sz="8" w:space="0" w:color="auto"/>
              <w:bottom w:val="nil"/>
              <w:right w:val="single" w:sz="8" w:space="0" w:color="000000"/>
            </w:tcBorders>
            <w:shd w:val="clear" w:color="000000" w:fill="C4D79B"/>
            <w:vAlign w:val="center"/>
            <w:hideMark/>
          </w:tcPr>
          <w:p w:rsidR="007D7932" w:rsidRPr="007D7932" w:rsidRDefault="007D7932" w:rsidP="007D7932">
            <w:pPr>
              <w:spacing w:after="0" w:line="240" w:lineRule="auto"/>
              <w:jc w:val="center"/>
              <w:rPr>
                <w:rFonts w:ascii="Arial" w:eastAsia="Times New Roman" w:hAnsi="Arial" w:cs="Arial"/>
                <w:b/>
                <w:bCs/>
                <w:color w:val="000000"/>
                <w:sz w:val="18"/>
                <w:szCs w:val="18"/>
                <w:lang w:val="es-ES" w:eastAsia="es-ES"/>
              </w:rPr>
            </w:pPr>
            <w:r w:rsidRPr="007D7932">
              <w:rPr>
                <w:rFonts w:ascii="Arial" w:eastAsia="Times New Roman" w:hAnsi="Arial" w:cs="Arial"/>
                <w:b/>
                <w:bCs/>
                <w:color w:val="000000"/>
                <w:sz w:val="18"/>
                <w:szCs w:val="18"/>
                <w:lang w:val="es-ES" w:eastAsia="es-ES"/>
              </w:rPr>
              <w:t>Resultados esperados</w:t>
            </w:r>
          </w:p>
        </w:tc>
      </w:tr>
      <w:tr w:rsidR="007D7932" w:rsidRPr="00E82882" w:rsidTr="007D7932">
        <w:trPr>
          <w:trHeight w:val="405"/>
          <w:jc w:val="center"/>
        </w:trPr>
        <w:tc>
          <w:tcPr>
            <w:tcW w:w="9540" w:type="dxa"/>
            <w:gridSpan w:val="9"/>
            <w:tcBorders>
              <w:top w:val="single" w:sz="8" w:space="0" w:color="auto"/>
              <w:left w:val="single" w:sz="8" w:space="0" w:color="auto"/>
              <w:bottom w:val="single" w:sz="8" w:space="0" w:color="auto"/>
              <w:right w:val="single" w:sz="8" w:space="0" w:color="000000"/>
            </w:tcBorders>
            <w:shd w:val="clear" w:color="000000" w:fill="FFFFFF"/>
            <w:vAlign w:val="center"/>
            <w:hideMark/>
          </w:tcPr>
          <w:p w:rsidR="007D7932" w:rsidRPr="007D7932" w:rsidRDefault="007D7932" w:rsidP="007D7932">
            <w:pPr>
              <w:spacing w:after="0" w:line="240" w:lineRule="auto"/>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Marco fiscal de mediano plazo implementado</w:t>
            </w:r>
          </w:p>
        </w:tc>
      </w:tr>
      <w:tr w:rsidR="007D7932" w:rsidRPr="00E82882" w:rsidTr="007D7932">
        <w:trPr>
          <w:trHeight w:val="1170"/>
          <w:jc w:val="center"/>
        </w:trPr>
        <w:tc>
          <w:tcPr>
            <w:tcW w:w="2040" w:type="dxa"/>
            <w:tcBorders>
              <w:top w:val="nil"/>
              <w:left w:val="single" w:sz="8" w:space="0" w:color="auto"/>
              <w:bottom w:val="single" w:sz="8" w:space="0" w:color="auto"/>
              <w:right w:val="nil"/>
            </w:tcBorders>
            <w:shd w:val="clear" w:color="000000" w:fill="FFFFFF"/>
            <w:vAlign w:val="center"/>
            <w:hideMark/>
          </w:tcPr>
          <w:p w:rsidR="007D7932" w:rsidRPr="007D7932" w:rsidRDefault="007D7932" w:rsidP="007D7932">
            <w:pPr>
              <w:spacing w:after="0" w:line="240" w:lineRule="auto"/>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Mejorar vinculación entre resultados y propósitos de la política fiscal</w:t>
            </w:r>
          </w:p>
        </w:tc>
        <w:tc>
          <w:tcPr>
            <w:tcW w:w="2140" w:type="dxa"/>
            <w:tcBorders>
              <w:top w:val="nil"/>
              <w:left w:val="single" w:sz="8" w:space="0" w:color="auto"/>
              <w:bottom w:val="single" w:sz="8" w:space="0" w:color="auto"/>
              <w:right w:val="single" w:sz="8" w:space="0" w:color="auto"/>
            </w:tcBorders>
            <w:shd w:val="clear" w:color="000000" w:fill="FFFFFF"/>
            <w:vAlign w:val="center"/>
            <w:hideMark/>
          </w:tcPr>
          <w:p w:rsidR="007D7932" w:rsidRPr="007D7932" w:rsidRDefault="007D7932" w:rsidP="007D7932">
            <w:pPr>
              <w:spacing w:after="0" w:line="240" w:lineRule="auto"/>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Documento de marco fiscal de mediano plazo incluido en Proyectos de Presupuesto</w:t>
            </w:r>
          </w:p>
        </w:tc>
        <w:tc>
          <w:tcPr>
            <w:tcW w:w="680" w:type="dxa"/>
            <w:tcBorders>
              <w:top w:val="nil"/>
              <w:left w:val="nil"/>
              <w:bottom w:val="single" w:sz="8" w:space="0" w:color="auto"/>
              <w:right w:val="single" w:sz="8" w:space="0" w:color="auto"/>
            </w:tcBorders>
            <w:shd w:val="clear" w:color="000000" w:fill="FFFFFF"/>
            <w:vAlign w:val="center"/>
            <w:hideMark/>
          </w:tcPr>
          <w:p w:rsidR="007D7932" w:rsidRPr="007D7932" w:rsidRDefault="007D7932" w:rsidP="007D7932">
            <w:pPr>
              <w:spacing w:after="0" w:line="240" w:lineRule="auto"/>
              <w:jc w:val="center"/>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0</w:t>
            </w:r>
          </w:p>
        </w:tc>
        <w:tc>
          <w:tcPr>
            <w:tcW w:w="680" w:type="dxa"/>
            <w:tcBorders>
              <w:top w:val="nil"/>
              <w:left w:val="nil"/>
              <w:bottom w:val="single" w:sz="8" w:space="0" w:color="auto"/>
              <w:right w:val="single" w:sz="8" w:space="0" w:color="auto"/>
            </w:tcBorders>
            <w:shd w:val="clear" w:color="000000" w:fill="FFFFFF"/>
            <w:vAlign w:val="center"/>
            <w:hideMark/>
          </w:tcPr>
          <w:p w:rsidR="007D7932" w:rsidRPr="007D7932" w:rsidRDefault="007D7932" w:rsidP="007D7932">
            <w:pPr>
              <w:spacing w:after="0" w:line="240" w:lineRule="auto"/>
              <w:jc w:val="center"/>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2014</w:t>
            </w:r>
          </w:p>
        </w:tc>
        <w:tc>
          <w:tcPr>
            <w:tcW w:w="480" w:type="dxa"/>
            <w:tcBorders>
              <w:top w:val="nil"/>
              <w:left w:val="nil"/>
              <w:bottom w:val="single" w:sz="8" w:space="0" w:color="auto"/>
              <w:right w:val="single" w:sz="8" w:space="0" w:color="auto"/>
            </w:tcBorders>
            <w:shd w:val="clear" w:color="000000" w:fill="FFFFFF"/>
            <w:vAlign w:val="center"/>
            <w:hideMark/>
          </w:tcPr>
          <w:p w:rsidR="007D7932" w:rsidRPr="007D7932" w:rsidRDefault="007D7932" w:rsidP="007D7932">
            <w:pPr>
              <w:spacing w:after="0" w:line="240" w:lineRule="auto"/>
              <w:jc w:val="center"/>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1</w:t>
            </w:r>
          </w:p>
        </w:tc>
        <w:tc>
          <w:tcPr>
            <w:tcW w:w="480" w:type="dxa"/>
            <w:tcBorders>
              <w:top w:val="nil"/>
              <w:left w:val="nil"/>
              <w:bottom w:val="single" w:sz="8" w:space="0" w:color="auto"/>
              <w:right w:val="single" w:sz="8" w:space="0" w:color="auto"/>
            </w:tcBorders>
            <w:shd w:val="clear" w:color="000000" w:fill="FFFFFF"/>
            <w:vAlign w:val="center"/>
            <w:hideMark/>
          </w:tcPr>
          <w:p w:rsidR="007D7932" w:rsidRPr="007D7932" w:rsidRDefault="007D7932" w:rsidP="007D7932">
            <w:pPr>
              <w:spacing w:after="0" w:line="240" w:lineRule="auto"/>
              <w:jc w:val="center"/>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1</w:t>
            </w:r>
          </w:p>
        </w:tc>
        <w:tc>
          <w:tcPr>
            <w:tcW w:w="480" w:type="dxa"/>
            <w:tcBorders>
              <w:top w:val="nil"/>
              <w:left w:val="nil"/>
              <w:bottom w:val="single" w:sz="8" w:space="0" w:color="auto"/>
              <w:right w:val="single" w:sz="8" w:space="0" w:color="auto"/>
            </w:tcBorders>
            <w:shd w:val="clear" w:color="000000" w:fill="FFFFFF"/>
            <w:vAlign w:val="center"/>
            <w:hideMark/>
          </w:tcPr>
          <w:p w:rsidR="007D7932" w:rsidRPr="007D7932" w:rsidRDefault="007D7932" w:rsidP="007D7932">
            <w:pPr>
              <w:spacing w:after="0" w:line="240" w:lineRule="auto"/>
              <w:jc w:val="center"/>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1</w:t>
            </w:r>
          </w:p>
        </w:tc>
        <w:tc>
          <w:tcPr>
            <w:tcW w:w="720" w:type="dxa"/>
            <w:tcBorders>
              <w:top w:val="nil"/>
              <w:left w:val="nil"/>
              <w:bottom w:val="single" w:sz="8" w:space="0" w:color="auto"/>
              <w:right w:val="single" w:sz="8" w:space="0" w:color="auto"/>
            </w:tcBorders>
            <w:shd w:val="clear" w:color="000000" w:fill="FFFFFF"/>
            <w:vAlign w:val="center"/>
            <w:hideMark/>
          </w:tcPr>
          <w:p w:rsidR="007D7932" w:rsidRPr="007D7932" w:rsidRDefault="007D7932" w:rsidP="007D7932">
            <w:pPr>
              <w:spacing w:after="0" w:line="240" w:lineRule="auto"/>
              <w:jc w:val="center"/>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3</w:t>
            </w:r>
          </w:p>
        </w:tc>
        <w:tc>
          <w:tcPr>
            <w:tcW w:w="1840" w:type="dxa"/>
            <w:tcBorders>
              <w:top w:val="nil"/>
              <w:left w:val="nil"/>
              <w:bottom w:val="single" w:sz="8" w:space="0" w:color="auto"/>
              <w:right w:val="single" w:sz="8" w:space="0" w:color="auto"/>
            </w:tcBorders>
            <w:shd w:val="clear" w:color="000000" w:fill="FFFFFF"/>
            <w:vAlign w:val="center"/>
            <w:hideMark/>
          </w:tcPr>
          <w:p w:rsidR="007D7932" w:rsidRPr="007D7932" w:rsidRDefault="007D7932" w:rsidP="007D7932">
            <w:pPr>
              <w:spacing w:after="0" w:line="240" w:lineRule="auto"/>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Proyecto de presupuesto enviado al Congreso por SEFIN</w:t>
            </w:r>
          </w:p>
        </w:tc>
      </w:tr>
      <w:tr w:rsidR="007D7932" w:rsidRPr="00E82882" w:rsidTr="007D7932">
        <w:trPr>
          <w:trHeight w:val="465"/>
          <w:jc w:val="center"/>
        </w:trPr>
        <w:tc>
          <w:tcPr>
            <w:tcW w:w="9540" w:type="dxa"/>
            <w:gridSpan w:val="9"/>
            <w:tcBorders>
              <w:top w:val="single" w:sz="8" w:space="0" w:color="auto"/>
              <w:left w:val="single" w:sz="8" w:space="0" w:color="auto"/>
              <w:bottom w:val="single" w:sz="8" w:space="0" w:color="auto"/>
              <w:right w:val="single" w:sz="8" w:space="0" w:color="000000"/>
            </w:tcBorders>
            <w:shd w:val="clear" w:color="000000" w:fill="FFFFFF"/>
            <w:vAlign w:val="center"/>
            <w:hideMark/>
          </w:tcPr>
          <w:p w:rsidR="007D7932" w:rsidRPr="007D7932" w:rsidRDefault="007D7932" w:rsidP="007D7932">
            <w:pPr>
              <w:spacing w:after="0" w:line="240" w:lineRule="auto"/>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Capacidad de planificación de la Secretaría de Finanzas y de la Secretaría de Coordinación General de Gobierno fortalecida</w:t>
            </w:r>
          </w:p>
        </w:tc>
      </w:tr>
      <w:tr w:rsidR="007D7932" w:rsidRPr="00E82882" w:rsidTr="007D7932">
        <w:trPr>
          <w:trHeight w:val="2415"/>
          <w:jc w:val="center"/>
        </w:trPr>
        <w:tc>
          <w:tcPr>
            <w:tcW w:w="2040" w:type="dxa"/>
            <w:tcBorders>
              <w:top w:val="nil"/>
              <w:left w:val="single" w:sz="8" w:space="0" w:color="auto"/>
              <w:bottom w:val="single" w:sz="8" w:space="0" w:color="auto"/>
              <w:right w:val="single" w:sz="8" w:space="0" w:color="auto"/>
            </w:tcBorders>
            <w:shd w:val="clear" w:color="000000" w:fill="FFFFFF"/>
            <w:vAlign w:val="center"/>
            <w:hideMark/>
          </w:tcPr>
          <w:p w:rsidR="007D7932" w:rsidRPr="007D7932" w:rsidRDefault="007D7932" w:rsidP="007D7932">
            <w:pPr>
              <w:spacing w:after="0" w:line="240" w:lineRule="auto"/>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 xml:space="preserve">Mayor integración entre la visión estratégica de desarrollo de mediano y largo plazo con el presupuesto y la política fiscal </w:t>
            </w:r>
          </w:p>
        </w:tc>
        <w:tc>
          <w:tcPr>
            <w:tcW w:w="2140" w:type="dxa"/>
            <w:tcBorders>
              <w:top w:val="nil"/>
              <w:left w:val="nil"/>
              <w:bottom w:val="single" w:sz="8" w:space="0" w:color="auto"/>
              <w:right w:val="single" w:sz="8" w:space="0" w:color="auto"/>
            </w:tcBorders>
            <w:shd w:val="clear" w:color="000000" w:fill="FFFFFF"/>
            <w:vAlign w:val="center"/>
            <w:hideMark/>
          </w:tcPr>
          <w:p w:rsidR="007D7932" w:rsidRPr="007D7932" w:rsidRDefault="007D7932" w:rsidP="007D7932">
            <w:pPr>
              <w:spacing w:after="0" w:line="240" w:lineRule="auto"/>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Documento de marco fiscal de mediano plazo que incluye proyecciones multianuales vinculadas al presupuesto y distinguen entre gasto corriente y gasto de inversión</w:t>
            </w:r>
          </w:p>
        </w:tc>
        <w:tc>
          <w:tcPr>
            <w:tcW w:w="680" w:type="dxa"/>
            <w:tcBorders>
              <w:top w:val="nil"/>
              <w:left w:val="nil"/>
              <w:bottom w:val="single" w:sz="8" w:space="0" w:color="auto"/>
              <w:right w:val="single" w:sz="8" w:space="0" w:color="auto"/>
            </w:tcBorders>
            <w:shd w:val="clear" w:color="000000" w:fill="FFFFFF"/>
            <w:vAlign w:val="center"/>
            <w:hideMark/>
          </w:tcPr>
          <w:p w:rsidR="007D7932" w:rsidRPr="007D7932" w:rsidRDefault="007D7932" w:rsidP="007D7932">
            <w:pPr>
              <w:spacing w:after="0" w:line="240" w:lineRule="auto"/>
              <w:jc w:val="center"/>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C</w:t>
            </w:r>
          </w:p>
        </w:tc>
        <w:tc>
          <w:tcPr>
            <w:tcW w:w="680" w:type="dxa"/>
            <w:tcBorders>
              <w:top w:val="nil"/>
              <w:left w:val="nil"/>
              <w:bottom w:val="single" w:sz="8" w:space="0" w:color="auto"/>
              <w:right w:val="single" w:sz="8" w:space="0" w:color="auto"/>
            </w:tcBorders>
            <w:shd w:val="clear" w:color="000000" w:fill="FFFFFF"/>
            <w:vAlign w:val="center"/>
            <w:hideMark/>
          </w:tcPr>
          <w:p w:rsidR="007D7932" w:rsidRPr="007D7932" w:rsidRDefault="007D7932" w:rsidP="007D7932">
            <w:pPr>
              <w:spacing w:after="0" w:line="240" w:lineRule="auto"/>
              <w:jc w:val="center"/>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2013</w:t>
            </w:r>
          </w:p>
        </w:tc>
        <w:tc>
          <w:tcPr>
            <w:tcW w:w="480" w:type="dxa"/>
            <w:tcBorders>
              <w:top w:val="nil"/>
              <w:left w:val="nil"/>
              <w:bottom w:val="single" w:sz="8" w:space="0" w:color="auto"/>
              <w:right w:val="single" w:sz="8" w:space="0" w:color="auto"/>
            </w:tcBorders>
            <w:shd w:val="clear" w:color="000000" w:fill="FFFFFF"/>
            <w:vAlign w:val="center"/>
            <w:hideMark/>
          </w:tcPr>
          <w:p w:rsidR="007D7932" w:rsidRPr="007D7932" w:rsidRDefault="007D7932" w:rsidP="007D7932">
            <w:pPr>
              <w:spacing w:after="0" w:line="240" w:lineRule="auto"/>
              <w:jc w:val="center"/>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 </w:t>
            </w:r>
          </w:p>
        </w:tc>
        <w:tc>
          <w:tcPr>
            <w:tcW w:w="480" w:type="dxa"/>
            <w:tcBorders>
              <w:top w:val="nil"/>
              <w:left w:val="nil"/>
              <w:bottom w:val="single" w:sz="8" w:space="0" w:color="auto"/>
              <w:right w:val="single" w:sz="8" w:space="0" w:color="auto"/>
            </w:tcBorders>
            <w:shd w:val="clear" w:color="000000" w:fill="FFFFFF"/>
            <w:vAlign w:val="center"/>
            <w:hideMark/>
          </w:tcPr>
          <w:p w:rsidR="007D7932" w:rsidRPr="007D7932" w:rsidRDefault="007D7932" w:rsidP="007D7932">
            <w:pPr>
              <w:spacing w:after="0" w:line="240" w:lineRule="auto"/>
              <w:jc w:val="center"/>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 </w:t>
            </w:r>
          </w:p>
        </w:tc>
        <w:tc>
          <w:tcPr>
            <w:tcW w:w="480" w:type="dxa"/>
            <w:tcBorders>
              <w:top w:val="nil"/>
              <w:left w:val="nil"/>
              <w:bottom w:val="single" w:sz="8" w:space="0" w:color="auto"/>
              <w:right w:val="single" w:sz="8" w:space="0" w:color="auto"/>
            </w:tcBorders>
            <w:shd w:val="clear" w:color="000000" w:fill="FFFFFF"/>
            <w:vAlign w:val="center"/>
            <w:hideMark/>
          </w:tcPr>
          <w:p w:rsidR="007D7932" w:rsidRPr="007D7932" w:rsidRDefault="007D7932" w:rsidP="007D7932">
            <w:pPr>
              <w:spacing w:after="0" w:line="240" w:lineRule="auto"/>
              <w:jc w:val="center"/>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 </w:t>
            </w:r>
          </w:p>
        </w:tc>
        <w:tc>
          <w:tcPr>
            <w:tcW w:w="720" w:type="dxa"/>
            <w:tcBorders>
              <w:top w:val="nil"/>
              <w:left w:val="nil"/>
              <w:bottom w:val="single" w:sz="8" w:space="0" w:color="auto"/>
              <w:right w:val="single" w:sz="8" w:space="0" w:color="auto"/>
            </w:tcBorders>
            <w:shd w:val="clear" w:color="000000" w:fill="FFFFFF"/>
            <w:vAlign w:val="center"/>
            <w:hideMark/>
          </w:tcPr>
          <w:p w:rsidR="007D7932" w:rsidRPr="007D7932" w:rsidRDefault="007D7932" w:rsidP="007D7932">
            <w:pPr>
              <w:spacing w:after="0" w:line="240" w:lineRule="auto"/>
              <w:jc w:val="center"/>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A</w:t>
            </w:r>
          </w:p>
        </w:tc>
        <w:tc>
          <w:tcPr>
            <w:tcW w:w="1840" w:type="dxa"/>
            <w:tcBorders>
              <w:top w:val="nil"/>
              <w:left w:val="nil"/>
              <w:bottom w:val="single" w:sz="8" w:space="0" w:color="auto"/>
              <w:right w:val="single" w:sz="8" w:space="0" w:color="auto"/>
            </w:tcBorders>
            <w:shd w:val="clear" w:color="000000" w:fill="FFFFFF"/>
            <w:vAlign w:val="center"/>
            <w:hideMark/>
          </w:tcPr>
          <w:p w:rsidR="007D7932" w:rsidRPr="007D7932" w:rsidRDefault="007D7932" w:rsidP="007D7932">
            <w:pPr>
              <w:spacing w:after="0" w:line="240" w:lineRule="auto"/>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Informe de evaluación del Gasto Público y Rendición de Cuentas (PEFA, por sus siglas en inglés): Indicador ID-12, Dimensión i</w:t>
            </w:r>
          </w:p>
        </w:tc>
      </w:tr>
      <w:tr w:rsidR="007D7932" w:rsidRPr="007D7932" w:rsidTr="007D7932">
        <w:trPr>
          <w:trHeight w:val="300"/>
          <w:jc w:val="center"/>
        </w:trPr>
        <w:tc>
          <w:tcPr>
            <w:tcW w:w="9540" w:type="dxa"/>
            <w:gridSpan w:val="9"/>
            <w:tcBorders>
              <w:top w:val="nil"/>
              <w:left w:val="single" w:sz="8" w:space="0" w:color="auto"/>
              <w:bottom w:val="single" w:sz="8" w:space="0" w:color="auto"/>
              <w:right w:val="nil"/>
            </w:tcBorders>
            <w:shd w:val="clear" w:color="000000" w:fill="C4D79B"/>
            <w:vAlign w:val="center"/>
            <w:hideMark/>
          </w:tcPr>
          <w:p w:rsidR="007D7932" w:rsidRPr="007D7932" w:rsidRDefault="007D7932" w:rsidP="007D7932">
            <w:pPr>
              <w:spacing w:after="0" w:line="240" w:lineRule="auto"/>
              <w:jc w:val="center"/>
              <w:rPr>
                <w:rFonts w:ascii="Arial" w:eastAsia="Times New Roman" w:hAnsi="Arial" w:cs="Arial"/>
                <w:b/>
                <w:bCs/>
                <w:color w:val="000000"/>
                <w:sz w:val="18"/>
                <w:szCs w:val="18"/>
                <w:lang w:val="es-ES" w:eastAsia="es-ES"/>
              </w:rPr>
            </w:pPr>
            <w:r w:rsidRPr="007D7932">
              <w:rPr>
                <w:rFonts w:ascii="Arial" w:eastAsia="Times New Roman" w:hAnsi="Arial" w:cs="Arial"/>
                <w:b/>
                <w:bCs/>
                <w:color w:val="000000"/>
                <w:sz w:val="18"/>
                <w:szCs w:val="18"/>
                <w:lang w:val="es-ES" w:eastAsia="es-ES"/>
              </w:rPr>
              <w:t>Productos esperados</w:t>
            </w:r>
          </w:p>
        </w:tc>
      </w:tr>
      <w:tr w:rsidR="007D7932" w:rsidRPr="00E82882" w:rsidTr="007D7932">
        <w:trPr>
          <w:trHeight w:val="315"/>
          <w:jc w:val="center"/>
        </w:trPr>
        <w:tc>
          <w:tcPr>
            <w:tcW w:w="6980" w:type="dxa"/>
            <w:gridSpan w:val="7"/>
            <w:tcBorders>
              <w:top w:val="single" w:sz="8" w:space="0" w:color="auto"/>
              <w:left w:val="single" w:sz="8" w:space="0" w:color="auto"/>
              <w:bottom w:val="single" w:sz="8" w:space="0" w:color="auto"/>
              <w:right w:val="nil"/>
            </w:tcBorders>
            <w:shd w:val="clear" w:color="000000" w:fill="BFBFBF"/>
            <w:noWrap/>
            <w:vAlign w:val="center"/>
            <w:hideMark/>
          </w:tcPr>
          <w:p w:rsidR="007D7932" w:rsidRPr="007D7932" w:rsidRDefault="007D7932" w:rsidP="007D7932">
            <w:pPr>
              <w:spacing w:after="0" w:line="240" w:lineRule="auto"/>
              <w:rPr>
                <w:rFonts w:ascii="Arial" w:eastAsia="Times New Roman" w:hAnsi="Arial" w:cs="Arial"/>
                <w:b/>
                <w:bCs/>
                <w:color w:val="000000"/>
                <w:sz w:val="18"/>
                <w:szCs w:val="18"/>
                <w:lang w:val="es-ES" w:eastAsia="es-ES"/>
              </w:rPr>
            </w:pPr>
            <w:r w:rsidRPr="007D7932">
              <w:rPr>
                <w:rFonts w:ascii="Arial" w:eastAsia="Times New Roman" w:hAnsi="Arial" w:cs="Arial"/>
                <w:b/>
                <w:bCs/>
                <w:color w:val="000000"/>
                <w:sz w:val="18"/>
                <w:szCs w:val="18"/>
                <w:lang w:val="es-ES" w:eastAsia="es-ES"/>
              </w:rPr>
              <w:t xml:space="preserve">Componente 1: Apoyo a la implementación del Marco Fiscal de Mediano Plazo </w:t>
            </w:r>
          </w:p>
        </w:tc>
        <w:tc>
          <w:tcPr>
            <w:tcW w:w="720" w:type="dxa"/>
            <w:tcBorders>
              <w:top w:val="nil"/>
              <w:left w:val="nil"/>
              <w:bottom w:val="single" w:sz="8" w:space="0" w:color="auto"/>
              <w:right w:val="nil"/>
            </w:tcBorders>
            <w:shd w:val="clear" w:color="000000" w:fill="BFBFBF"/>
            <w:noWrap/>
            <w:vAlign w:val="center"/>
            <w:hideMark/>
          </w:tcPr>
          <w:p w:rsidR="007D7932" w:rsidRPr="007D7932" w:rsidRDefault="007D7932" w:rsidP="007D7932">
            <w:pPr>
              <w:spacing w:after="0" w:line="240" w:lineRule="auto"/>
              <w:rPr>
                <w:rFonts w:ascii="Arial" w:eastAsia="Times New Roman" w:hAnsi="Arial" w:cs="Arial"/>
                <w:b/>
                <w:bCs/>
                <w:color w:val="000000"/>
                <w:sz w:val="18"/>
                <w:szCs w:val="18"/>
                <w:lang w:val="es-ES" w:eastAsia="es-ES"/>
              </w:rPr>
            </w:pPr>
            <w:r w:rsidRPr="007D7932">
              <w:rPr>
                <w:rFonts w:ascii="Arial" w:eastAsia="Times New Roman" w:hAnsi="Arial" w:cs="Arial"/>
                <w:b/>
                <w:bCs/>
                <w:color w:val="000000"/>
                <w:sz w:val="18"/>
                <w:szCs w:val="18"/>
                <w:lang w:val="es-ES" w:eastAsia="es-ES"/>
              </w:rPr>
              <w:t> </w:t>
            </w:r>
          </w:p>
        </w:tc>
        <w:tc>
          <w:tcPr>
            <w:tcW w:w="1840" w:type="dxa"/>
            <w:tcBorders>
              <w:top w:val="nil"/>
              <w:left w:val="nil"/>
              <w:bottom w:val="single" w:sz="8" w:space="0" w:color="auto"/>
              <w:right w:val="single" w:sz="8" w:space="0" w:color="000000"/>
            </w:tcBorders>
            <w:shd w:val="clear" w:color="000000" w:fill="BFBFBF"/>
            <w:noWrap/>
            <w:vAlign w:val="center"/>
            <w:hideMark/>
          </w:tcPr>
          <w:p w:rsidR="007D7932" w:rsidRPr="007D7932" w:rsidRDefault="007D7932" w:rsidP="007D7932">
            <w:pPr>
              <w:spacing w:after="0" w:line="240" w:lineRule="auto"/>
              <w:rPr>
                <w:rFonts w:ascii="Arial" w:eastAsia="Times New Roman" w:hAnsi="Arial" w:cs="Arial"/>
                <w:b/>
                <w:bCs/>
                <w:color w:val="000000"/>
                <w:sz w:val="18"/>
                <w:szCs w:val="18"/>
                <w:lang w:val="es-ES" w:eastAsia="es-ES"/>
              </w:rPr>
            </w:pPr>
            <w:r w:rsidRPr="007D7932">
              <w:rPr>
                <w:rFonts w:ascii="Arial" w:eastAsia="Times New Roman" w:hAnsi="Arial" w:cs="Arial"/>
                <w:b/>
                <w:bCs/>
                <w:color w:val="000000"/>
                <w:sz w:val="18"/>
                <w:szCs w:val="18"/>
                <w:lang w:val="es-ES" w:eastAsia="es-ES"/>
              </w:rPr>
              <w:t> </w:t>
            </w:r>
          </w:p>
        </w:tc>
      </w:tr>
      <w:tr w:rsidR="007D7932" w:rsidRPr="00E82882" w:rsidTr="007D7932">
        <w:trPr>
          <w:trHeight w:val="2175"/>
          <w:jc w:val="center"/>
        </w:trPr>
        <w:tc>
          <w:tcPr>
            <w:tcW w:w="2040" w:type="dxa"/>
            <w:tcBorders>
              <w:top w:val="nil"/>
              <w:left w:val="single" w:sz="8" w:space="0" w:color="auto"/>
              <w:bottom w:val="single" w:sz="8" w:space="0" w:color="auto"/>
              <w:right w:val="single" w:sz="8" w:space="0" w:color="auto"/>
            </w:tcBorders>
            <w:shd w:val="clear" w:color="000000" w:fill="FFFFFF"/>
            <w:vAlign w:val="center"/>
            <w:hideMark/>
          </w:tcPr>
          <w:p w:rsidR="007D7932" w:rsidRPr="007D7932" w:rsidRDefault="007D7932" w:rsidP="007D7932">
            <w:pPr>
              <w:spacing w:after="0" w:line="240" w:lineRule="auto"/>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1.1. Modelos macroeconómicos para la realización de proyecciones, análisis de consistencia, y medición del impacto de la política fiscal (diseñados y validados por el Banco)</w:t>
            </w:r>
          </w:p>
        </w:tc>
        <w:tc>
          <w:tcPr>
            <w:tcW w:w="2140" w:type="dxa"/>
            <w:tcBorders>
              <w:top w:val="nil"/>
              <w:left w:val="nil"/>
              <w:bottom w:val="single" w:sz="8" w:space="0" w:color="auto"/>
              <w:right w:val="single" w:sz="8" w:space="0" w:color="auto"/>
            </w:tcBorders>
            <w:shd w:val="clear" w:color="000000" w:fill="FFFFFF"/>
            <w:vAlign w:val="center"/>
            <w:hideMark/>
          </w:tcPr>
          <w:p w:rsidR="007D7932" w:rsidRPr="007D7932" w:rsidRDefault="007D7932" w:rsidP="007D7932">
            <w:pPr>
              <w:spacing w:after="0" w:line="240" w:lineRule="auto"/>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Modelos</w:t>
            </w:r>
          </w:p>
        </w:tc>
        <w:tc>
          <w:tcPr>
            <w:tcW w:w="680" w:type="dxa"/>
            <w:tcBorders>
              <w:top w:val="nil"/>
              <w:left w:val="nil"/>
              <w:bottom w:val="single" w:sz="8" w:space="0" w:color="auto"/>
              <w:right w:val="single" w:sz="8" w:space="0" w:color="auto"/>
            </w:tcBorders>
            <w:shd w:val="clear" w:color="000000" w:fill="FFFFFF"/>
            <w:noWrap/>
            <w:vAlign w:val="center"/>
            <w:hideMark/>
          </w:tcPr>
          <w:p w:rsidR="007D7932" w:rsidRPr="007D7932" w:rsidRDefault="007D7932" w:rsidP="007D7932">
            <w:pPr>
              <w:spacing w:after="0" w:line="240" w:lineRule="auto"/>
              <w:jc w:val="center"/>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0</w:t>
            </w:r>
          </w:p>
        </w:tc>
        <w:tc>
          <w:tcPr>
            <w:tcW w:w="680" w:type="dxa"/>
            <w:tcBorders>
              <w:top w:val="nil"/>
              <w:left w:val="nil"/>
              <w:bottom w:val="single" w:sz="8" w:space="0" w:color="auto"/>
              <w:right w:val="single" w:sz="8" w:space="0" w:color="auto"/>
            </w:tcBorders>
            <w:shd w:val="clear" w:color="000000" w:fill="FFFFFF"/>
            <w:noWrap/>
            <w:vAlign w:val="center"/>
            <w:hideMark/>
          </w:tcPr>
          <w:p w:rsidR="007D7932" w:rsidRPr="007D7932" w:rsidRDefault="007D7932" w:rsidP="007D7932">
            <w:pPr>
              <w:spacing w:after="0" w:line="240" w:lineRule="auto"/>
              <w:jc w:val="center"/>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2015</w:t>
            </w:r>
          </w:p>
        </w:tc>
        <w:tc>
          <w:tcPr>
            <w:tcW w:w="480" w:type="dxa"/>
            <w:tcBorders>
              <w:top w:val="nil"/>
              <w:left w:val="nil"/>
              <w:bottom w:val="single" w:sz="8" w:space="0" w:color="auto"/>
              <w:right w:val="single" w:sz="8" w:space="0" w:color="auto"/>
            </w:tcBorders>
            <w:shd w:val="clear" w:color="000000" w:fill="FFFFFF"/>
            <w:vAlign w:val="center"/>
            <w:hideMark/>
          </w:tcPr>
          <w:p w:rsidR="007D7932" w:rsidRPr="007D7932" w:rsidRDefault="007D7932" w:rsidP="007D7932">
            <w:pPr>
              <w:spacing w:after="0" w:line="240" w:lineRule="auto"/>
              <w:jc w:val="center"/>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1</w:t>
            </w:r>
          </w:p>
        </w:tc>
        <w:tc>
          <w:tcPr>
            <w:tcW w:w="480" w:type="dxa"/>
            <w:tcBorders>
              <w:top w:val="nil"/>
              <w:left w:val="nil"/>
              <w:bottom w:val="single" w:sz="8" w:space="0" w:color="auto"/>
              <w:right w:val="single" w:sz="8" w:space="0" w:color="auto"/>
            </w:tcBorders>
            <w:shd w:val="clear" w:color="000000" w:fill="FFFFFF"/>
            <w:vAlign w:val="center"/>
            <w:hideMark/>
          </w:tcPr>
          <w:p w:rsidR="007D7932" w:rsidRPr="007D7932" w:rsidRDefault="007D7932" w:rsidP="007D7932">
            <w:pPr>
              <w:spacing w:after="0" w:line="240" w:lineRule="auto"/>
              <w:jc w:val="center"/>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1</w:t>
            </w:r>
          </w:p>
        </w:tc>
        <w:tc>
          <w:tcPr>
            <w:tcW w:w="480" w:type="dxa"/>
            <w:tcBorders>
              <w:top w:val="nil"/>
              <w:left w:val="nil"/>
              <w:bottom w:val="single" w:sz="8" w:space="0" w:color="auto"/>
              <w:right w:val="single" w:sz="8" w:space="0" w:color="auto"/>
            </w:tcBorders>
            <w:shd w:val="clear" w:color="000000" w:fill="FFFFFF"/>
            <w:vAlign w:val="center"/>
            <w:hideMark/>
          </w:tcPr>
          <w:p w:rsidR="007D7932" w:rsidRPr="007D7932" w:rsidRDefault="007D7932" w:rsidP="007D7932">
            <w:pPr>
              <w:spacing w:after="0" w:line="240" w:lineRule="auto"/>
              <w:jc w:val="center"/>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1</w:t>
            </w:r>
          </w:p>
        </w:tc>
        <w:tc>
          <w:tcPr>
            <w:tcW w:w="720" w:type="dxa"/>
            <w:tcBorders>
              <w:top w:val="nil"/>
              <w:left w:val="nil"/>
              <w:bottom w:val="single" w:sz="8" w:space="0" w:color="auto"/>
              <w:right w:val="single" w:sz="8" w:space="0" w:color="auto"/>
            </w:tcBorders>
            <w:shd w:val="clear" w:color="000000" w:fill="FFFFFF"/>
            <w:noWrap/>
            <w:vAlign w:val="center"/>
            <w:hideMark/>
          </w:tcPr>
          <w:p w:rsidR="007D7932" w:rsidRPr="007D7932" w:rsidRDefault="007D7932" w:rsidP="007D7932">
            <w:pPr>
              <w:spacing w:after="0" w:line="240" w:lineRule="auto"/>
              <w:jc w:val="center"/>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3</w:t>
            </w:r>
          </w:p>
        </w:tc>
        <w:tc>
          <w:tcPr>
            <w:tcW w:w="1840" w:type="dxa"/>
            <w:tcBorders>
              <w:top w:val="nil"/>
              <w:left w:val="nil"/>
              <w:bottom w:val="single" w:sz="8" w:space="0" w:color="auto"/>
              <w:right w:val="single" w:sz="8" w:space="0" w:color="auto"/>
            </w:tcBorders>
            <w:shd w:val="clear" w:color="000000" w:fill="FFFFFF"/>
            <w:vAlign w:val="center"/>
            <w:hideMark/>
          </w:tcPr>
          <w:p w:rsidR="007D7932" w:rsidRPr="007D7932" w:rsidRDefault="007D7932" w:rsidP="007D7932">
            <w:pPr>
              <w:spacing w:after="0" w:line="240" w:lineRule="auto"/>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Informe descriptivo de los modelos desarrollados</w:t>
            </w:r>
          </w:p>
        </w:tc>
      </w:tr>
      <w:tr w:rsidR="007D7932" w:rsidRPr="00E82882" w:rsidTr="007D7932">
        <w:trPr>
          <w:trHeight w:val="1455"/>
          <w:jc w:val="center"/>
        </w:trPr>
        <w:tc>
          <w:tcPr>
            <w:tcW w:w="2040" w:type="dxa"/>
            <w:tcBorders>
              <w:top w:val="nil"/>
              <w:left w:val="single" w:sz="8" w:space="0" w:color="auto"/>
              <w:bottom w:val="single" w:sz="8" w:space="0" w:color="auto"/>
              <w:right w:val="single" w:sz="8" w:space="0" w:color="auto"/>
            </w:tcBorders>
            <w:shd w:val="clear" w:color="000000" w:fill="FFFFFF"/>
            <w:vAlign w:val="center"/>
            <w:hideMark/>
          </w:tcPr>
          <w:p w:rsidR="007D7932" w:rsidRPr="007D7932" w:rsidRDefault="007D7932" w:rsidP="007D7932">
            <w:pPr>
              <w:spacing w:after="0" w:line="240" w:lineRule="auto"/>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1.2. Reformas sectoriales enmarcadas en el programa de consolidación fiscal implementadas</w:t>
            </w:r>
          </w:p>
        </w:tc>
        <w:tc>
          <w:tcPr>
            <w:tcW w:w="2140" w:type="dxa"/>
            <w:tcBorders>
              <w:top w:val="nil"/>
              <w:left w:val="nil"/>
              <w:bottom w:val="single" w:sz="8" w:space="0" w:color="auto"/>
              <w:right w:val="single" w:sz="8" w:space="0" w:color="auto"/>
            </w:tcBorders>
            <w:shd w:val="clear" w:color="000000" w:fill="FFFFFF"/>
            <w:vAlign w:val="center"/>
            <w:hideMark/>
          </w:tcPr>
          <w:p w:rsidR="007D7932" w:rsidRPr="007D7932" w:rsidRDefault="007D7932" w:rsidP="007D7932">
            <w:pPr>
              <w:spacing w:after="0" w:line="240" w:lineRule="auto"/>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Número de reformas implementadas</w:t>
            </w:r>
          </w:p>
        </w:tc>
        <w:tc>
          <w:tcPr>
            <w:tcW w:w="680" w:type="dxa"/>
            <w:tcBorders>
              <w:top w:val="nil"/>
              <w:left w:val="nil"/>
              <w:bottom w:val="single" w:sz="8" w:space="0" w:color="auto"/>
              <w:right w:val="single" w:sz="8" w:space="0" w:color="auto"/>
            </w:tcBorders>
            <w:shd w:val="clear" w:color="000000" w:fill="FFFFFF"/>
            <w:noWrap/>
            <w:vAlign w:val="center"/>
            <w:hideMark/>
          </w:tcPr>
          <w:p w:rsidR="007D7932" w:rsidRPr="007D7932" w:rsidRDefault="007D7932" w:rsidP="007D7932">
            <w:pPr>
              <w:spacing w:after="0" w:line="240" w:lineRule="auto"/>
              <w:jc w:val="center"/>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0</w:t>
            </w:r>
          </w:p>
        </w:tc>
        <w:tc>
          <w:tcPr>
            <w:tcW w:w="680" w:type="dxa"/>
            <w:tcBorders>
              <w:top w:val="nil"/>
              <w:left w:val="nil"/>
              <w:bottom w:val="single" w:sz="8" w:space="0" w:color="auto"/>
              <w:right w:val="single" w:sz="8" w:space="0" w:color="auto"/>
            </w:tcBorders>
            <w:shd w:val="clear" w:color="000000" w:fill="FFFFFF"/>
            <w:noWrap/>
            <w:vAlign w:val="center"/>
            <w:hideMark/>
          </w:tcPr>
          <w:p w:rsidR="007D7932" w:rsidRPr="007D7932" w:rsidRDefault="007D7932" w:rsidP="007D7932">
            <w:pPr>
              <w:spacing w:after="0" w:line="240" w:lineRule="auto"/>
              <w:jc w:val="center"/>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2015</w:t>
            </w:r>
          </w:p>
        </w:tc>
        <w:tc>
          <w:tcPr>
            <w:tcW w:w="480" w:type="dxa"/>
            <w:tcBorders>
              <w:top w:val="nil"/>
              <w:left w:val="nil"/>
              <w:bottom w:val="single" w:sz="8" w:space="0" w:color="auto"/>
              <w:right w:val="single" w:sz="8" w:space="0" w:color="auto"/>
            </w:tcBorders>
            <w:shd w:val="clear" w:color="000000" w:fill="FFFFFF"/>
            <w:vAlign w:val="center"/>
            <w:hideMark/>
          </w:tcPr>
          <w:p w:rsidR="007D7932" w:rsidRPr="007D7932" w:rsidRDefault="007D7932" w:rsidP="007D7932">
            <w:pPr>
              <w:spacing w:after="0" w:line="240" w:lineRule="auto"/>
              <w:jc w:val="center"/>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1</w:t>
            </w:r>
          </w:p>
        </w:tc>
        <w:tc>
          <w:tcPr>
            <w:tcW w:w="480" w:type="dxa"/>
            <w:tcBorders>
              <w:top w:val="nil"/>
              <w:left w:val="nil"/>
              <w:bottom w:val="single" w:sz="8" w:space="0" w:color="auto"/>
              <w:right w:val="single" w:sz="8" w:space="0" w:color="auto"/>
            </w:tcBorders>
            <w:shd w:val="clear" w:color="000000" w:fill="FFFFFF"/>
            <w:vAlign w:val="center"/>
            <w:hideMark/>
          </w:tcPr>
          <w:p w:rsidR="007D7932" w:rsidRPr="007D7932" w:rsidRDefault="007D7932" w:rsidP="007D7932">
            <w:pPr>
              <w:spacing w:after="0" w:line="240" w:lineRule="auto"/>
              <w:jc w:val="center"/>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1</w:t>
            </w:r>
          </w:p>
        </w:tc>
        <w:tc>
          <w:tcPr>
            <w:tcW w:w="480" w:type="dxa"/>
            <w:tcBorders>
              <w:top w:val="nil"/>
              <w:left w:val="nil"/>
              <w:bottom w:val="single" w:sz="8" w:space="0" w:color="auto"/>
              <w:right w:val="single" w:sz="8" w:space="0" w:color="auto"/>
            </w:tcBorders>
            <w:shd w:val="clear" w:color="000000" w:fill="FFFFFF"/>
            <w:vAlign w:val="center"/>
            <w:hideMark/>
          </w:tcPr>
          <w:p w:rsidR="007D7932" w:rsidRPr="007D7932" w:rsidRDefault="007D7932" w:rsidP="007D7932">
            <w:pPr>
              <w:spacing w:after="0" w:line="240" w:lineRule="auto"/>
              <w:jc w:val="center"/>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0</w:t>
            </w:r>
          </w:p>
        </w:tc>
        <w:tc>
          <w:tcPr>
            <w:tcW w:w="720" w:type="dxa"/>
            <w:tcBorders>
              <w:top w:val="nil"/>
              <w:left w:val="nil"/>
              <w:bottom w:val="single" w:sz="8" w:space="0" w:color="auto"/>
              <w:right w:val="single" w:sz="8" w:space="0" w:color="auto"/>
            </w:tcBorders>
            <w:shd w:val="clear" w:color="000000" w:fill="FFFFFF"/>
            <w:noWrap/>
            <w:vAlign w:val="center"/>
            <w:hideMark/>
          </w:tcPr>
          <w:p w:rsidR="007D7932" w:rsidRPr="007D7932" w:rsidRDefault="007D7932" w:rsidP="007D7932">
            <w:pPr>
              <w:spacing w:after="0" w:line="240" w:lineRule="auto"/>
              <w:jc w:val="center"/>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2</w:t>
            </w:r>
          </w:p>
        </w:tc>
        <w:tc>
          <w:tcPr>
            <w:tcW w:w="1840" w:type="dxa"/>
            <w:tcBorders>
              <w:top w:val="nil"/>
              <w:left w:val="nil"/>
              <w:bottom w:val="single" w:sz="8" w:space="0" w:color="auto"/>
              <w:right w:val="single" w:sz="8" w:space="0" w:color="auto"/>
            </w:tcBorders>
            <w:shd w:val="clear" w:color="000000" w:fill="FFFFFF"/>
            <w:vAlign w:val="center"/>
            <w:hideMark/>
          </w:tcPr>
          <w:p w:rsidR="007D7932" w:rsidRPr="007D7932" w:rsidRDefault="007D7932" w:rsidP="007D7932">
            <w:pPr>
              <w:spacing w:after="0" w:line="240" w:lineRule="auto"/>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 xml:space="preserve">Revisión de programa con el FMI </w:t>
            </w:r>
          </w:p>
        </w:tc>
      </w:tr>
      <w:tr w:rsidR="007D7932" w:rsidRPr="007D7932" w:rsidTr="007D7932">
        <w:trPr>
          <w:trHeight w:val="1215"/>
          <w:jc w:val="center"/>
        </w:trPr>
        <w:tc>
          <w:tcPr>
            <w:tcW w:w="2040" w:type="dxa"/>
            <w:tcBorders>
              <w:top w:val="nil"/>
              <w:left w:val="single" w:sz="8" w:space="0" w:color="auto"/>
              <w:bottom w:val="single" w:sz="8" w:space="0" w:color="auto"/>
              <w:right w:val="single" w:sz="8" w:space="0" w:color="auto"/>
            </w:tcBorders>
            <w:shd w:val="clear" w:color="000000" w:fill="FFFFFF"/>
            <w:vAlign w:val="center"/>
            <w:hideMark/>
          </w:tcPr>
          <w:p w:rsidR="007D7932" w:rsidRPr="007D7932" w:rsidRDefault="007D7932" w:rsidP="007D7932">
            <w:pPr>
              <w:spacing w:after="0" w:line="240" w:lineRule="auto"/>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1.3.  Propuesta de modificación de marco legal de política de endeudamiento elaborada</w:t>
            </w:r>
          </w:p>
        </w:tc>
        <w:tc>
          <w:tcPr>
            <w:tcW w:w="2140" w:type="dxa"/>
            <w:tcBorders>
              <w:top w:val="nil"/>
              <w:left w:val="nil"/>
              <w:bottom w:val="single" w:sz="8" w:space="0" w:color="auto"/>
              <w:right w:val="single" w:sz="8" w:space="0" w:color="auto"/>
            </w:tcBorders>
            <w:shd w:val="clear" w:color="000000" w:fill="FFFFFF"/>
            <w:vAlign w:val="center"/>
            <w:hideMark/>
          </w:tcPr>
          <w:p w:rsidR="007D7932" w:rsidRPr="007D7932" w:rsidRDefault="007D7932" w:rsidP="007D7932">
            <w:pPr>
              <w:spacing w:after="0" w:line="240" w:lineRule="auto"/>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Informes</w:t>
            </w:r>
          </w:p>
        </w:tc>
        <w:tc>
          <w:tcPr>
            <w:tcW w:w="680" w:type="dxa"/>
            <w:tcBorders>
              <w:top w:val="nil"/>
              <w:left w:val="nil"/>
              <w:bottom w:val="single" w:sz="8" w:space="0" w:color="auto"/>
              <w:right w:val="single" w:sz="8" w:space="0" w:color="auto"/>
            </w:tcBorders>
            <w:shd w:val="clear" w:color="000000" w:fill="FFFFFF"/>
            <w:noWrap/>
            <w:vAlign w:val="center"/>
            <w:hideMark/>
          </w:tcPr>
          <w:p w:rsidR="007D7932" w:rsidRPr="007D7932" w:rsidRDefault="007D7932" w:rsidP="007D7932">
            <w:pPr>
              <w:spacing w:after="0" w:line="240" w:lineRule="auto"/>
              <w:jc w:val="center"/>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0</w:t>
            </w:r>
          </w:p>
        </w:tc>
        <w:tc>
          <w:tcPr>
            <w:tcW w:w="680" w:type="dxa"/>
            <w:tcBorders>
              <w:top w:val="nil"/>
              <w:left w:val="nil"/>
              <w:bottom w:val="single" w:sz="8" w:space="0" w:color="auto"/>
              <w:right w:val="single" w:sz="8" w:space="0" w:color="auto"/>
            </w:tcBorders>
            <w:shd w:val="clear" w:color="000000" w:fill="FFFFFF"/>
            <w:noWrap/>
            <w:vAlign w:val="center"/>
            <w:hideMark/>
          </w:tcPr>
          <w:p w:rsidR="007D7932" w:rsidRPr="007D7932" w:rsidRDefault="007D7932" w:rsidP="007D7932">
            <w:pPr>
              <w:spacing w:after="0" w:line="240" w:lineRule="auto"/>
              <w:jc w:val="center"/>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2015</w:t>
            </w:r>
          </w:p>
        </w:tc>
        <w:tc>
          <w:tcPr>
            <w:tcW w:w="480" w:type="dxa"/>
            <w:tcBorders>
              <w:top w:val="nil"/>
              <w:left w:val="nil"/>
              <w:bottom w:val="single" w:sz="8" w:space="0" w:color="auto"/>
              <w:right w:val="single" w:sz="8" w:space="0" w:color="auto"/>
            </w:tcBorders>
            <w:shd w:val="clear" w:color="000000" w:fill="FFFFFF"/>
            <w:vAlign w:val="center"/>
            <w:hideMark/>
          </w:tcPr>
          <w:p w:rsidR="007D7932" w:rsidRPr="007D7932" w:rsidRDefault="007D7932" w:rsidP="007D7932">
            <w:pPr>
              <w:spacing w:after="0" w:line="240" w:lineRule="auto"/>
              <w:jc w:val="center"/>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0</w:t>
            </w:r>
          </w:p>
        </w:tc>
        <w:tc>
          <w:tcPr>
            <w:tcW w:w="480" w:type="dxa"/>
            <w:tcBorders>
              <w:top w:val="nil"/>
              <w:left w:val="nil"/>
              <w:bottom w:val="single" w:sz="8" w:space="0" w:color="auto"/>
              <w:right w:val="single" w:sz="8" w:space="0" w:color="auto"/>
            </w:tcBorders>
            <w:shd w:val="clear" w:color="000000" w:fill="FFFFFF"/>
            <w:vAlign w:val="center"/>
            <w:hideMark/>
          </w:tcPr>
          <w:p w:rsidR="007D7932" w:rsidRPr="007D7932" w:rsidRDefault="007D7932" w:rsidP="007D7932">
            <w:pPr>
              <w:spacing w:after="0" w:line="240" w:lineRule="auto"/>
              <w:jc w:val="center"/>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0</w:t>
            </w:r>
          </w:p>
        </w:tc>
        <w:tc>
          <w:tcPr>
            <w:tcW w:w="480" w:type="dxa"/>
            <w:tcBorders>
              <w:top w:val="nil"/>
              <w:left w:val="nil"/>
              <w:bottom w:val="single" w:sz="8" w:space="0" w:color="auto"/>
              <w:right w:val="single" w:sz="8" w:space="0" w:color="auto"/>
            </w:tcBorders>
            <w:shd w:val="clear" w:color="000000" w:fill="FFFFFF"/>
            <w:vAlign w:val="center"/>
            <w:hideMark/>
          </w:tcPr>
          <w:p w:rsidR="007D7932" w:rsidRPr="007D7932" w:rsidRDefault="007D7932" w:rsidP="007D7932">
            <w:pPr>
              <w:spacing w:after="0" w:line="240" w:lineRule="auto"/>
              <w:jc w:val="center"/>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1</w:t>
            </w:r>
          </w:p>
        </w:tc>
        <w:tc>
          <w:tcPr>
            <w:tcW w:w="720" w:type="dxa"/>
            <w:tcBorders>
              <w:top w:val="nil"/>
              <w:left w:val="nil"/>
              <w:bottom w:val="single" w:sz="8" w:space="0" w:color="auto"/>
              <w:right w:val="single" w:sz="8" w:space="0" w:color="auto"/>
            </w:tcBorders>
            <w:shd w:val="clear" w:color="000000" w:fill="FFFFFF"/>
            <w:noWrap/>
            <w:vAlign w:val="center"/>
            <w:hideMark/>
          </w:tcPr>
          <w:p w:rsidR="007D7932" w:rsidRPr="007D7932" w:rsidRDefault="007D7932" w:rsidP="007D7932">
            <w:pPr>
              <w:spacing w:after="0" w:line="240" w:lineRule="auto"/>
              <w:jc w:val="center"/>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1</w:t>
            </w:r>
          </w:p>
        </w:tc>
        <w:tc>
          <w:tcPr>
            <w:tcW w:w="1840" w:type="dxa"/>
            <w:tcBorders>
              <w:top w:val="nil"/>
              <w:left w:val="nil"/>
              <w:bottom w:val="single" w:sz="8" w:space="0" w:color="auto"/>
              <w:right w:val="single" w:sz="8" w:space="0" w:color="auto"/>
            </w:tcBorders>
            <w:shd w:val="clear" w:color="000000" w:fill="FFFFFF"/>
            <w:noWrap/>
            <w:vAlign w:val="center"/>
            <w:hideMark/>
          </w:tcPr>
          <w:p w:rsidR="007D7932" w:rsidRPr="007D7932" w:rsidRDefault="007D7932" w:rsidP="007D7932">
            <w:pPr>
              <w:spacing w:after="0" w:line="240" w:lineRule="auto"/>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Borrador de ley</w:t>
            </w:r>
          </w:p>
        </w:tc>
      </w:tr>
      <w:tr w:rsidR="007D7932" w:rsidRPr="00E82882" w:rsidTr="007D7932">
        <w:trPr>
          <w:trHeight w:val="1455"/>
          <w:jc w:val="center"/>
        </w:trPr>
        <w:tc>
          <w:tcPr>
            <w:tcW w:w="2040" w:type="dxa"/>
            <w:tcBorders>
              <w:top w:val="nil"/>
              <w:left w:val="single" w:sz="8" w:space="0" w:color="auto"/>
              <w:bottom w:val="single" w:sz="8" w:space="0" w:color="auto"/>
              <w:right w:val="single" w:sz="8" w:space="0" w:color="auto"/>
            </w:tcBorders>
            <w:shd w:val="clear" w:color="000000" w:fill="FFFFFF"/>
            <w:vAlign w:val="center"/>
            <w:hideMark/>
          </w:tcPr>
          <w:p w:rsidR="007D7932" w:rsidRPr="007D7932" w:rsidRDefault="007D7932" w:rsidP="007D7932">
            <w:pPr>
              <w:spacing w:after="0" w:line="240" w:lineRule="auto"/>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lastRenderedPageBreak/>
              <w:t>1.4. Procedimientos de evaluación y emisión de garantías del gobierno central desarrollados y validados por el Banco</w:t>
            </w:r>
          </w:p>
        </w:tc>
        <w:tc>
          <w:tcPr>
            <w:tcW w:w="2140" w:type="dxa"/>
            <w:tcBorders>
              <w:top w:val="nil"/>
              <w:left w:val="nil"/>
              <w:bottom w:val="single" w:sz="8" w:space="0" w:color="auto"/>
              <w:right w:val="single" w:sz="8" w:space="0" w:color="auto"/>
            </w:tcBorders>
            <w:shd w:val="clear" w:color="000000" w:fill="FFFFFF"/>
            <w:vAlign w:val="center"/>
            <w:hideMark/>
          </w:tcPr>
          <w:p w:rsidR="007D7932" w:rsidRPr="007D7932" w:rsidRDefault="007D7932" w:rsidP="007D7932">
            <w:pPr>
              <w:spacing w:after="0" w:line="240" w:lineRule="auto"/>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Informes</w:t>
            </w:r>
          </w:p>
        </w:tc>
        <w:tc>
          <w:tcPr>
            <w:tcW w:w="680" w:type="dxa"/>
            <w:tcBorders>
              <w:top w:val="nil"/>
              <w:left w:val="nil"/>
              <w:bottom w:val="single" w:sz="8" w:space="0" w:color="auto"/>
              <w:right w:val="single" w:sz="8" w:space="0" w:color="auto"/>
            </w:tcBorders>
            <w:shd w:val="clear" w:color="000000" w:fill="FFFFFF"/>
            <w:noWrap/>
            <w:vAlign w:val="center"/>
            <w:hideMark/>
          </w:tcPr>
          <w:p w:rsidR="007D7932" w:rsidRPr="007D7932" w:rsidRDefault="007D7932" w:rsidP="007D7932">
            <w:pPr>
              <w:spacing w:after="0" w:line="240" w:lineRule="auto"/>
              <w:jc w:val="center"/>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0</w:t>
            </w:r>
          </w:p>
        </w:tc>
        <w:tc>
          <w:tcPr>
            <w:tcW w:w="680" w:type="dxa"/>
            <w:tcBorders>
              <w:top w:val="nil"/>
              <w:left w:val="nil"/>
              <w:bottom w:val="single" w:sz="8" w:space="0" w:color="auto"/>
              <w:right w:val="single" w:sz="8" w:space="0" w:color="auto"/>
            </w:tcBorders>
            <w:shd w:val="clear" w:color="000000" w:fill="FFFFFF"/>
            <w:noWrap/>
            <w:vAlign w:val="center"/>
            <w:hideMark/>
          </w:tcPr>
          <w:p w:rsidR="007D7932" w:rsidRPr="007D7932" w:rsidRDefault="007D7932" w:rsidP="007D7932">
            <w:pPr>
              <w:spacing w:after="0" w:line="240" w:lineRule="auto"/>
              <w:jc w:val="center"/>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2015</w:t>
            </w:r>
          </w:p>
        </w:tc>
        <w:tc>
          <w:tcPr>
            <w:tcW w:w="480" w:type="dxa"/>
            <w:tcBorders>
              <w:top w:val="nil"/>
              <w:left w:val="nil"/>
              <w:bottom w:val="single" w:sz="8" w:space="0" w:color="auto"/>
              <w:right w:val="single" w:sz="8" w:space="0" w:color="auto"/>
            </w:tcBorders>
            <w:shd w:val="clear" w:color="000000" w:fill="FFFFFF"/>
            <w:vAlign w:val="center"/>
            <w:hideMark/>
          </w:tcPr>
          <w:p w:rsidR="007D7932" w:rsidRPr="007D7932" w:rsidRDefault="007D7932" w:rsidP="007D7932">
            <w:pPr>
              <w:spacing w:after="0" w:line="240" w:lineRule="auto"/>
              <w:jc w:val="center"/>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0</w:t>
            </w:r>
          </w:p>
        </w:tc>
        <w:tc>
          <w:tcPr>
            <w:tcW w:w="480" w:type="dxa"/>
            <w:tcBorders>
              <w:top w:val="nil"/>
              <w:left w:val="nil"/>
              <w:bottom w:val="single" w:sz="8" w:space="0" w:color="auto"/>
              <w:right w:val="single" w:sz="8" w:space="0" w:color="auto"/>
            </w:tcBorders>
            <w:shd w:val="clear" w:color="000000" w:fill="FFFFFF"/>
            <w:vAlign w:val="center"/>
            <w:hideMark/>
          </w:tcPr>
          <w:p w:rsidR="007D7932" w:rsidRPr="007D7932" w:rsidRDefault="007D7932" w:rsidP="007D7932">
            <w:pPr>
              <w:spacing w:after="0" w:line="240" w:lineRule="auto"/>
              <w:jc w:val="center"/>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0</w:t>
            </w:r>
          </w:p>
        </w:tc>
        <w:tc>
          <w:tcPr>
            <w:tcW w:w="480" w:type="dxa"/>
            <w:tcBorders>
              <w:top w:val="nil"/>
              <w:left w:val="nil"/>
              <w:bottom w:val="single" w:sz="8" w:space="0" w:color="auto"/>
              <w:right w:val="single" w:sz="8" w:space="0" w:color="auto"/>
            </w:tcBorders>
            <w:shd w:val="clear" w:color="000000" w:fill="FFFFFF"/>
            <w:vAlign w:val="center"/>
            <w:hideMark/>
          </w:tcPr>
          <w:p w:rsidR="007D7932" w:rsidRPr="007D7932" w:rsidRDefault="007D7932" w:rsidP="007D7932">
            <w:pPr>
              <w:spacing w:after="0" w:line="240" w:lineRule="auto"/>
              <w:jc w:val="center"/>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1</w:t>
            </w:r>
          </w:p>
        </w:tc>
        <w:tc>
          <w:tcPr>
            <w:tcW w:w="720" w:type="dxa"/>
            <w:tcBorders>
              <w:top w:val="nil"/>
              <w:left w:val="nil"/>
              <w:bottom w:val="single" w:sz="8" w:space="0" w:color="auto"/>
              <w:right w:val="single" w:sz="8" w:space="0" w:color="auto"/>
            </w:tcBorders>
            <w:shd w:val="clear" w:color="000000" w:fill="FFFFFF"/>
            <w:noWrap/>
            <w:vAlign w:val="center"/>
            <w:hideMark/>
          </w:tcPr>
          <w:p w:rsidR="007D7932" w:rsidRPr="007D7932" w:rsidRDefault="007D7932" w:rsidP="007D7932">
            <w:pPr>
              <w:spacing w:after="0" w:line="240" w:lineRule="auto"/>
              <w:jc w:val="center"/>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1</w:t>
            </w:r>
          </w:p>
        </w:tc>
        <w:tc>
          <w:tcPr>
            <w:tcW w:w="1840" w:type="dxa"/>
            <w:tcBorders>
              <w:top w:val="nil"/>
              <w:left w:val="nil"/>
              <w:bottom w:val="single" w:sz="8" w:space="0" w:color="auto"/>
              <w:right w:val="single" w:sz="8" w:space="0" w:color="auto"/>
            </w:tcBorders>
            <w:shd w:val="clear" w:color="000000" w:fill="FFFFFF"/>
            <w:vAlign w:val="center"/>
            <w:hideMark/>
          </w:tcPr>
          <w:p w:rsidR="007D7932" w:rsidRPr="007D7932" w:rsidRDefault="007D7932" w:rsidP="007D7932">
            <w:pPr>
              <w:spacing w:after="0" w:line="240" w:lineRule="auto"/>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Informe metodológico de evaluación y emisión de garantías</w:t>
            </w:r>
          </w:p>
        </w:tc>
      </w:tr>
      <w:tr w:rsidR="007D7932" w:rsidRPr="00E82882" w:rsidTr="007D7932">
        <w:trPr>
          <w:trHeight w:val="1215"/>
          <w:jc w:val="center"/>
        </w:trPr>
        <w:tc>
          <w:tcPr>
            <w:tcW w:w="2040" w:type="dxa"/>
            <w:tcBorders>
              <w:top w:val="nil"/>
              <w:left w:val="single" w:sz="8" w:space="0" w:color="auto"/>
              <w:bottom w:val="single" w:sz="8" w:space="0" w:color="auto"/>
              <w:right w:val="single" w:sz="8" w:space="0" w:color="auto"/>
            </w:tcBorders>
            <w:shd w:val="clear" w:color="000000" w:fill="FFFFFF"/>
            <w:vAlign w:val="center"/>
            <w:hideMark/>
          </w:tcPr>
          <w:p w:rsidR="007D7932" w:rsidRPr="007D7932" w:rsidRDefault="007D7932" w:rsidP="007D7932">
            <w:pPr>
              <w:spacing w:after="0" w:line="240" w:lineRule="auto"/>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1.5. Contingencias fiscales identificadas y cuantificadas</w:t>
            </w:r>
          </w:p>
        </w:tc>
        <w:tc>
          <w:tcPr>
            <w:tcW w:w="2140" w:type="dxa"/>
            <w:tcBorders>
              <w:top w:val="nil"/>
              <w:left w:val="nil"/>
              <w:bottom w:val="single" w:sz="8" w:space="0" w:color="auto"/>
              <w:right w:val="single" w:sz="8" w:space="0" w:color="auto"/>
            </w:tcBorders>
            <w:shd w:val="clear" w:color="000000" w:fill="FFFFFF"/>
            <w:vAlign w:val="center"/>
            <w:hideMark/>
          </w:tcPr>
          <w:p w:rsidR="007D7932" w:rsidRPr="007D7932" w:rsidRDefault="007D7932" w:rsidP="007D7932">
            <w:pPr>
              <w:spacing w:after="0" w:line="240" w:lineRule="auto"/>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Número de contingencias seleccionadas</w:t>
            </w:r>
          </w:p>
        </w:tc>
        <w:tc>
          <w:tcPr>
            <w:tcW w:w="680" w:type="dxa"/>
            <w:tcBorders>
              <w:top w:val="nil"/>
              <w:left w:val="nil"/>
              <w:bottom w:val="single" w:sz="8" w:space="0" w:color="auto"/>
              <w:right w:val="single" w:sz="8" w:space="0" w:color="auto"/>
            </w:tcBorders>
            <w:shd w:val="clear" w:color="000000" w:fill="FFFFFF"/>
            <w:noWrap/>
            <w:vAlign w:val="center"/>
            <w:hideMark/>
          </w:tcPr>
          <w:p w:rsidR="007D7932" w:rsidRPr="007D7932" w:rsidRDefault="007D7932" w:rsidP="007D7932">
            <w:pPr>
              <w:spacing w:after="0" w:line="240" w:lineRule="auto"/>
              <w:jc w:val="center"/>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0</w:t>
            </w:r>
          </w:p>
        </w:tc>
        <w:tc>
          <w:tcPr>
            <w:tcW w:w="680" w:type="dxa"/>
            <w:tcBorders>
              <w:top w:val="nil"/>
              <w:left w:val="nil"/>
              <w:bottom w:val="single" w:sz="8" w:space="0" w:color="auto"/>
              <w:right w:val="single" w:sz="8" w:space="0" w:color="auto"/>
            </w:tcBorders>
            <w:shd w:val="clear" w:color="000000" w:fill="FFFFFF"/>
            <w:noWrap/>
            <w:vAlign w:val="center"/>
            <w:hideMark/>
          </w:tcPr>
          <w:p w:rsidR="007D7932" w:rsidRPr="007D7932" w:rsidRDefault="007D7932" w:rsidP="007D7932">
            <w:pPr>
              <w:spacing w:after="0" w:line="240" w:lineRule="auto"/>
              <w:jc w:val="center"/>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2015</w:t>
            </w:r>
          </w:p>
        </w:tc>
        <w:tc>
          <w:tcPr>
            <w:tcW w:w="480" w:type="dxa"/>
            <w:tcBorders>
              <w:top w:val="nil"/>
              <w:left w:val="nil"/>
              <w:bottom w:val="single" w:sz="8" w:space="0" w:color="auto"/>
              <w:right w:val="single" w:sz="8" w:space="0" w:color="auto"/>
            </w:tcBorders>
            <w:shd w:val="clear" w:color="000000" w:fill="FFFFFF"/>
            <w:vAlign w:val="center"/>
            <w:hideMark/>
          </w:tcPr>
          <w:p w:rsidR="007D7932" w:rsidRPr="007D7932" w:rsidRDefault="007D7932" w:rsidP="007D7932">
            <w:pPr>
              <w:spacing w:after="0" w:line="240" w:lineRule="auto"/>
              <w:jc w:val="center"/>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1</w:t>
            </w:r>
          </w:p>
        </w:tc>
        <w:tc>
          <w:tcPr>
            <w:tcW w:w="480" w:type="dxa"/>
            <w:tcBorders>
              <w:top w:val="nil"/>
              <w:left w:val="nil"/>
              <w:bottom w:val="single" w:sz="8" w:space="0" w:color="auto"/>
              <w:right w:val="single" w:sz="8" w:space="0" w:color="auto"/>
            </w:tcBorders>
            <w:shd w:val="clear" w:color="000000" w:fill="FFFFFF"/>
            <w:vAlign w:val="center"/>
            <w:hideMark/>
          </w:tcPr>
          <w:p w:rsidR="007D7932" w:rsidRPr="007D7932" w:rsidRDefault="007D7932" w:rsidP="007D7932">
            <w:pPr>
              <w:spacing w:after="0" w:line="240" w:lineRule="auto"/>
              <w:jc w:val="center"/>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1</w:t>
            </w:r>
          </w:p>
        </w:tc>
        <w:tc>
          <w:tcPr>
            <w:tcW w:w="480" w:type="dxa"/>
            <w:tcBorders>
              <w:top w:val="nil"/>
              <w:left w:val="nil"/>
              <w:bottom w:val="single" w:sz="8" w:space="0" w:color="auto"/>
              <w:right w:val="single" w:sz="8" w:space="0" w:color="auto"/>
            </w:tcBorders>
            <w:shd w:val="clear" w:color="000000" w:fill="FFFFFF"/>
            <w:vAlign w:val="center"/>
            <w:hideMark/>
          </w:tcPr>
          <w:p w:rsidR="007D7932" w:rsidRPr="007D7932" w:rsidRDefault="007D7932" w:rsidP="007D7932">
            <w:pPr>
              <w:spacing w:after="0" w:line="240" w:lineRule="auto"/>
              <w:jc w:val="center"/>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1</w:t>
            </w:r>
          </w:p>
        </w:tc>
        <w:tc>
          <w:tcPr>
            <w:tcW w:w="720" w:type="dxa"/>
            <w:tcBorders>
              <w:top w:val="nil"/>
              <w:left w:val="nil"/>
              <w:bottom w:val="single" w:sz="8" w:space="0" w:color="auto"/>
              <w:right w:val="single" w:sz="8" w:space="0" w:color="auto"/>
            </w:tcBorders>
            <w:shd w:val="clear" w:color="000000" w:fill="FFFFFF"/>
            <w:noWrap/>
            <w:vAlign w:val="center"/>
            <w:hideMark/>
          </w:tcPr>
          <w:p w:rsidR="007D7932" w:rsidRPr="007D7932" w:rsidRDefault="007D7932" w:rsidP="007D7932">
            <w:pPr>
              <w:spacing w:after="0" w:line="240" w:lineRule="auto"/>
              <w:jc w:val="center"/>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3</w:t>
            </w:r>
          </w:p>
        </w:tc>
        <w:tc>
          <w:tcPr>
            <w:tcW w:w="1840" w:type="dxa"/>
            <w:tcBorders>
              <w:top w:val="nil"/>
              <w:left w:val="nil"/>
              <w:bottom w:val="single" w:sz="8" w:space="0" w:color="auto"/>
              <w:right w:val="single" w:sz="8" w:space="0" w:color="auto"/>
            </w:tcBorders>
            <w:shd w:val="clear" w:color="000000" w:fill="FFFFFF"/>
            <w:vAlign w:val="center"/>
            <w:hideMark/>
          </w:tcPr>
          <w:p w:rsidR="007D7932" w:rsidRPr="007D7932" w:rsidRDefault="007D7932" w:rsidP="007D7932">
            <w:pPr>
              <w:spacing w:after="0" w:line="240" w:lineRule="auto"/>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Informe de evaluación y cuantificación de contingencias fiscales</w:t>
            </w:r>
          </w:p>
        </w:tc>
      </w:tr>
      <w:tr w:rsidR="007D7932" w:rsidRPr="00E82882" w:rsidTr="007D7932">
        <w:trPr>
          <w:trHeight w:val="2415"/>
          <w:jc w:val="center"/>
        </w:trPr>
        <w:tc>
          <w:tcPr>
            <w:tcW w:w="2040" w:type="dxa"/>
            <w:tcBorders>
              <w:top w:val="nil"/>
              <w:left w:val="single" w:sz="8" w:space="0" w:color="auto"/>
              <w:bottom w:val="single" w:sz="8" w:space="0" w:color="auto"/>
              <w:right w:val="single" w:sz="8" w:space="0" w:color="auto"/>
            </w:tcBorders>
            <w:shd w:val="clear" w:color="000000" w:fill="FFFFFF"/>
            <w:vAlign w:val="center"/>
            <w:hideMark/>
          </w:tcPr>
          <w:p w:rsidR="007D7932" w:rsidRPr="007D7932" w:rsidRDefault="007D7932" w:rsidP="007D7932">
            <w:pPr>
              <w:spacing w:after="0" w:line="240" w:lineRule="auto"/>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1.6. Marco de coordinación institucional entre direcciones responsables del registro, análisis y cuantificación de contingencias fiscales elaborado y validado por el Banco</w:t>
            </w:r>
          </w:p>
        </w:tc>
        <w:tc>
          <w:tcPr>
            <w:tcW w:w="2140" w:type="dxa"/>
            <w:tcBorders>
              <w:top w:val="nil"/>
              <w:left w:val="nil"/>
              <w:bottom w:val="single" w:sz="8" w:space="0" w:color="auto"/>
              <w:right w:val="single" w:sz="8" w:space="0" w:color="auto"/>
            </w:tcBorders>
            <w:shd w:val="clear" w:color="000000" w:fill="FFFFFF"/>
            <w:vAlign w:val="center"/>
            <w:hideMark/>
          </w:tcPr>
          <w:p w:rsidR="007D7932" w:rsidRPr="007D7932" w:rsidRDefault="007D7932" w:rsidP="007D7932">
            <w:pPr>
              <w:spacing w:after="0" w:line="240" w:lineRule="auto"/>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Informes</w:t>
            </w:r>
          </w:p>
        </w:tc>
        <w:tc>
          <w:tcPr>
            <w:tcW w:w="680" w:type="dxa"/>
            <w:tcBorders>
              <w:top w:val="nil"/>
              <w:left w:val="nil"/>
              <w:bottom w:val="single" w:sz="8" w:space="0" w:color="auto"/>
              <w:right w:val="single" w:sz="8" w:space="0" w:color="auto"/>
            </w:tcBorders>
            <w:shd w:val="clear" w:color="000000" w:fill="FFFFFF"/>
            <w:noWrap/>
            <w:vAlign w:val="center"/>
            <w:hideMark/>
          </w:tcPr>
          <w:p w:rsidR="007D7932" w:rsidRPr="007D7932" w:rsidRDefault="007D7932" w:rsidP="007D7932">
            <w:pPr>
              <w:spacing w:after="0" w:line="240" w:lineRule="auto"/>
              <w:jc w:val="center"/>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0</w:t>
            </w:r>
          </w:p>
        </w:tc>
        <w:tc>
          <w:tcPr>
            <w:tcW w:w="680" w:type="dxa"/>
            <w:tcBorders>
              <w:top w:val="nil"/>
              <w:left w:val="nil"/>
              <w:bottom w:val="single" w:sz="8" w:space="0" w:color="auto"/>
              <w:right w:val="single" w:sz="8" w:space="0" w:color="auto"/>
            </w:tcBorders>
            <w:shd w:val="clear" w:color="000000" w:fill="FFFFFF"/>
            <w:noWrap/>
            <w:vAlign w:val="center"/>
            <w:hideMark/>
          </w:tcPr>
          <w:p w:rsidR="007D7932" w:rsidRPr="007D7932" w:rsidRDefault="007D7932" w:rsidP="007D7932">
            <w:pPr>
              <w:spacing w:after="0" w:line="240" w:lineRule="auto"/>
              <w:jc w:val="center"/>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2015</w:t>
            </w:r>
          </w:p>
        </w:tc>
        <w:tc>
          <w:tcPr>
            <w:tcW w:w="480" w:type="dxa"/>
            <w:tcBorders>
              <w:top w:val="nil"/>
              <w:left w:val="nil"/>
              <w:bottom w:val="single" w:sz="8" w:space="0" w:color="auto"/>
              <w:right w:val="single" w:sz="8" w:space="0" w:color="auto"/>
            </w:tcBorders>
            <w:shd w:val="clear" w:color="000000" w:fill="FFFFFF"/>
            <w:vAlign w:val="center"/>
            <w:hideMark/>
          </w:tcPr>
          <w:p w:rsidR="007D7932" w:rsidRPr="007D7932" w:rsidRDefault="007D7932" w:rsidP="007D7932">
            <w:pPr>
              <w:spacing w:after="0" w:line="240" w:lineRule="auto"/>
              <w:jc w:val="center"/>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1</w:t>
            </w:r>
          </w:p>
        </w:tc>
        <w:tc>
          <w:tcPr>
            <w:tcW w:w="480" w:type="dxa"/>
            <w:tcBorders>
              <w:top w:val="nil"/>
              <w:left w:val="nil"/>
              <w:bottom w:val="single" w:sz="8" w:space="0" w:color="auto"/>
              <w:right w:val="single" w:sz="8" w:space="0" w:color="auto"/>
            </w:tcBorders>
            <w:shd w:val="clear" w:color="000000" w:fill="FFFFFF"/>
            <w:vAlign w:val="center"/>
            <w:hideMark/>
          </w:tcPr>
          <w:p w:rsidR="007D7932" w:rsidRPr="007D7932" w:rsidRDefault="007D7932" w:rsidP="007D7932">
            <w:pPr>
              <w:spacing w:after="0" w:line="240" w:lineRule="auto"/>
              <w:jc w:val="center"/>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1</w:t>
            </w:r>
          </w:p>
        </w:tc>
        <w:tc>
          <w:tcPr>
            <w:tcW w:w="480" w:type="dxa"/>
            <w:tcBorders>
              <w:top w:val="nil"/>
              <w:left w:val="nil"/>
              <w:bottom w:val="single" w:sz="8" w:space="0" w:color="auto"/>
              <w:right w:val="single" w:sz="8" w:space="0" w:color="auto"/>
            </w:tcBorders>
            <w:shd w:val="clear" w:color="000000" w:fill="FFFFFF"/>
            <w:vAlign w:val="center"/>
            <w:hideMark/>
          </w:tcPr>
          <w:p w:rsidR="007D7932" w:rsidRPr="007D7932" w:rsidRDefault="007D7932" w:rsidP="007D7932">
            <w:pPr>
              <w:spacing w:after="0" w:line="240" w:lineRule="auto"/>
              <w:jc w:val="center"/>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0</w:t>
            </w:r>
          </w:p>
        </w:tc>
        <w:tc>
          <w:tcPr>
            <w:tcW w:w="720" w:type="dxa"/>
            <w:tcBorders>
              <w:top w:val="nil"/>
              <w:left w:val="nil"/>
              <w:bottom w:val="single" w:sz="8" w:space="0" w:color="auto"/>
              <w:right w:val="single" w:sz="8" w:space="0" w:color="auto"/>
            </w:tcBorders>
            <w:shd w:val="clear" w:color="000000" w:fill="FFFFFF"/>
            <w:noWrap/>
            <w:vAlign w:val="center"/>
            <w:hideMark/>
          </w:tcPr>
          <w:p w:rsidR="007D7932" w:rsidRPr="007D7932" w:rsidRDefault="007D7932" w:rsidP="007D7932">
            <w:pPr>
              <w:spacing w:after="0" w:line="240" w:lineRule="auto"/>
              <w:jc w:val="center"/>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2</w:t>
            </w:r>
          </w:p>
        </w:tc>
        <w:tc>
          <w:tcPr>
            <w:tcW w:w="1840" w:type="dxa"/>
            <w:tcBorders>
              <w:top w:val="nil"/>
              <w:left w:val="nil"/>
              <w:bottom w:val="single" w:sz="8" w:space="0" w:color="auto"/>
              <w:right w:val="single" w:sz="8" w:space="0" w:color="auto"/>
            </w:tcBorders>
            <w:shd w:val="clear" w:color="000000" w:fill="FFFFFF"/>
            <w:vAlign w:val="center"/>
            <w:hideMark/>
          </w:tcPr>
          <w:p w:rsidR="007D7932" w:rsidRPr="007D7932" w:rsidRDefault="007D7932" w:rsidP="007D7932">
            <w:pPr>
              <w:spacing w:after="0" w:line="240" w:lineRule="auto"/>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Propuesta de marco de coordinación</w:t>
            </w:r>
          </w:p>
        </w:tc>
      </w:tr>
      <w:tr w:rsidR="007D7932" w:rsidRPr="00E82882" w:rsidTr="007D7932">
        <w:trPr>
          <w:trHeight w:val="1695"/>
          <w:jc w:val="center"/>
        </w:trPr>
        <w:tc>
          <w:tcPr>
            <w:tcW w:w="2040" w:type="dxa"/>
            <w:tcBorders>
              <w:top w:val="nil"/>
              <w:left w:val="single" w:sz="8" w:space="0" w:color="auto"/>
              <w:bottom w:val="nil"/>
              <w:right w:val="single" w:sz="8" w:space="0" w:color="auto"/>
            </w:tcBorders>
            <w:shd w:val="clear" w:color="000000" w:fill="FFFFFF"/>
            <w:vAlign w:val="center"/>
            <w:hideMark/>
          </w:tcPr>
          <w:p w:rsidR="007D7932" w:rsidRPr="007D7932" w:rsidRDefault="007D7932" w:rsidP="007D7932">
            <w:pPr>
              <w:spacing w:after="0" w:line="240" w:lineRule="auto"/>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1.6. Talleres de capacitación en análisis macroeconómico, sostenibilidad de la deuda y contingencias fiscales realizados</w:t>
            </w:r>
          </w:p>
        </w:tc>
        <w:tc>
          <w:tcPr>
            <w:tcW w:w="2140" w:type="dxa"/>
            <w:tcBorders>
              <w:top w:val="nil"/>
              <w:left w:val="nil"/>
              <w:bottom w:val="nil"/>
              <w:right w:val="single" w:sz="8" w:space="0" w:color="auto"/>
            </w:tcBorders>
            <w:shd w:val="clear" w:color="000000" w:fill="FFFFFF"/>
            <w:vAlign w:val="center"/>
            <w:hideMark/>
          </w:tcPr>
          <w:p w:rsidR="007D7932" w:rsidRPr="007D7932" w:rsidRDefault="007D7932" w:rsidP="007D7932">
            <w:pPr>
              <w:spacing w:after="0" w:line="240" w:lineRule="auto"/>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Taller de capacitación</w:t>
            </w:r>
          </w:p>
        </w:tc>
        <w:tc>
          <w:tcPr>
            <w:tcW w:w="680" w:type="dxa"/>
            <w:tcBorders>
              <w:top w:val="nil"/>
              <w:left w:val="nil"/>
              <w:bottom w:val="nil"/>
              <w:right w:val="single" w:sz="8" w:space="0" w:color="auto"/>
            </w:tcBorders>
            <w:shd w:val="clear" w:color="000000" w:fill="FFFFFF"/>
            <w:noWrap/>
            <w:vAlign w:val="center"/>
            <w:hideMark/>
          </w:tcPr>
          <w:p w:rsidR="007D7932" w:rsidRPr="007D7932" w:rsidRDefault="007D7932" w:rsidP="007D7932">
            <w:pPr>
              <w:spacing w:after="0" w:line="240" w:lineRule="auto"/>
              <w:jc w:val="center"/>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0</w:t>
            </w:r>
          </w:p>
        </w:tc>
        <w:tc>
          <w:tcPr>
            <w:tcW w:w="680" w:type="dxa"/>
            <w:tcBorders>
              <w:top w:val="nil"/>
              <w:left w:val="nil"/>
              <w:bottom w:val="nil"/>
              <w:right w:val="single" w:sz="8" w:space="0" w:color="auto"/>
            </w:tcBorders>
            <w:shd w:val="clear" w:color="000000" w:fill="FFFFFF"/>
            <w:noWrap/>
            <w:vAlign w:val="center"/>
            <w:hideMark/>
          </w:tcPr>
          <w:p w:rsidR="007D7932" w:rsidRPr="007D7932" w:rsidRDefault="007D7932" w:rsidP="007D7932">
            <w:pPr>
              <w:spacing w:after="0" w:line="240" w:lineRule="auto"/>
              <w:jc w:val="center"/>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2015</w:t>
            </w:r>
          </w:p>
        </w:tc>
        <w:tc>
          <w:tcPr>
            <w:tcW w:w="480" w:type="dxa"/>
            <w:tcBorders>
              <w:top w:val="nil"/>
              <w:left w:val="nil"/>
              <w:bottom w:val="nil"/>
              <w:right w:val="single" w:sz="8" w:space="0" w:color="auto"/>
            </w:tcBorders>
            <w:shd w:val="clear" w:color="000000" w:fill="FFFFFF"/>
            <w:vAlign w:val="center"/>
            <w:hideMark/>
          </w:tcPr>
          <w:p w:rsidR="007D7932" w:rsidRPr="007D7932" w:rsidRDefault="007D7932" w:rsidP="007D7932">
            <w:pPr>
              <w:spacing w:after="0" w:line="240" w:lineRule="auto"/>
              <w:jc w:val="center"/>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2</w:t>
            </w:r>
          </w:p>
        </w:tc>
        <w:tc>
          <w:tcPr>
            <w:tcW w:w="480" w:type="dxa"/>
            <w:tcBorders>
              <w:top w:val="nil"/>
              <w:left w:val="nil"/>
              <w:bottom w:val="nil"/>
              <w:right w:val="single" w:sz="8" w:space="0" w:color="auto"/>
            </w:tcBorders>
            <w:shd w:val="clear" w:color="000000" w:fill="FFFFFF"/>
            <w:vAlign w:val="center"/>
            <w:hideMark/>
          </w:tcPr>
          <w:p w:rsidR="007D7932" w:rsidRPr="007D7932" w:rsidRDefault="007D7932" w:rsidP="007D7932">
            <w:pPr>
              <w:spacing w:after="0" w:line="240" w:lineRule="auto"/>
              <w:jc w:val="center"/>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2</w:t>
            </w:r>
          </w:p>
        </w:tc>
        <w:tc>
          <w:tcPr>
            <w:tcW w:w="480" w:type="dxa"/>
            <w:tcBorders>
              <w:top w:val="nil"/>
              <w:left w:val="nil"/>
              <w:bottom w:val="nil"/>
              <w:right w:val="single" w:sz="8" w:space="0" w:color="auto"/>
            </w:tcBorders>
            <w:shd w:val="clear" w:color="000000" w:fill="FFFFFF"/>
            <w:vAlign w:val="center"/>
            <w:hideMark/>
          </w:tcPr>
          <w:p w:rsidR="007D7932" w:rsidRPr="007D7932" w:rsidRDefault="007D7932" w:rsidP="007D7932">
            <w:pPr>
              <w:spacing w:after="0" w:line="240" w:lineRule="auto"/>
              <w:jc w:val="center"/>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3</w:t>
            </w:r>
          </w:p>
        </w:tc>
        <w:tc>
          <w:tcPr>
            <w:tcW w:w="720" w:type="dxa"/>
            <w:tcBorders>
              <w:top w:val="nil"/>
              <w:left w:val="nil"/>
              <w:bottom w:val="nil"/>
              <w:right w:val="single" w:sz="8" w:space="0" w:color="auto"/>
            </w:tcBorders>
            <w:shd w:val="clear" w:color="000000" w:fill="FFFFFF"/>
            <w:noWrap/>
            <w:vAlign w:val="center"/>
            <w:hideMark/>
          </w:tcPr>
          <w:p w:rsidR="007D7932" w:rsidRPr="007D7932" w:rsidRDefault="007D7932" w:rsidP="007D7932">
            <w:pPr>
              <w:spacing w:after="0" w:line="240" w:lineRule="auto"/>
              <w:jc w:val="center"/>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7</w:t>
            </w:r>
          </w:p>
        </w:tc>
        <w:tc>
          <w:tcPr>
            <w:tcW w:w="1840" w:type="dxa"/>
            <w:tcBorders>
              <w:top w:val="nil"/>
              <w:left w:val="nil"/>
              <w:bottom w:val="nil"/>
              <w:right w:val="single" w:sz="8" w:space="0" w:color="auto"/>
            </w:tcBorders>
            <w:shd w:val="clear" w:color="000000" w:fill="FFFFFF"/>
            <w:vAlign w:val="center"/>
            <w:hideMark/>
          </w:tcPr>
          <w:p w:rsidR="007D7932" w:rsidRPr="007D7932" w:rsidRDefault="007D7932" w:rsidP="007D7932">
            <w:pPr>
              <w:spacing w:after="0" w:line="240" w:lineRule="auto"/>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 xml:space="preserve">Informe de contenido y asistencia a talleres </w:t>
            </w:r>
          </w:p>
        </w:tc>
      </w:tr>
      <w:tr w:rsidR="007D7932" w:rsidRPr="00E82882" w:rsidTr="007D7932">
        <w:trPr>
          <w:trHeight w:val="315"/>
          <w:jc w:val="center"/>
        </w:trPr>
        <w:tc>
          <w:tcPr>
            <w:tcW w:w="6980" w:type="dxa"/>
            <w:gridSpan w:val="7"/>
            <w:tcBorders>
              <w:top w:val="single" w:sz="8" w:space="0" w:color="auto"/>
              <w:left w:val="single" w:sz="8" w:space="0" w:color="auto"/>
              <w:bottom w:val="single" w:sz="8" w:space="0" w:color="auto"/>
              <w:right w:val="nil"/>
            </w:tcBorders>
            <w:shd w:val="clear" w:color="000000" w:fill="BFBFBF"/>
            <w:noWrap/>
            <w:vAlign w:val="center"/>
            <w:hideMark/>
          </w:tcPr>
          <w:p w:rsidR="007D7932" w:rsidRPr="007D7932" w:rsidRDefault="007D7932" w:rsidP="007D7932">
            <w:pPr>
              <w:spacing w:after="0" w:line="240" w:lineRule="auto"/>
              <w:rPr>
                <w:rFonts w:ascii="Arial" w:eastAsia="Times New Roman" w:hAnsi="Arial" w:cs="Arial"/>
                <w:b/>
                <w:bCs/>
                <w:color w:val="000000"/>
                <w:sz w:val="18"/>
                <w:szCs w:val="18"/>
                <w:lang w:val="es-ES" w:eastAsia="es-ES"/>
              </w:rPr>
            </w:pPr>
            <w:r w:rsidRPr="007D7932">
              <w:rPr>
                <w:rFonts w:ascii="Arial" w:eastAsia="Times New Roman" w:hAnsi="Arial" w:cs="Arial"/>
                <w:b/>
                <w:bCs/>
                <w:color w:val="000000"/>
                <w:sz w:val="18"/>
                <w:szCs w:val="18"/>
                <w:lang w:val="es-ES" w:eastAsia="es-ES"/>
              </w:rPr>
              <w:t>Componente 2: Apoyo a la consolidación del sistema nacional de planificación</w:t>
            </w:r>
          </w:p>
        </w:tc>
        <w:tc>
          <w:tcPr>
            <w:tcW w:w="720" w:type="dxa"/>
            <w:tcBorders>
              <w:top w:val="single" w:sz="8" w:space="0" w:color="auto"/>
              <w:left w:val="nil"/>
              <w:bottom w:val="single" w:sz="8" w:space="0" w:color="auto"/>
              <w:right w:val="nil"/>
            </w:tcBorders>
            <w:shd w:val="clear" w:color="000000" w:fill="BFBFBF"/>
            <w:noWrap/>
            <w:vAlign w:val="center"/>
            <w:hideMark/>
          </w:tcPr>
          <w:p w:rsidR="007D7932" w:rsidRPr="007D7932" w:rsidRDefault="007D7932" w:rsidP="007D7932">
            <w:pPr>
              <w:spacing w:after="0" w:line="240" w:lineRule="auto"/>
              <w:rPr>
                <w:rFonts w:ascii="Arial" w:eastAsia="Times New Roman" w:hAnsi="Arial" w:cs="Arial"/>
                <w:b/>
                <w:bCs/>
                <w:color w:val="000000"/>
                <w:sz w:val="18"/>
                <w:szCs w:val="18"/>
                <w:lang w:val="es-ES" w:eastAsia="es-ES"/>
              </w:rPr>
            </w:pPr>
            <w:r w:rsidRPr="007D7932">
              <w:rPr>
                <w:rFonts w:ascii="Arial" w:eastAsia="Times New Roman" w:hAnsi="Arial" w:cs="Arial"/>
                <w:b/>
                <w:bCs/>
                <w:color w:val="000000"/>
                <w:sz w:val="18"/>
                <w:szCs w:val="18"/>
                <w:lang w:val="es-ES" w:eastAsia="es-ES"/>
              </w:rPr>
              <w:t> </w:t>
            </w:r>
          </w:p>
        </w:tc>
        <w:tc>
          <w:tcPr>
            <w:tcW w:w="1840" w:type="dxa"/>
            <w:tcBorders>
              <w:top w:val="single" w:sz="8" w:space="0" w:color="auto"/>
              <w:left w:val="nil"/>
              <w:bottom w:val="single" w:sz="8" w:space="0" w:color="auto"/>
              <w:right w:val="single" w:sz="8" w:space="0" w:color="000000"/>
            </w:tcBorders>
            <w:shd w:val="clear" w:color="000000" w:fill="BFBFBF"/>
            <w:noWrap/>
            <w:vAlign w:val="center"/>
            <w:hideMark/>
          </w:tcPr>
          <w:p w:rsidR="007D7932" w:rsidRPr="007D7932" w:rsidRDefault="007D7932" w:rsidP="007D7932">
            <w:pPr>
              <w:spacing w:after="0" w:line="240" w:lineRule="auto"/>
              <w:rPr>
                <w:rFonts w:ascii="Arial" w:eastAsia="Times New Roman" w:hAnsi="Arial" w:cs="Arial"/>
                <w:b/>
                <w:bCs/>
                <w:color w:val="000000"/>
                <w:sz w:val="18"/>
                <w:szCs w:val="18"/>
                <w:lang w:val="es-ES" w:eastAsia="es-ES"/>
              </w:rPr>
            </w:pPr>
            <w:r w:rsidRPr="007D7932">
              <w:rPr>
                <w:rFonts w:ascii="Arial" w:eastAsia="Times New Roman" w:hAnsi="Arial" w:cs="Arial"/>
                <w:b/>
                <w:bCs/>
                <w:color w:val="000000"/>
                <w:sz w:val="18"/>
                <w:szCs w:val="18"/>
                <w:lang w:val="es-ES" w:eastAsia="es-ES"/>
              </w:rPr>
              <w:t> </w:t>
            </w:r>
          </w:p>
        </w:tc>
      </w:tr>
      <w:tr w:rsidR="007D7932" w:rsidRPr="007D7932" w:rsidTr="007D7932">
        <w:trPr>
          <w:trHeight w:val="2175"/>
          <w:jc w:val="center"/>
        </w:trPr>
        <w:tc>
          <w:tcPr>
            <w:tcW w:w="2040" w:type="dxa"/>
            <w:tcBorders>
              <w:top w:val="nil"/>
              <w:left w:val="single" w:sz="8" w:space="0" w:color="auto"/>
              <w:bottom w:val="single" w:sz="8" w:space="0" w:color="auto"/>
              <w:right w:val="single" w:sz="8" w:space="0" w:color="auto"/>
            </w:tcBorders>
            <w:shd w:val="clear" w:color="000000" w:fill="FFFFFF"/>
            <w:vAlign w:val="center"/>
            <w:hideMark/>
          </w:tcPr>
          <w:p w:rsidR="007D7932" w:rsidRPr="007D7932" w:rsidRDefault="007D7932" w:rsidP="007D7932">
            <w:pPr>
              <w:spacing w:after="0" w:line="240" w:lineRule="auto"/>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2.1. Análisis sobre la articulación de la producción de bienes y servicios de instituciones seleccionadas del sector público con prioridades de gobierno elaborados</w:t>
            </w:r>
          </w:p>
        </w:tc>
        <w:tc>
          <w:tcPr>
            <w:tcW w:w="2140" w:type="dxa"/>
            <w:tcBorders>
              <w:top w:val="nil"/>
              <w:left w:val="nil"/>
              <w:bottom w:val="single" w:sz="8" w:space="0" w:color="auto"/>
              <w:right w:val="single" w:sz="8" w:space="0" w:color="auto"/>
            </w:tcBorders>
            <w:shd w:val="clear" w:color="000000" w:fill="FFFFFF"/>
            <w:vAlign w:val="center"/>
            <w:hideMark/>
          </w:tcPr>
          <w:p w:rsidR="007D7932" w:rsidRPr="007D7932" w:rsidRDefault="007D7932" w:rsidP="007D7932">
            <w:pPr>
              <w:spacing w:after="0" w:line="240" w:lineRule="auto"/>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Instituciones del sector público priorizadas</w:t>
            </w:r>
          </w:p>
        </w:tc>
        <w:tc>
          <w:tcPr>
            <w:tcW w:w="680" w:type="dxa"/>
            <w:tcBorders>
              <w:top w:val="nil"/>
              <w:left w:val="nil"/>
              <w:bottom w:val="single" w:sz="8" w:space="0" w:color="auto"/>
              <w:right w:val="single" w:sz="8" w:space="0" w:color="auto"/>
            </w:tcBorders>
            <w:shd w:val="clear" w:color="000000" w:fill="FFFFFF"/>
            <w:noWrap/>
            <w:vAlign w:val="center"/>
            <w:hideMark/>
          </w:tcPr>
          <w:p w:rsidR="007D7932" w:rsidRPr="007D7932" w:rsidRDefault="007D7932" w:rsidP="007D7932">
            <w:pPr>
              <w:spacing w:after="0" w:line="240" w:lineRule="auto"/>
              <w:jc w:val="center"/>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0</w:t>
            </w:r>
          </w:p>
        </w:tc>
        <w:tc>
          <w:tcPr>
            <w:tcW w:w="680" w:type="dxa"/>
            <w:tcBorders>
              <w:top w:val="nil"/>
              <w:left w:val="nil"/>
              <w:bottom w:val="single" w:sz="8" w:space="0" w:color="auto"/>
              <w:right w:val="single" w:sz="8" w:space="0" w:color="auto"/>
            </w:tcBorders>
            <w:shd w:val="clear" w:color="000000" w:fill="FFFFFF"/>
            <w:noWrap/>
            <w:vAlign w:val="center"/>
            <w:hideMark/>
          </w:tcPr>
          <w:p w:rsidR="007D7932" w:rsidRPr="007D7932" w:rsidRDefault="007D7932" w:rsidP="007D7932">
            <w:pPr>
              <w:spacing w:after="0" w:line="240" w:lineRule="auto"/>
              <w:jc w:val="center"/>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2015</w:t>
            </w:r>
          </w:p>
        </w:tc>
        <w:tc>
          <w:tcPr>
            <w:tcW w:w="480" w:type="dxa"/>
            <w:tcBorders>
              <w:top w:val="nil"/>
              <w:left w:val="nil"/>
              <w:bottom w:val="single" w:sz="8" w:space="0" w:color="auto"/>
              <w:right w:val="single" w:sz="8" w:space="0" w:color="auto"/>
            </w:tcBorders>
            <w:shd w:val="clear" w:color="000000" w:fill="FFFFFF"/>
            <w:vAlign w:val="center"/>
            <w:hideMark/>
          </w:tcPr>
          <w:p w:rsidR="007D7932" w:rsidRPr="007D7932" w:rsidRDefault="007D7932" w:rsidP="007D7932">
            <w:pPr>
              <w:spacing w:after="0" w:line="240" w:lineRule="auto"/>
              <w:jc w:val="center"/>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1</w:t>
            </w:r>
          </w:p>
        </w:tc>
        <w:tc>
          <w:tcPr>
            <w:tcW w:w="480" w:type="dxa"/>
            <w:tcBorders>
              <w:top w:val="nil"/>
              <w:left w:val="nil"/>
              <w:bottom w:val="single" w:sz="8" w:space="0" w:color="auto"/>
              <w:right w:val="single" w:sz="8" w:space="0" w:color="auto"/>
            </w:tcBorders>
            <w:shd w:val="clear" w:color="000000" w:fill="FFFFFF"/>
            <w:vAlign w:val="center"/>
            <w:hideMark/>
          </w:tcPr>
          <w:p w:rsidR="007D7932" w:rsidRPr="007D7932" w:rsidRDefault="007D7932" w:rsidP="007D7932">
            <w:pPr>
              <w:spacing w:after="0" w:line="240" w:lineRule="auto"/>
              <w:jc w:val="center"/>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1</w:t>
            </w:r>
          </w:p>
        </w:tc>
        <w:tc>
          <w:tcPr>
            <w:tcW w:w="480" w:type="dxa"/>
            <w:tcBorders>
              <w:top w:val="nil"/>
              <w:left w:val="nil"/>
              <w:bottom w:val="single" w:sz="8" w:space="0" w:color="auto"/>
              <w:right w:val="single" w:sz="8" w:space="0" w:color="auto"/>
            </w:tcBorders>
            <w:shd w:val="clear" w:color="000000" w:fill="FFFFFF"/>
            <w:vAlign w:val="center"/>
            <w:hideMark/>
          </w:tcPr>
          <w:p w:rsidR="007D7932" w:rsidRPr="007D7932" w:rsidRDefault="007D7932" w:rsidP="007D7932">
            <w:pPr>
              <w:spacing w:after="0" w:line="240" w:lineRule="auto"/>
              <w:jc w:val="center"/>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1</w:t>
            </w:r>
          </w:p>
        </w:tc>
        <w:tc>
          <w:tcPr>
            <w:tcW w:w="720" w:type="dxa"/>
            <w:tcBorders>
              <w:top w:val="nil"/>
              <w:left w:val="nil"/>
              <w:bottom w:val="single" w:sz="8" w:space="0" w:color="auto"/>
              <w:right w:val="single" w:sz="8" w:space="0" w:color="auto"/>
            </w:tcBorders>
            <w:shd w:val="clear" w:color="000000" w:fill="FFFFFF"/>
            <w:noWrap/>
            <w:vAlign w:val="center"/>
            <w:hideMark/>
          </w:tcPr>
          <w:p w:rsidR="007D7932" w:rsidRPr="007D7932" w:rsidRDefault="007D7932" w:rsidP="007D7932">
            <w:pPr>
              <w:spacing w:after="0" w:line="240" w:lineRule="auto"/>
              <w:jc w:val="center"/>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3</w:t>
            </w:r>
          </w:p>
        </w:tc>
        <w:tc>
          <w:tcPr>
            <w:tcW w:w="1840" w:type="dxa"/>
            <w:tcBorders>
              <w:top w:val="nil"/>
              <w:left w:val="nil"/>
              <w:bottom w:val="single" w:sz="8" w:space="0" w:color="auto"/>
              <w:right w:val="single" w:sz="8" w:space="0" w:color="auto"/>
            </w:tcBorders>
            <w:shd w:val="clear" w:color="000000" w:fill="FFFFFF"/>
            <w:vAlign w:val="center"/>
            <w:hideMark/>
          </w:tcPr>
          <w:p w:rsidR="007D7932" w:rsidRPr="007D7932" w:rsidRDefault="007D7932" w:rsidP="007D7932">
            <w:pPr>
              <w:spacing w:after="0" w:line="240" w:lineRule="auto"/>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Informe metodológico</w:t>
            </w:r>
          </w:p>
        </w:tc>
      </w:tr>
      <w:tr w:rsidR="007D7932" w:rsidRPr="007D7932" w:rsidTr="007D7932">
        <w:trPr>
          <w:trHeight w:val="1935"/>
          <w:jc w:val="center"/>
        </w:trPr>
        <w:tc>
          <w:tcPr>
            <w:tcW w:w="2040" w:type="dxa"/>
            <w:tcBorders>
              <w:top w:val="nil"/>
              <w:left w:val="single" w:sz="8" w:space="0" w:color="auto"/>
              <w:bottom w:val="single" w:sz="8" w:space="0" w:color="auto"/>
              <w:right w:val="single" w:sz="8" w:space="0" w:color="auto"/>
            </w:tcBorders>
            <w:shd w:val="clear" w:color="000000" w:fill="FFFFFF"/>
            <w:vAlign w:val="center"/>
            <w:hideMark/>
          </w:tcPr>
          <w:p w:rsidR="007D7932" w:rsidRPr="007D7932" w:rsidRDefault="007D7932" w:rsidP="007D7932">
            <w:pPr>
              <w:spacing w:after="0" w:line="240" w:lineRule="auto"/>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2.2. Criterios de formulación de proyectos de inversión pública coherentes con metas de desarrollo, presupuesto y MFMP identificados</w:t>
            </w:r>
          </w:p>
        </w:tc>
        <w:tc>
          <w:tcPr>
            <w:tcW w:w="2140" w:type="dxa"/>
            <w:tcBorders>
              <w:top w:val="nil"/>
              <w:left w:val="nil"/>
              <w:bottom w:val="single" w:sz="8" w:space="0" w:color="auto"/>
              <w:right w:val="single" w:sz="8" w:space="0" w:color="auto"/>
            </w:tcBorders>
            <w:shd w:val="clear" w:color="000000" w:fill="FFFFFF"/>
            <w:vAlign w:val="center"/>
            <w:hideMark/>
          </w:tcPr>
          <w:p w:rsidR="007D7932" w:rsidRPr="007D7932" w:rsidRDefault="007D7932" w:rsidP="007D7932">
            <w:pPr>
              <w:spacing w:after="0" w:line="240" w:lineRule="auto"/>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Informes</w:t>
            </w:r>
          </w:p>
        </w:tc>
        <w:tc>
          <w:tcPr>
            <w:tcW w:w="680" w:type="dxa"/>
            <w:tcBorders>
              <w:top w:val="nil"/>
              <w:left w:val="nil"/>
              <w:bottom w:val="single" w:sz="8" w:space="0" w:color="auto"/>
              <w:right w:val="single" w:sz="8" w:space="0" w:color="auto"/>
            </w:tcBorders>
            <w:shd w:val="clear" w:color="000000" w:fill="FFFFFF"/>
            <w:noWrap/>
            <w:vAlign w:val="center"/>
            <w:hideMark/>
          </w:tcPr>
          <w:p w:rsidR="007D7932" w:rsidRPr="007D7932" w:rsidRDefault="007D7932" w:rsidP="007D7932">
            <w:pPr>
              <w:spacing w:after="0" w:line="240" w:lineRule="auto"/>
              <w:jc w:val="center"/>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0</w:t>
            </w:r>
          </w:p>
        </w:tc>
        <w:tc>
          <w:tcPr>
            <w:tcW w:w="680" w:type="dxa"/>
            <w:tcBorders>
              <w:top w:val="nil"/>
              <w:left w:val="nil"/>
              <w:bottom w:val="single" w:sz="8" w:space="0" w:color="auto"/>
              <w:right w:val="single" w:sz="8" w:space="0" w:color="auto"/>
            </w:tcBorders>
            <w:shd w:val="clear" w:color="000000" w:fill="FFFFFF"/>
            <w:noWrap/>
            <w:vAlign w:val="center"/>
            <w:hideMark/>
          </w:tcPr>
          <w:p w:rsidR="007D7932" w:rsidRPr="007D7932" w:rsidRDefault="007D7932" w:rsidP="007D7932">
            <w:pPr>
              <w:spacing w:after="0" w:line="240" w:lineRule="auto"/>
              <w:jc w:val="center"/>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2015</w:t>
            </w:r>
          </w:p>
        </w:tc>
        <w:tc>
          <w:tcPr>
            <w:tcW w:w="480" w:type="dxa"/>
            <w:tcBorders>
              <w:top w:val="nil"/>
              <w:left w:val="nil"/>
              <w:bottom w:val="single" w:sz="8" w:space="0" w:color="auto"/>
              <w:right w:val="single" w:sz="8" w:space="0" w:color="auto"/>
            </w:tcBorders>
            <w:shd w:val="clear" w:color="000000" w:fill="FFFFFF"/>
            <w:vAlign w:val="center"/>
            <w:hideMark/>
          </w:tcPr>
          <w:p w:rsidR="007D7932" w:rsidRPr="007D7932" w:rsidRDefault="007D7932" w:rsidP="007D7932">
            <w:pPr>
              <w:spacing w:after="0" w:line="240" w:lineRule="auto"/>
              <w:jc w:val="center"/>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1</w:t>
            </w:r>
          </w:p>
        </w:tc>
        <w:tc>
          <w:tcPr>
            <w:tcW w:w="480" w:type="dxa"/>
            <w:tcBorders>
              <w:top w:val="nil"/>
              <w:left w:val="nil"/>
              <w:bottom w:val="single" w:sz="8" w:space="0" w:color="auto"/>
              <w:right w:val="single" w:sz="8" w:space="0" w:color="auto"/>
            </w:tcBorders>
            <w:shd w:val="clear" w:color="000000" w:fill="FFFFFF"/>
            <w:vAlign w:val="center"/>
            <w:hideMark/>
          </w:tcPr>
          <w:p w:rsidR="007D7932" w:rsidRPr="007D7932" w:rsidRDefault="007D7932" w:rsidP="007D7932">
            <w:pPr>
              <w:spacing w:after="0" w:line="240" w:lineRule="auto"/>
              <w:jc w:val="center"/>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1</w:t>
            </w:r>
          </w:p>
        </w:tc>
        <w:tc>
          <w:tcPr>
            <w:tcW w:w="480" w:type="dxa"/>
            <w:tcBorders>
              <w:top w:val="nil"/>
              <w:left w:val="nil"/>
              <w:bottom w:val="single" w:sz="8" w:space="0" w:color="auto"/>
              <w:right w:val="single" w:sz="8" w:space="0" w:color="auto"/>
            </w:tcBorders>
            <w:shd w:val="clear" w:color="000000" w:fill="FFFFFF"/>
            <w:vAlign w:val="center"/>
            <w:hideMark/>
          </w:tcPr>
          <w:p w:rsidR="007D7932" w:rsidRPr="007D7932" w:rsidRDefault="007D7932" w:rsidP="007D7932">
            <w:pPr>
              <w:spacing w:after="0" w:line="240" w:lineRule="auto"/>
              <w:jc w:val="center"/>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0</w:t>
            </w:r>
          </w:p>
        </w:tc>
        <w:tc>
          <w:tcPr>
            <w:tcW w:w="720" w:type="dxa"/>
            <w:tcBorders>
              <w:top w:val="nil"/>
              <w:left w:val="nil"/>
              <w:bottom w:val="single" w:sz="8" w:space="0" w:color="auto"/>
              <w:right w:val="single" w:sz="8" w:space="0" w:color="auto"/>
            </w:tcBorders>
            <w:shd w:val="clear" w:color="000000" w:fill="FFFFFF"/>
            <w:noWrap/>
            <w:vAlign w:val="center"/>
            <w:hideMark/>
          </w:tcPr>
          <w:p w:rsidR="007D7932" w:rsidRPr="007D7932" w:rsidRDefault="007D7932" w:rsidP="007D7932">
            <w:pPr>
              <w:spacing w:after="0" w:line="240" w:lineRule="auto"/>
              <w:jc w:val="center"/>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2</w:t>
            </w:r>
          </w:p>
        </w:tc>
        <w:tc>
          <w:tcPr>
            <w:tcW w:w="1840" w:type="dxa"/>
            <w:tcBorders>
              <w:top w:val="nil"/>
              <w:left w:val="nil"/>
              <w:bottom w:val="single" w:sz="8" w:space="0" w:color="auto"/>
              <w:right w:val="single" w:sz="8" w:space="0" w:color="auto"/>
            </w:tcBorders>
            <w:shd w:val="clear" w:color="000000" w:fill="FFFFFF"/>
            <w:vAlign w:val="center"/>
            <w:hideMark/>
          </w:tcPr>
          <w:p w:rsidR="007D7932" w:rsidRPr="007D7932" w:rsidRDefault="007D7932" w:rsidP="007D7932">
            <w:pPr>
              <w:spacing w:after="0" w:line="240" w:lineRule="auto"/>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Informe metodológico</w:t>
            </w:r>
          </w:p>
        </w:tc>
      </w:tr>
      <w:tr w:rsidR="007D7932" w:rsidRPr="007D7932" w:rsidTr="007D7932">
        <w:trPr>
          <w:trHeight w:val="1695"/>
          <w:jc w:val="center"/>
        </w:trPr>
        <w:tc>
          <w:tcPr>
            <w:tcW w:w="2040" w:type="dxa"/>
            <w:tcBorders>
              <w:top w:val="nil"/>
              <w:left w:val="single" w:sz="8" w:space="0" w:color="auto"/>
              <w:bottom w:val="single" w:sz="8" w:space="0" w:color="auto"/>
              <w:right w:val="single" w:sz="8" w:space="0" w:color="auto"/>
            </w:tcBorders>
            <w:shd w:val="clear" w:color="000000" w:fill="FFFFFF"/>
            <w:vAlign w:val="center"/>
            <w:hideMark/>
          </w:tcPr>
          <w:p w:rsidR="007D7932" w:rsidRPr="007D7932" w:rsidRDefault="007D7932" w:rsidP="007D7932">
            <w:pPr>
              <w:spacing w:after="0" w:line="240" w:lineRule="auto"/>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lastRenderedPageBreak/>
              <w:t xml:space="preserve">2.3. Vinculación entre planificación, presupuesto y metas macroeconómicas establecidas en MFMP a nivel de gabinetes sectoriales fortalecida </w:t>
            </w:r>
          </w:p>
        </w:tc>
        <w:tc>
          <w:tcPr>
            <w:tcW w:w="2140" w:type="dxa"/>
            <w:tcBorders>
              <w:top w:val="nil"/>
              <w:left w:val="nil"/>
              <w:bottom w:val="single" w:sz="8" w:space="0" w:color="auto"/>
              <w:right w:val="single" w:sz="8" w:space="0" w:color="auto"/>
            </w:tcBorders>
            <w:shd w:val="clear" w:color="000000" w:fill="FFFFFF"/>
            <w:vAlign w:val="center"/>
            <w:hideMark/>
          </w:tcPr>
          <w:p w:rsidR="007D7932" w:rsidRPr="007D7932" w:rsidRDefault="007D7932" w:rsidP="007D7932">
            <w:pPr>
              <w:spacing w:after="0" w:line="240" w:lineRule="auto"/>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Informes</w:t>
            </w:r>
          </w:p>
        </w:tc>
        <w:tc>
          <w:tcPr>
            <w:tcW w:w="680" w:type="dxa"/>
            <w:tcBorders>
              <w:top w:val="nil"/>
              <w:left w:val="nil"/>
              <w:bottom w:val="single" w:sz="8" w:space="0" w:color="auto"/>
              <w:right w:val="single" w:sz="8" w:space="0" w:color="auto"/>
            </w:tcBorders>
            <w:shd w:val="clear" w:color="000000" w:fill="FFFFFF"/>
            <w:noWrap/>
            <w:vAlign w:val="center"/>
            <w:hideMark/>
          </w:tcPr>
          <w:p w:rsidR="007D7932" w:rsidRPr="007D7932" w:rsidRDefault="007D7932" w:rsidP="007D7932">
            <w:pPr>
              <w:spacing w:after="0" w:line="240" w:lineRule="auto"/>
              <w:jc w:val="center"/>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0</w:t>
            </w:r>
          </w:p>
        </w:tc>
        <w:tc>
          <w:tcPr>
            <w:tcW w:w="680" w:type="dxa"/>
            <w:tcBorders>
              <w:top w:val="nil"/>
              <w:left w:val="nil"/>
              <w:bottom w:val="single" w:sz="8" w:space="0" w:color="auto"/>
              <w:right w:val="single" w:sz="8" w:space="0" w:color="auto"/>
            </w:tcBorders>
            <w:shd w:val="clear" w:color="000000" w:fill="FFFFFF"/>
            <w:noWrap/>
            <w:vAlign w:val="center"/>
            <w:hideMark/>
          </w:tcPr>
          <w:p w:rsidR="007D7932" w:rsidRPr="007D7932" w:rsidRDefault="007D7932" w:rsidP="007D7932">
            <w:pPr>
              <w:spacing w:after="0" w:line="240" w:lineRule="auto"/>
              <w:jc w:val="center"/>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2015</w:t>
            </w:r>
          </w:p>
        </w:tc>
        <w:tc>
          <w:tcPr>
            <w:tcW w:w="480" w:type="dxa"/>
            <w:tcBorders>
              <w:top w:val="nil"/>
              <w:left w:val="nil"/>
              <w:bottom w:val="single" w:sz="8" w:space="0" w:color="auto"/>
              <w:right w:val="single" w:sz="8" w:space="0" w:color="auto"/>
            </w:tcBorders>
            <w:shd w:val="clear" w:color="000000" w:fill="FFFFFF"/>
            <w:vAlign w:val="center"/>
            <w:hideMark/>
          </w:tcPr>
          <w:p w:rsidR="007D7932" w:rsidRPr="007D7932" w:rsidRDefault="007D7932" w:rsidP="007D7932">
            <w:pPr>
              <w:spacing w:after="0" w:line="240" w:lineRule="auto"/>
              <w:jc w:val="center"/>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1</w:t>
            </w:r>
          </w:p>
        </w:tc>
        <w:tc>
          <w:tcPr>
            <w:tcW w:w="480" w:type="dxa"/>
            <w:tcBorders>
              <w:top w:val="nil"/>
              <w:left w:val="nil"/>
              <w:bottom w:val="single" w:sz="8" w:space="0" w:color="auto"/>
              <w:right w:val="single" w:sz="8" w:space="0" w:color="auto"/>
            </w:tcBorders>
            <w:shd w:val="clear" w:color="000000" w:fill="FFFFFF"/>
            <w:vAlign w:val="center"/>
            <w:hideMark/>
          </w:tcPr>
          <w:p w:rsidR="007D7932" w:rsidRPr="007D7932" w:rsidRDefault="007D7932" w:rsidP="007D7932">
            <w:pPr>
              <w:spacing w:after="0" w:line="240" w:lineRule="auto"/>
              <w:jc w:val="center"/>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1</w:t>
            </w:r>
          </w:p>
        </w:tc>
        <w:tc>
          <w:tcPr>
            <w:tcW w:w="480" w:type="dxa"/>
            <w:tcBorders>
              <w:top w:val="nil"/>
              <w:left w:val="nil"/>
              <w:bottom w:val="single" w:sz="8" w:space="0" w:color="auto"/>
              <w:right w:val="single" w:sz="8" w:space="0" w:color="auto"/>
            </w:tcBorders>
            <w:shd w:val="clear" w:color="000000" w:fill="FFFFFF"/>
            <w:vAlign w:val="center"/>
            <w:hideMark/>
          </w:tcPr>
          <w:p w:rsidR="007D7932" w:rsidRPr="007D7932" w:rsidRDefault="007D7932" w:rsidP="007D7932">
            <w:pPr>
              <w:spacing w:after="0" w:line="240" w:lineRule="auto"/>
              <w:jc w:val="center"/>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1</w:t>
            </w:r>
          </w:p>
        </w:tc>
        <w:tc>
          <w:tcPr>
            <w:tcW w:w="720" w:type="dxa"/>
            <w:tcBorders>
              <w:top w:val="nil"/>
              <w:left w:val="nil"/>
              <w:bottom w:val="single" w:sz="8" w:space="0" w:color="auto"/>
              <w:right w:val="single" w:sz="8" w:space="0" w:color="auto"/>
            </w:tcBorders>
            <w:shd w:val="clear" w:color="000000" w:fill="FFFFFF"/>
            <w:noWrap/>
            <w:vAlign w:val="center"/>
            <w:hideMark/>
          </w:tcPr>
          <w:p w:rsidR="007D7932" w:rsidRPr="007D7932" w:rsidRDefault="007D7932" w:rsidP="007D7932">
            <w:pPr>
              <w:spacing w:after="0" w:line="240" w:lineRule="auto"/>
              <w:jc w:val="center"/>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3</w:t>
            </w:r>
          </w:p>
        </w:tc>
        <w:tc>
          <w:tcPr>
            <w:tcW w:w="1840" w:type="dxa"/>
            <w:tcBorders>
              <w:top w:val="nil"/>
              <w:left w:val="nil"/>
              <w:bottom w:val="single" w:sz="8" w:space="0" w:color="auto"/>
              <w:right w:val="single" w:sz="8" w:space="0" w:color="auto"/>
            </w:tcBorders>
            <w:shd w:val="clear" w:color="000000" w:fill="FFFFFF"/>
            <w:vAlign w:val="center"/>
            <w:hideMark/>
          </w:tcPr>
          <w:p w:rsidR="007D7932" w:rsidRPr="007D7932" w:rsidRDefault="007D7932" w:rsidP="007D7932">
            <w:pPr>
              <w:spacing w:after="0" w:line="240" w:lineRule="auto"/>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Informe metodológico</w:t>
            </w:r>
          </w:p>
        </w:tc>
      </w:tr>
      <w:tr w:rsidR="007D7932" w:rsidRPr="00E82882" w:rsidTr="007D7932">
        <w:trPr>
          <w:trHeight w:val="1215"/>
          <w:jc w:val="center"/>
        </w:trPr>
        <w:tc>
          <w:tcPr>
            <w:tcW w:w="2040" w:type="dxa"/>
            <w:tcBorders>
              <w:top w:val="nil"/>
              <w:left w:val="single" w:sz="8" w:space="0" w:color="auto"/>
              <w:bottom w:val="nil"/>
              <w:right w:val="single" w:sz="8" w:space="0" w:color="auto"/>
            </w:tcBorders>
            <w:shd w:val="clear" w:color="000000" w:fill="FFFFFF"/>
            <w:vAlign w:val="center"/>
            <w:hideMark/>
          </w:tcPr>
          <w:p w:rsidR="007D7932" w:rsidRPr="007D7932" w:rsidRDefault="007D7932" w:rsidP="007D7932">
            <w:pPr>
              <w:spacing w:after="0" w:line="240" w:lineRule="auto"/>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2.4. Talleres de capacitación en planificación y presupuesto llevados a cabo</w:t>
            </w:r>
          </w:p>
        </w:tc>
        <w:tc>
          <w:tcPr>
            <w:tcW w:w="2140" w:type="dxa"/>
            <w:tcBorders>
              <w:top w:val="nil"/>
              <w:left w:val="nil"/>
              <w:bottom w:val="nil"/>
              <w:right w:val="single" w:sz="8" w:space="0" w:color="auto"/>
            </w:tcBorders>
            <w:shd w:val="clear" w:color="000000" w:fill="FFFFFF"/>
            <w:vAlign w:val="center"/>
            <w:hideMark/>
          </w:tcPr>
          <w:p w:rsidR="007D7932" w:rsidRPr="007D7932" w:rsidRDefault="007D7932" w:rsidP="007D7932">
            <w:pPr>
              <w:spacing w:after="0" w:line="240" w:lineRule="auto"/>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Taller de capacitación</w:t>
            </w:r>
          </w:p>
        </w:tc>
        <w:tc>
          <w:tcPr>
            <w:tcW w:w="680" w:type="dxa"/>
            <w:tcBorders>
              <w:top w:val="nil"/>
              <w:left w:val="nil"/>
              <w:bottom w:val="nil"/>
              <w:right w:val="single" w:sz="8" w:space="0" w:color="auto"/>
            </w:tcBorders>
            <w:shd w:val="clear" w:color="000000" w:fill="FFFFFF"/>
            <w:noWrap/>
            <w:vAlign w:val="center"/>
            <w:hideMark/>
          </w:tcPr>
          <w:p w:rsidR="007D7932" w:rsidRPr="007D7932" w:rsidRDefault="007D7932" w:rsidP="007D7932">
            <w:pPr>
              <w:spacing w:after="0" w:line="240" w:lineRule="auto"/>
              <w:jc w:val="center"/>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0</w:t>
            </w:r>
          </w:p>
        </w:tc>
        <w:tc>
          <w:tcPr>
            <w:tcW w:w="680" w:type="dxa"/>
            <w:tcBorders>
              <w:top w:val="nil"/>
              <w:left w:val="nil"/>
              <w:bottom w:val="nil"/>
              <w:right w:val="single" w:sz="8" w:space="0" w:color="auto"/>
            </w:tcBorders>
            <w:shd w:val="clear" w:color="000000" w:fill="FFFFFF"/>
            <w:noWrap/>
            <w:vAlign w:val="center"/>
            <w:hideMark/>
          </w:tcPr>
          <w:p w:rsidR="007D7932" w:rsidRPr="007D7932" w:rsidRDefault="007D7932" w:rsidP="007D7932">
            <w:pPr>
              <w:spacing w:after="0" w:line="240" w:lineRule="auto"/>
              <w:jc w:val="center"/>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2015</w:t>
            </w:r>
          </w:p>
        </w:tc>
        <w:tc>
          <w:tcPr>
            <w:tcW w:w="480" w:type="dxa"/>
            <w:tcBorders>
              <w:top w:val="nil"/>
              <w:left w:val="nil"/>
              <w:bottom w:val="nil"/>
              <w:right w:val="single" w:sz="8" w:space="0" w:color="auto"/>
            </w:tcBorders>
            <w:shd w:val="clear" w:color="000000" w:fill="FFFFFF"/>
            <w:vAlign w:val="center"/>
            <w:hideMark/>
          </w:tcPr>
          <w:p w:rsidR="007D7932" w:rsidRPr="007D7932" w:rsidRDefault="007D7932" w:rsidP="007D7932">
            <w:pPr>
              <w:spacing w:after="0" w:line="240" w:lineRule="auto"/>
              <w:jc w:val="center"/>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1</w:t>
            </w:r>
          </w:p>
        </w:tc>
        <w:tc>
          <w:tcPr>
            <w:tcW w:w="480" w:type="dxa"/>
            <w:tcBorders>
              <w:top w:val="nil"/>
              <w:left w:val="nil"/>
              <w:bottom w:val="nil"/>
              <w:right w:val="single" w:sz="8" w:space="0" w:color="auto"/>
            </w:tcBorders>
            <w:shd w:val="clear" w:color="000000" w:fill="FFFFFF"/>
            <w:vAlign w:val="center"/>
            <w:hideMark/>
          </w:tcPr>
          <w:p w:rsidR="007D7932" w:rsidRPr="007D7932" w:rsidRDefault="007D7932" w:rsidP="007D7932">
            <w:pPr>
              <w:spacing w:after="0" w:line="240" w:lineRule="auto"/>
              <w:jc w:val="center"/>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1</w:t>
            </w:r>
          </w:p>
        </w:tc>
        <w:tc>
          <w:tcPr>
            <w:tcW w:w="480" w:type="dxa"/>
            <w:tcBorders>
              <w:top w:val="nil"/>
              <w:left w:val="nil"/>
              <w:bottom w:val="nil"/>
              <w:right w:val="single" w:sz="8" w:space="0" w:color="auto"/>
            </w:tcBorders>
            <w:shd w:val="clear" w:color="000000" w:fill="FFFFFF"/>
            <w:vAlign w:val="center"/>
            <w:hideMark/>
          </w:tcPr>
          <w:p w:rsidR="007D7932" w:rsidRPr="007D7932" w:rsidRDefault="007D7932" w:rsidP="007D7932">
            <w:pPr>
              <w:spacing w:after="0" w:line="240" w:lineRule="auto"/>
              <w:jc w:val="center"/>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1</w:t>
            </w:r>
          </w:p>
        </w:tc>
        <w:tc>
          <w:tcPr>
            <w:tcW w:w="720" w:type="dxa"/>
            <w:tcBorders>
              <w:top w:val="nil"/>
              <w:left w:val="nil"/>
              <w:bottom w:val="nil"/>
              <w:right w:val="single" w:sz="8" w:space="0" w:color="auto"/>
            </w:tcBorders>
            <w:shd w:val="clear" w:color="000000" w:fill="FFFFFF"/>
            <w:noWrap/>
            <w:vAlign w:val="center"/>
            <w:hideMark/>
          </w:tcPr>
          <w:p w:rsidR="007D7932" w:rsidRPr="007D7932" w:rsidRDefault="007D7932" w:rsidP="007D7932">
            <w:pPr>
              <w:spacing w:after="0" w:line="240" w:lineRule="auto"/>
              <w:jc w:val="center"/>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3</w:t>
            </w:r>
          </w:p>
        </w:tc>
        <w:tc>
          <w:tcPr>
            <w:tcW w:w="1840" w:type="dxa"/>
            <w:tcBorders>
              <w:top w:val="nil"/>
              <w:left w:val="nil"/>
              <w:bottom w:val="nil"/>
              <w:right w:val="single" w:sz="8" w:space="0" w:color="auto"/>
            </w:tcBorders>
            <w:shd w:val="clear" w:color="000000" w:fill="FFFFFF"/>
            <w:vAlign w:val="center"/>
            <w:hideMark/>
          </w:tcPr>
          <w:p w:rsidR="007D7932" w:rsidRPr="007D7932" w:rsidRDefault="007D7932" w:rsidP="007D7932">
            <w:pPr>
              <w:spacing w:after="0" w:line="240" w:lineRule="auto"/>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 xml:space="preserve">Informe de contenido y asistencia a talleres </w:t>
            </w:r>
          </w:p>
        </w:tc>
      </w:tr>
      <w:tr w:rsidR="007D7932" w:rsidRPr="00E82882" w:rsidTr="007D7932">
        <w:trPr>
          <w:trHeight w:val="315"/>
          <w:jc w:val="center"/>
        </w:trPr>
        <w:tc>
          <w:tcPr>
            <w:tcW w:w="9540" w:type="dxa"/>
            <w:gridSpan w:val="9"/>
            <w:tcBorders>
              <w:top w:val="single" w:sz="8" w:space="0" w:color="auto"/>
              <w:left w:val="single" w:sz="8" w:space="0" w:color="auto"/>
              <w:bottom w:val="single" w:sz="8" w:space="0" w:color="auto"/>
              <w:right w:val="single" w:sz="8" w:space="0" w:color="000000"/>
            </w:tcBorders>
            <w:shd w:val="clear" w:color="000000" w:fill="BFBFBF"/>
            <w:noWrap/>
            <w:vAlign w:val="center"/>
            <w:hideMark/>
          </w:tcPr>
          <w:p w:rsidR="007D7932" w:rsidRPr="007D7932" w:rsidRDefault="007D7932" w:rsidP="007D7932">
            <w:pPr>
              <w:spacing w:after="0" w:line="240" w:lineRule="auto"/>
              <w:rPr>
                <w:rFonts w:ascii="Arial" w:eastAsia="Times New Roman" w:hAnsi="Arial" w:cs="Arial"/>
                <w:b/>
                <w:bCs/>
                <w:color w:val="000000"/>
                <w:sz w:val="18"/>
                <w:szCs w:val="18"/>
                <w:lang w:val="es-ES" w:eastAsia="es-ES"/>
              </w:rPr>
            </w:pPr>
            <w:r w:rsidRPr="007D7932">
              <w:rPr>
                <w:rFonts w:ascii="Arial" w:eastAsia="Times New Roman" w:hAnsi="Arial" w:cs="Arial"/>
                <w:b/>
                <w:bCs/>
                <w:color w:val="000000"/>
                <w:sz w:val="18"/>
                <w:szCs w:val="18"/>
                <w:lang w:val="es-ES" w:eastAsia="es-ES"/>
              </w:rPr>
              <w:t>Componente 3: Talleres, logística y divulgación</w:t>
            </w:r>
          </w:p>
        </w:tc>
      </w:tr>
      <w:tr w:rsidR="007D7932" w:rsidRPr="00E82882" w:rsidTr="007D7932">
        <w:trPr>
          <w:trHeight w:val="735"/>
          <w:jc w:val="center"/>
        </w:trPr>
        <w:tc>
          <w:tcPr>
            <w:tcW w:w="2040" w:type="dxa"/>
            <w:tcBorders>
              <w:top w:val="nil"/>
              <w:left w:val="single" w:sz="8" w:space="0" w:color="auto"/>
              <w:bottom w:val="single" w:sz="8" w:space="0" w:color="auto"/>
              <w:right w:val="single" w:sz="8" w:space="0" w:color="auto"/>
            </w:tcBorders>
            <w:shd w:val="clear" w:color="000000" w:fill="FFFFFF"/>
            <w:vAlign w:val="center"/>
            <w:hideMark/>
          </w:tcPr>
          <w:p w:rsidR="007D7932" w:rsidRPr="007D7932" w:rsidRDefault="007D7932" w:rsidP="007D7932">
            <w:pPr>
              <w:spacing w:after="0" w:line="240" w:lineRule="auto"/>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3.1 Talleres de diálogo, validación y consenso realizados</w:t>
            </w:r>
          </w:p>
        </w:tc>
        <w:tc>
          <w:tcPr>
            <w:tcW w:w="2140" w:type="dxa"/>
            <w:tcBorders>
              <w:top w:val="nil"/>
              <w:left w:val="nil"/>
              <w:bottom w:val="single" w:sz="8" w:space="0" w:color="auto"/>
              <w:right w:val="single" w:sz="8" w:space="0" w:color="auto"/>
            </w:tcBorders>
            <w:shd w:val="clear" w:color="000000" w:fill="FFFFFF"/>
            <w:noWrap/>
            <w:vAlign w:val="center"/>
            <w:hideMark/>
          </w:tcPr>
          <w:p w:rsidR="007D7932" w:rsidRPr="007D7932" w:rsidRDefault="007D7932" w:rsidP="007D7932">
            <w:pPr>
              <w:spacing w:after="0" w:line="240" w:lineRule="auto"/>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Taller de discusión</w:t>
            </w:r>
          </w:p>
        </w:tc>
        <w:tc>
          <w:tcPr>
            <w:tcW w:w="680" w:type="dxa"/>
            <w:tcBorders>
              <w:top w:val="nil"/>
              <w:left w:val="nil"/>
              <w:bottom w:val="single" w:sz="8" w:space="0" w:color="auto"/>
              <w:right w:val="single" w:sz="8" w:space="0" w:color="auto"/>
            </w:tcBorders>
            <w:shd w:val="clear" w:color="000000" w:fill="FFFFFF"/>
            <w:noWrap/>
            <w:vAlign w:val="center"/>
            <w:hideMark/>
          </w:tcPr>
          <w:p w:rsidR="007D7932" w:rsidRPr="007D7932" w:rsidRDefault="007D7932" w:rsidP="007D7932">
            <w:pPr>
              <w:spacing w:after="0" w:line="240" w:lineRule="auto"/>
              <w:jc w:val="center"/>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0</w:t>
            </w:r>
          </w:p>
        </w:tc>
        <w:tc>
          <w:tcPr>
            <w:tcW w:w="680" w:type="dxa"/>
            <w:tcBorders>
              <w:top w:val="nil"/>
              <w:left w:val="nil"/>
              <w:bottom w:val="single" w:sz="8" w:space="0" w:color="auto"/>
              <w:right w:val="single" w:sz="8" w:space="0" w:color="auto"/>
            </w:tcBorders>
            <w:shd w:val="clear" w:color="000000" w:fill="FFFFFF"/>
            <w:noWrap/>
            <w:vAlign w:val="center"/>
            <w:hideMark/>
          </w:tcPr>
          <w:p w:rsidR="007D7932" w:rsidRPr="007D7932" w:rsidRDefault="007D7932" w:rsidP="007D7932">
            <w:pPr>
              <w:spacing w:after="0" w:line="240" w:lineRule="auto"/>
              <w:jc w:val="center"/>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2015</w:t>
            </w:r>
          </w:p>
        </w:tc>
        <w:tc>
          <w:tcPr>
            <w:tcW w:w="480" w:type="dxa"/>
            <w:tcBorders>
              <w:top w:val="nil"/>
              <w:left w:val="nil"/>
              <w:bottom w:val="single" w:sz="8" w:space="0" w:color="auto"/>
              <w:right w:val="single" w:sz="8" w:space="0" w:color="auto"/>
            </w:tcBorders>
            <w:shd w:val="clear" w:color="000000" w:fill="FFFFFF"/>
            <w:vAlign w:val="center"/>
            <w:hideMark/>
          </w:tcPr>
          <w:p w:rsidR="007D7932" w:rsidRPr="007D7932" w:rsidRDefault="007D7932" w:rsidP="007D7932">
            <w:pPr>
              <w:spacing w:after="0" w:line="240" w:lineRule="auto"/>
              <w:jc w:val="center"/>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1</w:t>
            </w:r>
          </w:p>
        </w:tc>
        <w:tc>
          <w:tcPr>
            <w:tcW w:w="480" w:type="dxa"/>
            <w:tcBorders>
              <w:top w:val="nil"/>
              <w:left w:val="nil"/>
              <w:bottom w:val="single" w:sz="8" w:space="0" w:color="auto"/>
              <w:right w:val="single" w:sz="8" w:space="0" w:color="auto"/>
            </w:tcBorders>
            <w:shd w:val="clear" w:color="000000" w:fill="FFFFFF"/>
            <w:vAlign w:val="center"/>
            <w:hideMark/>
          </w:tcPr>
          <w:p w:rsidR="007D7932" w:rsidRPr="007D7932" w:rsidRDefault="007D7932" w:rsidP="007D7932">
            <w:pPr>
              <w:spacing w:after="0" w:line="240" w:lineRule="auto"/>
              <w:jc w:val="center"/>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1</w:t>
            </w:r>
          </w:p>
        </w:tc>
        <w:tc>
          <w:tcPr>
            <w:tcW w:w="480" w:type="dxa"/>
            <w:tcBorders>
              <w:top w:val="nil"/>
              <w:left w:val="nil"/>
              <w:bottom w:val="single" w:sz="8" w:space="0" w:color="auto"/>
              <w:right w:val="single" w:sz="8" w:space="0" w:color="auto"/>
            </w:tcBorders>
            <w:shd w:val="clear" w:color="000000" w:fill="FFFFFF"/>
            <w:vAlign w:val="center"/>
            <w:hideMark/>
          </w:tcPr>
          <w:p w:rsidR="007D7932" w:rsidRPr="007D7932" w:rsidRDefault="007D7932" w:rsidP="007D7932">
            <w:pPr>
              <w:spacing w:after="0" w:line="240" w:lineRule="auto"/>
              <w:jc w:val="center"/>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1</w:t>
            </w:r>
          </w:p>
        </w:tc>
        <w:tc>
          <w:tcPr>
            <w:tcW w:w="720" w:type="dxa"/>
            <w:tcBorders>
              <w:top w:val="nil"/>
              <w:left w:val="nil"/>
              <w:bottom w:val="single" w:sz="8" w:space="0" w:color="auto"/>
              <w:right w:val="single" w:sz="8" w:space="0" w:color="auto"/>
            </w:tcBorders>
            <w:shd w:val="clear" w:color="000000" w:fill="FFFFFF"/>
            <w:noWrap/>
            <w:vAlign w:val="center"/>
            <w:hideMark/>
          </w:tcPr>
          <w:p w:rsidR="007D7932" w:rsidRPr="007D7932" w:rsidRDefault="007D7932" w:rsidP="007D7932">
            <w:pPr>
              <w:spacing w:after="0" w:line="240" w:lineRule="auto"/>
              <w:jc w:val="center"/>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3</w:t>
            </w:r>
          </w:p>
        </w:tc>
        <w:tc>
          <w:tcPr>
            <w:tcW w:w="1840" w:type="dxa"/>
            <w:tcBorders>
              <w:top w:val="nil"/>
              <w:left w:val="nil"/>
              <w:bottom w:val="single" w:sz="8" w:space="0" w:color="auto"/>
              <w:right w:val="single" w:sz="8" w:space="0" w:color="auto"/>
            </w:tcBorders>
            <w:shd w:val="clear" w:color="000000" w:fill="FFFFFF"/>
            <w:vAlign w:val="center"/>
            <w:hideMark/>
          </w:tcPr>
          <w:p w:rsidR="007D7932" w:rsidRPr="007D7932" w:rsidRDefault="007D7932" w:rsidP="007D7932">
            <w:pPr>
              <w:spacing w:after="0" w:line="240" w:lineRule="auto"/>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 xml:space="preserve">Informe de contenido y asistencia a talleres </w:t>
            </w:r>
          </w:p>
        </w:tc>
      </w:tr>
      <w:tr w:rsidR="007D7932" w:rsidRPr="007D7932" w:rsidTr="007D7932">
        <w:trPr>
          <w:trHeight w:val="495"/>
          <w:jc w:val="center"/>
        </w:trPr>
        <w:tc>
          <w:tcPr>
            <w:tcW w:w="2040" w:type="dxa"/>
            <w:tcBorders>
              <w:top w:val="nil"/>
              <w:left w:val="single" w:sz="8" w:space="0" w:color="auto"/>
              <w:bottom w:val="single" w:sz="8" w:space="0" w:color="auto"/>
              <w:right w:val="single" w:sz="8" w:space="0" w:color="auto"/>
            </w:tcBorders>
            <w:shd w:val="clear" w:color="000000" w:fill="FFFFFF"/>
            <w:vAlign w:val="center"/>
            <w:hideMark/>
          </w:tcPr>
          <w:p w:rsidR="007D7932" w:rsidRPr="007D7932" w:rsidRDefault="007D7932" w:rsidP="007D7932">
            <w:pPr>
              <w:spacing w:after="0" w:line="240" w:lineRule="auto"/>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3.2. Material informativo difundido</w:t>
            </w:r>
          </w:p>
        </w:tc>
        <w:tc>
          <w:tcPr>
            <w:tcW w:w="2140" w:type="dxa"/>
            <w:tcBorders>
              <w:top w:val="nil"/>
              <w:left w:val="nil"/>
              <w:bottom w:val="single" w:sz="8" w:space="0" w:color="auto"/>
              <w:right w:val="single" w:sz="8" w:space="0" w:color="auto"/>
            </w:tcBorders>
            <w:shd w:val="clear" w:color="000000" w:fill="FFFFFF"/>
            <w:noWrap/>
            <w:vAlign w:val="center"/>
            <w:hideMark/>
          </w:tcPr>
          <w:p w:rsidR="007D7932" w:rsidRPr="007D7932" w:rsidRDefault="007D7932" w:rsidP="007D7932">
            <w:pPr>
              <w:spacing w:after="0" w:line="240" w:lineRule="auto"/>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Material escrito</w:t>
            </w:r>
          </w:p>
        </w:tc>
        <w:tc>
          <w:tcPr>
            <w:tcW w:w="680" w:type="dxa"/>
            <w:tcBorders>
              <w:top w:val="nil"/>
              <w:left w:val="nil"/>
              <w:bottom w:val="single" w:sz="8" w:space="0" w:color="auto"/>
              <w:right w:val="single" w:sz="8" w:space="0" w:color="auto"/>
            </w:tcBorders>
            <w:shd w:val="clear" w:color="000000" w:fill="FFFFFF"/>
            <w:noWrap/>
            <w:vAlign w:val="center"/>
            <w:hideMark/>
          </w:tcPr>
          <w:p w:rsidR="007D7932" w:rsidRPr="007D7932" w:rsidRDefault="007D7932" w:rsidP="007D7932">
            <w:pPr>
              <w:spacing w:after="0" w:line="240" w:lineRule="auto"/>
              <w:jc w:val="center"/>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0</w:t>
            </w:r>
          </w:p>
        </w:tc>
        <w:tc>
          <w:tcPr>
            <w:tcW w:w="680" w:type="dxa"/>
            <w:tcBorders>
              <w:top w:val="nil"/>
              <w:left w:val="nil"/>
              <w:bottom w:val="single" w:sz="8" w:space="0" w:color="auto"/>
              <w:right w:val="single" w:sz="8" w:space="0" w:color="auto"/>
            </w:tcBorders>
            <w:shd w:val="clear" w:color="000000" w:fill="FFFFFF"/>
            <w:noWrap/>
            <w:vAlign w:val="center"/>
            <w:hideMark/>
          </w:tcPr>
          <w:p w:rsidR="007D7932" w:rsidRPr="007D7932" w:rsidRDefault="007D7932" w:rsidP="007D7932">
            <w:pPr>
              <w:spacing w:after="0" w:line="240" w:lineRule="auto"/>
              <w:jc w:val="center"/>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2015</w:t>
            </w:r>
          </w:p>
        </w:tc>
        <w:tc>
          <w:tcPr>
            <w:tcW w:w="480" w:type="dxa"/>
            <w:tcBorders>
              <w:top w:val="nil"/>
              <w:left w:val="nil"/>
              <w:bottom w:val="single" w:sz="8" w:space="0" w:color="auto"/>
              <w:right w:val="single" w:sz="8" w:space="0" w:color="auto"/>
            </w:tcBorders>
            <w:shd w:val="clear" w:color="000000" w:fill="FFFFFF"/>
            <w:vAlign w:val="center"/>
            <w:hideMark/>
          </w:tcPr>
          <w:p w:rsidR="007D7932" w:rsidRPr="007D7932" w:rsidRDefault="007D7932" w:rsidP="007D7932">
            <w:pPr>
              <w:spacing w:after="0" w:line="240" w:lineRule="auto"/>
              <w:jc w:val="center"/>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2</w:t>
            </w:r>
          </w:p>
        </w:tc>
        <w:tc>
          <w:tcPr>
            <w:tcW w:w="480" w:type="dxa"/>
            <w:tcBorders>
              <w:top w:val="nil"/>
              <w:left w:val="nil"/>
              <w:bottom w:val="single" w:sz="8" w:space="0" w:color="auto"/>
              <w:right w:val="single" w:sz="8" w:space="0" w:color="auto"/>
            </w:tcBorders>
            <w:shd w:val="clear" w:color="000000" w:fill="FFFFFF"/>
            <w:vAlign w:val="center"/>
            <w:hideMark/>
          </w:tcPr>
          <w:p w:rsidR="007D7932" w:rsidRPr="007D7932" w:rsidRDefault="007D7932" w:rsidP="007D7932">
            <w:pPr>
              <w:spacing w:after="0" w:line="240" w:lineRule="auto"/>
              <w:jc w:val="center"/>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2</w:t>
            </w:r>
          </w:p>
        </w:tc>
        <w:tc>
          <w:tcPr>
            <w:tcW w:w="480" w:type="dxa"/>
            <w:tcBorders>
              <w:top w:val="nil"/>
              <w:left w:val="nil"/>
              <w:bottom w:val="single" w:sz="8" w:space="0" w:color="auto"/>
              <w:right w:val="single" w:sz="8" w:space="0" w:color="auto"/>
            </w:tcBorders>
            <w:shd w:val="clear" w:color="000000" w:fill="FFFFFF"/>
            <w:vAlign w:val="center"/>
            <w:hideMark/>
          </w:tcPr>
          <w:p w:rsidR="007D7932" w:rsidRPr="007D7932" w:rsidRDefault="007D7932" w:rsidP="007D7932">
            <w:pPr>
              <w:spacing w:after="0" w:line="240" w:lineRule="auto"/>
              <w:jc w:val="center"/>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0</w:t>
            </w:r>
          </w:p>
        </w:tc>
        <w:tc>
          <w:tcPr>
            <w:tcW w:w="720" w:type="dxa"/>
            <w:tcBorders>
              <w:top w:val="nil"/>
              <w:left w:val="nil"/>
              <w:bottom w:val="single" w:sz="8" w:space="0" w:color="auto"/>
              <w:right w:val="single" w:sz="8" w:space="0" w:color="auto"/>
            </w:tcBorders>
            <w:shd w:val="clear" w:color="000000" w:fill="FFFFFF"/>
            <w:noWrap/>
            <w:vAlign w:val="center"/>
            <w:hideMark/>
          </w:tcPr>
          <w:p w:rsidR="007D7932" w:rsidRPr="007D7932" w:rsidRDefault="007D7932" w:rsidP="007D7932">
            <w:pPr>
              <w:spacing w:after="0" w:line="240" w:lineRule="auto"/>
              <w:jc w:val="center"/>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4</w:t>
            </w:r>
          </w:p>
        </w:tc>
        <w:tc>
          <w:tcPr>
            <w:tcW w:w="1840" w:type="dxa"/>
            <w:tcBorders>
              <w:top w:val="nil"/>
              <w:left w:val="nil"/>
              <w:bottom w:val="single" w:sz="8" w:space="0" w:color="auto"/>
              <w:right w:val="single" w:sz="8" w:space="0" w:color="auto"/>
            </w:tcBorders>
            <w:shd w:val="clear" w:color="000000" w:fill="FFFFFF"/>
            <w:vAlign w:val="center"/>
            <w:hideMark/>
          </w:tcPr>
          <w:p w:rsidR="007D7932" w:rsidRPr="007D7932" w:rsidRDefault="007D7932" w:rsidP="007D7932">
            <w:pPr>
              <w:spacing w:after="0" w:line="240" w:lineRule="auto"/>
              <w:rPr>
                <w:rFonts w:ascii="Arial" w:eastAsia="Times New Roman" w:hAnsi="Arial" w:cs="Arial"/>
                <w:color w:val="000000"/>
                <w:sz w:val="18"/>
                <w:szCs w:val="18"/>
                <w:lang w:val="es-ES" w:eastAsia="es-ES"/>
              </w:rPr>
            </w:pPr>
            <w:r w:rsidRPr="007D7932">
              <w:rPr>
                <w:rFonts w:ascii="Arial" w:eastAsia="Times New Roman" w:hAnsi="Arial" w:cs="Arial"/>
                <w:color w:val="000000"/>
                <w:sz w:val="18"/>
                <w:szCs w:val="18"/>
                <w:lang w:val="es-ES" w:eastAsia="es-ES"/>
              </w:rPr>
              <w:t>Compendio de material producido</w:t>
            </w:r>
          </w:p>
        </w:tc>
      </w:tr>
    </w:tbl>
    <w:p w:rsidR="00AD6EBC" w:rsidRPr="00AD6EBC" w:rsidRDefault="00AD6EBC" w:rsidP="00AD6EBC">
      <w:pPr>
        <w:pStyle w:val="ListParagraph"/>
        <w:spacing w:before="120" w:after="120" w:line="240" w:lineRule="auto"/>
        <w:ind w:left="360"/>
        <w:contextualSpacing w:val="0"/>
        <w:jc w:val="both"/>
        <w:rPr>
          <w:rFonts w:ascii="Arial" w:hAnsi="Arial" w:cs="Arial"/>
          <w:b/>
          <w:lang w:val="es-ES"/>
        </w:rPr>
      </w:pPr>
    </w:p>
    <w:p w:rsidR="00863C61" w:rsidRPr="00863C61" w:rsidRDefault="00AD6EBC" w:rsidP="00863C61">
      <w:pPr>
        <w:pStyle w:val="ListParagraph"/>
        <w:numPr>
          <w:ilvl w:val="1"/>
          <w:numId w:val="5"/>
        </w:numPr>
        <w:spacing w:before="120" w:after="120" w:line="240" w:lineRule="auto"/>
        <w:ind w:left="360" w:hanging="630"/>
        <w:jc w:val="both"/>
        <w:rPr>
          <w:rFonts w:ascii="Arial" w:hAnsi="Arial" w:cs="Arial"/>
          <w:b/>
          <w:lang w:val="es-ES"/>
        </w:rPr>
      </w:pPr>
      <w:r w:rsidRPr="00AD6EBC">
        <w:rPr>
          <w:rFonts w:ascii="Arial" w:hAnsi="Arial" w:cs="Arial"/>
          <w:b/>
          <w:lang w:val="es-ES"/>
        </w:rPr>
        <w:t>Presupuesto.</w:t>
      </w:r>
      <w:r>
        <w:rPr>
          <w:rFonts w:ascii="Arial" w:hAnsi="Arial" w:cs="Arial"/>
          <w:lang w:val="es-ES"/>
        </w:rPr>
        <w:t xml:space="preserve"> </w:t>
      </w:r>
      <w:r w:rsidR="00394867" w:rsidRPr="008313FA">
        <w:rPr>
          <w:rFonts w:ascii="Arial" w:hAnsi="Arial" w:cs="Arial"/>
          <w:lang w:val="es-ES"/>
        </w:rPr>
        <w:t>El presupuesto estimado de la operación asciende a US$700.000, los cuales provendrán del Capital Ordinario (CO) del Banco asignado al programa de Países Pequeños y Vulnerables (SVC, por sus siglas en inglés). Los costos del proyecto incluyen los impuestos, tasas y derechos arancelarios aplicables, según la</w:t>
      </w:r>
      <w:r w:rsidR="00394867">
        <w:rPr>
          <w:rFonts w:ascii="Arial" w:hAnsi="Arial" w:cs="Arial"/>
          <w:lang w:val="es-ES"/>
        </w:rPr>
        <w:t xml:space="preserve"> </w:t>
      </w:r>
      <w:r w:rsidR="00394867" w:rsidRPr="008313FA">
        <w:rPr>
          <w:rFonts w:ascii="Arial" w:hAnsi="Arial" w:cs="Arial"/>
          <w:lang w:val="es-ES"/>
        </w:rPr>
        <w:t>legislación nacional.</w:t>
      </w:r>
    </w:p>
    <w:p w:rsidR="00863C61" w:rsidRPr="00863C61" w:rsidRDefault="00863C61" w:rsidP="00863C61">
      <w:pPr>
        <w:spacing w:before="120" w:after="120" w:line="240" w:lineRule="auto"/>
        <w:ind w:left="-270"/>
        <w:jc w:val="both"/>
        <w:rPr>
          <w:rFonts w:ascii="Arial" w:hAnsi="Arial" w:cs="Arial"/>
          <w:b/>
          <w:lang w:val="es-ES"/>
        </w:rPr>
      </w:pPr>
    </w:p>
    <w:p w:rsidR="00863C61" w:rsidRPr="00D97FAD" w:rsidRDefault="00F00960" w:rsidP="007C6B4B">
      <w:pPr>
        <w:pStyle w:val="ListParagraph"/>
        <w:spacing w:before="60" w:after="60" w:line="240" w:lineRule="auto"/>
        <w:ind w:left="360"/>
        <w:contextualSpacing w:val="0"/>
        <w:jc w:val="center"/>
        <w:rPr>
          <w:rFonts w:ascii="Arial" w:hAnsi="Arial" w:cs="Arial"/>
          <w:b/>
          <w:lang w:val="es-ES"/>
        </w:rPr>
      </w:pPr>
      <w:r w:rsidRPr="00D97FAD">
        <w:rPr>
          <w:rFonts w:ascii="Arial" w:hAnsi="Arial" w:cs="Arial"/>
          <w:b/>
          <w:lang w:val="es-ES"/>
        </w:rPr>
        <w:t xml:space="preserve">Presupuesto </w:t>
      </w:r>
      <w:r w:rsidR="00AD6EBC">
        <w:rPr>
          <w:rFonts w:ascii="Arial" w:hAnsi="Arial" w:cs="Arial"/>
          <w:b/>
          <w:lang w:val="es-ES"/>
        </w:rPr>
        <w:t>i</w:t>
      </w:r>
      <w:r w:rsidR="00F6363D" w:rsidRPr="00D97FAD">
        <w:rPr>
          <w:rFonts w:ascii="Arial" w:hAnsi="Arial" w:cs="Arial"/>
          <w:b/>
          <w:lang w:val="es-ES"/>
        </w:rPr>
        <w:t>ndicativ</w:t>
      </w:r>
      <w:r w:rsidRPr="00D97FAD">
        <w:rPr>
          <w:rFonts w:ascii="Arial" w:hAnsi="Arial" w:cs="Arial"/>
          <w:b/>
          <w:lang w:val="es-ES"/>
        </w:rPr>
        <w:t>o</w:t>
      </w:r>
      <w:r w:rsidR="00830E08">
        <w:rPr>
          <w:rFonts w:ascii="Arial" w:hAnsi="Arial" w:cs="Arial"/>
          <w:b/>
          <w:lang w:val="es-ES"/>
        </w:rPr>
        <w:t xml:space="preserve"> (US$)</w:t>
      </w:r>
    </w:p>
    <w:tbl>
      <w:tblPr>
        <w:tblW w:w="9005" w:type="dxa"/>
        <w:tblInd w:w="55" w:type="dxa"/>
        <w:tblCellMar>
          <w:left w:w="70" w:type="dxa"/>
          <w:right w:w="70" w:type="dxa"/>
        </w:tblCellMar>
        <w:tblLook w:val="04A0" w:firstRow="1" w:lastRow="0" w:firstColumn="1" w:lastColumn="0" w:noHBand="0" w:noVBand="1"/>
      </w:tblPr>
      <w:tblGrid>
        <w:gridCol w:w="6851"/>
        <w:gridCol w:w="791"/>
        <w:gridCol w:w="791"/>
        <w:gridCol w:w="591"/>
      </w:tblGrid>
      <w:tr w:rsidR="00863C61" w:rsidRPr="00863C61" w:rsidTr="00863C61">
        <w:trPr>
          <w:trHeight w:val="216"/>
        </w:trPr>
        <w:tc>
          <w:tcPr>
            <w:tcW w:w="6851" w:type="dxa"/>
            <w:tcBorders>
              <w:top w:val="single" w:sz="4" w:space="0" w:color="auto"/>
              <w:left w:val="single" w:sz="4" w:space="0" w:color="auto"/>
              <w:bottom w:val="single" w:sz="4" w:space="0" w:color="auto"/>
              <w:right w:val="single" w:sz="4" w:space="0" w:color="auto"/>
            </w:tcBorders>
            <w:shd w:val="clear" w:color="000000" w:fill="95B3D7"/>
            <w:vAlign w:val="center"/>
            <w:hideMark/>
          </w:tcPr>
          <w:p w:rsidR="00863C61" w:rsidRPr="00863C61" w:rsidRDefault="00863C61" w:rsidP="00863C61">
            <w:pPr>
              <w:spacing w:after="0" w:line="240" w:lineRule="auto"/>
              <w:jc w:val="center"/>
              <w:rPr>
                <w:rFonts w:ascii="Arial" w:eastAsia="Times New Roman" w:hAnsi="Arial" w:cs="Arial"/>
                <w:b/>
                <w:bCs/>
                <w:color w:val="000000"/>
                <w:sz w:val="18"/>
                <w:szCs w:val="18"/>
                <w:lang w:val="es-ES" w:eastAsia="es-ES"/>
              </w:rPr>
            </w:pPr>
            <w:r w:rsidRPr="00863C61">
              <w:rPr>
                <w:rFonts w:ascii="Arial" w:eastAsia="Times New Roman" w:hAnsi="Arial" w:cs="Arial"/>
                <w:b/>
                <w:bCs/>
                <w:color w:val="000000"/>
                <w:sz w:val="18"/>
                <w:szCs w:val="18"/>
                <w:lang w:val="es-ES" w:eastAsia="es-ES"/>
              </w:rPr>
              <w:t>Componentes y actividades</w:t>
            </w:r>
          </w:p>
        </w:tc>
        <w:tc>
          <w:tcPr>
            <w:tcW w:w="784" w:type="dxa"/>
            <w:tcBorders>
              <w:top w:val="single" w:sz="4" w:space="0" w:color="auto"/>
              <w:left w:val="nil"/>
              <w:bottom w:val="single" w:sz="4" w:space="0" w:color="auto"/>
              <w:right w:val="single" w:sz="4" w:space="0" w:color="auto"/>
            </w:tcBorders>
            <w:shd w:val="clear" w:color="000000" w:fill="95B3D7"/>
            <w:vAlign w:val="center"/>
            <w:hideMark/>
          </w:tcPr>
          <w:p w:rsidR="00863C61" w:rsidRPr="00863C61" w:rsidRDefault="00863C61" w:rsidP="00863C61">
            <w:pPr>
              <w:spacing w:after="0" w:line="240" w:lineRule="auto"/>
              <w:jc w:val="center"/>
              <w:rPr>
                <w:rFonts w:ascii="Arial" w:eastAsia="Times New Roman" w:hAnsi="Arial" w:cs="Arial"/>
                <w:b/>
                <w:bCs/>
                <w:color w:val="000000"/>
                <w:sz w:val="18"/>
                <w:szCs w:val="18"/>
                <w:lang w:val="es-ES" w:eastAsia="es-ES"/>
              </w:rPr>
            </w:pPr>
            <w:r w:rsidRPr="00863C61">
              <w:rPr>
                <w:rFonts w:ascii="Arial" w:eastAsia="Times New Roman" w:hAnsi="Arial" w:cs="Arial"/>
                <w:b/>
                <w:bCs/>
                <w:color w:val="000000"/>
                <w:sz w:val="18"/>
                <w:szCs w:val="18"/>
                <w:lang w:val="es-ES" w:eastAsia="es-ES"/>
              </w:rPr>
              <w:t>BID</w:t>
            </w:r>
          </w:p>
        </w:tc>
        <w:tc>
          <w:tcPr>
            <w:tcW w:w="784" w:type="dxa"/>
            <w:tcBorders>
              <w:top w:val="single" w:sz="4" w:space="0" w:color="auto"/>
              <w:left w:val="nil"/>
              <w:bottom w:val="single" w:sz="4" w:space="0" w:color="auto"/>
              <w:right w:val="single" w:sz="4" w:space="0" w:color="auto"/>
            </w:tcBorders>
            <w:shd w:val="clear" w:color="000000" w:fill="95B3D7"/>
            <w:vAlign w:val="center"/>
            <w:hideMark/>
          </w:tcPr>
          <w:p w:rsidR="00863C61" w:rsidRPr="00863C61" w:rsidRDefault="00863C61" w:rsidP="00863C61">
            <w:pPr>
              <w:spacing w:after="0" w:line="240" w:lineRule="auto"/>
              <w:jc w:val="center"/>
              <w:rPr>
                <w:rFonts w:ascii="Arial" w:eastAsia="Times New Roman" w:hAnsi="Arial" w:cs="Arial"/>
                <w:b/>
                <w:bCs/>
                <w:color w:val="000000"/>
                <w:sz w:val="18"/>
                <w:szCs w:val="18"/>
                <w:lang w:val="es-ES" w:eastAsia="es-ES"/>
              </w:rPr>
            </w:pPr>
            <w:r w:rsidRPr="00863C61">
              <w:rPr>
                <w:rFonts w:ascii="Arial" w:eastAsia="Times New Roman" w:hAnsi="Arial" w:cs="Arial"/>
                <w:b/>
                <w:bCs/>
                <w:color w:val="000000"/>
                <w:sz w:val="18"/>
                <w:szCs w:val="18"/>
                <w:lang w:val="es-ES" w:eastAsia="es-ES"/>
              </w:rPr>
              <w:t>Total</w:t>
            </w:r>
          </w:p>
        </w:tc>
        <w:tc>
          <w:tcPr>
            <w:tcW w:w="586" w:type="dxa"/>
            <w:tcBorders>
              <w:top w:val="single" w:sz="4" w:space="0" w:color="auto"/>
              <w:left w:val="nil"/>
              <w:bottom w:val="single" w:sz="4" w:space="0" w:color="auto"/>
              <w:right w:val="single" w:sz="4" w:space="0" w:color="auto"/>
            </w:tcBorders>
            <w:shd w:val="clear" w:color="000000" w:fill="95B3D7"/>
            <w:vAlign w:val="center"/>
            <w:hideMark/>
          </w:tcPr>
          <w:p w:rsidR="00863C61" w:rsidRPr="00863C61" w:rsidRDefault="00863C61" w:rsidP="00863C61">
            <w:pPr>
              <w:spacing w:after="0" w:line="240" w:lineRule="auto"/>
              <w:jc w:val="center"/>
              <w:rPr>
                <w:rFonts w:ascii="Arial" w:eastAsia="Times New Roman" w:hAnsi="Arial" w:cs="Arial"/>
                <w:b/>
                <w:bCs/>
                <w:color w:val="000000"/>
                <w:sz w:val="18"/>
                <w:szCs w:val="18"/>
                <w:lang w:val="es-ES" w:eastAsia="es-ES"/>
              </w:rPr>
            </w:pPr>
            <w:r w:rsidRPr="00863C61">
              <w:rPr>
                <w:rFonts w:ascii="Arial" w:eastAsia="Times New Roman" w:hAnsi="Arial" w:cs="Arial"/>
                <w:b/>
                <w:bCs/>
                <w:color w:val="000000"/>
                <w:sz w:val="18"/>
                <w:szCs w:val="18"/>
                <w:lang w:val="es-ES" w:eastAsia="es-ES"/>
              </w:rPr>
              <w:t>%</w:t>
            </w:r>
          </w:p>
        </w:tc>
      </w:tr>
      <w:tr w:rsidR="00863C61" w:rsidRPr="00863C61" w:rsidTr="00863C61">
        <w:trPr>
          <w:trHeight w:val="216"/>
        </w:trPr>
        <w:tc>
          <w:tcPr>
            <w:tcW w:w="6851" w:type="dxa"/>
            <w:tcBorders>
              <w:top w:val="nil"/>
              <w:left w:val="single" w:sz="4" w:space="0" w:color="auto"/>
              <w:bottom w:val="nil"/>
              <w:right w:val="nil"/>
            </w:tcBorders>
            <w:shd w:val="clear" w:color="000000" w:fill="BFBFBF"/>
            <w:noWrap/>
            <w:vAlign w:val="center"/>
            <w:hideMark/>
          </w:tcPr>
          <w:p w:rsidR="00863C61" w:rsidRPr="00863C61" w:rsidRDefault="00863C61" w:rsidP="00863C61">
            <w:pPr>
              <w:spacing w:after="0" w:line="240" w:lineRule="auto"/>
              <w:rPr>
                <w:rFonts w:ascii="Arial" w:eastAsia="Times New Roman" w:hAnsi="Arial" w:cs="Arial"/>
                <w:b/>
                <w:bCs/>
                <w:color w:val="000000"/>
                <w:sz w:val="18"/>
                <w:szCs w:val="18"/>
                <w:lang w:val="es-ES" w:eastAsia="es-ES"/>
              </w:rPr>
            </w:pPr>
            <w:r w:rsidRPr="00863C61">
              <w:rPr>
                <w:rFonts w:ascii="Arial" w:eastAsia="Times New Roman" w:hAnsi="Arial" w:cs="Arial"/>
                <w:b/>
                <w:bCs/>
                <w:color w:val="000000"/>
                <w:sz w:val="18"/>
                <w:szCs w:val="18"/>
                <w:lang w:val="es-ES" w:eastAsia="es-ES"/>
              </w:rPr>
              <w:t xml:space="preserve">Componente 1: Apoyo a la implementación del Marco Fiscal de Mediano Plazo </w:t>
            </w:r>
          </w:p>
        </w:tc>
        <w:tc>
          <w:tcPr>
            <w:tcW w:w="784" w:type="dxa"/>
            <w:tcBorders>
              <w:top w:val="nil"/>
              <w:left w:val="single" w:sz="4" w:space="0" w:color="auto"/>
              <w:bottom w:val="single" w:sz="4" w:space="0" w:color="auto"/>
              <w:right w:val="single" w:sz="4" w:space="0" w:color="auto"/>
            </w:tcBorders>
            <w:shd w:val="clear" w:color="000000" w:fill="BFBFBF"/>
            <w:noWrap/>
            <w:vAlign w:val="center"/>
            <w:hideMark/>
          </w:tcPr>
          <w:p w:rsidR="00863C61" w:rsidRPr="00863C61" w:rsidRDefault="00863C61" w:rsidP="00863C61">
            <w:pPr>
              <w:spacing w:after="0" w:line="240" w:lineRule="auto"/>
              <w:jc w:val="center"/>
              <w:rPr>
                <w:rFonts w:ascii="Arial" w:eastAsia="Times New Roman" w:hAnsi="Arial" w:cs="Arial"/>
                <w:b/>
                <w:bCs/>
                <w:color w:val="000000"/>
                <w:sz w:val="18"/>
                <w:szCs w:val="18"/>
                <w:lang w:val="es-ES" w:eastAsia="es-ES"/>
              </w:rPr>
            </w:pPr>
            <w:r w:rsidRPr="00863C61">
              <w:rPr>
                <w:rFonts w:ascii="Arial" w:eastAsia="Times New Roman" w:hAnsi="Arial" w:cs="Arial"/>
                <w:b/>
                <w:bCs/>
                <w:color w:val="000000"/>
                <w:sz w:val="18"/>
                <w:szCs w:val="18"/>
                <w:lang w:val="es-ES" w:eastAsia="es-ES"/>
              </w:rPr>
              <w:t>450,000</w:t>
            </w:r>
          </w:p>
        </w:tc>
        <w:tc>
          <w:tcPr>
            <w:tcW w:w="784" w:type="dxa"/>
            <w:tcBorders>
              <w:top w:val="nil"/>
              <w:left w:val="nil"/>
              <w:bottom w:val="single" w:sz="4" w:space="0" w:color="auto"/>
              <w:right w:val="single" w:sz="4" w:space="0" w:color="auto"/>
            </w:tcBorders>
            <w:shd w:val="clear" w:color="000000" w:fill="BFBFBF"/>
            <w:noWrap/>
            <w:vAlign w:val="center"/>
            <w:hideMark/>
          </w:tcPr>
          <w:p w:rsidR="00863C61" w:rsidRPr="00863C61" w:rsidRDefault="00863C61" w:rsidP="00863C61">
            <w:pPr>
              <w:spacing w:after="0" w:line="240" w:lineRule="auto"/>
              <w:jc w:val="center"/>
              <w:rPr>
                <w:rFonts w:ascii="Arial" w:eastAsia="Times New Roman" w:hAnsi="Arial" w:cs="Arial"/>
                <w:b/>
                <w:bCs/>
                <w:color w:val="000000"/>
                <w:sz w:val="18"/>
                <w:szCs w:val="18"/>
                <w:lang w:val="es-ES" w:eastAsia="es-ES"/>
              </w:rPr>
            </w:pPr>
            <w:r w:rsidRPr="00863C61">
              <w:rPr>
                <w:rFonts w:ascii="Arial" w:eastAsia="Times New Roman" w:hAnsi="Arial" w:cs="Arial"/>
                <w:b/>
                <w:bCs/>
                <w:color w:val="000000"/>
                <w:sz w:val="18"/>
                <w:szCs w:val="18"/>
                <w:lang w:val="es-ES" w:eastAsia="es-ES"/>
              </w:rPr>
              <w:t>450,000</w:t>
            </w:r>
          </w:p>
        </w:tc>
        <w:tc>
          <w:tcPr>
            <w:tcW w:w="586" w:type="dxa"/>
            <w:tcBorders>
              <w:top w:val="nil"/>
              <w:left w:val="nil"/>
              <w:bottom w:val="single" w:sz="4" w:space="0" w:color="auto"/>
              <w:right w:val="single" w:sz="4" w:space="0" w:color="auto"/>
            </w:tcBorders>
            <w:shd w:val="clear" w:color="000000" w:fill="BFBFBF"/>
            <w:noWrap/>
            <w:vAlign w:val="center"/>
            <w:hideMark/>
          </w:tcPr>
          <w:p w:rsidR="00863C61" w:rsidRPr="00863C61" w:rsidRDefault="00863C61" w:rsidP="00863C61">
            <w:pPr>
              <w:spacing w:after="0" w:line="240" w:lineRule="auto"/>
              <w:jc w:val="center"/>
              <w:rPr>
                <w:rFonts w:ascii="Arial" w:eastAsia="Times New Roman" w:hAnsi="Arial" w:cs="Arial"/>
                <w:b/>
                <w:bCs/>
                <w:color w:val="000000"/>
                <w:sz w:val="18"/>
                <w:szCs w:val="18"/>
                <w:lang w:val="es-ES" w:eastAsia="es-ES"/>
              </w:rPr>
            </w:pPr>
            <w:r w:rsidRPr="00863C61">
              <w:rPr>
                <w:rFonts w:ascii="Arial" w:eastAsia="Times New Roman" w:hAnsi="Arial" w:cs="Arial"/>
                <w:b/>
                <w:bCs/>
                <w:color w:val="000000"/>
                <w:sz w:val="18"/>
                <w:szCs w:val="18"/>
                <w:lang w:val="es-ES" w:eastAsia="es-ES"/>
              </w:rPr>
              <w:t>64.3</w:t>
            </w:r>
          </w:p>
        </w:tc>
      </w:tr>
      <w:tr w:rsidR="00863C61" w:rsidRPr="00863C61" w:rsidTr="00863C61">
        <w:trPr>
          <w:trHeight w:val="431"/>
        </w:trPr>
        <w:tc>
          <w:tcPr>
            <w:tcW w:w="6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3C61" w:rsidRPr="00863C61" w:rsidRDefault="00863C61" w:rsidP="00863C61">
            <w:pPr>
              <w:spacing w:after="0" w:line="240" w:lineRule="auto"/>
              <w:rPr>
                <w:rFonts w:ascii="Arial" w:eastAsia="Times New Roman" w:hAnsi="Arial" w:cs="Arial"/>
                <w:color w:val="000000"/>
                <w:sz w:val="18"/>
                <w:szCs w:val="18"/>
                <w:lang w:val="es-ES" w:eastAsia="es-ES"/>
              </w:rPr>
            </w:pPr>
            <w:r w:rsidRPr="00863C61">
              <w:rPr>
                <w:rFonts w:ascii="Arial" w:eastAsia="Times New Roman" w:hAnsi="Arial" w:cs="Arial"/>
                <w:color w:val="000000"/>
                <w:sz w:val="18"/>
                <w:szCs w:val="18"/>
                <w:lang w:val="es-ES" w:eastAsia="es-ES"/>
              </w:rPr>
              <w:t>1.1. Consultoría para el desarrollo de modelos cuantitativos para la realización de proyecciones macroeconómicas, análisis de consistencia, y medición del impacto de la política fiscal</w:t>
            </w:r>
          </w:p>
        </w:tc>
        <w:tc>
          <w:tcPr>
            <w:tcW w:w="784" w:type="dxa"/>
            <w:tcBorders>
              <w:top w:val="nil"/>
              <w:left w:val="nil"/>
              <w:bottom w:val="single" w:sz="4" w:space="0" w:color="auto"/>
              <w:right w:val="single" w:sz="4" w:space="0" w:color="auto"/>
            </w:tcBorders>
            <w:shd w:val="clear" w:color="000000" w:fill="FFFFFF"/>
            <w:noWrap/>
            <w:vAlign w:val="center"/>
            <w:hideMark/>
          </w:tcPr>
          <w:p w:rsidR="00863C61" w:rsidRPr="00863C61" w:rsidRDefault="00863C61" w:rsidP="00863C61">
            <w:pPr>
              <w:spacing w:after="0" w:line="240" w:lineRule="auto"/>
              <w:jc w:val="center"/>
              <w:rPr>
                <w:rFonts w:ascii="Arial" w:eastAsia="Times New Roman" w:hAnsi="Arial" w:cs="Arial"/>
                <w:color w:val="000000"/>
                <w:sz w:val="18"/>
                <w:szCs w:val="18"/>
                <w:lang w:val="es-ES" w:eastAsia="es-ES"/>
              </w:rPr>
            </w:pPr>
            <w:r w:rsidRPr="00863C61">
              <w:rPr>
                <w:rFonts w:ascii="Arial" w:eastAsia="Times New Roman" w:hAnsi="Arial" w:cs="Arial"/>
                <w:color w:val="000000"/>
                <w:sz w:val="18"/>
                <w:szCs w:val="18"/>
                <w:lang w:val="es-ES" w:eastAsia="es-ES"/>
              </w:rPr>
              <w:t>75,000</w:t>
            </w:r>
          </w:p>
        </w:tc>
        <w:tc>
          <w:tcPr>
            <w:tcW w:w="784" w:type="dxa"/>
            <w:tcBorders>
              <w:top w:val="nil"/>
              <w:left w:val="nil"/>
              <w:bottom w:val="single" w:sz="4" w:space="0" w:color="auto"/>
              <w:right w:val="single" w:sz="4" w:space="0" w:color="auto"/>
            </w:tcBorders>
            <w:shd w:val="clear" w:color="000000" w:fill="FFFFFF"/>
            <w:noWrap/>
            <w:vAlign w:val="center"/>
            <w:hideMark/>
          </w:tcPr>
          <w:p w:rsidR="00863C61" w:rsidRPr="00863C61" w:rsidRDefault="00863C61" w:rsidP="00863C61">
            <w:pPr>
              <w:spacing w:after="0" w:line="240" w:lineRule="auto"/>
              <w:jc w:val="center"/>
              <w:rPr>
                <w:rFonts w:ascii="Arial" w:eastAsia="Times New Roman" w:hAnsi="Arial" w:cs="Arial"/>
                <w:b/>
                <w:bCs/>
                <w:color w:val="000000"/>
                <w:sz w:val="18"/>
                <w:szCs w:val="18"/>
                <w:lang w:val="es-ES" w:eastAsia="es-ES"/>
              </w:rPr>
            </w:pPr>
            <w:r w:rsidRPr="00863C61">
              <w:rPr>
                <w:rFonts w:ascii="Arial" w:eastAsia="Times New Roman" w:hAnsi="Arial" w:cs="Arial"/>
                <w:b/>
                <w:bCs/>
                <w:color w:val="000000"/>
                <w:sz w:val="18"/>
                <w:szCs w:val="18"/>
                <w:lang w:val="es-ES" w:eastAsia="es-ES"/>
              </w:rPr>
              <w:t> </w:t>
            </w:r>
          </w:p>
        </w:tc>
        <w:tc>
          <w:tcPr>
            <w:tcW w:w="586" w:type="dxa"/>
            <w:tcBorders>
              <w:top w:val="nil"/>
              <w:left w:val="nil"/>
              <w:bottom w:val="single" w:sz="4" w:space="0" w:color="auto"/>
              <w:right w:val="single" w:sz="4" w:space="0" w:color="auto"/>
            </w:tcBorders>
            <w:shd w:val="clear" w:color="000000" w:fill="FFFFFF"/>
            <w:noWrap/>
            <w:vAlign w:val="center"/>
            <w:hideMark/>
          </w:tcPr>
          <w:p w:rsidR="00863C61" w:rsidRPr="00863C61" w:rsidRDefault="00863C61" w:rsidP="00863C61">
            <w:pPr>
              <w:spacing w:after="0" w:line="240" w:lineRule="auto"/>
              <w:jc w:val="center"/>
              <w:rPr>
                <w:rFonts w:ascii="Arial" w:eastAsia="Times New Roman" w:hAnsi="Arial" w:cs="Arial"/>
                <w:color w:val="000000"/>
                <w:sz w:val="18"/>
                <w:szCs w:val="18"/>
                <w:lang w:val="es-ES" w:eastAsia="es-ES"/>
              </w:rPr>
            </w:pPr>
            <w:r w:rsidRPr="00863C61">
              <w:rPr>
                <w:rFonts w:ascii="Arial" w:eastAsia="Times New Roman" w:hAnsi="Arial" w:cs="Arial"/>
                <w:color w:val="000000"/>
                <w:sz w:val="18"/>
                <w:szCs w:val="18"/>
                <w:lang w:val="es-ES" w:eastAsia="es-ES"/>
              </w:rPr>
              <w:t> </w:t>
            </w:r>
          </w:p>
        </w:tc>
      </w:tr>
      <w:tr w:rsidR="00863C61" w:rsidRPr="00863C61" w:rsidTr="00863C61">
        <w:trPr>
          <w:trHeight w:val="431"/>
        </w:trPr>
        <w:tc>
          <w:tcPr>
            <w:tcW w:w="6851" w:type="dxa"/>
            <w:tcBorders>
              <w:top w:val="nil"/>
              <w:left w:val="single" w:sz="4" w:space="0" w:color="auto"/>
              <w:bottom w:val="single" w:sz="4" w:space="0" w:color="auto"/>
              <w:right w:val="single" w:sz="4" w:space="0" w:color="auto"/>
            </w:tcBorders>
            <w:shd w:val="clear" w:color="000000" w:fill="FFFFFF"/>
            <w:vAlign w:val="center"/>
            <w:hideMark/>
          </w:tcPr>
          <w:p w:rsidR="00863C61" w:rsidRPr="00863C61" w:rsidRDefault="00863C61" w:rsidP="00A935C8">
            <w:pPr>
              <w:spacing w:after="0" w:line="240" w:lineRule="auto"/>
              <w:rPr>
                <w:rFonts w:ascii="Arial" w:eastAsia="Times New Roman" w:hAnsi="Arial" w:cs="Arial"/>
                <w:color w:val="000000"/>
                <w:sz w:val="18"/>
                <w:szCs w:val="18"/>
                <w:lang w:val="es-ES" w:eastAsia="es-ES"/>
              </w:rPr>
            </w:pPr>
            <w:r w:rsidRPr="00863C61">
              <w:rPr>
                <w:rFonts w:ascii="Arial" w:eastAsia="Times New Roman" w:hAnsi="Arial" w:cs="Arial"/>
                <w:color w:val="000000"/>
                <w:sz w:val="18"/>
                <w:szCs w:val="18"/>
                <w:lang w:val="es-ES" w:eastAsia="es-ES"/>
              </w:rPr>
              <w:t xml:space="preserve">1.2. </w:t>
            </w:r>
            <w:r w:rsidR="00A935C8" w:rsidRPr="00863C61">
              <w:rPr>
                <w:rFonts w:ascii="Arial" w:eastAsia="Times New Roman" w:hAnsi="Arial" w:cs="Arial"/>
                <w:color w:val="000000"/>
                <w:sz w:val="18"/>
                <w:szCs w:val="18"/>
                <w:lang w:val="es-ES" w:eastAsia="es-ES"/>
              </w:rPr>
              <w:t xml:space="preserve">Consultoría para apoyar la implementación de reformas sectoriales enmarcadas en el programa de consolidación fiscal </w:t>
            </w:r>
          </w:p>
        </w:tc>
        <w:tc>
          <w:tcPr>
            <w:tcW w:w="784" w:type="dxa"/>
            <w:tcBorders>
              <w:top w:val="nil"/>
              <w:left w:val="nil"/>
              <w:bottom w:val="single" w:sz="4" w:space="0" w:color="auto"/>
              <w:right w:val="single" w:sz="4" w:space="0" w:color="auto"/>
            </w:tcBorders>
            <w:shd w:val="clear" w:color="000000" w:fill="FFFFFF"/>
            <w:noWrap/>
            <w:vAlign w:val="center"/>
            <w:hideMark/>
          </w:tcPr>
          <w:p w:rsidR="00863C61" w:rsidRPr="00863C61" w:rsidRDefault="00A935C8" w:rsidP="00863C61">
            <w:pPr>
              <w:spacing w:after="0" w:line="240" w:lineRule="auto"/>
              <w:jc w:val="center"/>
              <w:rPr>
                <w:rFonts w:ascii="Arial" w:eastAsia="Times New Roman" w:hAnsi="Arial" w:cs="Arial"/>
                <w:color w:val="000000"/>
                <w:sz w:val="18"/>
                <w:szCs w:val="18"/>
                <w:lang w:val="es-ES" w:eastAsia="es-ES"/>
              </w:rPr>
            </w:pPr>
            <w:r>
              <w:rPr>
                <w:rFonts w:ascii="Arial" w:eastAsia="Times New Roman" w:hAnsi="Arial" w:cs="Arial"/>
                <w:color w:val="000000"/>
                <w:sz w:val="18"/>
                <w:szCs w:val="18"/>
                <w:lang w:val="es-ES" w:eastAsia="es-ES"/>
              </w:rPr>
              <w:t>80</w:t>
            </w:r>
            <w:r w:rsidR="00863C61" w:rsidRPr="00863C61">
              <w:rPr>
                <w:rFonts w:ascii="Arial" w:eastAsia="Times New Roman" w:hAnsi="Arial" w:cs="Arial"/>
                <w:color w:val="000000"/>
                <w:sz w:val="18"/>
                <w:szCs w:val="18"/>
                <w:lang w:val="es-ES" w:eastAsia="es-ES"/>
              </w:rPr>
              <w:t>,000</w:t>
            </w:r>
          </w:p>
        </w:tc>
        <w:tc>
          <w:tcPr>
            <w:tcW w:w="784" w:type="dxa"/>
            <w:tcBorders>
              <w:top w:val="nil"/>
              <w:left w:val="nil"/>
              <w:bottom w:val="single" w:sz="4" w:space="0" w:color="auto"/>
              <w:right w:val="single" w:sz="4" w:space="0" w:color="auto"/>
            </w:tcBorders>
            <w:shd w:val="clear" w:color="000000" w:fill="FFFFFF"/>
            <w:noWrap/>
            <w:vAlign w:val="center"/>
            <w:hideMark/>
          </w:tcPr>
          <w:p w:rsidR="00863C61" w:rsidRPr="00863C61" w:rsidRDefault="00863C61" w:rsidP="00863C61">
            <w:pPr>
              <w:spacing w:after="0" w:line="240" w:lineRule="auto"/>
              <w:jc w:val="center"/>
              <w:rPr>
                <w:rFonts w:ascii="Arial" w:eastAsia="Times New Roman" w:hAnsi="Arial" w:cs="Arial"/>
                <w:b/>
                <w:bCs/>
                <w:color w:val="000000"/>
                <w:sz w:val="18"/>
                <w:szCs w:val="18"/>
                <w:lang w:val="es-ES" w:eastAsia="es-ES"/>
              </w:rPr>
            </w:pPr>
            <w:r w:rsidRPr="00863C61">
              <w:rPr>
                <w:rFonts w:ascii="Arial" w:eastAsia="Times New Roman" w:hAnsi="Arial" w:cs="Arial"/>
                <w:b/>
                <w:bCs/>
                <w:color w:val="000000"/>
                <w:sz w:val="18"/>
                <w:szCs w:val="18"/>
                <w:lang w:val="es-ES" w:eastAsia="es-ES"/>
              </w:rPr>
              <w:t> </w:t>
            </w:r>
          </w:p>
        </w:tc>
        <w:tc>
          <w:tcPr>
            <w:tcW w:w="586" w:type="dxa"/>
            <w:tcBorders>
              <w:top w:val="nil"/>
              <w:left w:val="nil"/>
              <w:bottom w:val="single" w:sz="4" w:space="0" w:color="auto"/>
              <w:right w:val="single" w:sz="4" w:space="0" w:color="auto"/>
            </w:tcBorders>
            <w:shd w:val="clear" w:color="000000" w:fill="FFFFFF"/>
            <w:noWrap/>
            <w:vAlign w:val="center"/>
            <w:hideMark/>
          </w:tcPr>
          <w:p w:rsidR="00863C61" w:rsidRPr="00863C61" w:rsidRDefault="00863C61" w:rsidP="00863C61">
            <w:pPr>
              <w:spacing w:after="0" w:line="240" w:lineRule="auto"/>
              <w:jc w:val="center"/>
              <w:rPr>
                <w:rFonts w:ascii="Arial" w:eastAsia="Times New Roman" w:hAnsi="Arial" w:cs="Arial"/>
                <w:color w:val="000000"/>
                <w:sz w:val="18"/>
                <w:szCs w:val="18"/>
                <w:lang w:val="es-ES" w:eastAsia="es-ES"/>
              </w:rPr>
            </w:pPr>
            <w:r w:rsidRPr="00863C61">
              <w:rPr>
                <w:rFonts w:ascii="Arial" w:eastAsia="Times New Roman" w:hAnsi="Arial" w:cs="Arial"/>
                <w:color w:val="000000"/>
                <w:sz w:val="18"/>
                <w:szCs w:val="18"/>
                <w:lang w:val="es-ES" w:eastAsia="es-ES"/>
              </w:rPr>
              <w:t> </w:t>
            </w:r>
          </w:p>
        </w:tc>
      </w:tr>
      <w:tr w:rsidR="00863C61" w:rsidRPr="00863C61" w:rsidTr="00863C61">
        <w:trPr>
          <w:trHeight w:val="431"/>
        </w:trPr>
        <w:tc>
          <w:tcPr>
            <w:tcW w:w="6851" w:type="dxa"/>
            <w:tcBorders>
              <w:top w:val="nil"/>
              <w:left w:val="single" w:sz="4" w:space="0" w:color="auto"/>
              <w:bottom w:val="single" w:sz="4" w:space="0" w:color="auto"/>
              <w:right w:val="single" w:sz="4" w:space="0" w:color="auto"/>
            </w:tcBorders>
            <w:shd w:val="clear" w:color="000000" w:fill="FFFFFF"/>
            <w:vAlign w:val="center"/>
            <w:hideMark/>
          </w:tcPr>
          <w:p w:rsidR="00863C61" w:rsidRPr="00863C61" w:rsidRDefault="00863C61" w:rsidP="00A935C8">
            <w:pPr>
              <w:spacing w:after="0" w:line="240" w:lineRule="auto"/>
              <w:rPr>
                <w:rFonts w:ascii="Arial" w:eastAsia="Times New Roman" w:hAnsi="Arial" w:cs="Arial"/>
                <w:color w:val="000000"/>
                <w:sz w:val="18"/>
                <w:szCs w:val="18"/>
                <w:lang w:val="es-ES" w:eastAsia="es-ES"/>
              </w:rPr>
            </w:pPr>
            <w:r w:rsidRPr="00863C61">
              <w:rPr>
                <w:rFonts w:ascii="Arial" w:eastAsia="Times New Roman" w:hAnsi="Arial" w:cs="Arial"/>
                <w:color w:val="000000"/>
                <w:sz w:val="18"/>
                <w:szCs w:val="18"/>
                <w:lang w:val="es-ES" w:eastAsia="es-ES"/>
              </w:rPr>
              <w:t xml:space="preserve">1.3. </w:t>
            </w:r>
            <w:r w:rsidR="00A935C8" w:rsidRPr="00863C61">
              <w:rPr>
                <w:rFonts w:ascii="Arial" w:eastAsia="Times New Roman" w:hAnsi="Arial" w:cs="Arial"/>
                <w:color w:val="000000"/>
                <w:sz w:val="18"/>
                <w:szCs w:val="18"/>
                <w:lang w:val="es-ES" w:eastAsia="es-ES"/>
              </w:rPr>
              <w:t>Consultoría para desarrollar propuesta de modificación de marco legal de política de endeudamiento</w:t>
            </w:r>
          </w:p>
        </w:tc>
        <w:tc>
          <w:tcPr>
            <w:tcW w:w="784" w:type="dxa"/>
            <w:tcBorders>
              <w:top w:val="nil"/>
              <w:left w:val="nil"/>
              <w:bottom w:val="single" w:sz="4" w:space="0" w:color="auto"/>
              <w:right w:val="single" w:sz="4" w:space="0" w:color="auto"/>
            </w:tcBorders>
            <w:shd w:val="clear" w:color="000000" w:fill="FFFFFF"/>
            <w:noWrap/>
            <w:vAlign w:val="center"/>
            <w:hideMark/>
          </w:tcPr>
          <w:p w:rsidR="00863C61" w:rsidRPr="00863C61" w:rsidRDefault="00A935C8" w:rsidP="00863C61">
            <w:pPr>
              <w:spacing w:after="0" w:line="240" w:lineRule="auto"/>
              <w:jc w:val="center"/>
              <w:rPr>
                <w:rFonts w:ascii="Arial" w:eastAsia="Times New Roman" w:hAnsi="Arial" w:cs="Arial"/>
                <w:color w:val="000000"/>
                <w:sz w:val="18"/>
                <w:szCs w:val="18"/>
                <w:lang w:val="es-ES" w:eastAsia="es-ES"/>
              </w:rPr>
            </w:pPr>
            <w:r>
              <w:rPr>
                <w:rFonts w:ascii="Arial" w:eastAsia="Times New Roman" w:hAnsi="Arial" w:cs="Arial"/>
                <w:color w:val="000000"/>
                <w:sz w:val="18"/>
                <w:szCs w:val="18"/>
                <w:lang w:val="es-ES" w:eastAsia="es-ES"/>
              </w:rPr>
              <w:t>65</w:t>
            </w:r>
            <w:r w:rsidR="00863C61" w:rsidRPr="00863C61">
              <w:rPr>
                <w:rFonts w:ascii="Arial" w:eastAsia="Times New Roman" w:hAnsi="Arial" w:cs="Arial"/>
                <w:color w:val="000000"/>
                <w:sz w:val="18"/>
                <w:szCs w:val="18"/>
                <w:lang w:val="es-ES" w:eastAsia="es-ES"/>
              </w:rPr>
              <w:t>,000</w:t>
            </w:r>
          </w:p>
        </w:tc>
        <w:tc>
          <w:tcPr>
            <w:tcW w:w="784" w:type="dxa"/>
            <w:tcBorders>
              <w:top w:val="nil"/>
              <w:left w:val="nil"/>
              <w:bottom w:val="single" w:sz="4" w:space="0" w:color="auto"/>
              <w:right w:val="single" w:sz="4" w:space="0" w:color="auto"/>
            </w:tcBorders>
            <w:shd w:val="clear" w:color="000000" w:fill="FFFFFF"/>
            <w:noWrap/>
            <w:vAlign w:val="center"/>
            <w:hideMark/>
          </w:tcPr>
          <w:p w:rsidR="00863C61" w:rsidRPr="00863C61" w:rsidRDefault="00863C61" w:rsidP="00863C61">
            <w:pPr>
              <w:spacing w:after="0" w:line="240" w:lineRule="auto"/>
              <w:jc w:val="center"/>
              <w:rPr>
                <w:rFonts w:ascii="Arial" w:eastAsia="Times New Roman" w:hAnsi="Arial" w:cs="Arial"/>
                <w:b/>
                <w:bCs/>
                <w:color w:val="000000"/>
                <w:sz w:val="18"/>
                <w:szCs w:val="18"/>
                <w:lang w:val="es-ES" w:eastAsia="es-ES"/>
              </w:rPr>
            </w:pPr>
            <w:r w:rsidRPr="00863C61">
              <w:rPr>
                <w:rFonts w:ascii="Arial" w:eastAsia="Times New Roman" w:hAnsi="Arial" w:cs="Arial"/>
                <w:b/>
                <w:bCs/>
                <w:color w:val="000000"/>
                <w:sz w:val="18"/>
                <w:szCs w:val="18"/>
                <w:lang w:val="es-ES" w:eastAsia="es-ES"/>
              </w:rPr>
              <w:t> </w:t>
            </w:r>
          </w:p>
        </w:tc>
        <w:tc>
          <w:tcPr>
            <w:tcW w:w="586" w:type="dxa"/>
            <w:tcBorders>
              <w:top w:val="nil"/>
              <w:left w:val="nil"/>
              <w:bottom w:val="single" w:sz="4" w:space="0" w:color="auto"/>
              <w:right w:val="single" w:sz="4" w:space="0" w:color="auto"/>
            </w:tcBorders>
            <w:shd w:val="clear" w:color="000000" w:fill="FFFFFF"/>
            <w:noWrap/>
            <w:vAlign w:val="center"/>
            <w:hideMark/>
          </w:tcPr>
          <w:p w:rsidR="00863C61" w:rsidRPr="00863C61" w:rsidRDefault="00863C61" w:rsidP="00863C61">
            <w:pPr>
              <w:spacing w:after="0" w:line="240" w:lineRule="auto"/>
              <w:jc w:val="center"/>
              <w:rPr>
                <w:rFonts w:ascii="Arial" w:eastAsia="Times New Roman" w:hAnsi="Arial" w:cs="Arial"/>
                <w:color w:val="000000"/>
                <w:sz w:val="18"/>
                <w:szCs w:val="18"/>
                <w:lang w:val="es-ES" w:eastAsia="es-ES"/>
              </w:rPr>
            </w:pPr>
            <w:r w:rsidRPr="00863C61">
              <w:rPr>
                <w:rFonts w:ascii="Arial" w:eastAsia="Times New Roman" w:hAnsi="Arial" w:cs="Arial"/>
                <w:color w:val="000000"/>
                <w:sz w:val="18"/>
                <w:szCs w:val="18"/>
                <w:lang w:val="es-ES" w:eastAsia="es-ES"/>
              </w:rPr>
              <w:t> </w:t>
            </w:r>
          </w:p>
        </w:tc>
      </w:tr>
      <w:tr w:rsidR="00863C61" w:rsidRPr="00863C61" w:rsidTr="00863C61">
        <w:trPr>
          <w:trHeight w:val="431"/>
        </w:trPr>
        <w:tc>
          <w:tcPr>
            <w:tcW w:w="6851" w:type="dxa"/>
            <w:tcBorders>
              <w:top w:val="nil"/>
              <w:left w:val="single" w:sz="4" w:space="0" w:color="auto"/>
              <w:bottom w:val="single" w:sz="4" w:space="0" w:color="auto"/>
              <w:right w:val="single" w:sz="4" w:space="0" w:color="auto"/>
            </w:tcBorders>
            <w:shd w:val="clear" w:color="000000" w:fill="FFFFFF"/>
            <w:vAlign w:val="center"/>
            <w:hideMark/>
          </w:tcPr>
          <w:p w:rsidR="00863C61" w:rsidRPr="00863C61" w:rsidRDefault="00863C61" w:rsidP="00A935C8">
            <w:pPr>
              <w:spacing w:after="0" w:line="240" w:lineRule="auto"/>
              <w:rPr>
                <w:rFonts w:ascii="Arial" w:eastAsia="Times New Roman" w:hAnsi="Arial" w:cs="Arial"/>
                <w:color w:val="000000"/>
                <w:sz w:val="18"/>
                <w:szCs w:val="18"/>
                <w:lang w:val="es-ES" w:eastAsia="es-ES"/>
              </w:rPr>
            </w:pPr>
            <w:r w:rsidRPr="00863C61">
              <w:rPr>
                <w:rFonts w:ascii="Arial" w:eastAsia="Times New Roman" w:hAnsi="Arial" w:cs="Arial"/>
                <w:color w:val="000000"/>
                <w:sz w:val="18"/>
                <w:szCs w:val="18"/>
                <w:lang w:val="es-ES" w:eastAsia="es-ES"/>
              </w:rPr>
              <w:t xml:space="preserve">1.4. </w:t>
            </w:r>
            <w:r w:rsidR="00A935C8" w:rsidRPr="00863C61">
              <w:rPr>
                <w:rFonts w:ascii="Arial" w:eastAsia="Times New Roman" w:hAnsi="Arial" w:cs="Arial"/>
                <w:color w:val="000000"/>
                <w:sz w:val="18"/>
                <w:szCs w:val="18"/>
                <w:lang w:val="es-ES" w:eastAsia="es-ES"/>
              </w:rPr>
              <w:t>C</w:t>
            </w:r>
            <w:r w:rsidR="008755A2">
              <w:rPr>
                <w:rFonts w:ascii="Arial" w:eastAsia="Times New Roman" w:hAnsi="Arial" w:cs="Arial"/>
                <w:color w:val="000000"/>
                <w:sz w:val="18"/>
                <w:szCs w:val="18"/>
                <w:lang w:val="es-ES" w:eastAsia="es-ES"/>
              </w:rPr>
              <w:t>onsultoría para el desarrollo</w:t>
            </w:r>
            <w:r w:rsidR="00A935C8" w:rsidRPr="00863C61">
              <w:rPr>
                <w:rFonts w:ascii="Arial" w:eastAsia="Times New Roman" w:hAnsi="Arial" w:cs="Arial"/>
                <w:color w:val="000000"/>
                <w:sz w:val="18"/>
                <w:szCs w:val="18"/>
                <w:lang w:val="es-ES" w:eastAsia="es-ES"/>
              </w:rPr>
              <w:t xml:space="preserve"> de procedimientos de evaluación y emisión de garantías del gobierno central</w:t>
            </w:r>
          </w:p>
        </w:tc>
        <w:tc>
          <w:tcPr>
            <w:tcW w:w="784" w:type="dxa"/>
            <w:tcBorders>
              <w:top w:val="nil"/>
              <w:left w:val="nil"/>
              <w:bottom w:val="single" w:sz="4" w:space="0" w:color="auto"/>
              <w:right w:val="single" w:sz="4" w:space="0" w:color="auto"/>
            </w:tcBorders>
            <w:shd w:val="clear" w:color="000000" w:fill="FFFFFF"/>
            <w:noWrap/>
            <w:vAlign w:val="center"/>
            <w:hideMark/>
          </w:tcPr>
          <w:p w:rsidR="00863C61" w:rsidRPr="00863C61" w:rsidRDefault="00A935C8" w:rsidP="00863C61">
            <w:pPr>
              <w:spacing w:after="0" w:line="240" w:lineRule="auto"/>
              <w:jc w:val="center"/>
              <w:rPr>
                <w:rFonts w:ascii="Arial" w:eastAsia="Times New Roman" w:hAnsi="Arial" w:cs="Arial"/>
                <w:color w:val="000000"/>
                <w:sz w:val="18"/>
                <w:szCs w:val="18"/>
                <w:lang w:val="es-ES" w:eastAsia="es-ES"/>
              </w:rPr>
            </w:pPr>
            <w:r>
              <w:rPr>
                <w:rFonts w:ascii="Arial" w:eastAsia="Times New Roman" w:hAnsi="Arial" w:cs="Arial"/>
                <w:color w:val="000000"/>
                <w:sz w:val="18"/>
                <w:szCs w:val="18"/>
                <w:lang w:val="es-ES" w:eastAsia="es-ES"/>
              </w:rPr>
              <w:t>3</w:t>
            </w:r>
            <w:r w:rsidR="00863C61" w:rsidRPr="00863C61">
              <w:rPr>
                <w:rFonts w:ascii="Arial" w:eastAsia="Times New Roman" w:hAnsi="Arial" w:cs="Arial"/>
                <w:color w:val="000000"/>
                <w:sz w:val="18"/>
                <w:szCs w:val="18"/>
                <w:lang w:val="es-ES" w:eastAsia="es-ES"/>
              </w:rPr>
              <w:t>0,000</w:t>
            </w:r>
          </w:p>
        </w:tc>
        <w:tc>
          <w:tcPr>
            <w:tcW w:w="784" w:type="dxa"/>
            <w:tcBorders>
              <w:top w:val="nil"/>
              <w:left w:val="nil"/>
              <w:bottom w:val="single" w:sz="4" w:space="0" w:color="auto"/>
              <w:right w:val="single" w:sz="4" w:space="0" w:color="auto"/>
            </w:tcBorders>
            <w:shd w:val="clear" w:color="000000" w:fill="FFFFFF"/>
            <w:noWrap/>
            <w:vAlign w:val="center"/>
            <w:hideMark/>
          </w:tcPr>
          <w:p w:rsidR="00863C61" w:rsidRPr="00863C61" w:rsidRDefault="00863C61" w:rsidP="00863C61">
            <w:pPr>
              <w:spacing w:after="0" w:line="240" w:lineRule="auto"/>
              <w:jc w:val="center"/>
              <w:rPr>
                <w:rFonts w:ascii="Arial" w:eastAsia="Times New Roman" w:hAnsi="Arial" w:cs="Arial"/>
                <w:b/>
                <w:bCs/>
                <w:color w:val="000000"/>
                <w:sz w:val="18"/>
                <w:szCs w:val="18"/>
                <w:lang w:val="es-ES" w:eastAsia="es-ES"/>
              </w:rPr>
            </w:pPr>
            <w:r w:rsidRPr="00863C61">
              <w:rPr>
                <w:rFonts w:ascii="Arial" w:eastAsia="Times New Roman" w:hAnsi="Arial" w:cs="Arial"/>
                <w:b/>
                <w:bCs/>
                <w:color w:val="000000"/>
                <w:sz w:val="18"/>
                <w:szCs w:val="18"/>
                <w:lang w:val="es-ES" w:eastAsia="es-ES"/>
              </w:rPr>
              <w:t> </w:t>
            </w:r>
          </w:p>
        </w:tc>
        <w:tc>
          <w:tcPr>
            <w:tcW w:w="586" w:type="dxa"/>
            <w:tcBorders>
              <w:top w:val="nil"/>
              <w:left w:val="nil"/>
              <w:bottom w:val="single" w:sz="4" w:space="0" w:color="auto"/>
              <w:right w:val="single" w:sz="4" w:space="0" w:color="auto"/>
            </w:tcBorders>
            <w:shd w:val="clear" w:color="000000" w:fill="FFFFFF"/>
            <w:noWrap/>
            <w:vAlign w:val="center"/>
            <w:hideMark/>
          </w:tcPr>
          <w:p w:rsidR="00863C61" w:rsidRPr="00863C61" w:rsidRDefault="00863C61" w:rsidP="00863C61">
            <w:pPr>
              <w:spacing w:after="0" w:line="240" w:lineRule="auto"/>
              <w:jc w:val="center"/>
              <w:rPr>
                <w:rFonts w:ascii="Arial" w:eastAsia="Times New Roman" w:hAnsi="Arial" w:cs="Arial"/>
                <w:color w:val="000000"/>
                <w:sz w:val="18"/>
                <w:szCs w:val="18"/>
                <w:lang w:val="es-ES" w:eastAsia="es-ES"/>
              </w:rPr>
            </w:pPr>
            <w:r w:rsidRPr="00863C61">
              <w:rPr>
                <w:rFonts w:ascii="Arial" w:eastAsia="Times New Roman" w:hAnsi="Arial" w:cs="Arial"/>
                <w:color w:val="000000"/>
                <w:sz w:val="18"/>
                <w:szCs w:val="18"/>
                <w:lang w:val="es-ES" w:eastAsia="es-ES"/>
              </w:rPr>
              <w:t> </w:t>
            </w:r>
          </w:p>
        </w:tc>
      </w:tr>
      <w:tr w:rsidR="00863C61" w:rsidRPr="00863C61" w:rsidTr="009B113D">
        <w:trPr>
          <w:trHeight w:val="70"/>
        </w:trPr>
        <w:tc>
          <w:tcPr>
            <w:tcW w:w="6851" w:type="dxa"/>
            <w:tcBorders>
              <w:top w:val="nil"/>
              <w:left w:val="single" w:sz="4" w:space="0" w:color="auto"/>
              <w:bottom w:val="single" w:sz="4" w:space="0" w:color="auto"/>
              <w:right w:val="single" w:sz="4" w:space="0" w:color="auto"/>
            </w:tcBorders>
            <w:shd w:val="clear" w:color="000000" w:fill="FFFFFF"/>
            <w:noWrap/>
            <w:vAlign w:val="center"/>
            <w:hideMark/>
          </w:tcPr>
          <w:p w:rsidR="00863C61" w:rsidRPr="00863C61" w:rsidRDefault="00863C61" w:rsidP="00863C61">
            <w:pPr>
              <w:spacing w:after="0" w:line="240" w:lineRule="auto"/>
              <w:rPr>
                <w:rFonts w:ascii="Arial" w:eastAsia="Times New Roman" w:hAnsi="Arial" w:cs="Arial"/>
                <w:color w:val="000000"/>
                <w:sz w:val="18"/>
                <w:szCs w:val="18"/>
                <w:lang w:val="es-ES" w:eastAsia="es-ES"/>
              </w:rPr>
            </w:pPr>
            <w:r w:rsidRPr="00863C61">
              <w:rPr>
                <w:rFonts w:ascii="Arial" w:eastAsia="Times New Roman" w:hAnsi="Arial" w:cs="Arial"/>
                <w:color w:val="000000"/>
                <w:sz w:val="18"/>
                <w:szCs w:val="18"/>
                <w:lang w:val="es-ES" w:eastAsia="es-ES"/>
              </w:rPr>
              <w:t xml:space="preserve">1.5. Consultoría para la identificación y cuantificación de contingencias fiscales </w:t>
            </w:r>
          </w:p>
        </w:tc>
        <w:tc>
          <w:tcPr>
            <w:tcW w:w="784" w:type="dxa"/>
            <w:tcBorders>
              <w:top w:val="nil"/>
              <w:left w:val="nil"/>
              <w:bottom w:val="single" w:sz="4" w:space="0" w:color="auto"/>
              <w:right w:val="single" w:sz="4" w:space="0" w:color="auto"/>
            </w:tcBorders>
            <w:shd w:val="clear" w:color="000000" w:fill="FFFFFF"/>
            <w:noWrap/>
            <w:vAlign w:val="center"/>
            <w:hideMark/>
          </w:tcPr>
          <w:p w:rsidR="00863C61" w:rsidRPr="00863C61" w:rsidRDefault="00922842" w:rsidP="00863C61">
            <w:pPr>
              <w:spacing w:after="0" w:line="240" w:lineRule="auto"/>
              <w:jc w:val="center"/>
              <w:rPr>
                <w:rFonts w:ascii="Arial" w:eastAsia="Times New Roman" w:hAnsi="Arial" w:cs="Arial"/>
                <w:color w:val="000000"/>
                <w:sz w:val="18"/>
                <w:szCs w:val="18"/>
                <w:lang w:val="es-ES" w:eastAsia="es-ES"/>
              </w:rPr>
            </w:pPr>
            <w:r>
              <w:rPr>
                <w:rFonts w:ascii="Arial" w:eastAsia="Times New Roman" w:hAnsi="Arial" w:cs="Arial"/>
                <w:color w:val="000000"/>
                <w:sz w:val="18"/>
                <w:szCs w:val="18"/>
                <w:lang w:val="es-ES" w:eastAsia="es-ES"/>
              </w:rPr>
              <w:t>75</w:t>
            </w:r>
            <w:r w:rsidR="00863C61" w:rsidRPr="00863C61">
              <w:rPr>
                <w:rFonts w:ascii="Arial" w:eastAsia="Times New Roman" w:hAnsi="Arial" w:cs="Arial"/>
                <w:color w:val="000000"/>
                <w:sz w:val="18"/>
                <w:szCs w:val="18"/>
                <w:lang w:val="es-ES" w:eastAsia="es-ES"/>
              </w:rPr>
              <w:t>,000</w:t>
            </w:r>
          </w:p>
        </w:tc>
        <w:tc>
          <w:tcPr>
            <w:tcW w:w="784" w:type="dxa"/>
            <w:tcBorders>
              <w:top w:val="nil"/>
              <w:left w:val="nil"/>
              <w:bottom w:val="single" w:sz="4" w:space="0" w:color="auto"/>
              <w:right w:val="single" w:sz="4" w:space="0" w:color="auto"/>
            </w:tcBorders>
            <w:shd w:val="clear" w:color="000000" w:fill="FFFFFF"/>
            <w:noWrap/>
            <w:vAlign w:val="center"/>
            <w:hideMark/>
          </w:tcPr>
          <w:p w:rsidR="00863C61" w:rsidRPr="00863C61" w:rsidRDefault="00863C61" w:rsidP="00863C61">
            <w:pPr>
              <w:spacing w:after="0" w:line="240" w:lineRule="auto"/>
              <w:jc w:val="center"/>
              <w:rPr>
                <w:rFonts w:ascii="Arial" w:eastAsia="Times New Roman" w:hAnsi="Arial" w:cs="Arial"/>
                <w:b/>
                <w:bCs/>
                <w:color w:val="000000"/>
                <w:sz w:val="18"/>
                <w:szCs w:val="18"/>
                <w:lang w:val="es-ES" w:eastAsia="es-ES"/>
              </w:rPr>
            </w:pPr>
            <w:r w:rsidRPr="00863C61">
              <w:rPr>
                <w:rFonts w:ascii="Arial" w:eastAsia="Times New Roman" w:hAnsi="Arial" w:cs="Arial"/>
                <w:b/>
                <w:bCs/>
                <w:color w:val="000000"/>
                <w:sz w:val="18"/>
                <w:szCs w:val="18"/>
                <w:lang w:val="es-ES" w:eastAsia="es-ES"/>
              </w:rPr>
              <w:t> </w:t>
            </w:r>
          </w:p>
        </w:tc>
        <w:tc>
          <w:tcPr>
            <w:tcW w:w="586" w:type="dxa"/>
            <w:tcBorders>
              <w:top w:val="nil"/>
              <w:left w:val="nil"/>
              <w:bottom w:val="single" w:sz="4" w:space="0" w:color="auto"/>
              <w:right w:val="single" w:sz="4" w:space="0" w:color="auto"/>
            </w:tcBorders>
            <w:shd w:val="clear" w:color="000000" w:fill="FFFFFF"/>
            <w:noWrap/>
            <w:vAlign w:val="center"/>
            <w:hideMark/>
          </w:tcPr>
          <w:p w:rsidR="00863C61" w:rsidRPr="00863C61" w:rsidRDefault="00863C61" w:rsidP="00863C61">
            <w:pPr>
              <w:spacing w:after="0" w:line="240" w:lineRule="auto"/>
              <w:jc w:val="center"/>
              <w:rPr>
                <w:rFonts w:ascii="Arial" w:eastAsia="Times New Roman" w:hAnsi="Arial" w:cs="Arial"/>
                <w:color w:val="000000"/>
                <w:sz w:val="18"/>
                <w:szCs w:val="18"/>
                <w:lang w:val="es-ES" w:eastAsia="es-ES"/>
              </w:rPr>
            </w:pPr>
            <w:r w:rsidRPr="00863C61">
              <w:rPr>
                <w:rFonts w:ascii="Arial" w:eastAsia="Times New Roman" w:hAnsi="Arial" w:cs="Arial"/>
                <w:color w:val="000000"/>
                <w:sz w:val="18"/>
                <w:szCs w:val="18"/>
                <w:lang w:val="es-ES" w:eastAsia="es-ES"/>
              </w:rPr>
              <w:t> </w:t>
            </w:r>
          </w:p>
        </w:tc>
      </w:tr>
      <w:tr w:rsidR="007D7D50" w:rsidRPr="007D7D50" w:rsidTr="009B113D">
        <w:trPr>
          <w:trHeight w:val="70"/>
        </w:trPr>
        <w:tc>
          <w:tcPr>
            <w:tcW w:w="6851" w:type="dxa"/>
            <w:tcBorders>
              <w:top w:val="nil"/>
              <w:left w:val="single" w:sz="4" w:space="0" w:color="auto"/>
              <w:bottom w:val="single" w:sz="4" w:space="0" w:color="auto"/>
              <w:right w:val="single" w:sz="4" w:space="0" w:color="auto"/>
            </w:tcBorders>
            <w:shd w:val="clear" w:color="000000" w:fill="FFFFFF"/>
            <w:noWrap/>
            <w:vAlign w:val="center"/>
          </w:tcPr>
          <w:p w:rsidR="007D7D50" w:rsidRPr="00863C61" w:rsidRDefault="007D7D50" w:rsidP="00863C61">
            <w:pPr>
              <w:spacing w:after="0" w:line="240" w:lineRule="auto"/>
              <w:rPr>
                <w:rFonts w:ascii="Arial" w:eastAsia="Times New Roman" w:hAnsi="Arial" w:cs="Arial"/>
                <w:color w:val="000000"/>
                <w:sz w:val="18"/>
                <w:szCs w:val="18"/>
                <w:lang w:val="es-ES" w:eastAsia="es-ES"/>
              </w:rPr>
            </w:pPr>
            <w:r>
              <w:rPr>
                <w:rFonts w:ascii="Arial" w:eastAsia="Times New Roman" w:hAnsi="Arial" w:cs="Arial"/>
                <w:color w:val="000000"/>
                <w:sz w:val="18"/>
                <w:szCs w:val="18"/>
                <w:lang w:val="es-ES" w:eastAsia="es-ES"/>
              </w:rPr>
              <w:t xml:space="preserve">1.6. </w:t>
            </w:r>
            <w:r w:rsidRPr="007D7D50">
              <w:rPr>
                <w:rFonts w:ascii="Arial" w:eastAsia="Times New Roman" w:hAnsi="Arial" w:cs="Arial"/>
                <w:color w:val="000000"/>
                <w:sz w:val="18"/>
                <w:szCs w:val="18"/>
                <w:lang w:val="es-ES" w:eastAsia="es-ES"/>
              </w:rPr>
              <w:t>Consultoría para desarrollar propuesta de marco de coordinación institucional entre direcciones responsables del registro, análisis y cuantificación de contingencias fiscales</w:t>
            </w:r>
          </w:p>
        </w:tc>
        <w:tc>
          <w:tcPr>
            <w:tcW w:w="784" w:type="dxa"/>
            <w:tcBorders>
              <w:top w:val="nil"/>
              <w:left w:val="nil"/>
              <w:bottom w:val="single" w:sz="4" w:space="0" w:color="auto"/>
              <w:right w:val="single" w:sz="4" w:space="0" w:color="auto"/>
            </w:tcBorders>
            <w:shd w:val="clear" w:color="000000" w:fill="FFFFFF"/>
            <w:noWrap/>
            <w:vAlign w:val="center"/>
          </w:tcPr>
          <w:p w:rsidR="007D7D50" w:rsidRPr="00863C61" w:rsidRDefault="00922842" w:rsidP="00863C61">
            <w:pPr>
              <w:spacing w:after="0" w:line="240" w:lineRule="auto"/>
              <w:jc w:val="center"/>
              <w:rPr>
                <w:rFonts w:ascii="Arial" w:eastAsia="Times New Roman" w:hAnsi="Arial" w:cs="Arial"/>
                <w:color w:val="000000"/>
                <w:sz w:val="18"/>
                <w:szCs w:val="18"/>
                <w:lang w:val="es-ES" w:eastAsia="es-ES"/>
              </w:rPr>
            </w:pPr>
            <w:r>
              <w:rPr>
                <w:rFonts w:ascii="Arial" w:eastAsia="Times New Roman" w:hAnsi="Arial" w:cs="Arial"/>
                <w:color w:val="000000"/>
                <w:sz w:val="18"/>
                <w:szCs w:val="18"/>
                <w:lang w:val="es-ES" w:eastAsia="es-ES"/>
              </w:rPr>
              <w:t>45</w:t>
            </w:r>
            <w:r w:rsidR="007D7D50">
              <w:rPr>
                <w:rFonts w:ascii="Arial" w:eastAsia="Times New Roman" w:hAnsi="Arial" w:cs="Arial"/>
                <w:color w:val="000000"/>
                <w:sz w:val="18"/>
                <w:szCs w:val="18"/>
                <w:lang w:val="es-ES" w:eastAsia="es-ES"/>
              </w:rPr>
              <w:t>,000</w:t>
            </w:r>
          </w:p>
        </w:tc>
        <w:tc>
          <w:tcPr>
            <w:tcW w:w="784" w:type="dxa"/>
            <w:tcBorders>
              <w:top w:val="nil"/>
              <w:left w:val="nil"/>
              <w:bottom w:val="single" w:sz="4" w:space="0" w:color="auto"/>
              <w:right w:val="single" w:sz="4" w:space="0" w:color="auto"/>
            </w:tcBorders>
            <w:shd w:val="clear" w:color="000000" w:fill="FFFFFF"/>
            <w:noWrap/>
            <w:vAlign w:val="center"/>
          </w:tcPr>
          <w:p w:rsidR="007D7D50" w:rsidRPr="00863C61" w:rsidRDefault="007D7D50" w:rsidP="00863C61">
            <w:pPr>
              <w:spacing w:after="0" w:line="240" w:lineRule="auto"/>
              <w:jc w:val="center"/>
              <w:rPr>
                <w:rFonts w:ascii="Arial" w:eastAsia="Times New Roman" w:hAnsi="Arial" w:cs="Arial"/>
                <w:b/>
                <w:bCs/>
                <w:color w:val="000000"/>
                <w:sz w:val="18"/>
                <w:szCs w:val="18"/>
                <w:lang w:val="es-ES" w:eastAsia="es-ES"/>
              </w:rPr>
            </w:pPr>
          </w:p>
        </w:tc>
        <w:tc>
          <w:tcPr>
            <w:tcW w:w="586" w:type="dxa"/>
            <w:tcBorders>
              <w:top w:val="nil"/>
              <w:left w:val="nil"/>
              <w:bottom w:val="single" w:sz="4" w:space="0" w:color="auto"/>
              <w:right w:val="single" w:sz="4" w:space="0" w:color="auto"/>
            </w:tcBorders>
            <w:shd w:val="clear" w:color="000000" w:fill="FFFFFF"/>
            <w:noWrap/>
            <w:vAlign w:val="center"/>
          </w:tcPr>
          <w:p w:rsidR="007D7D50" w:rsidRPr="00863C61" w:rsidRDefault="007D7D50" w:rsidP="00863C61">
            <w:pPr>
              <w:spacing w:after="0" w:line="240" w:lineRule="auto"/>
              <w:jc w:val="center"/>
              <w:rPr>
                <w:rFonts w:ascii="Arial" w:eastAsia="Times New Roman" w:hAnsi="Arial" w:cs="Arial"/>
                <w:color w:val="000000"/>
                <w:sz w:val="18"/>
                <w:szCs w:val="18"/>
                <w:lang w:val="es-ES" w:eastAsia="es-ES"/>
              </w:rPr>
            </w:pPr>
          </w:p>
        </w:tc>
      </w:tr>
      <w:tr w:rsidR="00863C61" w:rsidRPr="007D7D50" w:rsidTr="001D0C9B">
        <w:trPr>
          <w:trHeight w:val="647"/>
        </w:trPr>
        <w:tc>
          <w:tcPr>
            <w:tcW w:w="6851" w:type="dxa"/>
            <w:tcBorders>
              <w:top w:val="nil"/>
              <w:left w:val="single" w:sz="4" w:space="0" w:color="auto"/>
              <w:bottom w:val="single" w:sz="4" w:space="0" w:color="auto"/>
              <w:right w:val="single" w:sz="4" w:space="0" w:color="auto"/>
            </w:tcBorders>
            <w:shd w:val="clear" w:color="000000" w:fill="FFFFFF"/>
            <w:vAlign w:val="center"/>
            <w:hideMark/>
          </w:tcPr>
          <w:p w:rsidR="00863C61" w:rsidRPr="00863C61" w:rsidRDefault="007D7D50" w:rsidP="00863C61">
            <w:pPr>
              <w:spacing w:after="0" w:line="240" w:lineRule="auto"/>
              <w:rPr>
                <w:rFonts w:ascii="Arial" w:eastAsia="Times New Roman" w:hAnsi="Arial" w:cs="Arial"/>
                <w:color w:val="000000"/>
                <w:sz w:val="18"/>
                <w:szCs w:val="18"/>
                <w:lang w:val="es-ES" w:eastAsia="es-ES"/>
              </w:rPr>
            </w:pPr>
            <w:r>
              <w:rPr>
                <w:rFonts w:ascii="Arial" w:eastAsia="Times New Roman" w:hAnsi="Arial" w:cs="Arial"/>
                <w:color w:val="000000"/>
                <w:sz w:val="18"/>
                <w:szCs w:val="18"/>
                <w:lang w:val="es-ES" w:eastAsia="es-ES"/>
              </w:rPr>
              <w:t>1.7</w:t>
            </w:r>
            <w:r w:rsidR="00863C61" w:rsidRPr="00863C61">
              <w:rPr>
                <w:rFonts w:ascii="Arial" w:eastAsia="Times New Roman" w:hAnsi="Arial" w:cs="Arial"/>
                <w:color w:val="000000"/>
                <w:sz w:val="18"/>
                <w:szCs w:val="18"/>
                <w:lang w:val="es-ES" w:eastAsia="es-ES"/>
              </w:rPr>
              <w:t>. Capacitacio</w:t>
            </w:r>
            <w:r w:rsidR="00D400BC">
              <w:rPr>
                <w:rFonts w:ascii="Arial" w:eastAsia="Times New Roman" w:hAnsi="Arial" w:cs="Arial"/>
                <w:color w:val="000000"/>
                <w:sz w:val="18"/>
                <w:szCs w:val="18"/>
                <w:lang w:val="es-ES" w:eastAsia="es-ES"/>
              </w:rPr>
              <w:t>nes en análisis macroeconómico,</w:t>
            </w:r>
            <w:r w:rsidR="00863C61" w:rsidRPr="00863C61">
              <w:rPr>
                <w:rFonts w:ascii="Arial" w:eastAsia="Times New Roman" w:hAnsi="Arial" w:cs="Arial"/>
                <w:color w:val="000000"/>
                <w:sz w:val="18"/>
                <w:szCs w:val="18"/>
                <w:lang w:val="es-ES" w:eastAsia="es-ES"/>
              </w:rPr>
              <w:t xml:space="preserve"> de sostenibilidad de la deuda</w:t>
            </w:r>
            <w:r w:rsidR="00007163">
              <w:rPr>
                <w:rFonts w:ascii="Arial" w:eastAsia="Times New Roman" w:hAnsi="Arial" w:cs="Arial"/>
                <w:color w:val="000000"/>
                <w:sz w:val="18"/>
                <w:szCs w:val="18"/>
                <w:lang w:val="es-ES" w:eastAsia="es-ES"/>
              </w:rPr>
              <w:t xml:space="preserve"> y contingencias fiscales</w:t>
            </w:r>
            <w:r w:rsidR="00863C61" w:rsidRPr="00863C61">
              <w:rPr>
                <w:rFonts w:ascii="Arial" w:eastAsia="Times New Roman" w:hAnsi="Arial" w:cs="Arial"/>
                <w:color w:val="000000"/>
                <w:sz w:val="18"/>
                <w:szCs w:val="18"/>
                <w:lang w:val="es-ES" w:eastAsia="es-ES"/>
              </w:rPr>
              <w:t xml:space="preserve"> </w:t>
            </w:r>
          </w:p>
        </w:tc>
        <w:tc>
          <w:tcPr>
            <w:tcW w:w="784" w:type="dxa"/>
            <w:tcBorders>
              <w:top w:val="nil"/>
              <w:left w:val="nil"/>
              <w:bottom w:val="single" w:sz="4" w:space="0" w:color="auto"/>
              <w:right w:val="single" w:sz="4" w:space="0" w:color="auto"/>
            </w:tcBorders>
            <w:shd w:val="clear" w:color="000000" w:fill="FFFFFF"/>
            <w:noWrap/>
            <w:vAlign w:val="center"/>
            <w:hideMark/>
          </w:tcPr>
          <w:p w:rsidR="00863C61" w:rsidRPr="00863C61" w:rsidRDefault="00007163" w:rsidP="00863C61">
            <w:pPr>
              <w:spacing w:after="0" w:line="240" w:lineRule="auto"/>
              <w:jc w:val="center"/>
              <w:rPr>
                <w:rFonts w:ascii="Arial" w:eastAsia="Times New Roman" w:hAnsi="Arial" w:cs="Arial"/>
                <w:color w:val="000000"/>
                <w:sz w:val="18"/>
                <w:szCs w:val="18"/>
                <w:lang w:val="es-ES" w:eastAsia="es-ES"/>
              </w:rPr>
            </w:pPr>
            <w:r>
              <w:rPr>
                <w:rFonts w:ascii="Arial" w:eastAsia="Times New Roman" w:hAnsi="Arial" w:cs="Arial"/>
                <w:color w:val="000000"/>
                <w:sz w:val="18"/>
                <w:szCs w:val="18"/>
                <w:lang w:val="es-ES" w:eastAsia="es-ES"/>
              </w:rPr>
              <w:t>8</w:t>
            </w:r>
            <w:r w:rsidR="00863C61" w:rsidRPr="00863C61">
              <w:rPr>
                <w:rFonts w:ascii="Arial" w:eastAsia="Times New Roman" w:hAnsi="Arial" w:cs="Arial"/>
                <w:color w:val="000000"/>
                <w:sz w:val="18"/>
                <w:szCs w:val="18"/>
                <w:lang w:val="es-ES" w:eastAsia="es-ES"/>
              </w:rPr>
              <w:t>0,000</w:t>
            </w:r>
          </w:p>
        </w:tc>
        <w:tc>
          <w:tcPr>
            <w:tcW w:w="784" w:type="dxa"/>
            <w:tcBorders>
              <w:top w:val="nil"/>
              <w:left w:val="nil"/>
              <w:bottom w:val="single" w:sz="4" w:space="0" w:color="auto"/>
              <w:right w:val="single" w:sz="4" w:space="0" w:color="auto"/>
            </w:tcBorders>
            <w:shd w:val="clear" w:color="000000" w:fill="FFFFFF"/>
            <w:noWrap/>
            <w:vAlign w:val="center"/>
            <w:hideMark/>
          </w:tcPr>
          <w:p w:rsidR="00863C61" w:rsidRPr="00863C61" w:rsidRDefault="00863C61" w:rsidP="00863C61">
            <w:pPr>
              <w:spacing w:after="0" w:line="240" w:lineRule="auto"/>
              <w:jc w:val="center"/>
              <w:rPr>
                <w:rFonts w:ascii="Arial" w:eastAsia="Times New Roman" w:hAnsi="Arial" w:cs="Arial"/>
                <w:b/>
                <w:bCs/>
                <w:color w:val="000000"/>
                <w:sz w:val="18"/>
                <w:szCs w:val="18"/>
                <w:lang w:val="es-ES" w:eastAsia="es-ES"/>
              </w:rPr>
            </w:pPr>
            <w:r w:rsidRPr="00863C61">
              <w:rPr>
                <w:rFonts w:ascii="Arial" w:eastAsia="Times New Roman" w:hAnsi="Arial" w:cs="Arial"/>
                <w:b/>
                <w:bCs/>
                <w:color w:val="000000"/>
                <w:sz w:val="18"/>
                <w:szCs w:val="18"/>
                <w:lang w:val="es-ES" w:eastAsia="es-ES"/>
              </w:rPr>
              <w:t> </w:t>
            </w:r>
          </w:p>
        </w:tc>
        <w:tc>
          <w:tcPr>
            <w:tcW w:w="586" w:type="dxa"/>
            <w:tcBorders>
              <w:top w:val="nil"/>
              <w:left w:val="nil"/>
              <w:bottom w:val="single" w:sz="4" w:space="0" w:color="auto"/>
              <w:right w:val="single" w:sz="4" w:space="0" w:color="auto"/>
            </w:tcBorders>
            <w:shd w:val="clear" w:color="000000" w:fill="FFFFFF"/>
            <w:noWrap/>
            <w:vAlign w:val="center"/>
            <w:hideMark/>
          </w:tcPr>
          <w:p w:rsidR="00863C61" w:rsidRPr="00863C61" w:rsidRDefault="00863C61" w:rsidP="00863C61">
            <w:pPr>
              <w:spacing w:after="0" w:line="240" w:lineRule="auto"/>
              <w:jc w:val="center"/>
              <w:rPr>
                <w:rFonts w:ascii="Arial" w:eastAsia="Times New Roman" w:hAnsi="Arial" w:cs="Arial"/>
                <w:color w:val="000000"/>
                <w:sz w:val="18"/>
                <w:szCs w:val="18"/>
                <w:lang w:val="es-ES" w:eastAsia="es-ES"/>
              </w:rPr>
            </w:pPr>
            <w:r w:rsidRPr="00863C61">
              <w:rPr>
                <w:rFonts w:ascii="Arial" w:eastAsia="Times New Roman" w:hAnsi="Arial" w:cs="Arial"/>
                <w:color w:val="000000"/>
                <w:sz w:val="18"/>
                <w:szCs w:val="18"/>
                <w:lang w:val="es-ES" w:eastAsia="es-ES"/>
              </w:rPr>
              <w:t> </w:t>
            </w:r>
          </w:p>
        </w:tc>
      </w:tr>
      <w:tr w:rsidR="00863C61" w:rsidRPr="00D400BC" w:rsidTr="00863C61">
        <w:trPr>
          <w:trHeight w:val="216"/>
        </w:trPr>
        <w:tc>
          <w:tcPr>
            <w:tcW w:w="6851" w:type="dxa"/>
            <w:tcBorders>
              <w:top w:val="nil"/>
              <w:left w:val="single" w:sz="4" w:space="0" w:color="auto"/>
              <w:bottom w:val="nil"/>
              <w:right w:val="nil"/>
            </w:tcBorders>
            <w:shd w:val="clear" w:color="000000" w:fill="BFBFBF"/>
            <w:noWrap/>
            <w:vAlign w:val="center"/>
            <w:hideMark/>
          </w:tcPr>
          <w:p w:rsidR="00863C61" w:rsidRPr="00863C61" w:rsidRDefault="00863C61" w:rsidP="00863C61">
            <w:pPr>
              <w:spacing w:after="0" w:line="240" w:lineRule="auto"/>
              <w:rPr>
                <w:rFonts w:ascii="Arial" w:eastAsia="Times New Roman" w:hAnsi="Arial" w:cs="Arial"/>
                <w:b/>
                <w:bCs/>
                <w:color w:val="000000"/>
                <w:sz w:val="18"/>
                <w:szCs w:val="18"/>
                <w:lang w:val="es-ES" w:eastAsia="es-ES"/>
              </w:rPr>
            </w:pPr>
            <w:r w:rsidRPr="00863C61">
              <w:rPr>
                <w:rFonts w:ascii="Arial" w:eastAsia="Times New Roman" w:hAnsi="Arial" w:cs="Arial"/>
                <w:b/>
                <w:bCs/>
                <w:color w:val="000000"/>
                <w:sz w:val="18"/>
                <w:szCs w:val="18"/>
                <w:lang w:val="es-ES" w:eastAsia="es-ES"/>
              </w:rPr>
              <w:t>Componente 2: Apoyo a la consolidación del sistema nacional de planificación</w:t>
            </w:r>
          </w:p>
        </w:tc>
        <w:tc>
          <w:tcPr>
            <w:tcW w:w="784" w:type="dxa"/>
            <w:tcBorders>
              <w:top w:val="nil"/>
              <w:left w:val="single" w:sz="4" w:space="0" w:color="auto"/>
              <w:bottom w:val="single" w:sz="4" w:space="0" w:color="auto"/>
              <w:right w:val="single" w:sz="4" w:space="0" w:color="auto"/>
            </w:tcBorders>
            <w:shd w:val="clear" w:color="000000" w:fill="BFBFBF"/>
            <w:noWrap/>
            <w:vAlign w:val="center"/>
            <w:hideMark/>
          </w:tcPr>
          <w:p w:rsidR="00863C61" w:rsidRPr="00863C61" w:rsidRDefault="00D400BC" w:rsidP="00863C61">
            <w:pPr>
              <w:spacing w:after="0" w:line="240" w:lineRule="auto"/>
              <w:jc w:val="center"/>
              <w:rPr>
                <w:rFonts w:ascii="Arial" w:eastAsia="Times New Roman" w:hAnsi="Arial" w:cs="Arial"/>
                <w:b/>
                <w:bCs/>
                <w:color w:val="000000"/>
                <w:sz w:val="18"/>
                <w:szCs w:val="18"/>
                <w:lang w:val="es-ES" w:eastAsia="es-ES"/>
              </w:rPr>
            </w:pPr>
            <w:r>
              <w:rPr>
                <w:rFonts w:ascii="Arial" w:eastAsia="Times New Roman" w:hAnsi="Arial" w:cs="Arial"/>
                <w:b/>
                <w:bCs/>
                <w:color w:val="000000"/>
                <w:sz w:val="18"/>
                <w:szCs w:val="18"/>
                <w:lang w:val="es-ES" w:eastAsia="es-ES"/>
              </w:rPr>
              <w:t>215</w:t>
            </w:r>
            <w:r w:rsidR="00863C61" w:rsidRPr="00863C61">
              <w:rPr>
                <w:rFonts w:ascii="Arial" w:eastAsia="Times New Roman" w:hAnsi="Arial" w:cs="Arial"/>
                <w:b/>
                <w:bCs/>
                <w:color w:val="000000"/>
                <w:sz w:val="18"/>
                <w:szCs w:val="18"/>
                <w:lang w:val="es-ES" w:eastAsia="es-ES"/>
              </w:rPr>
              <w:t>,000</w:t>
            </w:r>
          </w:p>
        </w:tc>
        <w:tc>
          <w:tcPr>
            <w:tcW w:w="784" w:type="dxa"/>
            <w:tcBorders>
              <w:top w:val="nil"/>
              <w:left w:val="nil"/>
              <w:bottom w:val="single" w:sz="4" w:space="0" w:color="auto"/>
              <w:right w:val="single" w:sz="4" w:space="0" w:color="auto"/>
            </w:tcBorders>
            <w:shd w:val="clear" w:color="000000" w:fill="BFBFBF"/>
            <w:noWrap/>
            <w:vAlign w:val="center"/>
            <w:hideMark/>
          </w:tcPr>
          <w:p w:rsidR="00863C61" w:rsidRPr="00863C61" w:rsidRDefault="00D400BC" w:rsidP="00863C61">
            <w:pPr>
              <w:spacing w:after="0" w:line="240" w:lineRule="auto"/>
              <w:jc w:val="center"/>
              <w:rPr>
                <w:rFonts w:ascii="Arial" w:eastAsia="Times New Roman" w:hAnsi="Arial" w:cs="Arial"/>
                <w:b/>
                <w:bCs/>
                <w:color w:val="000000"/>
                <w:sz w:val="18"/>
                <w:szCs w:val="18"/>
                <w:lang w:val="es-ES" w:eastAsia="es-ES"/>
              </w:rPr>
            </w:pPr>
            <w:r>
              <w:rPr>
                <w:rFonts w:ascii="Arial" w:eastAsia="Times New Roman" w:hAnsi="Arial" w:cs="Arial"/>
                <w:b/>
                <w:bCs/>
                <w:color w:val="000000"/>
                <w:sz w:val="18"/>
                <w:szCs w:val="18"/>
                <w:lang w:val="es-ES" w:eastAsia="es-ES"/>
              </w:rPr>
              <w:t>215</w:t>
            </w:r>
            <w:r w:rsidR="00863C61" w:rsidRPr="00863C61">
              <w:rPr>
                <w:rFonts w:ascii="Arial" w:eastAsia="Times New Roman" w:hAnsi="Arial" w:cs="Arial"/>
                <w:b/>
                <w:bCs/>
                <w:color w:val="000000"/>
                <w:sz w:val="18"/>
                <w:szCs w:val="18"/>
                <w:lang w:val="es-ES" w:eastAsia="es-ES"/>
              </w:rPr>
              <w:t>,000</w:t>
            </w:r>
          </w:p>
        </w:tc>
        <w:tc>
          <w:tcPr>
            <w:tcW w:w="586" w:type="dxa"/>
            <w:tcBorders>
              <w:top w:val="nil"/>
              <w:left w:val="nil"/>
              <w:bottom w:val="single" w:sz="4" w:space="0" w:color="auto"/>
              <w:right w:val="single" w:sz="4" w:space="0" w:color="auto"/>
            </w:tcBorders>
            <w:shd w:val="clear" w:color="000000" w:fill="BFBFBF"/>
            <w:noWrap/>
            <w:vAlign w:val="center"/>
            <w:hideMark/>
          </w:tcPr>
          <w:p w:rsidR="00863C61" w:rsidRPr="00863C61" w:rsidRDefault="00D400BC" w:rsidP="00863C61">
            <w:pPr>
              <w:spacing w:after="0" w:line="240" w:lineRule="auto"/>
              <w:jc w:val="center"/>
              <w:rPr>
                <w:rFonts w:ascii="Arial" w:eastAsia="Times New Roman" w:hAnsi="Arial" w:cs="Arial"/>
                <w:b/>
                <w:bCs/>
                <w:color w:val="000000"/>
                <w:sz w:val="18"/>
                <w:szCs w:val="18"/>
                <w:lang w:val="es-ES" w:eastAsia="es-ES"/>
              </w:rPr>
            </w:pPr>
            <w:r>
              <w:rPr>
                <w:rFonts w:ascii="Arial" w:eastAsia="Times New Roman" w:hAnsi="Arial" w:cs="Arial"/>
                <w:b/>
                <w:bCs/>
                <w:color w:val="000000"/>
                <w:sz w:val="18"/>
                <w:szCs w:val="18"/>
                <w:lang w:val="es-ES" w:eastAsia="es-ES"/>
              </w:rPr>
              <w:t>30.7</w:t>
            </w:r>
          </w:p>
        </w:tc>
      </w:tr>
      <w:tr w:rsidR="00863C61" w:rsidRPr="00863C61" w:rsidTr="00863C61">
        <w:trPr>
          <w:trHeight w:val="457"/>
        </w:trPr>
        <w:tc>
          <w:tcPr>
            <w:tcW w:w="6851" w:type="dxa"/>
            <w:tcBorders>
              <w:top w:val="single" w:sz="4" w:space="0" w:color="auto"/>
              <w:left w:val="single" w:sz="4" w:space="0" w:color="auto"/>
              <w:bottom w:val="single" w:sz="4" w:space="0" w:color="auto"/>
              <w:right w:val="single" w:sz="4" w:space="0" w:color="auto"/>
            </w:tcBorders>
            <w:shd w:val="clear" w:color="000000" w:fill="FFFFFF"/>
            <w:hideMark/>
          </w:tcPr>
          <w:p w:rsidR="00863C61" w:rsidRPr="00863C61" w:rsidRDefault="00863C61" w:rsidP="00863C61">
            <w:pPr>
              <w:spacing w:after="0" w:line="240" w:lineRule="auto"/>
              <w:rPr>
                <w:rFonts w:ascii="Arial" w:eastAsia="Times New Roman" w:hAnsi="Arial" w:cs="Arial"/>
                <w:color w:val="000000"/>
                <w:sz w:val="18"/>
                <w:szCs w:val="18"/>
                <w:lang w:val="es-ES" w:eastAsia="es-ES"/>
              </w:rPr>
            </w:pPr>
            <w:r w:rsidRPr="00863C61">
              <w:rPr>
                <w:rFonts w:ascii="Arial" w:eastAsia="Times New Roman" w:hAnsi="Arial" w:cs="Arial"/>
                <w:color w:val="000000"/>
                <w:sz w:val="18"/>
                <w:szCs w:val="18"/>
                <w:lang w:val="es-ES" w:eastAsia="es-ES"/>
              </w:rPr>
              <w:t xml:space="preserve">2.1. </w:t>
            </w:r>
            <w:bookmarkStart w:id="1" w:name="OLE_LINK1"/>
            <w:r w:rsidRPr="00863C61">
              <w:rPr>
                <w:rFonts w:ascii="Arial" w:eastAsia="Times New Roman" w:hAnsi="Arial" w:cs="Arial"/>
                <w:color w:val="000000"/>
                <w:sz w:val="18"/>
                <w:szCs w:val="18"/>
                <w:lang w:val="es-ES" w:eastAsia="es-ES"/>
              </w:rPr>
              <w:t>Consultoría para articular producción de bienes y servicios de instituciones seleccionadas del sector público con prioridades de gobierno</w:t>
            </w:r>
            <w:bookmarkEnd w:id="1"/>
          </w:p>
        </w:tc>
        <w:tc>
          <w:tcPr>
            <w:tcW w:w="784" w:type="dxa"/>
            <w:tcBorders>
              <w:top w:val="nil"/>
              <w:left w:val="nil"/>
              <w:bottom w:val="single" w:sz="4" w:space="0" w:color="auto"/>
              <w:right w:val="single" w:sz="4" w:space="0" w:color="auto"/>
            </w:tcBorders>
            <w:shd w:val="clear" w:color="000000" w:fill="FFFFFF"/>
            <w:noWrap/>
            <w:vAlign w:val="center"/>
            <w:hideMark/>
          </w:tcPr>
          <w:p w:rsidR="00863C61" w:rsidRPr="00863C61" w:rsidRDefault="00D400BC" w:rsidP="00863C61">
            <w:pPr>
              <w:spacing w:after="0" w:line="240" w:lineRule="auto"/>
              <w:jc w:val="center"/>
              <w:rPr>
                <w:rFonts w:ascii="Arial" w:eastAsia="Times New Roman" w:hAnsi="Arial" w:cs="Arial"/>
                <w:color w:val="000000"/>
                <w:sz w:val="18"/>
                <w:szCs w:val="18"/>
                <w:lang w:val="es-ES" w:eastAsia="es-ES"/>
              </w:rPr>
            </w:pPr>
            <w:r>
              <w:rPr>
                <w:rFonts w:ascii="Arial" w:eastAsia="Times New Roman" w:hAnsi="Arial" w:cs="Arial"/>
                <w:color w:val="000000"/>
                <w:sz w:val="18"/>
                <w:szCs w:val="18"/>
                <w:lang w:val="es-ES" w:eastAsia="es-ES"/>
              </w:rPr>
              <w:t>55</w:t>
            </w:r>
            <w:r w:rsidR="00863C61" w:rsidRPr="00863C61">
              <w:rPr>
                <w:rFonts w:ascii="Arial" w:eastAsia="Times New Roman" w:hAnsi="Arial" w:cs="Arial"/>
                <w:color w:val="000000"/>
                <w:sz w:val="18"/>
                <w:szCs w:val="18"/>
                <w:lang w:val="es-ES" w:eastAsia="es-ES"/>
              </w:rPr>
              <w:t>,000</w:t>
            </w:r>
          </w:p>
        </w:tc>
        <w:tc>
          <w:tcPr>
            <w:tcW w:w="784" w:type="dxa"/>
            <w:tcBorders>
              <w:top w:val="nil"/>
              <w:left w:val="nil"/>
              <w:bottom w:val="single" w:sz="4" w:space="0" w:color="auto"/>
              <w:right w:val="single" w:sz="4" w:space="0" w:color="auto"/>
            </w:tcBorders>
            <w:shd w:val="clear" w:color="000000" w:fill="FFFFFF"/>
            <w:noWrap/>
            <w:vAlign w:val="center"/>
            <w:hideMark/>
          </w:tcPr>
          <w:p w:rsidR="00863C61" w:rsidRPr="00863C61" w:rsidRDefault="00863C61" w:rsidP="00863C61">
            <w:pPr>
              <w:spacing w:after="0" w:line="240" w:lineRule="auto"/>
              <w:jc w:val="center"/>
              <w:rPr>
                <w:rFonts w:ascii="Arial" w:eastAsia="Times New Roman" w:hAnsi="Arial" w:cs="Arial"/>
                <w:b/>
                <w:bCs/>
                <w:color w:val="000000"/>
                <w:sz w:val="18"/>
                <w:szCs w:val="18"/>
                <w:lang w:val="es-ES" w:eastAsia="es-ES"/>
              </w:rPr>
            </w:pPr>
            <w:r w:rsidRPr="00863C61">
              <w:rPr>
                <w:rFonts w:ascii="Arial" w:eastAsia="Times New Roman" w:hAnsi="Arial" w:cs="Arial"/>
                <w:b/>
                <w:bCs/>
                <w:color w:val="000000"/>
                <w:sz w:val="18"/>
                <w:szCs w:val="18"/>
                <w:lang w:val="es-ES" w:eastAsia="es-ES"/>
              </w:rPr>
              <w:t> </w:t>
            </w:r>
          </w:p>
        </w:tc>
        <w:tc>
          <w:tcPr>
            <w:tcW w:w="586" w:type="dxa"/>
            <w:tcBorders>
              <w:top w:val="nil"/>
              <w:left w:val="nil"/>
              <w:bottom w:val="single" w:sz="4" w:space="0" w:color="auto"/>
              <w:right w:val="single" w:sz="4" w:space="0" w:color="auto"/>
            </w:tcBorders>
            <w:shd w:val="clear" w:color="000000" w:fill="FFFFFF"/>
            <w:noWrap/>
            <w:vAlign w:val="center"/>
            <w:hideMark/>
          </w:tcPr>
          <w:p w:rsidR="00863C61" w:rsidRPr="00863C61" w:rsidRDefault="00863C61" w:rsidP="00863C61">
            <w:pPr>
              <w:spacing w:after="0" w:line="240" w:lineRule="auto"/>
              <w:jc w:val="center"/>
              <w:rPr>
                <w:rFonts w:ascii="Arial" w:eastAsia="Times New Roman" w:hAnsi="Arial" w:cs="Arial"/>
                <w:color w:val="000000"/>
                <w:sz w:val="18"/>
                <w:szCs w:val="18"/>
                <w:lang w:val="es-ES" w:eastAsia="es-ES"/>
              </w:rPr>
            </w:pPr>
            <w:r w:rsidRPr="00863C61">
              <w:rPr>
                <w:rFonts w:ascii="Arial" w:eastAsia="Times New Roman" w:hAnsi="Arial" w:cs="Arial"/>
                <w:color w:val="000000"/>
                <w:sz w:val="18"/>
                <w:szCs w:val="18"/>
                <w:lang w:val="es-ES" w:eastAsia="es-ES"/>
              </w:rPr>
              <w:t> </w:t>
            </w:r>
          </w:p>
        </w:tc>
      </w:tr>
      <w:tr w:rsidR="00863C61" w:rsidRPr="00863C61" w:rsidTr="001D0C9B">
        <w:trPr>
          <w:trHeight w:val="620"/>
        </w:trPr>
        <w:tc>
          <w:tcPr>
            <w:tcW w:w="6851" w:type="dxa"/>
            <w:tcBorders>
              <w:top w:val="nil"/>
              <w:left w:val="single" w:sz="4" w:space="0" w:color="auto"/>
              <w:bottom w:val="single" w:sz="4" w:space="0" w:color="auto"/>
              <w:right w:val="single" w:sz="4" w:space="0" w:color="auto"/>
            </w:tcBorders>
            <w:shd w:val="clear" w:color="000000" w:fill="FFFFFF"/>
            <w:hideMark/>
          </w:tcPr>
          <w:p w:rsidR="00863C61" w:rsidRPr="00863C61" w:rsidRDefault="00863C61" w:rsidP="00863C61">
            <w:pPr>
              <w:spacing w:after="0" w:line="240" w:lineRule="auto"/>
              <w:rPr>
                <w:rFonts w:ascii="Arial" w:eastAsia="Times New Roman" w:hAnsi="Arial" w:cs="Arial"/>
                <w:color w:val="000000"/>
                <w:sz w:val="18"/>
                <w:szCs w:val="18"/>
                <w:lang w:val="es-ES" w:eastAsia="es-ES"/>
              </w:rPr>
            </w:pPr>
            <w:r w:rsidRPr="00863C61">
              <w:rPr>
                <w:rFonts w:ascii="Arial" w:eastAsia="Times New Roman" w:hAnsi="Arial" w:cs="Arial"/>
                <w:color w:val="000000"/>
                <w:sz w:val="18"/>
                <w:szCs w:val="18"/>
                <w:lang w:val="es-ES" w:eastAsia="es-ES"/>
              </w:rPr>
              <w:t>2.2. Consultoría para definir criterios de formulación de proyectos de inversión pública coherentes con metas de desarrollo, presupuesto y MFMP</w:t>
            </w:r>
          </w:p>
        </w:tc>
        <w:tc>
          <w:tcPr>
            <w:tcW w:w="784" w:type="dxa"/>
            <w:tcBorders>
              <w:top w:val="nil"/>
              <w:left w:val="nil"/>
              <w:bottom w:val="single" w:sz="4" w:space="0" w:color="auto"/>
              <w:right w:val="single" w:sz="4" w:space="0" w:color="auto"/>
            </w:tcBorders>
            <w:shd w:val="clear" w:color="000000" w:fill="FFFFFF"/>
            <w:noWrap/>
            <w:vAlign w:val="center"/>
            <w:hideMark/>
          </w:tcPr>
          <w:p w:rsidR="00863C61" w:rsidRPr="00863C61" w:rsidRDefault="00D400BC" w:rsidP="00863C61">
            <w:pPr>
              <w:spacing w:after="0" w:line="240" w:lineRule="auto"/>
              <w:jc w:val="center"/>
              <w:rPr>
                <w:rFonts w:ascii="Arial" w:eastAsia="Times New Roman" w:hAnsi="Arial" w:cs="Arial"/>
                <w:color w:val="000000"/>
                <w:sz w:val="18"/>
                <w:szCs w:val="18"/>
                <w:lang w:val="es-ES" w:eastAsia="es-ES"/>
              </w:rPr>
            </w:pPr>
            <w:r>
              <w:rPr>
                <w:rFonts w:ascii="Arial" w:eastAsia="Times New Roman" w:hAnsi="Arial" w:cs="Arial"/>
                <w:color w:val="000000"/>
                <w:sz w:val="18"/>
                <w:szCs w:val="18"/>
                <w:lang w:val="es-ES" w:eastAsia="es-ES"/>
              </w:rPr>
              <w:t>55</w:t>
            </w:r>
            <w:r w:rsidR="00863C61" w:rsidRPr="00863C61">
              <w:rPr>
                <w:rFonts w:ascii="Arial" w:eastAsia="Times New Roman" w:hAnsi="Arial" w:cs="Arial"/>
                <w:color w:val="000000"/>
                <w:sz w:val="18"/>
                <w:szCs w:val="18"/>
                <w:lang w:val="es-ES" w:eastAsia="es-ES"/>
              </w:rPr>
              <w:t>,000</w:t>
            </w:r>
          </w:p>
        </w:tc>
        <w:tc>
          <w:tcPr>
            <w:tcW w:w="784" w:type="dxa"/>
            <w:tcBorders>
              <w:top w:val="nil"/>
              <w:left w:val="nil"/>
              <w:bottom w:val="single" w:sz="4" w:space="0" w:color="auto"/>
              <w:right w:val="single" w:sz="4" w:space="0" w:color="auto"/>
            </w:tcBorders>
            <w:shd w:val="clear" w:color="000000" w:fill="FFFFFF"/>
            <w:noWrap/>
            <w:vAlign w:val="center"/>
            <w:hideMark/>
          </w:tcPr>
          <w:p w:rsidR="00863C61" w:rsidRPr="00863C61" w:rsidRDefault="00863C61" w:rsidP="00863C61">
            <w:pPr>
              <w:spacing w:after="0" w:line="240" w:lineRule="auto"/>
              <w:jc w:val="center"/>
              <w:rPr>
                <w:rFonts w:ascii="Arial" w:eastAsia="Times New Roman" w:hAnsi="Arial" w:cs="Arial"/>
                <w:b/>
                <w:bCs/>
                <w:color w:val="000000"/>
                <w:sz w:val="18"/>
                <w:szCs w:val="18"/>
                <w:lang w:val="es-ES" w:eastAsia="es-ES"/>
              </w:rPr>
            </w:pPr>
            <w:r w:rsidRPr="00863C61">
              <w:rPr>
                <w:rFonts w:ascii="Arial" w:eastAsia="Times New Roman" w:hAnsi="Arial" w:cs="Arial"/>
                <w:b/>
                <w:bCs/>
                <w:color w:val="000000"/>
                <w:sz w:val="18"/>
                <w:szCs w:val="18"/>
                <w:lang w:val="es-ES" w:eastAsia="es-ES"/>
              </w:rPr>
              <w:t> </w:t>
            </w:r>
          </w:p>
        </w:tc>
        <w:tc>
          <w:tcPr>
            <w:tcW w:w="586" w:type="dxa"/>
            <w:tcBorders>
              <w:top w:val="nil"/>
              <w:left w:val="nil"/>
              <w:bottom w:val="single" w:sz="4" w:space="0" w:color="auto"/>
              <w:right w:val="single" w:sz="4" w:space="0" w:color="auto"/>
            </w:tcBorders>
            <w:shd w:val="clear" w:color="000000" w:fill="FFFFFF"/>
            <w:noWrap/>
            <w:vAlign w:val="center"/>
            <w:hideMark/>
          </w:tcPr>
          <w:p w:rsidR="00863C61" w:rsidRPr="00863C61" w:rsidRDefault="00863C61" w:rsidP="00863C61">
            <w:pPr>
              <w:spacing w:after="0" w:line="240" w:lineRule="auto"/>
              <w:jc w:val="center"/>
              <w:rPr>
                <w:rFonts w:ascii="Arial" w:eastAsia="Times New Roman" w:hAnsi="Arial" w:cs="Arial"/>
                <w:color w:val="000000"/>
                <w:sz w:val="18"/>
                <w:szCs w:val="18"/>
                <w:lang w:val="es-ES" w:eastAsia="es-ES"/>
              </w:rPr>
            </w:pPr>
            <w:r w:rsidRPr="00863C61">
              <w:rPr>
                <w:rFonts w:ascii="Arial" w:eastAsia="Times New Roman" w:hAnsi="Arial" w:cs="Arial"/>
                <w:color w:val="000000"/>
                <w:sz w:val="18"/>
                <w:szCs w:val="18"/>
                <w:lang w:val="es-ES" w:eastAsia="es-ES"/>
              </w:rPr>
              <w:t> </w:t>
            </w:r>
          </w:p>
        </w:tc>
      </w:tr>
      <w:tr w:rsidR="00863C61" w:rsidRPr="00863C61" w:rsidTr="00863C61">
        <w:trPr>
          <w:trHeight w:val="485"/>
        </w:trPr>
        <w:tc>
          <w:tcPr>
            <w:tcW w:w="6851" w:type="dxa"/>
            <w:tcBorders>
              <w:top w:val="nil"/>
              <w:left w:val="single" w:sz="4" w:space="0" w:color="auto"/>
              <w:bottom w:val="single" w:sz="4" w:space="0" w:color="auto"/>
              <w:right w:val="single" w:sz="4" w:space="0" w:color="auto"/>
            </w:tcBorders>
            <w:shd w:val="clear" w:color="000000" w:fill="FFFFFF"/>
            <w:hideMark/>
          </w:tcPr>
          <w:p w:rsidR="00863C61" w:rsidRPr="00863C61" w:rsidRDefault="00863C61" w:rsidP="00863C61">
            <w:pPr>
              <w:spacing w:after="0" w:line="240" w:lineRule="auto"/>
              <w:rPr>
                <w:rFonts w:ascii="Arial" w:eastAsia="Times New Roman" w:hAnsi="Arial" w:cs="Arial"/>
                <w:color w:val="000000"/>
                <w:sz w:val="18"/>
                <w:szCs w:val="18"/>
                <w:lang w:val="es-ES" w:eastAsia="es-ES"/>
              </w:rPr>
            </w:pPr>
            <w:r w:rsidRPr="00863C61">
              <w:rPr>
                <w:rFonts w:ascii="Arial" w:eastAsia="Times New Roman" w:hAnsi="Arial" w:cs="Arial"/>
                <w:color w:val="000000"/>
                <w:sz w:val="18"/>
                <w:szCs w:val="18"/>
                <w:lang w:val="es-ES" w:eastAsia="es-ES"/>
              </w:rPr>
              <w:lastRenderedPageBreak/>
              <w:t xml:space="preserve">2.3. Consultoría para fortalecer vinculación entre planificación, presupuesto y metas macroeconómicas establecidas en MFMP a nivel de gabinetes sectoriales </w:t>
            </w:r>
          </w:p>
        </w:tc>
        <w:tc>
          <w:tcPr>
            <w:tcW w:w="784" w:type="dxa"/>
            <w:tcBorders>
              <w:top w:val="nil"/>
              <w:left w:val="nil"/>
              <w:bottom w:val="single" w:sz="4" w:space="0" w:color="auto"/>
              <w:right w:val="single" w:sz="4" w:space="0" w:color="auto"/>
            </w:tcBorders>
            <w:shd w:val="clear" w:color="000000" w:fill="FFFFFF"/>
            <w:noWrap/>
            <w:vAlign w:val="center"/>
            <w:hideMark/>
          </w:tcPr>
          <w:p w:rsidR="00863C61" w:rsidRPr="00863C61" w:rsidRDefault="00D400BC" w:rsidP="00863C61">
            <w:pPr>
              <w:spacing w:after="0" w:line="240" w:lineRule="auto"/>
              <w:jc w:val="center"/>
              <w:rPr>
                <w:rFonts w:ascii="Arial" w:eastAsia="Times New Roman" w:hAnsi="Arial" w:cs="Arial"/>
                <w:color w:val="000000"/>
                <w:sz w:val="18"/>
                <w:szCs w:val="18"/>
                <w:lang w:val="es-ES" w:eastAsia="es-ES"/>
              </w:rPr>
            </w:pPr>
            <w:r>
              <w:rPr>
                <w:rFonts w:ascii="Arial" w:eastAsia="Times New Roman" w:hAnsi="Arial" w:cs="Arial"/>
                <w:color w:val="000000"/>
                <w:sz w:val="18"/>
                <w:szCs w:val="18"/>
                <w:lang w:val="es-ES" w:eastAsia="es-ES"/>
              </w:rPr>
              <w:t>55</w:t>
            </w:r>
            <w:r w:rsidR="00863C61" w:rsidRPr="00863C61">
              <w:rPr>
                <w:rFonts w:ascii="Arial" w:eastAsia="Times New Roman" w:hAnsi="Arial" w:cs="Arial"/>
                <w:color w:val="000000"/>
                <w:sz w:val="18"/>
                <w:szCs w:val="18"/>
                <w:lang w:val="es-ES" w:eastAsia="es-ES"/>
              </w:rPr>
              <w:t>,000</w:t>
            </w:r>
          </w:p>
        </w:tc>
        <w:tc>
          <w:tcPr>
            <w:tcW w:w="784" w:type="dxa"/>
            <w:tcBorders>
              <w:top w:val="nil"/>
              <w:left w:val="nil"/>
              <w:bottom w:val="single" w:sz="4" w:space="0" w:color="auto"/>
              <w:right w:val="single" w:sz="4" w:space="0" w:color="auto"/>
            </w:tcBorders>
            <w:shd w:val="clear" w:color="000000" w:fill="FFFFFF"/>
            <w:noWrap/>
            <w:vAlign w:val="center"/>
            <w:hideMark/>
          </w:tcPr>
          <w:p w:rsidR="00863C61" w:rsidRPr="00863C61" w:rsidRDefault="00863C61" w:rsidP="00863C61">
            <w:pPr>
              <w:spacing w:after="0" w:line="240" w:lineRule="auto"/>
              <w:jc w:val="center"/>
              <w:rPr>
                <w:rFonts w:ascii="Arial" w:eastAsia="Times New Roman" w:hAnsi="Arial" w:cs="Arial"/>
                <w:b/>
                <w:bCs/>
                <w:color w:val="000000"/>
                <w:sz w:val="18"/>
                <w:szCs w:val="18"/>
                <w:lang w:val="es-ES" w:eastAsia="es-ES"/>
              </w:rPr>
            </w:pPr>
            <w:r w:rsidRPr="00863C61">
              <w:rPr>
                <w:rFonts w:ascii="Arial" w:eastAsia="Times New Roman" w:hAnsi="Arial" w:cs="Arial"/>
                <w:b/>
                <w:bCs/>
                <w:color w:val="000000"/>
                <w:sz w:val="18"/>
                <w:szCs w:val="18"/>
                <w:lang w:val="es-ES" w:eastAsia="es-ES"/>
              </w:rPr>
              <w:t> </w:t>
            </w:r>
          </w:p>
        </w:tc>
        <w:tc>
          <w:tcPr>
            <w:tcW w:w="586" w:type="dxa"/>
            <w:tcBorders>
              <w:top w:val="nil"/>
              <w:left w:val="nil"/>
              <w:bottom w:val="single" w:sz="4" w:space="0" w:color="auto"/>
              <w:right w:val="single" w:sz="4" w:space="0" w:color="auto"/>
            </w:tcBorders>
            <w:shd w:val="clear" w:color="000000" w:fill="FFFFFF"/>
            <w:noWrap/>
            <w:vAlign w:val="center"/>
            <w:hideMark/>
          </w:tcPr>
          <w:p w:rsidR="00863C61" w:rsidRPr="00863C61" w:rsidRDefault="00863C61" w:rsidP="00863C61">
            <w:pPr>
              <w:spacing w:after="0" w:line="240" w:lineRule="auto"/>
              <w:jc w:val="center"/>
              <w:rPr>
                <w:rFonts w:ascii="Arial" w:eastAsia="Times New Roman" w:hAnsi="Arial" w:cs="Arial"/>
                <w:color w:val="000000"/>
                <w:sz w:val="18"/>
                <w:szCs w:val="18"/>
                <w:lang w:val="es-ES" w:eastAsia="es-ES"/>
              </w:rPr>
            </w:pPr>
            <w:r w:rsidRPr="00863C61">
              <w:rPr>
                <w:rFonts w:ascii="Arial" w:eastAsia="Times New Roman" w:hAnsi="Arial" w:cs="Arial"/>
                <w:color w:val="000000"/>
                <w:sz w:val="18"/>
                <w:szCs w:val="18"/>
                <w:lang w:val="es-ES" w:eastAsia="es-ES"/>
              </w:rPr>
              <w:t> </w:t>
            </w:r>
          </w:p>
        </w:tc>
      </w:tr>
      <w:tr w:rsidR="00863C61" w:rsidRPr="00863C61" w:rsidTr="00863C61">
        <w:trPr>
          <w:trHeight w:val="296"/>
        </w:trPr>
        <w:tc>
          <w:tcPr>
            <w:tcW w:w="6851" w:type="dxa"/>
            <w:tcBorders>
              <w:top w:val="nil"/>
              <w:left w:val="single" w:sz="4" w:space="0" w:color="auto"/>
              <w:bottom w:val="single" w:sz="4" w:space="0" w:color="auto"/>
              <w:right w:val="single" w:sz="4" w:space="0" w:color="auto"/>
            </w:tcBorders>
            <w:shd w:val="clear" w:color="000000" w:fill="FFFFFF"/>
            <w:noWrap/>
            <w:vAlign w:val="center"/>
            <w:hideMark/>
          </w:tcPr>
          <w:p w:rsidR="00863C61" w:rsidRPr="00863C61" w:rsidRDefault="00863C61" w:rsidP="00863C61">
            <w:pPr>
              <w:spacing w:after="0" w:line="240" w:lineRule="auto"/>
              <w:rPr>
                <w:rFonts w:ascii="Arial" w:eastAsia="Times New Roman" w:hAnsi="Arial" w:cs="Arial"/>
                <w:color w:val="000000"/>
                <w:sz w:val="18"/>
                <w:szCs w:val="18"/>
                <w:lang w:val="es-ES" w:eastAsia="es-ES"/>
              </w:rPr>
            </w:pPr>
            <w:r w:rsidRPr="00863C61">
              <w:rPr>
                <w:rFonts w:ascii="Arial" w:eastAsia="Times New Roman" w:hAnsi="Arial" w:cs="Arial"/>
                <w:color w:val="000000"/>
                <w:sz w:val="18"/>
                <w:szCs w:val="18"/>
                <w:lang w:val="es-ES" w:eastAsia="es-ES"/>
              </w:rPr>
              <w:t>2.4. Capacitaciones en planificación y presupuesto</w:t>
            </w:r>
          </w:p>
        </w:tc>
        <w:tc>
          <w:tcPr>
            <w:tcW w:w="784" w:type="dxa"/>
            <w:tcBorders>
              <w:top w:val="nil"/>
              <w:left w:val="nil"/>
              <w:bottom w:val="single" w:sz="4" w:space="0" w:color="auto"/>
              <w:right w:val="single" w:sz="4" w:space="0" w:color="auto"/>
            </w:tcBorders>
            <w:shd w:val="clear" w:color="000000" w:fill="FFFFFF"/>
            <w:noWrap/>
            <w:vAlign w:val="center"/>
            <w:hideMark/>
          </w:tcPr>
          <w:p w:rsidR="00863C61" w:rsidRPr="00863C61" w:rsidRDefault="00863C61" w:rsidP="00863C61">
            <w:pPr>
              <w:spacing w:after="0" w:line="240" w:lineRule="auto"/>
              <w:jc w:val="center"/>
              <w:rPr>
                <w:rFonts w:ascii="Arial" w:eastAsia="Times New Roman" w:hAnsi="Arial" w:cs="Arial"/>
                <w:color w:val="000000"/>
                <w:sz w:val="18"/>
                <w:szCs w:val="18"/>
                <w:lang w:val="es-ES" w:eastAsia="es-ES"/>
              </w:rPr>
            </w:pPr>
            <w:r w:rsidRPr="00863C61">
              <w:rPr>
                <w:rFonts w:ascii="Arial" w:eastAsia="Times New Roman" w:hAnsi="Arial" w:cs="Arial"/>
                <w:color w:val="000000"/>
                <w:sz w:val="18"/>
                <w:szCs w:val="18"/>
                <w:lang w:val="es-ES" w:eastAsia="es-ES"/>
              </w:rPr>
              <w:t>50,000</w:t>
            </w:r>
          </w:p>
        </w:tc>
        <w:tc>
          <w:tcPr>
            <w:tcW w:w="784" w:type="dxa"/>
            <w:tcBorders>
              <w:top w:val="nil"/>
              <w:left w:val="nil"/>
              <w:bottom w:val="single" w:sz="4" w:space="0" w:color="auto"/>
              <w:right w:val="single" w:sz="4" w:space="0" w:color="auto"/>
            </w:tcBorders>
            <w:shd w:val="clear" w:color="000000" w:fill="FFFFFF"/>
            <w:noWrap/>
            <w:vAlign w:val="center"/>
            <w:hideMark/>
          </w:tcPr>
          <w:p w:rsidR="00863C61" w:rsidRPr="00863C61" w:rsidRDefault="00863C61" w:rsidP="00863C61">
            <w:pPr>
              <w:spacing w:after="0" w:line="240" w:lineRule="auto"/>
              <w:jc w:val="center"/>
              <w:rPr>
                <w:rFonts w:ascii="Arial" w:eastAsia="Times New Roman" w:hAnsi="Arial" w:cs="Arial"/>
                <w:b/>
                <w:bCs/>
                <w:color w:val="000000"/>
                <w:sz w:val="18"/>
                <w:szCs w:val="18"/>
                <w:lang w:val="es-ES" w:eastAsia="es-ES"/>
              </w:rPr>
            </w:pPr>
            <w:r w:rsidRPr="00863C61">
              <w:rPr>
                <w:rFonts w:ascii="Arial" w:eastAsia="Times New Roman" w:hAnsi="Arial" w:cs="Arial"/>
                <w:b/>
                <w:bCs/>
                <w:color w:val="000000"/>
                <w:sz w:val="18"/>
                <w:szCs w:val="18"/>
                <w:lang w:val="es-ES" w:eastAsia="es-ES"/>
              </w:rPr>
              <w:t> </w:t>
            </w:r>
          </w:p>
        </w:tc>
        <w:tc>
          <w:tcPr>
            <w:tcW w:w="586" w:type="dxa"/>
            <w:tcBorders>
              <w:top w:val="nil"/>
              <w:left w:val="nil"/>
              <w:bottom w:val="single" w:sz="4" w:space="0" w:color="auto"/>
              <w:right w:val="single" w:sz="4" w:space="0" w:color="auto"/>
            </w:tcBorders>
            <w:shd w:val="clear" w:color="000000" w:fill="FFFFFF"/>
            <w:noWrap/>
            <w:vAlign w:val="center"/>
            <w:hideMark/>
          </w:tcPr>
          <w:p w:rsidR="00863C61" w:rsidRPr="00863C61" w:rsidRDefault="00863C61" w:rsidP="00863C61">
            <w:pPr>
              <w:spacing w:after="0" w:line="240" w:lineRule="auto"/>
              <w:jc w:val="center"/>
              <w:rPr>
                <w:rFonts w:ascii="Arial" w:eastAsia="Times New Roman" w:hAnsi="Arial" w:cs="Arial"/>
                <w:color w:val="000000"/>
                <w:sz w:val="18"/>
                <w:szCs w:val="18"/>
                <w:lang w:val="es-ES" w:eastAsia="es-ES"/>
              </w:rPr>
            </w:pPr>
            <w:r w:rsidRPr="00863C61">
              <w:rPr>
                <w:rFonts w:ascii="Arial" w:eastAsia="Times New Roman" w:hAnsi="Arial" w:cs="Arial"/>
                <w:color w:val="000000"/>
                <w:sz w:val="18"/>
                <w:szCs w:val="18"/>
                <w:lang w:val="es-ES" w:eastAsia="es-ES"/>
              </w:rPr>
              <w:t> </w:t>
            </w:r>
          </w:p>
        </w:tc>
      </w:tr>
      <w:tr w:rsidR="00863C61" w:rsidRPr="00863C61" w:rsidTr="00863C61">
        <w:trPr>
          <w:trHeight w:val="216"/>
        </w:trPr>
        <w:tc>
          <w:tcPr>
            <w:tcW w:w="6851" w:type="dxa"/>
            <w:tcBorders>
              <w:top w:val="nil"/>
              <w:left w:val="single" w:sz="4" w:space="0" w:color="auto"/>
              <w:bottom w:val="nil"/>
              <w:right w:val="nil"/>
            </w:tcBorders>
            <w:shd w:val="clear" w:color="000000" w:fill="BFBFBF"/>
            <w:noWrap/>
            <w:vAlign w:val="center"/>
            <w:hideMark/>
          </w:tcPr>
          <w:p w:rsidR="00863C61" w:rsidRPr="00863C61" w:rsidRDefault="00863C61" w:rsidP="00863C61">
            <w:pPr>
              <w:spacing w:after="0" w:line="240" w:lineRule="auto"/>
              <w:rPr>
                <w:rFonts w:ascii="Arial" w:eastAsia="Times New Roman" w:hAnsi="Arial" w:cs="Arial"/>
                <w:b/>
                <w:bCs/>
                <w:color w:val="000000"/>
                <w:sz w:val="18"/>
                <w:szCs w:val="18"/>
                <w:lang w:val="es-ES" w:eastAsia="es-ES"/>
              </w:rPr>
            </w:pPr>
            <w:r w:rsidRPr="00863C61">
              <w:rPr>
                <w:rFonts w:ascii="Arial" w:eastAsia="Times New Roman" w:hAnsi="Arial" w:cs="Arial"/>
                <w:b/>
                <w:bCs/>
                <w:color w:val="000000"/>
                <w:sz w:val="18"/>
                <w:szCs w:val="18"/>
                <w:lang w:val="es-ES" w:eastAsia="es-ES"/>
              </w:rPr>
              <w:t>Componente 3: Talleres, logística y divulgación</w:t>
            </w:r>
          </w:p>
        </w:tc>
        <w:tc>
          <w:tcPr>
            <w:tcW w:w="784" w:type="dxa"/>
            <w:tcBorders>
              <w:top w:val="nil"/>
              <w:left w:val="single" w:sz="4" w:space="0" w:color="auto"/>
              <w:bottom w:val="single" w:sz="4" w:space="0" w:color="auto"/>
              <w:right w:val="single" w:sz="4" w:space="0" w:color="auto"/>
            </w:tcBorders>
            <w:shd w:val="clear" w:color="000000" w:fill="BFBFBF"/>
            <w:noWrap/>
            <w:vAlign w:val="center"/>
            <w:hideMark/>
          </w:tcPr>
          <w:p w:rsidR="00863C61" w:rsidRPr="00863C61" w:rsidRDefault="00D400BC" w:rsidP="00863C61">
            <w:pPr>
              <w:spacing w:after="0" w:line="240" w:lineRule="auto"/>
              <w:jc w:val="center"/>
              <w:rPr>
                <w:rFonts w:ascii="Arial" w:eastAsia="Times New Roman" w:hAnsi="Arial" w:cs="Arial"/>
                <w:b/>
                <w:bCs/>
                <w:color w:val="000000"/>
                <w:sz w:val="18"/>
                <w:szCs w:val="18"/>
                <w:lang w:val="es-ES" w:eastAsia="es-ES"/>
              </w:rPr>
            </w:pPr>
            <w:r>
              <w:rPr>
                <w:rFonts w:ascii="Arial" w:eastAsia="Times New Roman" w:hAnsi="Arial" w:cs="Arial"/>
                <w:b/>
                <w:bCs/>
                <w:color w:val="000000"/>
                <w:sz w:val="18"/>
                <w:szCs w:val="18"/>
                <w:lang w:val="es-ES" w:eastAsia="es-ES"/>
              </w:rPr>
              <w:t>25</w:t>
            </w:r>
            <w:r w:rsidR="00863C61" w:rsidRPr="00863C61">
              <w:rPr>
                <w:rFonts w:ascii="Arial" w:eastAsia="Times New Roman" w:hAnsi="Arial" w:cs="Arial"/>
                <w:b/>
                <w:bCs/>
                <w:color w:val="000000"/>
                <w:sz w:val="18"/>
                <w:szCs w:val="18"/>
                <w:lang w:val="es-ES" w:eastAsia="es-ES"/>
              </w:rPr>
              <w:t>,000</w:t>
            </w:r>
          </w:p>
        </w:tc>
        <w:tc>
          <w:tcPr>
            <w:tcW w:w="784" w:type="dxa"/>
            <w:tcBorders>
              <w:top w:val="nil"/>
              <w:left w:val="nil"/>
              <w:bottom w:val="single" w:sz="4" w:space="0" w:color="auto"/>
              <w:right w:val="single" w:sz="4" w:space="0" w:color="auto"/>
            </w:tcBorders>
            <w:shd w:val="clear" w:color="000000" w:fill="BFBFBF"/>
            <w:noWrap/>
            <w:vAlign w:val="center"/>
            <w:hideMark/>
          </w:tcPr>
          <w:p w:rsidR="00863C61" w:rsidRPr="00863C61" w:rsidRDefault="00D400BC" w:rsidP="00863C61">
            <w:pPr>
              <w:spacing w:after="0" w:line="240" w:lineRule="auto"/>
              <w:jc w:val="center"/>
              <w:rPr>
                <w:rFonts w:ascii="Arial" w:eastAsia="Times New Roman" w:hAnsi="Arial" w:cs="Arial"/>
                <w:b/>
                <w:bCs/>
                <w:color w:val="000000"/>
                <w:sz w:val="18"/>
                <w:szCs w:val="18"/>
                <w:lang w:val="es-ES" w:eastAsia="es-ES"/>
              </w:rPr>
            </w:pPr>
            <w:r>
              <w:rPr>
                <w:rFonts w:ascii="Arial" w:eastAsia="Times New Roman" w:hAnsi="Arial" w:cs="Arial"/>
                <w:b/>
                <w:bCs/>
                <w:color w:val="000000"/>
                <w:sz w:val="18"/>
                <w:szCs w:val="18"/>
                <w:lang w:val="es-ES" w:eastAsia="es-ES"/>
              </w:rPr>
              <w:t>25</w:t>
            </w:r>
            <w:r w:rsidR="00863C61" w:rsidRPr="00863C61">
              <w:rPr>
                <w:rFonts w:ascii="Arial" w:eastAsia="Times New Roman" w:hAnsi="Arial" w:cs="Arial"/>
                <w:b/>
                <w:bCs/>
                <w:color w:val="000000"/>
                <w:sz w:val="18"/>
                <w:szCs w:val="18"/>
                <w:lang w:val="es-ES" w:eastAsia="es-ES"/>
              </w:rPr>
              <w:t>,000</w:t>
            </w:r>
          </w:p>
        </w:tc>
        <w:tc>
          <w:tcPr>
            <w:tcW w:w="586" w:type="dxa"/>
            <w:tcBorders>
              <w:top w:val="nil"/>
              <w:left w:val="nil"/>
              <w:bottom w:val="single" w:sz="4" w:space="0" w:color="auto"/>
              <w:right w:val="single" w:sz="4" w:space="0" w:color="auto"/>
            </w:tcBorders>
            <w:shd w:val="clear" w:color="000000" w:fill="BFBFBF"/>
            <w:noWrap/>
            <w:vAlign w:val="center"/>
            <w:hideMark/>
          </w:tcPr>
          <w:p w:rsidR="00863C61" w:rsidRPr="00863C61" w:rsidRDefault="00D400BC" w:rsidP="00863C61">
            <w:pPr>
              <w:spacing w:after="0" w:line="240" w:lineRule="auto"/>
              <w:jc w:val="center"/>
              <w:rPr>
                <w:rFonts w:ascii="Arial" w:eastAsia="Times New Roman" w:hAnsi="Arial" w:cs="Arial"/>
                <w:b/>
                <w:bCs/>
                <w:color w:val="000000"/>
                <w:sz w:val="18"/>
                <w:szCs w:val="18"/>
                <w:lang w:val="es-ES" w:eastAsia="es-ES"/>
              </w:rPr>
            </w:pPr>
            <w:r>
              <w:rPr>
                <w:rFonts w:ascii="Arial" w:eastAsia="Times New Roman" w:hAnsi="Arial" w:cs="Arial"/>
                <w:b/>
                <w:bCs/>
                <w:color w:val="000000"/>
                <w:sz w:val="18"/>
                <w:szCs w:val="18"/>
                <w:lang w:val="es-ES" w:eastAsia="es-ES"/>
              </w:rPr>
              <w:t>3.6</w:t>
            </w:r>
          </w:p>
        </w:tc>
      </w:tr>
      <w:tr w:rsidR="00863C61" w:rsidRPr="008755A2" w:rsidTr="00863C61">
        <w:trPr>
          <w:trHeight w:val="216"/>
        </w:trPr>
        <w:tc>
          <w:tcPr>
            <w:tcW w:w="6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3C61" w:rsidRPr="00863C61" w:rsidRDefault="008755A2" w:rsidP="00863C61">
            <w:pPr>
              <w:spacing w:after="0" w:line="240" w:lineRule="auto"/>
              <w:rPr>
                <w:rFonts w:ascii="Arial" w:eastAsia="Times New Roman" w:hAnsi="Arial" w:cs="Arial"/>
                <w:color w:val="000000"/>
                <w:sz w:val="18"/>
                <w:szCs w:val="18"/>
                <w:lang w:val="es-ES" w:eastAsia="es-ES"/>
              </w:rPr>
            </w:pPr>
            <w:r>
              <w:rPr>
                <w:rFonts w:ascii="Arial" w:eastAsia="Times New Roman" w:hAnsi="Arial" w:cs="Arial"/>
                <w:color w:val="000000"/>
                <w:sz w:val="18"/>
                <w:szCs w:val="18"/>
                <w:lang w:val="es-ES" w:eastAsia="es-ES"/>
              </w:rPr>
              <w:t>3.1. T</w:t>
            </w:r>
            <w:r w:rsidR="00863C61" w:rsidRPr="00863C61">
              <w:rPr>
                <w:rFonts w:ascii="Arial" w:eastAsia="Times New Roman" w:hAnsi="Arial" w:cs="Arial"/>
                <w:color w:val="000000"/>
                <w:sz w:val="18"/>
                <w:szCs w:val="18"/>
                <w:lang w:val="es-ES" w:eastAsia="es-ES"/>
              </w:rPr>
              <w:t xml:space="preserve">alleres de diálogo, validación y consenso </w:t>
            </w:r>
          </w:p>
        </w:tc>
        <w:tc>
          <w:tcPr>
            <w:tcW w:w="784" w:type="dxa"/>
            <w:tcBorders>
              <w:top w:val="nil"/>
              <w:left w:val="nil"/>
              <w:bottom w:val="single" w:sz="4" w:space="0" w:color="auto"/>
              <w:right w:val="single" w:sz="4" w:space="0" w:color="auto"/>
            </w:tcBorders>
            <w:shd w:val="clear" w:color="000000" w:fill="FFFFFF"/>
            <w:noWrap/>
            <w:vAlign w:val="center"/>
            <w:hideMark/>
          </w:tcPr>
          <w:p w:rsidR="00863C61" w:rsidRPr="00863C61" w:rsidRDefault="00D400BC" w:rsidP="00863C61">
            <w:pPr>
              <w:spacing w:after="0" w:line="240" w:lineRule="auto"/>
              <w:jc w:val="center"/>
              <w:rPr>
                <w:rFonts w:ascii="Arial" w:eastAsia="Times New Roman" w:hAnsi="Arial" w:cs="Arial"/>
                <w:color w:val="000000"/>
                <w:sz w:val="18"/>
                <w:szCs w:val="18"/>
                <w:lang w:val="es-ES" w:eastAsia="es-ES"/>
              </w:rPr>
            </w:pPr>
            <w:r>
              <w:rPr>
                <w:rFonts w:ascii="Arial" w:eastAsia="Times New Roman" w:hAnsi="Arial" w:cs="Arial"/>
                <w:color w:val="000000"/>
                <w:sz w:val="18"/>
                <w:szCs w:val="18"/>
                <w:lang w:val="es-ES" w:eastAsia="es-ES"/>
              </w:rPr>
              <w:t>15</w:t>
            </w:r>
            <w:r w:rsidR="00863C61" w:rsidRPr="00863C61">
              <w:rPr>
                <w:rFonts w:ascii="Arial" w:eastAsia="Times New Roman" w:hAnsi="Arial" w:cs="Arial"/>
                <w:color w:val="000000"/>
                <w:sz w:val="18"/>
                <w:szCs w:val="18"/>
                <w:lang w:val="es-ES" w:eastAsia="es-ES"/>
              </w:rPr>
              <w:t>,000</w:t>
            </w:r>
          </w:p>
        </w:tc>
        <w:tc>
          <w:tcPr>
            <w:tcW w:w="784" w:type="dxa"/>
            <w:tcBorders>
              <w:top w:val="nil"/>
              <w:left w:val="nil"/>
              <w:bottom w:val="single" w:sz="4" w:space="0" w:color="auto"/>
              <w:right w:val="single" w:sz="4" w:space="0" w:color="auto"/>
            </w:tcBorders>
            <w:shd w:val="clear" w:color="000000" w:fill="FFFFFF"/>
            <w:noWrap/>
            <w:vAlign w:val="center"/>
            <w:hideMark/>
          </w:tcPr>
          <w:p w:rsidR="00863C61" w:rsidRPr="00863C61" w:rsidRDefault="00863C61" w:rsidP="00863C61">
            <w:pPr>
              <w:spacing w:after="0" w:line="240" w:lineRule="auto"/>
              <w:jc w:val="center"/>
              <w:rPr>
                <w:rFonts w:ascii="Arial" w:eastAsia="Times New Roman" w:hAnsi="Arial" w:cs="Arial"/>
                <w:b/>
                <w:bCs/>
                <w:color w:val="000000"/>
                <w:sz w:val="18"/>
                <w:szCs w:val="18"/>
                <w:lang w:val="es-ES" w:eastAsia="es-ES"/>
              </w:rPr>
            </w:pPr>
            <w:r w:rsidRPr="00863C61">
              <w:rPr>
                <w:rFonts w:ascii="Arial" w:eastAsia="Times New Roman" w:hAnsi="Arial" w:cs="Arial"/>
                <w:b/>
                <w:bCs/>
                <w:color w:val="000000"/>
                <w:sz w:val="18"/>
                <w:szCs w:val="18"/>
                <w:lang w:val="es-ES" w:eastAsia="es-ES"/>
              </w:rPr>
              <w:t> </w:t>
            </w:r>
          </w:p>
        </w:tc>
        <w:tc>
          <w:tcPr>
            <w:tcW w:w="586" w:type="dxa"/>
            <w:tcBorders>
              <w:top w:val="nil"/>
              <w:left w:val="nil"/>
              <w:bottom w:val="single" w:sz="4" w:space="0" w:color="auto"/>
              <w:right w:val="single" w:sz="4" w:space="0" w:color="auto"/>
            </w:tcBorders>
            <w:shd w:val="clear" w:color="000000" w:fill="FFFFFF"/>
            <w:noWrap/>
            <w:vAlign w:val="center"/>
            <w:hideMark/>
          </w:tcPr>
          <w:p w:rsidR="00863C61" w:rsidRPr="00863C61" w:rsidRDefault="00863C61" w:rsidP="00863C61">
            <w:pPr>
              <w:spacing w:after="0" w:line="240" w:lineRule="auto"/>
              <w:jc w:val="center"/>
              <w:rPr>
                <w:rFonts w:ascii="Arial" w:eastAsia="Times New Roman" w:hAnsi="Arial" w:cs="Arial"/>
                <w:color w:val="000000"/>
                <w:sz w:val="18"/>
                <w:szCs w:val="18"/>
                <w:lang w:val="es-ES" w:eastAsia="es-ES"/>
              </w:rPr>
            </w:pPr>
            <w:r w:rsidRPr="00863C61">
              <w:rPr>
                <w:rFonts w:ascii="Arial" w:eastAsia="Times New Roman" w:hAnsi="Arial" w:cs="Arial"/>
                <w:color w:val="000000"/>
                <w:sz w:val="18"/>
                <w:szCs w:val="18"/>
                <w:lang w:val="es-ES" w:eastAsia="es-ES"/>
              </w:rPr>
              <w:t> </w:t>
            </w:r>
          </w:p>
        </w:tc>
      </w:tr>
      <w:tr w:rsidR="008755A2" w:rsidRPr="008755A2" w:rsidTr="00863C61">
        <w:trPr>
          <w:trHeight w:val="216"/>
        </w:trPr>
        <w:tc>
          <w:tcPr>
            <w:tcW w:w="685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8755A2" w:rsidRPr="00863C61" w:rsidRDefault="008755A2" w:rsidP="00863C61">
            <w:pPr>
              <w:spacing w:after="0" w:line="240" w:lineRule="auto"/>
              <w:rPr>
                <w:rFonts w:ascii="Arial" w:eastAsia="Times New Roman" w:hAnsi="Arial" w:cs="Arial"/>
                <w:color w:val="000000"/>
                <w:sz w:val="18"/>
                <w:szCs w:val="18"/>
                <w:lang w:val="es-ES" w:eastAsia="es-ES"/>
              </w:rPr>
            </w:pPr>
            <w:r>
              <w:rPr>
                <w:rFonts w:ascii="Arial" w:eastAsia="Times New Roman" w:hAnsi="Arial" w:cs="Arial"/>
                <w:color w:val="000000"/>
                <w:sz w:val="18"/>
                <w:szCs w:val="18"/>
                <w:lang w:val="es-ES" w:eastAsia="es-ES"/>
              </w:rPr>
              <w:t>3.2. Material informativo</w:t>
            </w:r>
          </w:p>
        </w:tc>
        <w:tc>
          <w:tcPr>
            <w:tcW w:w="784" w:type="dxa"/>
            <w:tcBorders>
              <w:top w:val="nil"/>
              <w:left w:val="nil"/>
              <w:bottom w:val="single" w:sz="4" w:space="0" w:color="auto"/>
              <w:right w:val="single" w:sz="4" w:space="0" w:color="auto"/>
            </w:tcBorders>
            <w:shd w:val="clear" w:color="000000" w:fill="FFFFFF"/>
            <w:noWrap/>
            <w:vAlign w:val="center"/>
          </w:tcPr>
          <w:p w:rsidR="008755A2" w:rsidRPr="00863C61" w:rsidRDefault="008755A2" w:rsidP="00863C61">
            <w:pPr>
              <w:spacing w:after="0" w:line="240" w:lineRule="auto"/>
              <w:jc w:val="center"/>
              <w:rPr>
                <w:rFonts w:ascii="Arial" w:eastAsia="Times New Roman" w:hAnsi="Arial" w:cs="Arial"/>
                <w:color w:val="000000"/>
                <w:sz w:val="18"/>
                <w:szCs w:val="18"/>
                <w:lang w:val="es-ES" w:eastAsia="es-ES"/>
              </w:rPr>
            </w:pPr>
            <w:r>
              <w:rPr>
                <w:rFonts w:ascii="Arial" w:eastAsia="Times New Roman" w:hAnsi="Arial" w:cs="Arial"/>
                <w:color w:val="000000"/>
                <w:sz w:val="18"/>
                <w:szCs w:val="18"/>
                <w:lang w:val="es-ES" w:eastAsia="es-ES"/>
              </w:rPr>
              <w:t>10,000</w:t>
            </w:r>
          </w:p>
        </w:tc>
        <w:tc>
          <w:tcPr>
            <w:tcW w:w="784" w:type="dxa"/>
            <w:tcBorders>
              <w:top w:val="nil"/>
              <w:left w:val="nil"/>
              <w:bottom w:val="single" w:sz="4" w:space="0" w:color="auto"/>
              <w:right w:val="single" w:sz="4" w:space="0" w:color="auto"/>
            </w:tcBorders>
            <w:shd w:val="clear" w:color="000000" w:fill="FFFFFF"/>
            <w:noWrap/>
            <w:vAlign w:val="center"/>
          </w:tcPr>
          <w:p w:rsidR="008755A2" w:rsidRPr="00863C61" w:rsidRDefault="008755A2" w:rsidP="00863C61">
            <w:pPr>
              <w:spacing w:after="0" w:line="240" w:lineRule="auto"/>
              <w:jc w:val="center"/>
              <w:rPr>
                <w:rFonts w:ascii="Arial" w:eastAsia="Times New Roman" w:hAnsi="Arial" w:cs="Arial"/>
                <w:b/>
                <w:bCs/>
                <w:color w:val="000000"/>
                <w:sz w:val="18"/>
                <w:szCs w:val="18"/>
                <w:lang w:val="es-ES" w:eastAsia="es-ES"/>
              </w:rPr>
            </w:pPr>
          </w:p>
        </w:tc>
        <w:tc>
          <w:tcPr>
            <w:tcW w:w="586" w:type="dxa"/>
            <w:tcBorders>
              <w:top w:val="nil"/>
              <w:left w:val="nil"/>
              <w:bottom w:val="single" w:sz="4" w:space="0" w:color="auto"/>
              <w:right w:val="single" w:sz="4" w:space="0" w:color="auto"/>
            </w:tcBorders>
            <w:shd w:val="clear" w:color="000000" w:fill="FFFFFF"/>
            <w:noWrap/>
            <w:vAlign w:val="center"/>
          </w:tcPr>
          <w:p w:rsidR="008755A2" w:rsidRPr="00863C61" w:rsidRDefault="008755A2" w:rsidP="00863C61">
            <w:pPr>
              <w:spacing w:after="0" w:line="240" w:lineRule="auto"/>
              <w:jc w:val="center"/>
              <w:rPr>
                <w:rFonts w:ascii="Arial" w:eastAsia="Times New Roman" w:hAnsi="Arial" w:cs="Arial"/>
                <w:color w:val="000000"/>
                <w:sz w:val="18"/>
                <w:szCs w:val="18"/>
                <w:lang w:val="es-ES" w:eastAsia="es-ES"/>
              </w:rPr>
            </w:pPr>
          </w:p>
        </w:tc>
      </w:tr>
      <w:tr w:rsidR="00863C61" w:rsidRPr="008755A2" w:rsidTr="00863C61">
        <w:trPr>
          <w:trHeight w:val="216"/>
        </w:trPr>
        <w:tc>
          <w:tcPr>
            <w:tcW w:w="6851" w:type="dxa"/>
            <w:tcBorders>
              <w:top w:val="nil"/>
              <w:left w:val="single" w:sz="4" w:space="0" w:color="auto"/>
              <w:bottom w:val="single" w:sz="4" w:space="0" w:color="auto"/>
              <w:right w:val="nil"/>
            </w:tcBorders>
            <w:shd w:val="clear" w:color="000000" w:fill="BFBFBF"/>
            <w:noWrap/>
            <w:vAlign w:val="center"/>
            <w:hideMark/>
          </w:tcPr>
          <w:p w:rsidR="00863C61" w:rsidRPr="00863C61" w:rsidRDefault="00863C61" w:rsidP="00863C61">
            <w:pPr>
              <w:spacing w:after="0" w:line="240" w:lineRule="auto"/>
              <w:rPr>
                <w:rFonts w:ascii="Arial" w:eastAsia="Times New Roman" w:hAnsi="Arial" w:cs="Arial"/>
                <w:b/>
                <w:bCs/>
                <w:color w:val="000000"/>
                <w:sz w:val="18"/>
                <w:szCs w:val="18"/>
                <w:lang w:val="es-ES" w:eastAsia="es-ES"/>
              </w:rPr>
            </w:pPr>
            <w:r w:rsidRPr="00863C61">
              <w:rPr>
                <w:rFonts w:ascii="Arial" w:eastAsia="Times New Roman" w:hAnsi="Arial" w:cs="Arial"/>
                <w:b/>
                <w:bCs/>
                <w:color w:val="000000"/>
                <w:sz w:val="18"/>
                <w:szCs w:val="18"/>
                <w:lang w:val="es-ES" w:eastAsia="es-ES"/>
              </w:rPr>
              <w:t>Administración del programa</w:t>
            </w:r>
          </w:p>
        </w:tc>
        <w:tc>
          <w:tcPr>
            <w:tcW w:w="784" w:type="dxa"/>
            <w:tcBorders>
              <w:top w:val="nil"/>
              <w:left w:val="single" w:sz="4" w:space="0" w:color="auto"/>
              <w:bottom w:val="single" w:sz="4" w:space="0" w:color="auto"/>
              <w:right w:val="single" w:sz="4" w:space="0" w:color="auto"/>
            </w:tcBorders>
            <w:shd w:val="clear" w:color="000000" w:fill="BFBFBF"/>
            <w:noWrap/>
            <w:vAlign w:val="center"/>
            <w:hideMark/>
          </w:tcPr>
          <w:p w:rsidR="00863C61" w:rsidRPr="00863C61" w:rsidRDefault="00863C61" w:rsidP="00863C61">
            <w:pPr>
              <w:spacing w:after="0" w:line="240" w:lineRule="auto"/>
              <w:jc w:val="center"/>
              <w:rPr>
                <w:rFonts w:ascii="Arial" w:eastAsia="Times New Roman" w:hAnsi="Arial" w:cs="Arial"/>
                <w:b/>
                <w:bCs/>
                <w:color w:val="000000"/>
                <w:sz w:val="18"/>
                <w:szCs w:val="18"/>
                <w:lang w:val="es-ES" w:eastAsia="es-ES"/>
              </w:rPr>
            </w:pPr>
            <w:r w:rsidRPr="00863C61">
              <w:rPr>
                <w:rFonts w:ascii="Arial" w:eastAsia="Times New Roman" w:hAnsi="Arial" w:cs="Arial"/>
                <w:b/>
                <w:bCs/>
                <w:color w:val="000000"/>
                <w:sz w:val="18"/>
                <w:szCs w:val="18"/>
                <w:lang w:val="es-ES" w:eastAsia="es-ES"/>
              </w:rPr>
              <w:t>10,000</w:t>
            </w:r>
          </w:p>
        </w:tc>
        <w:tc>
          <w:tcPr>
            <w:tcW w:w="784" w:type="dxa"/>
            <w:tcBorders>
              <w:top w:val="nil"/>
              <w:left w:val="nil"/>
              <w:bottom w:val="single" w:sz="4" w:space="0" w:color="auto"/>
              <w:right w:val="single" w:sz="4" w:space="0" w:color="auto"/>
            </w:tcBorders>
            <w:shd w:val="clear" w:color="000000" w:fill="BFBFBF"/>
            <w:noWrap/>
            <w:vAlign w:val="center"/>
            <w:hideMark/>
          </w:tcPr>
          <w:p w:rsidR="00863C61" w:rsidRPr="00863C61" w:rsidRDefault="00863C61" w:rsidP="00863C61">
            <w:pPr>
              <w:spacing w:after="0" w:line="240" w:lineRule="auto"/>
              <w:jc w:val="center"/>
              <w:rPr>
                <w:rFonts w:ascii="Arial" w:eastAsia="Times New Roman" w:hAnsi="Arial" w:cs="Arial"/>
                <w:b/>
                <w:bCs/>
                <w:color w:val="000000"/>
                <w:sz w:val="18"/>
                <w:szCs w:val="18"/>
                <w:lang w:val="es-ES" w:eastAsia="es-ES"/>
              </w:rPr>
            </w:pPr>
            <w:r w:rsidRPr="00863C61">
              <w:rPr>
                <w:rFonts w:ascii="Arial" w:eastAsia="Times New Roman" w:hAnsi="Arial" w:cs="Arial"/>
                <w:b/>
                <w:bCs/>
                <w:color w:val="000000"/>
                <w:sz w:val="18"/>
                <w:szCs w:val="18"/>
                <w:lang w:val="es-ES" w:eastAsia="es-ES"/>
              </w:rPr>
              <w:t>10,000</w:t>
            </w:r>
          </w:p>
        </w:tc>
        <w:tc>
          <w:tcPr>
            <w:tcW w:w="586" w:type="dxa"/>
            <w:tcBorders>
              <w:top w:val="nil"/>
              <w:left w:val="nil"/>
              <w:bottom w:val="single" w:sz="4" w:space="0" w:color="auto"/>
              <w:right w:val="single" w:sz="4" w:space="0" w:color="auto"/>
            </w:tcBorders>
            <w:shd w:val="clear" w:color="000000" w:fill="BFBFBF"/>
            <w:noWrap/>
            <w:vAlign w:val="center"/>
            <w:hideMark/>
          </w:tcPr>
          <w:p w:rsidR="00863C61" w:rsidRPr="00863C61" w:rsidRDefault="00863C61" w:rsidP="00863C61">
            <w:pPr>
              <w:spacing w:after="0" w:line="240" w:lineRule="auto"/>
              <w:jc w:val="center"/>
              <w:rPr>
                <w:rFonts w:ascii="Arial" w:eastAsia="Times New Roman" w:hAnsi="Arial" w:cs="Arial"/>
                <w:b/>
                <w:bCs/>
                <w:color w:val="000000"/>
                <w:sz w:val="18"/>
                <w:szCs w:val="18"/>
                <w:lang w:val="es-ES" w:eastAsia="es-ES"/>
              </w:rPr>
            </w:pPr>
            <w:r w:rsidRPr="00863C61">
              <w:rPr>
                <w:rFonts w:ascii="Arial" w:eastAsia="Times New Roman" w:hAnsi="Arial" w:cs="Arial"/>
                <w:b/>
                <w:bCs/>
                <w:color w:val="000000"/>
                <w:sz w:val="18"/>
                <w:szCs w:val="18"/>
                <w:lang w:val="es-ES" w:eastAsia="es-ES"/>
              </w:rPr>
              <w:t>1.4</w:t>
            </w:r>
          </w:p>
        </w:tc>
      </w:tr>
      <w:tr w:rsidR="00863C61" w:rsidRPr="008755A2" w:rsidTr="00863C61">
        <w:trPr>
          <w:trHeight w:val="216"/>
        </w:trPr>
        <w:tc>
          <w:tcPr>
            <w:tcW w:w="6851" w:type="dxa"/>
            <w:tcBorders>
              <w:top w:val="nil"/>
              <w:left w:val="single" w:sz="4" w:space="0" w:color="auto"/>
              <w:bottom w:val="single" w:sz="4" w:space="0" w:color="auto"/>
              <w:right w:val="nil"/>
            </w:tcBorders>
            <w:shd w:val="clear" w:color="000000" w:fill="FFFFFF"/>
            <w:noWrap/>
            <w:vAlign w:val="center"/>
            <w:hideMark/>
          </w:tcPr>
          <w:p w:rsidR="00863C61" w:rsidRPr="00863C61" w:rsidRDefault="00863C61" w:rsidP="00863C61">
            <w:pPr>
              <w:spacing w:after="0" w:line="240" w:lineRule="auto"/>
              <w:rPr>
                <w:rFonts w:ascii="Arial" w:eastAsia="Times New Roman" w:hAnsi="Arial" w:cs="Arial"/>
                <w:color w:val="000000"/>
                <w:sz w:val="18"/>
                <w:szCs w:val="18"/>
                <w:lang w:val="es-ES" w:eastAsia="es-ES"/>
              </w:rPr>
            </w:pPr>
            <w:r w:rsidRPr="00863C61">
              <w:rPr>
                <w:rFonts w:ascii="Arial" w:eastAsia="Times New Roman" w:hAnsi="Arial" w:cs="Arial"/>
                <w:color w:val="000000"/>
                <w:sz w:val="18"/>
                <w:szCs w:val="18"/>
                <w:lang w:val="es-ES" w:eastAsia="es-ES"/>
              </w:rPr>
              <w:t>Imprevistos</w:t>
            </w:r>
          </w:p>
        </w:tc>
        <w:tc>
          <w:tcPr>
            <w:tcW w:w="784" w:type="dxa"/>
            <w:tcBorders>
              <w:top w:val="nil"/>
              <w:left w:val="single" w:sz="4" w:space="0" w:color="auto"/>
              <w:bottom w:val="single" w:sz="4" w:space="0" w:color="auto"/>
              <w:right w:val="single" w:sz="4" w:space="0" w:color="auto"/>
            </w:tcBorders>
            <w:shd w:val="clear" w:color="000000" w:fill="FFFFFF"/>
            <w:noWrap/>
            <w:vAlign w:val="center"/>
            <w:hideMark/>
          </w:tcPr>
          <w:p w:rsidR="00863C61" w:rsidRPr="00863C61" w:rsidRDefault="00863C61" w:rsidP="00863C61">
            <w:pPr>
              <w:spacing w:after="0" w:line="240" w:lineRule="auto"/>
              <w:jc w:val="center"/>
              <w:rPr>
                <w:rFonts w:ascii="Arial" w:eastAsia="Times New Roman" w:hAnsi="Arial" w:cs="Arial"/>
                <w:color w:val="000000"/>
                <w:sz w:val="18"/>
                <w:szCs w:val="18"/>
                <w:lang w:val="es-ES" w:eastAsia="es-ES"/>
              </w:rPr>
            </w:pPr>
            <w:r w:rsidRPr="00863C61">
              <w:rPr>
                <w:rFonts w:ascii="Arial" w:eastAsia="Times New Roman" w:hAnsi="Arial" w:cs="Arial"/>
                <w:color w:val="000000"/>
                <w:sz w:val="18"/>
                <w:szCs w:val="18"/>
                <w:lang w:val="es-ES" w:eastAsia="es-ES"/>
              </w:rPr>
              <w:t>10,000</w:t>
            </w:r>
          </w:p>
        </w:tc>
        <w:tc>
          <w:tcPr>
            <w:tcW w:w="784" w:type="dxa"/>
            <w:tcBorders>
              <w:top w:val="nil"/>
              <w:left w:val="nil"/>
              <w:bottom w:val="single" w:sz="4" w:space="0" w:color="auto"/>
              <w:right w:val="single" w:sz="4" w:space="0" w:color="auto"/>
            </w:tcBorders>
            <w:shd w:val="clear" w:color="000000" w:fill="FFFFFF"/>
            <w:noWrap/>
            <w:vAlign w:val="center"/>
            <w:hideMark/>
          </w:tcPr>
          <w:p w:rsidR="00863C61" w:rsidRPr="00863C61" w:rsidRDefault="00863C61" w:rsidP="00863C61">
            <w:pPr>
              <w:spacing w:after="0" w:line="240" w:lineRule="auto"/>
              <w:jc w:val="center"/>
              <w:rPr>
                <w:rFonts w:ascii="Arial" w:eastAsia="Times New Roman" w:hAnsi="Arial" w:cs="Arial"/>
                <w:b/>
                <w:bCs/>
                <w:color w:val="000000"/>
                <w:sz w:val="18"/>
                <w:szCs w:val="18"/>
                <w:lang w:val="es-ES" w:eastAsia="es-ES"/>
              </w:rPr>
            </w:pPr>
            <w:r w:rsidRPr="00863C61">
              <w:rPr>
                <w:rFonts w:ascii="Arial" w:eastAsia="Times New Roman" w:hAnsi="Arial" w:cs="Arial"/>
                <w:b/>
                <w:bCs/>
                <w:color w:val="000000"/>
                <w:sz w:val="18"/>
                <w:szCs w:val="18"/>
                <w:lang w:val="es-ES" w:eastAsia="es-ES"/>
              </w:rPr>
              <w:t> </w:t>
            </w:r>
          </w:p>
        </w:tc>
        <w:tc>
          <w:tcPr>
            <w:tcW w:w="586" w:type="dxa"/>
            <w:tcBorders>
              <w:top w:val="nil"/>
              <w:left w:val="nil"/>
              <w:bottom w:val="single" w:sz="4" w:space="0" w:color="auto"/>
              <w:right w:val="single" w:sz="4" w:space="0" w:color="auto"/>
            </w:tcBorders>
            <w:shd w:val="clear" w:color="000000" w:fill="FFFFFF"/>
            <w:noWrap/>
            <w:vAlign w:val="center"/>
            <w:hideMark/>
          </w:tcPr>
          <w:p w:rsidR="00863C61" w:rsidRPr="00863C61" w:rsidRDefault="00863C61" w:rsidP="00863C61">
            <w:pPr>
              <w:spacing w:after="0" w:line="240" w:lineRule="auto"/>
              <w:jc w:val="center"/>
              <w:rPr>
                <w:rFonts w:ascii="Arial" w:eastAsia="Times New Roman" w:hAnsi="Arial" w:cs="Arial"/>
                <w:color w:val="000000"/>
                <w:sz w:val="18"/>
                <w:szCs w:val="18"/>
                <w:lang w:val="es-ES" w:eastAsia="es-ES"/>
              </w:rPr>
            </w:pPr>
            <w:r w:rsidRPr="00863C61">
              <w:rPr>
                <w:rFonts w:ascii="Arial" w:eastAsia="Times New Roman" w:hAnsi="Arial" w:cs="Arial"/>
                <w:color w:val="000000"/>
                <w:sz w:val="18"/>
                <w:szCs w:val="18"/>
                <w:lang w:val="es-ES" w:eastAsia="es-ES"/>
              </w:rPr>
              <w:t> </w:t>
            </w:r>
          </w:p>
        </w:tc>
      </w:tr>
      <w:tr w:rsidR="00863C61" w:rsidRPr="008755A2" w:rsidTr="00863C61">
        <w:trPr>
          <w:trHeight w:val="216"/>
        </w:trPr>
        <w:tc>
          <w:tcPr>
            <w:tcW w:w="6851" w:type="dxa"/>
            <w:tcBorders>
              <w:top w:val="nil"/>
              <w:left w:val="single" w:sz="4" w:space="0" w:color="auto"/>
              <w:bottom w:val="single" w:sz="4" w:space="0" w:color="auto"/>
              <w:right w:val="nil"/>
            </w:tcBorders>
            <w:shd w:val="clear" w:color="000000" w:fill="BFBFBF"/>
            <w:noWrap/>
            <w:vAlign w:val="center"/>
            <w:hideMark/>
          </w:tcPr>
          <w:p w:rsidR="00863C61" w:rsidRPr="00863C61" w:rsidRDefault="00863C61" w:rsidP="00863C61">
            <w:pPr>
              <w:spacing w:after="0" w:line="240" w:lineRule="auto"/>
              <w:rPr>
                <w:rFonts w:ascii="Arial" w:eastAsia="Times New Roman" w:hAnsi="Arial" w:cs="Arial"/>
                <w:b/>
                <w:bCs/>
                <w:color w:val="000000"/>
                <w:sz w:val="18"/>
                <w:szCs w:val="18"/>
                <w:lang w:val="es-ES" w:eastAsia="es-ES"/>
              </w:rPr>
            </w:pPr>
            <w:r w:rsidRPr="00863C61">
              <w:rPr>
                <w:rFonts w:ascii="Arial" w:eastAsia="Times New Roman" w:hAnsi="Arial" w:cs="Arial"/>
                <w:b/>
                <w:bCs/>
                <w:color w:val="000000"/>
                <w:sz w:val="18"/>
                <w:szCs w:val="18"/>
                <w:lang w:val="es-ES" w:eastAsia="es-ES"/>
              </w:rPr>
              <w:t>Total</w:t>
            </w:r>
          </w:p>
        </w:tc>
        <w:tc>
          <w:tcPr>
            <w:tcW w:w="784" w:type="dxa"/>
            <w:tcBorders>
              <w:top w:val="nil"/>
              <w:left w:val="single" w:sz="4" w:space="0" w:color="auto"/>
              <w:bottom w:val="single" w:sz="4" w:space="0" w:color="auto"/>
              <w:right w:val="single" w:sz="4" w:space="0" w:color="auto"/>
            </w:tcBorders>
            <w:shd w:val="clear" w:color="000000" w:fill="BFBFBF"/>
            <w:noWrap/>
            <w:vAlign w:val="center"/>
            <w:hideMark/>
          </w:tcPr>
          <w:p w:rsidR="00863C61" w:rsidRPr="00863C61" w:rsidRDefault="00863C61" w:rsidP="00863C61">
            <w:pPr>
              <w:spacing w:after="0" w:line="240" w:lineRule="auto"/>
              <w:jc w:val="center"/>
              <w:rPr>
                <w:rFonts w:ascii="Arial" w:eastAsia="Times New Roman" w:hAnsi="Arial" w:cs="Arial"/>
                <w:b/>
                <w:bCs/>
                <w:color w:val="000000"/>
                <w:sz w:val="18"/>
                <w:szCs w:val="18"/>
                <w:lang w:val="es-ES" w:eastAsia="es-ES"/>
              </w:rPr>
            </w:pPr>
            <w:r w:rsidRPr="00863C61">
              <w:rPr>
                <w:rFonts w:ascii="Arial" w:eastAsia="Times New Roman" w:hAnsi="Arial" w:cs="Arial"/>
                <w:b/>
                <w:bCs/>
                <w:color w:val="000000"/>
                <w:sz w:val="18"/>
                <w:szCs w:val="18"/>
                <w:lang w:val="es-ES" w:eastAsia="es-ES"/>
              </w:rPr>
              <w:t>700,000</w:t>
            </w:r>
          </w:p>
        </w:tc>
        <w:tc>
          <w:tcPr>
            <w:tcW w:w="784" w:type="dxa"/>
            <w:tcBorders>
              <w:top w:val="nil"/>
              <w:left w:val="nil"/>
              <w:bottom w:val="single" w:sz="4" w:space="0" w:color="auto"/>
              <w:right w:val="single" w:sz="4" w:space="0" w:color="auto"/>
            </w:tcBorders>
            <w:shd w:val="clear" w:color="000000" w:fill="BFBFBF"/>
            <w:noWrap/>
            <w:vAlign w:val="center"/>
            <w:hideMark/>
          </w:tcPr>
          <w:p w:rsidR="00863C61" w:rsidRPr="00863C61" w:rsidRDefault="00863C61" w:rsidP="00863C61">
            <w:pPr>
              <w:spacing w:after="0" w:line="240" w:lineRule="auto"/>
              <w:jc w:val="center"/>
              <w:rPr>
                <w:rFonts w:ascii="Arial" w:eastAsia="Times New Roman" w:hAnsi="Arial" w:cs="Arial"/>
                <w:b/>
                <w:bCs/>
                <w:color w:val="000000"/>
                <w:sz w:val="18"/>
                <w:szCs w:val="18"/>
                <w:lang w:val="es-ES" w:eastAsia="es-ES"/>
              </w:rPr>
            </w:pPr>
            <w:r w:rsidRPr="00863C61">
              <w:rPr>
                <w:rFonts w:ascii="Arial" w:eastAsia="Times New Roman" w:hAnsi="Arial" w:cs="Arial"/>
                <w:b/>
                <w:bCs/>
                <w:color w:val="000000"/>
                <w:sz w:val="18"/>
                <w:szCs w:val="18"/>
                <w:lang w:val="es-ES" w:eastAsia="es-ES"/>
              </w:rPr>
              <w:t>700,000</w:t>
            </w:r>
          </w:p>
        </w:tc>
        <w:tc>
          <w:tcPr>
            <w:tcW w:w="586" w:type="dxa"/>
            <w:tcBorders>
              <w:top w:val="nil"/>
              <w:left w:val="nil"/>
              <w:bottom w:val="single" w:sz="4" w:space="0" w:color="auto"/>
              <w:right w:val="single" w:sz="4" w:space="0" w:color="auto"/>
            </w:tcBorders>
            <w:shd w:val="clear" w:color="000000" w:fill="BFBFBF"/>
            <w:noWrap/>
            <w:vAlign w:val="center"/>
            <w:hideMark/>
          </w:tcPr>
          <w:p w:rsidR="00863C61" w:rsidRPr="00863C61" w:rsidRDefault="00863C61" w:rsidP="00863C61">
            <w:pPr>
              <w:spacing w:after="0" w:line="240" w:lineRule="auto"/>
              <w:jc w:val="center"/>
              <w:rPr>
                <w:rFonts w:ascii="Arial" w:eastAsia="Times New Roman" w:hAnsi="Arial" w:cs="Arial"/>
                <w:b/>
                <w:bCs/>
                <w:color w:val="000000"/>
                <w:sz w:val="18"/>
                <w:szCs w:val="18"/>
                <w:lang w:val="es-ES" w:eastAsia="es-ES"/>
              </w:rPr>
            </w:pPr>
            <w:r w:rsidRPr="00863C61">
              <w:rPr>
                <w:rFonts w:ascii="Arial" w:eastAsia="Times New Roman" w:hAnsi="Arial" w:cs="Arial"/>
                <w:b/>
                <w:bCs/>
                <w:color w:val="000000"/>
                <w:sz w:val="18"/>
                <w:szCs w:val="18"/>
                <w:lang w:val="es-ES" w:eastAsia="es-ES"/>
              </w:rPr>
              <w:t>100.0</w:t>
            </w:r>
          </w:p>
        </w:tc>
      </w:tr>
    </w:tbl>
    <w:p w:rsidR="007D5E7D" w:rsidRPr="007D5E7D" w:rsidRDefault="00F6363D" w:rsidP="007D5E7D">
      <w:pPr>
        <w:pStyle w:val="ListParagraph"/>
        <w:spacing w:before="60" w:after="60" w:line="240" w:lineRule="auto"/>
        <w:ind w:left="360"/>
        <w:contextualSpacing w:val="0"/>
        <w:jc w:val="center"/>
        <w:rPr>
          <w:rFonts w:ascii="Arial" w:hAnsi="Arial" w:cs="Arial"/>
          <w:b/>
          <w:lang w:val="es-ES"/>
        </w:rPr>
      </w:pPr>
      <w:r w:rsidRPr="00D97FAD">
        <w:rPr>
          <w:rFonts w:ascii="Arial" w:hAnsi="Arial" w:cs="Arial"/>
          <w:b/>
          <w:lang w:val="es-ES"/>
        </w:rPr>
        <w:t xml:space="preserve"> </w:t>
      </w:r>
    </w:p>
    <w:p w:rsidR="0095711B" w:rsidRPr="00D97FAD" w:rsidRDefault="00944D7A" w:rsidP="008F4286">
      <w:pPr>
        <w:pStyle w:val="ListParagraph"/>
        <w:numPr>
          <w:ilvl w:val="0"/>
          <w:numId w:val="5"/>
        </w:numPr>
        <w:spacing w:before="120" w:after="120" w:line="240" w:lineRule="auto"/>
        <w:contextualSpacing w:val="0"/>
        <w:rPr>
          <w:rFonts w:ascii="Arial" w:hAnsi="Arial" w:cs="Arial"/>
          <w:b/>
          <w:lang w:val="es-ES"/>
        </w:rPr>
      </w:pPr>
      <w:r w:rsidRPr="00D97FAD">
        <w:rPr>
          <w:rFonts w:ascii="Arial" w:hAnsi="Arial" w:cs="Arial"/>
          <w:b/>
          <w:lang w:val="es-ES"/>
        </w:rPr>
        <w:t xml:space="preserve">Agencia Ejecutora y estructura de </w:t>
      </w:r>
      <w:r w:rsidR="00A139E6" w:rsidRPr="00D97FAD">
        <w:rPr>
          <w:rFonts w:ascii="Arial" w:hAnsi="Arial" w:cs="Arial"/>
          <w:b/>
          <w:lang w:val="es-ES"/>
        </w:rPr>
        <w:t>ejecución</w:t>
      </w:r>
    </w:p>
    <w:p w:rsidR="005427A2" w:rsidRDefault="00394867" w:rsidP="005427A2">
      <w:pPr>
        <w:pStyle w:val="ListParagraph"/>
        <w:numPr>
          <w:ilvl w:val="1"/>
          <w:numId w:val="5"/>
        </w:numPr>
        <w:spacing w:before="120" w:after="120" w:line="240" w:lineRule="auto"/>
        <w:ind w:left="360" w:hanging="630"/>
        <w:jc w:val="both"/>
        <w:rPr>
          <w:rFonts w:ascii="Arial" w:hAnsi="Arial" w:cs="Arial"/>
          <w:lang w:val="es-ES"/>
        </w:rPr>
      </w:pPr>
      <w:r w:rsidRPr="00AF6FC4">
        <w:rPr>
          <w:rFonts w:ascii="Arial" w:hAnsi="Arial" w:cs="Arial"/>
          <w:lang w:val="es-ES"/>
        </w:rPr>
        <w:t>A solic</w:t>
      </w:r>
      <w:r>
        <w:rPr>
          <w:rFonts w:ascii="Arial" w:hAnsi="Arial" w:cs="Arial"/>
          <w:lang w:val="es-ES"/>
        </w:rPr>
        <w:t>itud de la Secretaría de Finanzas</w:t>
      </w:r>
      <w:r w:rsidRPr="00AF6FC4">
        <w:rPr>
          <w:rFonts w:ascii="Arial" w:hAnsi="Arial" w:cs="Arial"/>
          <w:lang w:val="es-ES"/>
        </w:rPr>
        <w:t xml:space="preserve">, la CT será ejecutada </w:t>
      </w:r>
      <w:r>
        <w:rPr>
          <w:rFonts w:ascii="Arial" w:hAnsi="Arial" w:cs="Arial"/>
          <w:lang w:val="es-ES"/>
        </w:rPr>
        <w:t xml:space="preserve">por el Banco a través de </w:t>
      </w:r>
      <w:r w:rsidR="007D5E7D">
        <w:rPr>
          <w:rFonts w:ascii="Arial" w:hAnsi="Arial" w:cs="Arial"/>
          <w:lang w:val="es-ES"/>
        </w:rPr>
        <w:t>su Representación en Honduras (</w:t>
      </w:r>
      <w:r>
        <w:rPr>
          <w:rFonts w:ascii="Arial" w:hAnsi="Arial" w:cs="Arial"/>
          <w:lang w:val="es-ES"/>
        </w:rPr>
        <w:t>CID/CHO</w:t>
      </w:r>
      <w:r w:rsidR="007D5E7D">
        <w:rPr>
          <w:rFonts w:ascii="Arial" w:hAnsi="Arial" w:cs="Arial"/>
          <w:lang w:val="es-ES"/>
        </w:rPr>
        <w:t>)</w:t>
      </w:r>
      <w:r w:rsidR="00E705BC">
        <w:rPr>
          <w:rFonts w:ascii="Arial" w:hAnsi="Arial" w:cs="Arial"/>
          <w:lang w:val="es-ES"/>
        </w:rPr>
        <w:t xml:space="preserve">, </w:t>
      </w:r>
      <w:r w:rsidR="005427A2">
        <w:rPr>
          <w:rFonts w:ascii="Arial" w:hAnsi="Arial" w:cs="Arial"/>
          <w:lang w:val="es-ES"/>
        </w:rPr>
        <w:t xml:space="preserve">con el apoyo técnico de la Subsecretaría de </w:t>
      </w:r>
      <w:r w:rsidR="00E705BC">
        <w:rPr>
          <w:rFonts w:ascii="Arial" w:hAnsi="Arial" w:cs="Arial"/>
          <w:lang w:val="es-ES"/>
        </w:rPr>
        <w:t>Crédito</w:t>
      </w:r>
      <w:r w:rsidR="005427A2">
        <w:rPr>
          <w:rFonts w:ascii="Arial" w:hAnsi="Arial" w:cs="Arial"/>
          <w:lang w:val="es-ES"/>
        </w:rPr>
        <w:t xml:space="preserve"> e Inversión Pública de la Secretaría de Finanzas y  de la Dirección de Gestión por Resultados de la Secretaría de Coordinación General de Gobierno.</w:t>
      </w:r>
    </w:p>
    <w:p w:rsidR="00394867" w:rsidRDefault="00394867" w:rsidP="005427A2">
      <w:pPr>
        <w:pStyle w:val="ListParagraph"/>
        <w:spacing w:before="120" w:after="120" w:line="240" w:lineRule="auto"/>
        <w:ind w:left="360"/>
        <w:jc w:val="both"/>
        <w:rPr>
          <w:rFonts w:ascii="Arial" w:hAnsi="Arial" w:cs="Arial"/>
          <w:lang w:val="es-ES"/>
        </w:rPr>
      </w:pPr>
    </w:p>
    <w:p w:rsidR="007D5E7D" w:rsidRDefault="007D5E7D" w:rsidP="007D5E7D">
      <w:pPr>
        <w:pStyle w:val="ListParagraph"/>
        <w:spacing w:before="120" w:after="120" w:line="240" w:lineRule="auto"/>
        <w:ind w:left="360"/>
        <w:jc w:val="both"/>
        <w:rPr>
          <w:rFonts w:ascii="Arial" w:hAnsi="Arial" w:cs="Arial"/>
          <w:lang w:val="es-ES"/>
        </w:rPr>
      </w:pPr>
    </w:p>
    <w:p w:rsidR="007D5E7D" w:rsidRDefault="007D5E7D" w:rsidP="007D5E7D">
      <w:pPr>
        <w:pStyle w:val="ListParagraph"/>
        <w:numPr>
          <w:ilvl w:val="1"/>
          <w:numId w:val="5"/>
        </w:numPr>
        <w:spacing w:before="120" w:after="120" w:line="240" w:lineRule="auto"/>
        <w:ind w:left="360" w:hanging="630"/>
        <w:jc w:val="both"/>
        <w:rPr>
          <w:rFonts w:ascii="Arial" w:hAnsi="Arial" w:cs="Arial"/>
          <w:lang w:val="es-ES"/>
        </w:rPr>
      </w:pPr>
      <w:r w:rsidRPr="00EB396D">
        <w:rPr>
          <w:rFonts w:ascii="Arial" w:hAnsi="Arial" w:cs="Arial"/>
          <w:b/>
          <w:lang w:val="es-ES"/>
        </w:rPr>
        <w:t>Supervisión.</w:t>
      </w:r>
      <w:r>
        <w:rPr>
          <w:rFonts w:ascii="Arial" w:hAnsi="Arial" w:cs="Arial"/>
          <w:lang w:val="es-ES"/>
        </w:rPr>
        <w:t xml:space="preserve"> El Jefe de Equipo de proyecto será responsable del monitoreo y evaluación del cumplimiento de los objetivos, indicadores y metas del programa, de acuerdo a las disposiciones establecidas por el Banco. Estas funciones recaerán sobre el Economista de País asignado a la Representación en Honduras (CID/CHO). </w:t>
      </w:r>
      <w:r w:rsidRPr="008D6D65">
        <w:rPr>
          <w:rFonts w:ascii="Arial" w:hAnsi="Arial" w:cs="Arial"/>
          <w:lang w:val="es-ES"/>
        </w:rPr>
        <w:t xml:space="preserve">  </w:t>
      </w:r>
    </w:p>
    <w:p w:rsidR="007D5E7D" w:rsidRPr="007D5E7D" w:rsidRDefault="007D5E7D" w:rsidP="007D5E7D">
      <w:pPr>
        <w:pStyle w:val="ListParagraph"/>
        <w:spacing w:before="120" w:after="120" w:line="240" w:lineRule="auto"/>
        <w:ind w:left="360"/>
        <w:jc w:val="both"/>
        <w:rPr>
          <w:rFonts w:ascii="Arial" w:hAnsi="Arial" w:cs="Arial"/>
          <w:lang w:val="es-ES"/>
        </w:rPr>
      </w:pPr>
    </w:p>
    <w:p w:rsidR="007D5E7D" w:rsidRPr="00A62420" w:rsidRDefault="007D5E7D" w:rsidP="007D5E7D">
      <w:pPr>
        <w:pStyle w:val="Paragraph"/>
        <w:numPr>
          <w:ilvl w:val="1"/>
          <w:numId w:val="5"/>
        </w:numPr>
        <w:ind w:left="360" w:hanging="630"/>
        <w:rPr>
          <w:rFonts w:ascii="Arial" w:hAnsi="Arial" w:cs="Arial"/>
          <w:sz w:val="22"/>
          <w:szCs w:val="22"/>
          <w:lang w:val="es-ES"/>
        </w:rPr>
      </w:pPr>
      <w:r w:rsidRPr="00A62420">
        <w:rPr>
          <w:rFonts w:ascii="Arial" w:hAnsi="Arial" w:cs="Arial"/>
          <w:b/>
          <w:sz w:val="22"/>
          <w:szCs w:val="22"/>
          <w:lang w:val="es-ES"/>
        </w:rPr>
        <w:t>Adquisiciones.</w:t>
      </w:r>
      <w:r w:rsidRPr="00A62420">
        <w:rPr>
          <w:rFonts w:ascii="Arial" w:hAnsi="Arial" w:cs="Arial"/>
          <w:sz w:val="22"/>
          <w:szCs w:val="22"/>
          <w:lang w:val="es-ES"/>
        </w:rPr>
        <w:t xml:space="preserve"> El Banco contratará consultorías individuales y firmas consultoras</w:t>
      </w:r>
      <w:r w:rsidR="00450A14" w:rsidRPr="00A62420">
        <w:rPr>
          <w:rFonts w:ascii="Arial" w:hAnsi="Arial" w:cs="Arial"/>
          <w:sz w:val="22"/>
          <w:szCs w:val="22"/>
          <w:lang w:val="es-ES"/>
        </w:rPr>
        <w:t>, incluyendo servicios de capacitación,</w:t>
      </w:r>
      <w:r w:rsidRPr="00A62420">
        <w:rPr>
          <w:rFonts w:ascii="Arial" w:hAnsi="Arial" w:cs="Arial"/>
          <w:sz w:val="22"/>
          <w:szCs w:val="22"/>
          <w:lang w:val="es-ES"/>
        </w:rPr>
        <w:t xml:space="preserve"> de acuerdo a las políticas y procedimientos de adquisiciones del Banco</w:t>
      </w:r>
      <w:r w:rsidR="00B206EE" w:rsidRPr="00A62420">
        <w:rPr>
          <w:rFonts w:ascii="Arial" w:hAnsi="Arial" w:cs="Arial"/>
          <w:sz w:val="22"/>
          <w:szCs w:val="22"/>
          <w:lang w:val="es-ES"/>
        </w:rPr>
        <w:t xml:space="preserve">.  </w:t>
      </w:r>
      <w:r w:rsidR="00B206EE" w:rsidRPr="00A62420">
        <w:rPr>
          <w:rFonts w:ascii="Arial" w:hAnsi="Arial" w:cs="Arial"/>
          <w:sz w:val="22"/>
          <w:szCs w:val="22"/>
        </w:rPr>
        <w:t>Para la selección y contratación de consultores individuales regirán los procedimientos de recursos humanos (AM-650); y para firmas consultoras, las Políticas para la selección y contratación de consultores financiados por el BID (GN-2350-9) utilizando e-</w:t>
      </w:r>
      <w:proofErr w:type="spellStart"/>
      <w:r w:rsidR="00B206EE" w:rsidRPr="00A62420">
        <w:rPr>
          <w:rFonts w:ascii="Arial" w:hAnsi="Arial" w:cs="Arial"/>
          <w:sz w:val="22"/>
          <w:szCs w:val="22"/>
        </w:rPr>
        <w:t>Sourcing</w:t>
      </w:r>
      <w:proofErr w:type="spellEnd"/>
      <w:r w:rsidR="00B206EE" w:rsidRPr="00A62420">
        <w:rPr>
          <w:rFonts w:ascii="Arial" w:hAnsi="Arial" w:cs="Arial"/>
          <w:sz w:val="22"/>
          <w:szCs w:val="22"/>
        </w:rPr>
        <w:t xml:space="preserve">.  En el caso de contratos diferentes a consultoría, </w:t>
      </w:r>
      <w:r w:rsidR="00FC0A98">
        <w:rPr>
          <w:rFonts w:ascii="Arial" w:hAnsi="Arial" w:cs="Arial"/>
          <w:sz w:val="22"/>
          <w:szCs w:val="22"/>
        </w:rPr>
        <w:t xml:space="preserve">se seguirán </w:t>
      </w:r>
      <w:r w:rsidR="00B206EE" w:rsidRPr="00A62420">
        <w:rPr>
          <w:rFonts w:ascii="Arial" w:hAnsi="Arial" w:cs="Arial"/>
          <w:sz w:val="22"/>
          <w:szCs w:val="22"/>
        </w:rPr>
        <w:t>los procedimientos y la Política de Adquisiciones Institucionales (GN-2303-20</w:t>
      </w:r>
      <w:r w:rsidR="00B206EE" w:rsidRPr="00E705BC">
        <w:rPr>
          <w:rFonts w:ascii="Arial" w:hAnsi="Arial" w:cs="Arial"/>
          <w:sz w:val="22"/>
          <w:szCs w:val="22"/>
        </w:rPr>
        <w:t>)</w:t>
      </w:r>
      <w:r w:rsidR="00E705BC">
        <w:rPr>
          <w:rFonts w:ascii="Arial" w:hAnsi="Arial" w:cs="Arial"/>
          <w:bCs/>
          <w:spacing w:val="-4"/>
          <w:sz w:val="22"/>
          <w:szCs w:val="22"/>
        </w:rPr>
        <w:t xml:space="preserve"> </w:t>
      </w:r>
      <w:r w:rsidRPr="00E705BC">
        <w:rPr>
          <w:rFonts w:ascii="Arial" w:hAnsi="Arial" w:cs="Arial"/>
          <w:sz w:val="22"/>
          <w:szCs w:val="22"/>
          <w:lang w:val="es-ES"/>
        </w:rPr>
        <w:t>(ver plan detallado de adquisiciones en anexo</w:t>
      </w:r>
      <w:r w:rsidRPr="00A62420">
        <w:rPr>
          <w:rFonts w:ascii="Arial" w:hAnsi="Arial" w:cs="Arial"/>
          <w:sz w:val="22"/>
          <w:szCs w:val="22"/>
          <w:lang w:val="es-ES"/>
        </w:rPr>
        <w:t>).</w:t>
      </w:r>
    </w:p>
    <w:p w:rsidR="00394867" w:rsidRPr="00A62420" w:rsidRDefault="00394867" w:rsidP="00394867">
      <w:pPr>
        <w:pStyle w:val="ListParagraph"/>
        <w:spacing w:before="120" w:after="120" w:line="240" w:lineRule="auto"/>
        <w:ind w:left="360"/>
        <w:jc w:val="both"/>
        <w:rPr>
          <w:rFonts w:ascii="Arial" w:hAnsi="Arial" w:cs="Arial"/>
          <w:lang w:val="es-ES"/>
        </w:rPr>
      </w:pPr>
    </w:p>
    <w:p w:rsidR="007D5E7D" w:rsidRPr="007D5E7D" w:rsidRDefault="0023182E" w:rsidP="007D5E7D">
      <w:pPr>
        <w:pStyle w:val="ListParagraph"/>
        <w:numPr>
          <w:ilvl w:val="0"/>
          <w:numId w:val="5"/>
        </w:numPr>
        <w:spacing w:before="120" w:after="120" w:line="240" w:lineRule="auto"/>
        <w:contextualSpacing w:val="0"/>
        <w:rPr>
          <w:rFonts w:ascii="Arial" w:hAnsi="Arial" w:cs="Arial"/>
          <w:b/>
          <w:lang w:val="es-ES"/>
        </w:rPr>
      </w:pPr>
      <w:r w:rsidRPr="007D5E7D">
        <w:rPr>
          <w:rFonts w:ascii="Arial" w:hAnsi="Arial" w:cs="Arial"/>
          <w:b/>
          <w:lang w:val="es-ES"/>
        </w:rPr>
        <w:t xml:space="preserve">Riesgos importantes </w:t>
      </w:r>
    </w:p>
    <w:p w:rsidR="00865BB7" w:rsidRDefault="00394867" w:rsidP="00865BB7">
      <w:pPr>
        <w:pStyle w:val="ListParagraph"/>
        <w:numPr>
          <w:ilvl w:val="1"/>
          <w:numId w:val="5"/>
        </w:numPr>
        <w:spacing w:before="120" w:after="120" w:line="240" w:lineRule="auto"/>
        <w:ind w:left="360" w:hanging="630"/>
        <w:jc w:val="both"/>
        <w:rPr>
          <w:rFonts w:ascii="Arial" w:hAnsi="Arial" w:cs="Arial"/>
          <w:lang w:val="es-ES"/>
        </w:rPr>
      </w:pPr>
      <w:r w:rsidRPr="00865BB7">
        <w:rPr>
          <w:rFonts w:ascii="Arial" w:hAnsi="Arial" w:cs="Arial"/>
          <w:lang w:val="es-ES"/>
        </w:rPr>
        <w:t>Los principales riesgos en la ejecución de la CT son: i)</w:t>
      </w:r>
      <w:r w:rsidR="005350AE">
        <w:rPr>
          <w:rFonts w:ascii="Arial" w:hAnsi="Arial" w:cs="Arial"/>
          <w:lang w:val="es-ES"/>
        </w:rPr>
        <w:t xml:space="preserve"> </w:t>
      </w:r>
      <w:r w:rsidR="005350AE" w:rsidRPr="00865BB7">
        <w:rPr>
          <w:rFonts w:ascii="Arial" w:hAnsi="Arial" w:cs="Arial"/>
          <w:lang w:val="es-ES"/>
        </w:rPr>
        <w:t>duplicación de apoyos con otros donantes</w:t>
      </w:r>
      <w:r w:rsidR="00865BB7">
        <w:rPr>
          <w:rFonts w:ascii="Arial" w:hAnsi="Arial" w:cs="Arial"/>
          <w:lang w:val="es-ES"/>
        </w:rPr>
        <w:t>; ii) sostenibilidad de inte</w:t>
      </w:r>
      <w:r w:rsidR="005350AE">
        <w:rPr>
          <w:rFonts w:ascii="Arial" w:hAnsi="Arial" w:cs="Arial"/>
          <w:lang w:val="es-ES"/>
        </w:rPr>
        <w:t>rvenciones</w:t>
      </w:r>
      <w:r w:rsidR="00865BB7">
        <w:rPr>
          <w:rFonts w:ascii="Arial" w:hAnsi="Arial" w:cs="Arial"/>
          <w:lang w:val="es-ES"/>
        </w:rPr>
        <w:t>.</w:t>
      </w:r>
    </w:p>
    <w:p w:rsidR="00865BB7" w:rsidRPr="00865BB7" w:rsidRDefault="00865BB7" w:rsidP="00865BB7">
      <w:pPr>
        <w:pStyle w:val="ListParagraph"/>
        <w:spacing w:before="120" w:after="120" w:line="240" w:lineRule="auto"/>
        <w:ind w:left="360"/>
        <w:jc w:val="both"/>
        <w:rPr>
          <w:rFonts w:ascii="Arial" w:hAnsi="Arial" w:cs="Arial"/>
          <w:lang w:val="es-ES"/>
        </w:rPr>
      </w:pPr>
    </w:p>
    <w:p w:rsidR="00865BB7" w:rsidRDefault="00394867" w:rsidP="00865BB7">
      <w:pPr>
        <w:pStyle w:val="ListParagraph"/>
        <w:numPr>
          <w:ilvl w:val="1"/>
          <w:numId w:val="5"/>
        </w:numPr>
        <w:spacing w:before="120" w:after="120" w:line="240" w:lineRule="auto"/>
        <w:ind w:left="360" w:hanging="630"/>
        <w:jc w:val="both"/>
        <w:rPr>
          <w:rFonts w:ascii="Arial" w:hAnsi="Arial" w:cs="Arial"/>
          <w:lang w:val="es-ES"/>
        </w:rPr>
      </w:pPr>
      <w:r w:rsidRPr="00865BB7">
        <w:rPr>
          <w:rFonts w:ascii="Arial" w:hAnsi="Arial" w:cs="Arial"/>
          <w:lang w:val="es-ES"/>
        </w:rPr>
        <w:t xml:space="preserve">Para mitigar el riesgo de duplicación el equipo de proyecto ha coordinado el diseño de la operación con otros donantes que prestan apoyo en el área (FMI, Banco Mundial y Unión Europea). Esta coordinación se seguirá llevando a cabo en la fase de implementación. En relación al riesgo asociado a la sostenibilidad, la operación se circunscribe a los planes de capacitación y desarrollo de las dependencias objeto de apoyo, lo cual asegura la pertinencia y continuidad de las intervenciones propuestas.   </w:t>
      </w:r>
    </w:p>
    <w:p w:rsidR="00865BB7" w:rsidRPr="00865BB7" w:rsidRDefault="00865BB7" w:rsidP="00865BB7">
      <w:pPr>
        <w:pStyle w:val="ListParagraph"/>
        <w:rPr>
          <w:rFonts w:ascii="Arial" w:hAnsi="Arial" w:cs="Arial"/>
          <w:lang w:val="es-ES"/>
        </w:rPr>
      </w:pPr>
    </w:p>
    <w:p w:rsidR="00F72899" w:rsidRPr="00D97FAD" w:rsidRDefault="00F72899" w:rsidP="007D5E7D">
      <w:pPr>
        <w:pStyle w:val="ListParagraph"/>
        <w:numPr>
          <w:ilvl w:val="0"/>
          <w:numId w:val="5"/>
        </w:numPr>
        <w:spacing w:before="120" w:after="120" w:line="240" w:lineRule="auto"/>
        <w:contextualSpacing w:val="0"/>
        <w:rPr>
          <w:rFonts w:ascii="Arial" w:hAnsi="Arial" w:cs="Arial"/>
          <w:b/>
          <w:lang w:val="es-ES"/>
        </w:rPr>
      </w:pPr>
      <w:r w:rsidRPr="00D97FAD">
        <w:rPr>
          <w:rFonts w:ascii="Arial" w:hAnsi="Arial" w:cs="Arial"/>
          <w:b/>
          <w:lang w:val="es-ES"/>
        </w:rPr>
        <w:t>Excep</w:t>
      </w:r>
      <w:r w:rsidR="0023182E" w:rsidRPr="00D97FAD">
        <w:rPr>
          <w:rFonts w:ascii="Arial" w:hAnsi="Arial" w:cs="Arial"/>
          <w:b/>
          <w:lang w:val="es-ES"/>
        </w:rPr>
        <w:t xml:space="preserve">ciones a las políticas del Banco </w:t>
      </w:r>
    </w:p>
    <w:p w:rsidR="00F72899" w:rsidRDefault="007D5E7D" w:rsidP="005350AE">
      <w:pPr>
        <w:pStyle w:val="ListParagraph"/>
        <w:numPr>
          <w:ilvl w:val="1"/>
          <w:numId w:val="5"/>
        </w:numPr>
        <w:spacing w:before="120" w:after="120" w:line="240" w:lineRule="auto"/>
        <w:ind w:left="360" w:hanging="630"/>
        <w:jc w:val="both"/>
        <w:rPr>
          <w:rFonts w:ascii="Arial" w:hAnsi="Arial" w:cs="Arial"/>
          <w:lang w:val="es-ES"/>
        </w:rPr>
      </w:pPr>
      <w:r>
        <w:rPr>
          <w:rFonts w:ascii="Arial" w:hAnsi="Arial" w:cs="Arial"/>
          <w:lang w:val="es-ES"/>
        </w:rPr>
        <w:t>No</w:t>
      </w:r>
      <w:r w:rsidR="00865BB7">
        <w:rPr>
          <w:rFonts w:ascii="Arial" w:hAnsi="Arial" w:cs="Arial"/>
          <w:lang w:val="es-ES"/>
        </w:rPr>
        <w:t xml:space="preserve"> se contemplan excepciones a las políticas del Banco</w:t>
      </w:r>
      <w:r w:rsidR="00F72899" w:rsidRPr="00D97FAD">
        <w:rPr>
          <w:rFonts w:ascii="Arial" w:hAnsi="Arial" w:cs="Arial"/>
          <w:lang w:val="es-ES"/>
        </w:rPr>
        <w:t xml:space="preserve">. </w:t>
      </w:r>
    </w:p>
    <w:p w:rsidR="005350AE" w:rsidRPr="00D97FAD" w:rsidRDefault="005350AE" w:rsidP="005350AE">
      <w:pPr>
        <w:pStyle w:val="ListParagraph"/>
        <w:spacing w:before="120" w:after="120" w:line="240" w:lineRule="auto"/>
        <w:ind w:left="360"/>
        <w:jc w:val="both"/>
        <w:rPr>
          <w:rFonts w:ascii="Arial" w:hAnsi="Arial" w:cs="Arial"/>
          <w:lang w:val="es-ES"/>
        </w:rPr>
      </w:pPr>
    </w:p>
    <w:p w:rsidR="0095711B" w:rsidRPr="00D97FAD" w:rsidRDefault="000C16F9" w:rsidP="007D5E7D">
      <w:pPr>
        <w:pStyle w:val="ListParagraph"/>
        <w:numPr>
          <w:ilvl w:val="0"/>
          <w:numId w:val="5"/>
        </w:numPr>
        <w:spacing w:before="120" w:after="120" w:line="240" w:lineRule="auto"/>
        <w:contextualSpacing w:val="0"/>
        <w:rPr>
          <w:rFonts w:ascii="Arial" w:hAnsi="Arial" w:cs="Arial"/>
          <w:b/>
          <w:lang w:val="es-ES"/>
        </w:rPr>
      </w:pPr>
      <w:r w:rsidRPr="00D97FAD">
        <w:rPr>
          <w:rFonts w:ascii="Arial" w:hAnsi="Arial" w:cs="Arial"/>
          <w:b/>
          <w:lang w:val="es-ES"/>
        </w:rPr>
        <w:t>Salvaguardias Ambientales</w:t>
      </w:r>
      <w:r w:rsidR="00531E51" w:rsidRPr="00D97FAD">
        <w:rPr>
          <w:rFonts w:ascii="Arial" w:hAnsi="Arial" w:cs="Arial"/>
          <w:b/>
          <w:lang w:val="es-ES"/>
        </w:rPr>
        <w:t xml:space="preserve"> </w:t>
      </w:r>
    </w:p>
    <w:p w:rsidR="00394867" w:rsidRPr="00394867" w:rsidRDefault="00394867" w:rsidP="00865BB7">
      <w:pPr>
        <w:pStyle w:val="ListParagraph"/>
        <w:numPr>
          <w:ilvl w:val="1"/>
          <w:numId w:val="5"/>
        </w:numPr>
        <w:spacing w:before="120" w:after="120" w:line="240" w:lineRule="auto"/>
        <w:ind w:left="360" w:hanging="630"/>
        <w:jc w:val="both"/>
        <w:rPr>
          <w:rFonts w:ascii="Arial" w:hAnsi="Arial" w:cs="Arial"/>
          <w:lang w:val="es-ES"/>
        </w:rPr>
      </w:pPr>
      <w:r w:rsidRPr="00394867">
        <w:rPr>
          <w:rFonts w:ascii="Arial" w:hAnsi="Arial" w:cs="Arial"/>
          <w:lang w:val="es-ES"/>
        </w:rPr>
        <w:t>De acuerdo con la Directiva B.03 (Pre-evaluación y Clasificación) de la Política de Salvaguardias Ambientales OP-703, esta Cooperación Técnica (CT) ha sido clasificada Categoría “C” debido a que las actividades a ser desarrolladas por la misma no generarán riesgos e impactos ambientales y sociales negativos (ver enlace electrónico).</w:t>
      </w:r>
    </w:p>
    <w:p w:rsidR="00865BB7" w:rsidRDefault="00E82882" w:rsidP="00865BB7">
      <w:pPr>
        <w:pStyle w:val="ListParagraph"/>
        <w:spacing w:before="120" w:after="120" w:line="240" w:lineRule="auto"/>
        <w:ind w:left="360"/>
        <w:contextualSpacing w:val="0"/>
        <w:jc w:val="both"/>
        <w:rPr>
          <w:rStyle w:val="Hyperlink"/>
          <w:rFonts w:ascii="Arial" w:hAnsi="Arial" w:cs="Arial"/>
          <w:lang w:val="es-ES"/>
        </w:rPr>
      </w:pPr>
      <w:hyperlink r:id="rId11" w:history="1">
        <w:r w:rsidR="00394867" w:rsidRPr="000544A0">
          <w:rPr>
            <w:rStyle w:val="Hyperlink"/>
            <w:rFonts w:ascii="Arial" w:hAnsi="Arial" w:cs="Arial"/>
            <w:lang w:val="es-ES"/>
          </w:rPr>
          <w:t>http://idbdocs.iadb.org/WSDocs/getDocument.aspx?DOCNUM=39760611</w:t>
        </w:r>
      </w:hyperlink>
    </w:p>
    <w:p w:rsidR="00865BB7" w:rsidRDefault="00865BB7" w:rsidP="00865BB7">
      <w:pPr>
        <w:spacing w:before="120" w:after="120" w:line="240" w:lineRule="auto"/>
        <w:jc w:val="both"/>
        <w:rPr>
          <w:rFonts w:ascii="Arial" w:hAnsi="Arial" w:cs="Arial"/>
          <w:b/>
          <w:lang w:val="es-ES"/>
        </w:rPr>
      </w:pPr>
    </w:p>
    <w:p w:rsidR="00394867" w:rsidRPr="00865BB7" w:rsidRDefault="00712451" w:rsidP="00865BB7">
      <w:pPr>
        <w:spacing w:before="120" w:after="120" w:line="240" w:lineRule="auto"/>
        <w:jc w:val="both"/>
        <w:rPr>
          <w:rFonts w:ascii="Arial" w:hAnsi="Arial" w:cs="Arial"/>
          <w:b/>
          <w:lang w:val="es-ES"/>
        </w:rPr>
      </w:pPr>
      <w:r>
        <w:rPr>
          <w:rFonts w:ascii="Arial" w:hAnsi="Arial" w:cs="Arial"/>
          <w:b/>
          <w:lang w:val="es-ES"/>
        </w:rPr>
        <w:t>Anexo I. Cartas de Solicitud</w:t>
      </w:r>
      <w:r w:rsidR="00394867" w:rsidRPr="00865BB7">
        <w:rPr>
          <w:rFonts w:ascii="Arial" w:hAnsi="Arial" w:cs="Arial"/>
          <w:b/>
          <w:lang w:val="es-ES"/>
        </w:rPr>
        <w:t xml:space="preserve"> </w:t>
      </w:r>
    </w:p>
    <w:p w:rsidR="00394867" w:rsidRDefault="00394867" w:rsidP="00394867">
      <w:pPr>
        <w:spacing w:before="60" w:after="60"/>
        <w:rPr>
          <w:rFonts w:ascii="Arial" w:hAnsi="Arial" w:cs="Arial"/>
          <w:sz w:val="18"/>
          <w:szCs w:val="18"/>
          <w:lang w:val="es-ES"/>
        </w:rPr>
      </w:pPr>
      <w:r>
        <w:rPr>
          <w:rFonts w:ascii="Arial" w:hAnsi="Arial" w:cs="Arial"/>
          <w:sz w:val="18"/>
          <w:szCs w:val="18"/>
          <w:lang w:val="es-ES"/>
        </w:rPr>
        <w:t>Oficio CGG-558-2015 del 27 mayo 2015-SCGG.</w:t>
      </w:r>
    </w:p>
    <w:p w:rsidR="005C5B7D" w:rsidRDefault="00E82882" w:rsidP="005C5B7D">
      <w:pPr>
        <w:rPr>
          <w:rStyle w:val="Hyperlink"/>
          <w:lang w:val="es-ES" w:eastAsia="es-ES"/>
        </w:rPr>
      </w:pPr>
      <w:hyperlink r:id="rId12" w:history="1">
        <w:r w:rsidR="005C5B7D" w:rsidRPr="0012498B">
          <w:rPr>
            <w:rStyle w:val="Hyperlink"/>
            <w:lang w:val="es-ES" w:eastAsia="es-ES"/>
          </w:rPr>
          <w:t>http://idbdocs.iadb.org/WSDocs/getDocument.aspx?DOCNUM=39760521</w:t>
        </w:r>
      </w:hyperlink>
    </w:p>
    <w:p w:rsidR="00394867" w:rsidRDefault="00394867" w:rsidP="005C5B7D">
      <w:pPr>
        <w:rPr>
          <w:rFonts w:ascii="Arial" w:hAnsi="Arial" w:cs="Arial"/>
          <w:sz w:val="18"/>
          <w:szCs w:val="18"/>
          <w:lang w:val="es-ES"/>
        </w:rPr>
      </w:pPr>
      <w:r>
        <w:rPr>
          <w:rFonts w:ascii="Arial" w:hAnsi="Arial" w:cs="Arial"/>
          <w:sz w:val="18"/>
          <w:szCs w:val="18"/>
          <w:lang w:val="es-ES"/>
        </w:rPr>
        <w:t>Oficio SCIP-010-2015 del 8 de junio 2015</w:t>
      </w:r>
    </w:p>
    <w:p w:rsidR="005C5B7D" w:rsidRDefault="00E82882" w:rsidP="00441CEC">
      <w:pPr>
        <w:spacing w:before="120" w:after="120" w:line="240" w:lineRule="auto"/>
        <w:jc w:val="both"/>
        <w:rPr>
          <w:lang w:val="es-ES" w:eastAsia="es-ES"/>
        </w:rPr>
      </w:pPr>
      <w:hyperlink r:id="rId13" w:history="1">
        <w:r w:rsidR="005C5B7D" w:rsidRPr="0012498B">
          <w:rPr>
            <w:rStyle w:val="Hyperlink"/>
            <w:lang w:val="es-ES" w:eastAsia="es-ES"/>
          </w:rPr>
          <w:t>http://idbdocs.iadb.org/WSDocs/getDocument.aspx?DOCNUM=39671154</w:t>
        </w:r>
      </w:hyperlink>
    </w:p>
    <w:p w:rsidR="00441CEC" w:rsidRDefault="00441CEC" w:rsidP="00441CEC">
      <w:pPr>
        <w:spacing w:before="120" w:after="120" w:line="240" w:lineRule="auto"/>
        <w:jc w:val="both"/>
        <w:rPr>
          <w:rFonts w:ascii="Arial" w:hAnsi="Arial" w:cs="Arial"/>
          <w:b/>
          <w:lang w:val="es-ES"/>
        </w:rPr>
      </w:pPr>
      <w:r w:rsidRPr="00537A2C">
        <w:rPr>
          <w:rFonts w:ascii="Arial" w:hAnsi="Arial" w:cs="Arial"/>
          <w:b/>
          <w:lang w:val="es-ES"/>
        </w:rPr>
        <w:t>Anexo II. Términos de referencia</w:t>
      </w:r>
    </w:p>
    <w:p w:rsidR="005C5B7D" w:rsidRDefault="00E82882" w:rsidP="005C5B7D">
      <w:pPr>
        <w:spacing w:before="120" w:after="120" w:line="240" w:lineRule="auto"/>
        <w:jc w:val="both"/>
        <w:rPr>
          <w:lang w:val="es-ES" w:eastAsia="es-ES"/>
        </w:rPr>
      </w:pPr>
      <w:hyperlink r:id="rId14" w:history="1">
        <w:r w:rsidR="005C5B7D" w:rsidRPr="0012498B">
          <w:rPr>
            <w:rStyle w:val="Hyperlink"/>
            <w:lang w:val="es-ES" w:eastAsia="es-ES"/>
          </w:rPr>
          <w:t>http://idbdocs.iadb.org/WSDocs/getDocument.aspx?DOCNUM=39900754</w:t>
        </w:r>
      </w:hyperlink>
    </w:p>
    <w:p w:rsidR="00441CEC" w:rsidRPr="00865BB7" w:rsidRDefault="00441CEC" w:rsidP="00441CEC">
      <w:pPr>
        <w:spacing w:before="120" w:after="120" w:line="240" w:lineRule="auto"/>
        <w:jc w:val="both"/>
        <w:rPr>
          <w:rFonts w:ascii="Arial" w:hAnsi="Arial" w:cs="Arial"/>
          <w:b/>
          <w:lang w:val="es-ES"/>
        </w:rPr>
      </w:pPr>
      <w:r w:rsidRPr="00537A2C">
        <w:rPr>
          <w:rFonts w:ascii="Arial" w:hAnsi="Arial" w:cs="Arial"/>
          <w:b/>
          <w:lang w:val="es-ES"/>
        </w:rPr>
        <w:t>Anexo III. Plan de adquisiciones</w:t>
      </w:r>
      <w:r w:rsidRPr="00865BB7">
        <w:rPr>
          <w:rFonts w:ascii="Arial" w:hAnsi="Arial" w:cs="Arial"/>
          <w:b/>
          <w:lang w:val="es-ES"/>
        </w:rPr>
        <w:t xml:space="preserve"> </w:t>
      </w:r>
    </w:p>
    <w:p w:rsidR="00A3281C" w:rsidRDefault="00E82882" w:rsidP="00A3281C">
      <w:pPr>
        <w:spacing w:before="120" w:after="120" w:line="240" w:lineRule="auto"/>
        <w:jc w:val="both"/>
        <w:rPr>
          <w:lang w:val="es-ES" w:eastAsia="es-ES"/>
        </w:rPr>
      </w:pPr>
      <w:hyperlink r:id="rId15" w:history="1">
        <w:r w:rsidR="00A3281C" w:rsidRPr="00914EBD">
          <w:rPr>
            <w:rStyle w:val="Hyperlink"/>
            <w:lang w:val="es-ES" w:eastAsia="es-ES"/>
          </w:rPr>
          <w:t>http://idbdocs.iadb.org/WSDocs/getDocument.aspx?DOCNUM=39958516</w:t>
        </w:r>
      </w:hyperlink>
    </w:p>
    <w:p w:rsidR="00A3281C" w:rsidRDefault="00A3281C" w:rsidP="00A3281C">
      <w:pPr>
        <w:spacing w:before="120" w:after="120" w:line="240" w:lineRule="auto"/>
        <w:jc w:val="both"/>
        <w:rPr>
          <w:lang w:val="es-ES" w:eastAsia="es-ES"/>
        </w:rPr>
      </w:pPr>
    </w:p>
    <w:p w:rsidR="00A3281C" w:rsidRDefault="00A3281C" w:rsidP="00A3281C">
      <w:pPr>
        <w:spacing w:before="120" w:after="120" w:line="240" w:lineRule="auto"/>
        <w:jc w:val="both"/>
        <w:rPr>
          <w:lang w:val="es-ES" w:eastAsia="es-ES"/>
        </w:rPr>
      </w:pPr>
    </w:p>
    <w:p w:rsidR="00A3281C" w:rsidRDefault="00A3281C" w:rsidP="00A3281C">
      <w:pPr>
        <w:spacing w:before="120" w:after="120" w:line="240" w:lineRule="auto"/>
        <w:jc w:val="both"/>
        <w:rPr>
          <w:lang w:val="es-ES" w:eastAsia="es-ES"/>
        </w:rPr>
      </w:pPr>
    </w:p>
    <w:p w:rsidR="00A3281C" w:rsidRPr="00A3281C" w:rsidRDefault="00A3281C" w:rsidP="005C5B7D">
      <w:pPr>
        <w:spacing w:before="120" w:after="120" w:line="240" w:lineRule="auto"/>
        <w:jc w:val="both"/>
        <w:rPr>
          <w:lang w:val="es-ES"/>
        </w:rPr>
      </w:pPr>
    </w:p>
    <w:p w:rsidR="00394867" w:rsidRPr="005C5B7D" w:rsidRDefault="00394867" w:rsidP="005C5B7D">
      <w:pPr>
        <w:spacing w:before="120" w:after="120" w:line="240" w:lineRule="auto"/>
        <w:jc w:val="both"/>
        <w:rPr>
          <w:lang w:val="es-ES" w:eastAsia="es-ES"/>
        </w:rPr>
      </w:pPr>
    </w:p>
    <w:sectPr w:rsidR="00394867" w:rsidRPr="005C5B7D" w:rsidSect="008F4286">
      <w:headerReference w:type="default" r:id="rId16"/>
      <w:footerReference w:type="default" r:id="rId1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514E" w:rsidRDefault="00FB514E" w:rsidP="0095711B">
      <w:pPr>
        <w:spacing w:after="0" w:line="240" w:lineRule="auto"/>
      </w:pPr>
      <w:r>
        <w:separator/>
      </w:r>
    </w:p>
  </w:endnote>
  <w:endnote w:type="continuationSeparator" w:id="0">
    <w:p w:rsidR="00FB514E" w:rsidRDefault="00FB514E" w:rsidP="009571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otham Book">
    <w:panose1 w:val="00000000000000000000"/>
    <w:charset w:val="00"/>
    <w:family w:val="modern"/>
    <w:notTrueType/>
    <w:pitch w:val="variable"/>
    <w:sig w:usb0="A10000FF" w:usb1="4000005B" w:usb2="00000000" w:usb3="00000000" w:csb0="0000009B"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CA2" w:rsidRDefault="009F3CA2">
    <w:pPr>
      <w:pStyle w:val="Footer"/>
      <w:jc w:val="center"/>
    </w:pPr>
  </w:p>
  <w:p w:rsidR="009F3CA2" w:rsidRDefault="009F3CA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514E" w:rsidRDefault="00FB514E" w:rsidP="0095711B">
      <w:pPr>
        <w:spacing w:after="0" w:line="240" w:lineRule="auto"/>
      </w:pPr>
      <w:r>
        <w:separator/>
      </w:r>
    </w:p>
  </w:footnote>
  <w:footnote w:type="continuationSeparator" w:id="0">
    <w:p w:rsidR="00FB514E" w:rsidRDefault="00FB514E" w:rsidP="0095711B">
      <w:pPr>
        <w:spacing w:after="0" w:line="240" w:lineRule="auto"/>
      </w:pPr>
      <w:r>
        <w:continuationSeparator/>
      </w:r>
    </w:p>
  </w:footnote>
  <w:footnote w:id="1">
    <w:p w:rsidR="00190DB7" w:rsidRPr="00044DDD" w:rsidRDefault="00190DB7" w:rsidP="00190DB7">
      <w:pPr>
        <w:pStyle w:val="FootnoteText"/>
        <w:jc w:val="both"/>
        <w:rPr>
          <w:lang w:val="es-ES"/>
        </w:rPr>
      </w:pPr>
      <w:r w:rsidRPr="00044DDD">
        <w:rPr>
          <w:rStyle w:val="FootnoteReference"/>
        </w:rPr>
        <w:footnoteRef/>
      </w:r>
      <w:r w:rsidRPr="00044DDD">
        <w:rPr>
          <w:lang w:val="es-ES"/>
        </w:rPr>
        <w:t xml:space="preserve"> Ley de Ordenamiento de las Finanzas Públicas, Control de Exoneraciones y Medidas </w:t>
      </w:r>
      <w:proofErr w:type="spellStart"/>
      <w:r w:rsidRPr="00044DDD">
        <w:rPr>
          <w:lang w:val="es-ES"/>
        </w:rPr>
        <w:t>Antievasión</w:t>
      </w:r>
      <w:proofErr w:type="spellEnd"/>
      <w:r w:rsidRPr="00044DDD">
        <w:rPr>
          <w:lang w:val="es-ES"/>
        </w:rPr>
        <w:t xml:space="preserve"> (decreto 278-2013).</w:t>
      </w:r>
    </w:p>
  </w:footnote>
  <w:footnote w:id="2">
    <w:p w:rsidR="00A72E1D" w:rsidRPr="00044DDD" w:rsidRDefault="00A72E1D">
      <w:pPr>
        <w:pStyle w:val="FootnoteText"/>
        <w:rPr>
          <w:lang w:val="es-ES"/>
        </w:rPr>
      </w:pPr>
      <w:r w:rsidRPr="00044DDD">
        <w:rPr>
          <w:rStyle w:val="FootnoteReference"/>
        </w:rPr>
        <w:footnoteRef/>
      </w:r>
      <w:r w:rsidRPr="00044DDD">
        <w:rPr>
          <w:lang w:val="es-ES"/>
        </w:rPr>
        <w:t xml:space="preserve"> El déficit del Sector Público Consolidado </w:t>
      </w:r>
      <w:r w:rsidR="00044DDD">
        <w:rPr>
          <w:lang w:val="es-ES"/>
        </w:rPr>
        <w:t>se redujo en</w:t>
      </w:r>
      <w:r w:rsidRPr="00044DDD">
        <w:rPr>
          <w:lang w:val="es-ES"/>
        </w:rPr>
        <w:t xml:space="preserve"> 3,2 puntos, situándose en 4,0% del PIB en 2014. </w:t>
      </w:r>
    </w:p>
  </w:footnote>
  <w:footnote w:id="3">
    <w:p w:rsidR="00190DB7" w:rsidRPr="00044DDD" w:rsidRDefault="00190DB7" w:rsidP="00190DB7">
      <w:pPr>
        <w:pStyle w:val="FootnoteText"/>
        <w:jc w:val="both"/>
        <w:rPr>
          <w:rStyle w:val="Hyperlink"/>
          <w:lang w:val="es-ES"/>
        </w:rPr>
      </w:pPr>
      <w:r w:rsidRPr="00044DDD">
        <w:rPr>
          <w:rStyle w:val="FootnoteReference"/>
        </w:rPr>
        <w:footnoteRef/>
      </w:r>
      <w:r w:rsidRPr="00044DDD">
        <w:rPr>
          <w:lang w:val="es-ES"/>
        </w:rPr>
        <w:t xml:space="preserve"> Documento disponible en </w:t>
      </w:r>
      <w:hyperlink r:id="rId1" w:history="1">
        <w:r w:rsidRPr="00044DDD">
          <w:rPr>
            <w:rStyle w:val="Hyperlink"/>
            <w:lang w:val="es-ES"/>
          </w:rPr>
          <w:t>http://www.bch.hn/download/fmi/2014/carta_intenciones_fmi_2014eng.pdf</w:t>
        </w:r>
      </w:hyperlink>
    </w:p>
    <w:p w:rsidR="00044DDD" w:rsidRPr="00044DDD" w:rsidRDefault="00044DDD" w:rsidP="00E82882">
      <w:pPr>
        <w:pStyle w:val="FootnoteText"/>
        <w:ind w:left="90"/>
        <w:jc w:val="both"/>
        <w:rPr>
          <w:lang w:val="es-ES"/>
        </w:rPr>
      </w:pPr>
      <w:r w:rsidRPr="00044DDD">
        <w:rPr>
          <w:rStyle w:val="Hyperlink"/>
          <w:color w:val="auto"/>
          <w:u w:val="none"/>
          <w:lang w:val="es-ES"/>
        </w:rPr>
        <w:t>La</w:t>
      </w:r>
      <w:r>
        <w:rPr>
          <w:rStyle w:val="Hyperlink"/>
          <w:color w:val="auto"/>
          <w:u w:val="none"/>
          <w:lang w:val="es-ES"/>
        </w:rPr>
        <w:t xml:space="preserve"> primera revisión del programa (metas a diciembre 2014) fue aprobada en el Directorio del FMI el 11 de septiembre 2015. </w:t>
      </w:r>
      <w:r w:rsidRPr="00044DDD">
        <w:rPr>
          <w:rStyle w:val="Hyperlink"/>
          <w:color w:val="auto"/>
          <w:u w:val="none"/>
          <w:lang w:val="es-ES"/>
        </w:rPr>
        <w:t xml:space="preserve"> </w:t>
      </w:r>
    </w:p>
  </w:footnote>
  <w:footnote w:id="4">
    <w:p w:rsidR="00190DB7" w:rsidRPr="004B3399" w:rsidRDefault="00190DB7" w:rsidP="00E82882">
      <w:pPr>
        <w:pStyle w:val="FootnoteText"/>
        <w:ind w:left="90" w:hanging="90"/>
        <w:jc w:val="both"/>
        <w:rPr>
          <w:lang w:val="es-ES"/>
        </w:rPr>
      </w:pPr>
      <w:r w:rsidRPr="00044DDD">
        <w:rPr>
          <w:rStyle w:val="FootnoteReference"/>
        </w:rPr>
        <w:footnoteRef/>
      </w:r>
      <w:r w:rsidRPr="00044DDD">
        <w:rPr>
          <w:lang w:val="es-ES"/>
        </w:rPr>
        <w:t xml:space="preserve"> El Marco Fiscal de Mediano Plazo es un documento que aborda en detalle los resultados y propósitos de la política fiscal. Allí se hace</w:t>
      </w:r>
      <w:r w:rsidRPr="00044DDD">
        <w:rPr>
          <w:sz w:val="22"/>
          <w:lang w:val="es-ES"/>
        </w:rPr>
        <w:t xml:space="preserve"> </w:t>
      </w:r>
      <w:r w:rsidRPr="004B3399">
        <w:rPr>
          <w:lang w:val="es-ES"/>
        </w:rPr>
        <w:t xml:space="preserve">un recuento general de los hechos más importantes en materia de comportamiento de la actividad económica y fiscal del país en el año anterior. </w:t>
      </w:r>
      <w:r>
        <w:rPr>
          <w:lang w:val="es-ES"/>
        </w:rPr>
        <w:t>El documento p</w:t>
      </w:r>
      <w:r w:rsidRPr="004B3399">
        <w:rPr>
          <w:lang w:val="es-ES"/>
        </w:rPr>
        <w:t>resenta las es</w:t>
      </w:r>
      <w:r>
        <w:rPr>
          <w:lang w:val="es-ES"/>
        </w:rPr>
        <w:t>timaciones para el año en curso</w:t>
      </w:r>
      <w:r w:rsidRPr="004B3399">
        <w:rPr>
          <w:lang w:val="es-ES"/>
        </w:rPr>
        <w:t xml:space="preserve"> y para </w:t>
      </w:r>
      <w:r>
        <w:rPr>
          <w:lang w:val="es-ES"/>
        </w:rPr>
        <w:t>un período determinado en el futuro. Igualmente aborda</w:t>
      </w:r>
      <w:r w:rsidRPr="004B3399">
        <w:rPr>
          <w:lang w:val="es-ES"/>
        </w:rPr>
        <w:t xml:space="preserve"> la consistencia de las cifras presupuestales con la</w:t>
      </w:r>
      <w:r>
        <w:rPr>
          <w:lang w:val="es-ES"/>
        </w:rPr>
        <w:t>s</w:t>
      </w:r>
      <w:r w:rsidRPr="004B3399">
        <w:rPr>
          <w:lang w:val="es-ES"/>
        </w:rPr>
        <w:t xml:space="preserve"> meta</w:t>
      </w:r>
      <w:r>
        <w:rPr>
          <w:lang w:val="es-ES"/>
        </w:rPr>
        <w:t>s fiscales</w:t>
      </w:r>
      <w:r w:rsidRPr="004B3399">
        <w:rPr>
          <w:lang w:val="es-ES"/>
        </w:rPr>
        <w:t xml:space="preserve"> </w:t>
      </w:r>
      <w:r>
        <w:rPr>
          <w:lang w:val="es-ES"/>
        </w:rPr>
        <w:t xml:space="preserve">(por ejemplo </w:t>
      </w:r>
      <w:r w:rsidRPr="004B3399">
        <w:rPr>
          <w:lang w:val="es-ES"/>
        </w:rPr>
        <w:t>superávit primario y</w:t>
      </w:r>
      <w:r>
        <w:rPr>
          <w:lang w:val="es-ES"/>
        </w:rPr>
        <w:t>/o</w:t>
      </w:r>
      <w:r w:rsidRPr="004B3399">
        <w:rPr>
          <w:lang w:val="es-ES"/>
        </w:rPr>
        <w:t xml:space="preserve"> endeudamiento público</w:t>
      </w:r>
      <w:r>
        <w:rPr>
          <w:lang w:val="es-ES"/>
        </w:rPr>
        <w:t>) y</w:t>
      </w:r>
      <w:r w:rsidRPr="004B3399">
        <w:rPr>
          <w:lang w:val="es-ES"/>
        </w:rPr>
        <w:t xml:space="preserve"> con las previsiones macroeconómicas.</w:t>
      </w:r>
      <w:r>
        <w:rPr>
          <w:lang w:val="es-ES"/>
        </w:rPr>
        <w:t xml:space="preserve"> En la actualidad el MFMP es pieza central del proceso presupuestario en Colombia, México y Perú.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4664737"/>
      <w:docPartObj>
        <w:docPartGallery w:val="Page Numbers (Top of Page)"/>
        <w:docPartUnique/>
      </w:docPartObj>
    </w:sdtPr>
    <w:sdtEndPr>
      <w:rPr>
        <w:rFonts w:ascii="Gotham Book" w:hAnsi="Gotham Book"/>
        <w:noProof/>
        <w:sz w:val="18"/>
        <w:szCs w:val="18"/>
      </w:rPr>
    </w:sdtEndPr>
    <w:sdtContent>
      <w:p w:rsidR="007C6B4B" w:rsidRPr="007C6B4B" w:rsidRDefault="007C6B4B">
        <w:pPr>
          <w:pStyle w:val="Header"/>
          <w:jc w:val="center"/>
          <w:rPr>
            <w:rFonts w:ascii="Gotham Book" w:hAnsi="Gotham Book"/>
            <w:sz w:val="18"/>
            <w:szCs w:val="18"/>
          </w:rPr>
        </w:pPr>
        <w:r>
          <w:t>- </w:t>
        </w:r>
        <w:r w:rsidRPr="007C6B4B">
          <w:rPr>
            <w:rFonts w:ascii="Gotham Book" w:hAnsi="Gotham Book"/>
            <w:sz w:val="18"/>
            <w:szCs w:val="18"/>
          </w:rPr>
          <w:fldChar w:fldCharType="begin"/>
        </w:r>
        <w:r w:rsidRPr="007C6B4B">
          <w:rPr>
            <w:rFonts w:ascii="Gotham Book" w:hAnsi="Gotham Book"/>
            <w:sz w:val="18"/>
            <w:szCs w:val="18"/>
          </w:rPr>
          <w:instrText xml:space="preserve"> PAGE   \* MERGEFORMAT </w:instrText>
        </w:r>
        <w:r w:rsidRPr="007C6B4B">
          <w:rPr>
            <w:rFonts w:ascii="Gotham Book" w:hAnsi="Gotham Book"/>
            <w:sz w:val="18"/>
            <w:szCs w:val="18"/>
          </w:rPr>
          <w:fldChar w:fldCharType="separate"/>
        </w:r>
        <w:r w:rsidR="00E82882">
          <w:rPr>
            <w:rFonts w:ascii="Gotham Book" w:hAnsi="Gotham Book"/>
            <w:noProof/>
            <w:sz w:val="18"/>
            <w:szCs w:val="18"/>
          </w:rPr>
          <w:t>9</w:t>
        </w:r>
        <w:r w:rsidRPr="007C6B4B">
          <w:rPr>
            <w:rFonts w:ascii="Gotham Book" w:hAnsi="Gotham Book"/>
            <w:noProof/>
            <w:sz w:val="18"/>
            <w:szCs w:val="18"/>
          </w:rPr>
          <w:fldChar w:fldCharType="end"/>
        </w:r>
        <w:r>
          <w:rPr>
            <w:rFonts w:ascii="Gotham Book" w:hAnsi="Gotham Book"/>
            <w:noProof/>
            <w:sz w:val="18"/>
            <w:szCs w:val="18"/>
          </w:rPr>
          <w:t> -</w:t>
        </w:r>
      </w:p>
    </w:sdtContent>
  </w:sdt>
  <w:p w:rsidR="007C6B4B" w:rsidRDefault="007C6B4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564E0"/>
    <w:multiLevelType w:val="hybridMultilevel"/>
    <w:tmpl w:val="48FE8DA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AE65187"/>
    <w:multiLevelType w:val="hybridMultilevel"/>
    <w:tmpl w:val="BE28976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C665631"/>
    <w:multiLevelType w:val="hybridMultilevel"/>
    <w:tmpl w:val="BC78F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8A0E03"/>
    <w:multiLevelType w:val="hybridMultilevel"/>
    <w:tmpl w:val="B394B99C"/>
    <w:lvl w:ilvl="0" w:tplc="7526C6D0">
      <w:start w:val="1"/>
      <w:numFmt w:val="lowerLetter"/>
      <w:lvlText w:val="%1."/>
      <w:lvlJc w:val="left"/>
      <w:pPr>
        <w:ind w:left="720" w:hanging="360"/>
      </w:pPr>
      <w:rPr>
        <w:rFonts w:hint="default"/>
        <w:color w:val="33333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7354963"/>
    <w:multiLevelType w:val="hybridMultilevel"/>
    <w:tmpl w:val="95EAD726"/>
    <w:lvl w:ilvl="0" w:tplc="AC6C38CE">
      <w:numFmt w:val="bullet"/>
      <w:lvlText w:val=""/>
      <w:lvlJc w:val="left"/>
      <w:pPr>
        <w:ind w:left="390" w:hanging="360"/>
      </w:pPr>
      <w:rPr>
        <w:rFonts w:ascii="Symbol" w:eastAsiaTheme="minorHAnsi" w:hAnsi="Symbol" w:cstheme="minorBidi"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5">
    <w:nsid w:val="292E025C"/>
    <w:multiLevelType w:val="hybridMultilevel"/>
    <w:tmpl w:val="B2248766"/>
    <w:lvl w:ilvl="0" w:tplc="C700CC4A">
      <w:numFmt w:val="bullet"/>
      <w:lvlText w:val=""/>
      <w:lvlJc w:val="left"/>
      <w:pPr>
        <w:ind w:left="750" w:hanging="360"/>
      </w:pPr>
      <w:rPr>
        <w:rFonts w:ascii="Symbol" w:eastAsiaTheme="minorHAnsi" w:hAnsi="Symbol" w:cstheme="minorBidi"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6">
    <w:nsid w:val="2B767D8E"/>
    <w:multiLevelType w:val="multilevel"/>
    <w:tmpl w:val="34EA7708"/>
    <w:lvl w:ilvl="0">
      <w:start w:val="1"/>
      <w:numFmt w:val="upperRoman"/>
      <w:lvlRestart w:val="0"/>
      <w:pStyle w:val="Chapter"/>
      <w:lvlText w:val="%1."/>
      <w:lvlJc w:val="center"/>
      <w:pPr>
        <w:tabs>
          <w:tab w:val="num" w:pos="2088"/>
        </w:tabs>
        <w:ind w:left="1440" w:firstLine="288"/>
      </w:pPr>
      <w:rPr>
        <w:b/>
        <w:i w:val="0"/>
      </w:rPr>
    </w:lvl>
    <w:lvl w:ilvl="1">
      <w:start w:val="1"/>
      <w:numFmt w:val="decimal"/>
      <w:pStyle w:val="Paragraph"/>
      <w:isLgl/>
      <w:lvlText w:val="%1.%2"/>
      <w:lvlJc w:val="left"/>
      <w:pPr>
        <w:tabs>
          <w:tab w:val="num" w:pos="2736"/>
        </w:tabs>
        <w:ind w:left="2736" w:hanging="1296"/>
      </w:pPr>
    </w:lvl>
    <w:lvl w:ilvl="2">
      <w:start w:val="1"/>
      <w:numFmt w:val="lowerLetter"/>
      <w:pStyle w:val="subpar"/>
      <w:lvlText w:val="%3."/>
      <w:lvlJc w:val="left"/>
      <w:pPr>
        <w:tabs>
          <w:tab w:val="num" w:pos="2592"/>
        </w:tabs>
        <w:ind w:left="259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7">
    <w:nsid w:val="2C2F5421"/>
    <w:multiLevelType w:val="hybridMultilevel"/>
    <w:tmpl w:val="0B1458B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CBD0B9B"/>
    <w:multiLevelType w:val="hybridMultilevel"/>
    <w:tmpl w:val="D51891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CC10A8F"/>
    <w:multiLevelType w:val="hybridMultilevel"/>
    <w:tmpl w:val="92400A9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ACB180A"/>
    <w:multiLevelType w:val="hybridMultilevel"/>
    <w:tmpl w:val="CAD25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E183EB3"/>
    <w:multiLevelType w:val="hybridMultilevel"/>
    <w:tmpl w:val="59BC09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F065662"/>
    <w:multiLevelType w:val="hybridMultilevel"/>
    <w:tmpl w:val="4930413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5C0747DB"/>
    <w:multiLevelType w:val="hybridMultilevel"/>
    <w:tmpl w:val="E130B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0DB0E83"/>
    <w:multiLevelType w:val="hybridMultilevel"/>
    <w:tmpl w:val="72CEE1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3DA472B"/>
    <w:multiLevelType w:val="multilevel"/>
    <w:tmpl w:val="F460AC5A"/>
    <w:lvl w:ilvl="0">
      <w:start w:val="1"/>
      <w:numFmt w:val="upperRoman"/>
      <w:lvlText w:val="%1."/>
      <w:lvlJc w:val="right"/>
      <w:pPr>
        <w:ind w:left="360" w:hanging="360"/>
      </w:pPr>
      <w:rPr>
        <w:color w:val="auto"/>
      </w:rPr>
    </w:lvl>
    <w:lvl w:ilvl="1">
      <w:start w:val="1"/>
      <w:numFmt w:val="decimal"/>
      <w:isLgl/>
      <w:lvlText w:val="%1.%2"/>
      <w:lvlJc w:val="left"/>
      <w:pPr>
        <w:ind w:left="72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6">
    <w:nsid w:val="7E455F0A"/>
    <w:multiLevelType w:val="multilevel"/>
    <w:tmpl w:val="F460AC5A"/>
    <w:lvl w:ilvl="0">
      <w:start w:val="1"/>
      <w:numFmt w:val="upperRoman"/>
      <w:lvlText w:val="%1."/>
      <w:lvlJc w:val="right"/>
      <w:pPr>
        <w:ind w:left="360" w:hanging="360"/>
      </w:pPr>
      <w:rPr>
        <w:color w:val="auto"/>
      </w:rPr>
    </w:lvl>
    <w:lvl w:ilvl="1">
      <w:start w:val="1"/>
      <w:numFmt w:val="decimal"/>
      <w:isLgl/>
      <w:lvlText w:val="%1.%2"/>
      <w:lvlJc w:val="left"/>
      <w:pPr>
        <w:ind w:left="72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7">
    <w:nsid w:val="7F5C51C3"/>
    <w:multiLevelType w:val="hybridMultilevel"/>
    <w:tmpl w:val="7C0C5914"/>
    <w:lvl w:ilvl="0" w:tplc="E2FC76B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9"/>
  </w:num>
  <w:num w:numId="3">
    <w:abstractNumId w:val="11"/>
  </w:num>
  <w:num w:numId="4">
    <w:abstractNumId w:val="17"/>
  </w:num>
  <w:num w:numId="5">
    <w:abstractNumId w:val="15"/>
  </w:num>
  <w:num w:numId="6">
    <w:abstractNumId w:val="4"/>
  </w:num>
  <w:num w:numId="7">
    <w:abstractNumId w:val="5"/>
  </w:num>
  <w:num w:numId="8">
    <w:abstractNumId w:val="8"/>
  </w:num>
  <w:num w:numId="9">
    <w:abstractNumId w:val="13"/>
  </w:num>
  <w:num w:numId="10">
    <w:abstractNumId w:val="14"/>
  </w:num>
  <w:num w:numId="11">
    <w:abstractNumId w:val="2"/>
  </w:num>
  <w:num w:numId="12">
    <w:abstractNumId w:val="7"/>
  </w:num>
  <w:num w:numId="13">
    <w:abstractNumId w:val="12"/>
  </w:num>
  <w:num w:numId="14">
    <w:abstractNumId w:val="1"/>
  </w:num>
  <w:num w:numId="15">
    <w:abstractNumId w:val="0"/>
  </w:num>
  <w:num w:numId="16">
    <w:abstractNumId w:val="3"/>
  </w:num>
  <w:num w:numId="17">
    <w:abstractNumId w:val="16"/>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Formatting/>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711B"/>
    <w:rsid w:val="00007163"/>
    <w:rsid w:val="00017B41"/>
    <w:rsid w:val="000216A0"/>
    <w:rsid w:val="00022D4A"/>
    <w:rsid w:val="000269F9"/>
    <w:rsid w:val="00027656"/>
    <w:rsid w:val="00044DDD"/>
    <w:rsid w:val="00075F42"/>
    <w:rsid w:val="00081A6A"/>
    <w:rsid w:val="00086CFF"/>
    <w:rsid w:val="000C16F9"/>
    <w:rsid w:val="000C6A18"/>
    <w:rsid w:val="000D15D5"/>
    <w:rsid w:val="000F2091"/>
    <w:rsid w:val="000F39D2"/>
    <w:rsid w:val="00102DAE"/>
    <w:rsid w:val="00124040"/>
    <w:rsid w:val="00130C11"/>
    <w:rsid w:val="001316E2"/>
    <w:rsid w:val="00132468"/>
    <w:rsid w:val="001350E4"/>
    <w:rsid w:val="0017216B"/>
    <w:rsid w:val="00190DB7"/>
    <w:rsid w:val="0019595A"/>
    <w:rsid w:val="001C1143"/>
    <w:rsid w:val="001C18FD"/>
    <w:rsid w:val="001D0C9B"/>
    <w:rsid w:val="001D3ECA"/>
    <w:rsid w:val="001E7981"/>
    <w:rsid w:val="001F0885"/>
    <w:rsid w:val="001F41E2"/>
    <w:rsid w:val="001F7559"/>
    <w:rsid w:val="00210317"/>
    <w:rsid w:val="002150E9"/>
    <w:rsid w:val="00225B5A"/>
    <w:rsid w:val="00231773"/>
    <w:rsid w:val="0023182E"/>
    <w:rsid w:val="0023302F"/>
    <w:rsid w:val="00236249"/>
    <w:rsid w:val="00244A9D"/>
    <w:rsid w:val="00255E47"/>
    <w:rsid w:val="0028127C"/>
    <w:rsid w:val="0028132B"/>
    <w:rsid w:val="00283316"/>
    <w:rsid w:val="002D4B50"/>
    <w:rsid w:val="002D737B"/>
    <w:rsid w:val="00302426"/>
    <w:rsid w:val="00335B4C"/>
    <w:rsid w:val="00340BC1"/>
    <w:rsid w:val="00346E79"/>
    <w:rsid w:val="00355449"/>
    <w:rsid w:val="003622D9"/>
    <w:rsid w:val="003835F0"/>
    <w:rsid w:val="003906B7"/>
    <w:rsid w:val="0039123E"/>
    <w:rsid w:val="00394867"/>
    <w:rsid w:val="00395A99"/>
    <w:rsid w:val="00396B4C"/>
    <w:rsid w:val="003C410B"/>
    <w:rsid w:val="003D2892"/>
    <w:rsid w:val="003D609D"/>
    <w:rsid w:val="003F213D"/>
    <w:rsid w:val="003F5F31"/>
    <w:rsid w:val="00416432"/>
    <w:rsid w:val="00417FB9"/>
    <w:rsid w:val="004311D4"/>
    <w:rsid w:val="00433246"/>
    <w:rsid w:val="00441CEC"/>
    <w:rsid w:val="00450A14"/>
    <w:rsid w:val="0045509F"/>
    <w:rsid w:val="00466C7E"/>
    <w:rsid w:val="00482240"/>
    <w:rsid w:val="004963E0"/>
    <w:rsid w:val="004979FF"/>
    <w:rsid w:val="004A1D5A"/>
    <w:rsid w:val="004C220C"/>
    <w:rsid w:val="004D5823"/>
    <w:rsid w:val="004D7049"/>
    <w:rsid w:val="004E0EED"/>
    <w:rsid w:val="004F386F"/>
    <w:rsid w:val="0050104A"/>
    <w:rsid w:val="00512024"/>
    <w:rsid w:val="005140D4"/>
    <w:rsid w:val="00517D85"/>
    <w:rsid w:val="00520F58"/>
    <w:rsid w:val="00531E51"/>
    <w:rsid w:val="005350AE"/>
    <w:rsid w:val="005364CE"/>
    <w:rsid w:val="00537A2C"/>
    <w:rsid w:val="005427A2"/>
    <w:rsid w:val="00544613"/>
    <w:rsid w:val="0058137A"/>
    <w:rsid w:val="005833C9"/>
    <w:rsid w:val="00590599"/>
    <w:rsid w:val="005A1056"/>
    <w:rsid w:val="005A4F29"/>
    <w:rsid w:val="005C1EAB"/>
    <w:rsid w:val="005C2C19"/>
    <w:rsid w:val="005C5B7D"/>
    <w:rsid w:val="005D330B"/>
    <w:rsid w:val="005F77FB"/>
    <w:rsid w:val="00626D79"/>
    <w:rsid w:val="0062725A"/>
    <w:rsid w:val="00641ED4"/>
    <w:rsid w:val="0065349E"/>
    <w:rsid w:val="00655C6F"/>
    <w:rsid w:val="00675E7A"/>
    <w:rsid w:val="006A1798"/>
    <w:rsid w:val="006A3C50"/>
    <w:rsid w:val="006C5059"/>
    <w:rsid w:val="006C6059"/>
    <w:rsid w:val="006D2259"/>
    <w:rsid w:val="00702A56"/>
    <w:rsid w:val="00712451"/>
    <w:rsid w:val="00713E3A"/>
    <w:rsid w:val="00725899"/>
    <w:rsid w:val="00746260"/>
    <w:rsid w:val="0077665E"/>
    <w:rsid w:val="007B0420"/>
    <w:rsid w:val="007B500B"/>
    <w:rsid w:val="007B6B61"/>
    <w:rsid w:val="007C3374"/>
    <w:rsid w:val="007C6B4B"/>
    <w:rsid w:val="007D5E7D"/>
    <w:rsid w:val="007D7932"/>
    <w:rsid w:val="007D7D50"/>
    <w:rsid w:val="007E1916"/>
    <w:rsid w:val="00801D9C"/>
    <w:rsid w:val="008052A0"/>
    <w:rsid w:val="00807C07"/>
    <w:rsid w:val="00830E08"/>
    <w:rsid w:val="00841608"/>
    <w:rsid w:val="00863C61"/>
    <w:rsid w:val="00865A6F"/>
    <w:rsid w:val="00865BB7"/>
    <w:rsid w:val="0087190C"/>
    <w:rsid w:val="008739E3"/>
    <w:rsid w:val="008755A2"/>
    <w:rsid w:val="008813B9"/>
    <w:rsid w:val="008902BA"/>
    <w:rsid w:val="008C1D97"/>
    <w:rsid w:val="008C3BB3"/>
    <w:rsid w:val="008D03E1"/>
    <w:rsid w:val="008D6D65"/>
    <w:rsid w:val="008D6FF3"/>
    <w:rsid w:val="008F4286"/>
    <w:rsid w:val="00914721"/>
    <w:rsid w:val="0091508A"/>
    <w:rsid w:val="00915206"/>
    <w:rsid w:val="00917FEE"/>
    <w:rsid w:val="00922842"/>
    <w:rsid w:val="00925C27"/>
    <w:rsid w:val="00933A84"/>
    <w:rsid w:val="00944D7A"/>
    <w:rsid w:val="0095122E"/>
    <w:rsid w:val="00953879"/>
    <w:rsid w:val="0095711B"/>
    <w:rsid w:val="00997FD2"/>
    <w:rsid w:val="009B113D"/>
    <w:rsid w:val="009C5C06"/>
    <w:rsid w:val="009F33FF"/>
    <w:rsid w:val="009F3CA2"/>
    <w:rsid w:val="00A067E6"/>
    <w:rsid w:val="00A10CD5"/>
    <w:rsid w:val="00A12C27"/>
    <w:rsid w:val="00A139E6"/>
    <w:rsid w:val="00A13EE1"/>
    <w:rsid w:val="00A20379"/>
    <w:rsid w:val="00A2474F"/>
    <w:rsid w:val="00A3281C"/>
    <w:rsid w:val="00A357F7"/>
    <w:rsid w:val="00A37C9C"/>
    <w:rsid w:val="00A41A16"/>
    <w:rsid w:val="00A5268D"/>
    <w:rsid w:val="00A57185"/>
    <w:rsid w:val="00A62420"/>
    <w:rsid w:val="00A72E1D"/>
    <w:rsid w:val="00A876E7"/>
    <w:rsid w:val="00A87E8F"/>
    <w:rsid w:val="00A935C8"/>
    <w:rsid w:val="00A9761C"/>
    <w:rsid w:val="00AC081B"/>
    <w:rsid w:val="00AD3653"/>
    <w:rsid w:val="00AD6EBC"/>
    <w:rsid w:val="00AF2F55"/>
    <w:rsid w:val="00AF3598"/>
    <w:rsid w:val="00AF5C75"/>
    <w:rsid w:val="00B13125"/>
    <w:rsid w:val="00B206EE"/>
    <w:rsid w:val="00B21AB5"/>
    <w:rsid w:val="00B307EC"/>
    <w:rsid w:val="00B33130"/>
    <w:rsid w:val="00B347ED"/>
    <w:rsid w:val="00B50AC9"/>
    <w:rsid w:val="00B55EC0"/>
    <w:rsid w:val="00B56CDC"/>
    <w:rsid w:val="00B809A4"/>
    <w:rsid w:val="00B87960"/>
    <w:rsid w:val="00BA2D6A"/>
    <w:rsid w:val="00BB2778"/>
    <w:rsid w:val="00BB612A"/>
    <w:rsid w:val="00BD79D8"/>
    <w:rsid w:val="00C00F1E"/>
    <w:rsid w:val="00C3492D"/>
    <w:rsid w:val="00C360E3"/>
    <w:rsid w:val="00C43E24"/>
    <w:rsid w:val="00C5184A"/>
    <w:rsid w:val="00C5730B"/>
    <w:rsid w:val="00CC2E3D"/>
    <w:rsid w:val="00CC716E"/>
    <w:rsid w:val="00CD109E"/>
    <w:rsid w:val="00CD2217"/>
    <w:rsid w:val="00CD4E14"/>
    <w:rsid w:val="00CE0643"/>
    <w:rsid w:val="00CE6A3D"/>
    <w:rsid w:val="00D03FA0"/>
    <w:rsid w:val="00D07EB4"/>
    <w:rsid w:val="00D1042B"/>
    <w:rsid w:val="00D12BF4"/>
    <w:rsid w:val="00D173D5"/>
    <w:rsid w:val="00D2491C"/>
    <w:rsid w:val="00D400BC"/>
    <w:rsid w:val="00D55EA9"/>
    <w:rsid w:val="00D628BF"/>
    <w:rsid w:val="00D707BB"/>
    <w:rsid w:val="00D93016"/>
    <w:rsid w:val="00D9510A"/>
    <w:rsid w:val="00D95606"/>
    <w:rsid w:val="00D97FAD"/>
    <w:rsid w:val="00DA0911"/>
    <w:rsid w:val="00DC16F5"/>
    <w:rsid w:val="00DC1E68"/>
    <w:rsid w:val="00DF23A7"/>
    <w:rsid w:val="00DF475D"/>
    <w:rsid w:val="00E20EBD"/>
    <w:rsid w:val="00E33333"/>
    <w:rsid w:val="00E52408"/>
    <w:rsid w:val="00E5259A"/>
    <w:rsid w:val="00E65098"/>
    <w:rsid w:val="00E6675A"/>
    <w:rsid w:val="00E705BC"/>
    <w:rsid w:val="00E75CB3"/>
    <w:rsid w:val="00E82882"/>
    <w:rsid w:val="00E957D0"/>
    <w:rsid w:val="00EA3919"/>
    <w:rsid w:val="00EB396D"/>
    <w:rsid w:val="00EB435F"/>
    <w:rsid w:val="00EC4075"/>
    <w:rsid w:val="00ED4C3E"/>
    <w:rsid w:val="00ED70D1"/>
    <w:rsid w:val="00EE0122"/>
    <w:rsid w:val="00EE0FB8"/>
    <w:rsid w:val="00EF41CE"/>
    <w:rsid w:val="00EF54C3"/>
    <w:rsid w:val="00F00960"/>
    <w:rsid w:val="00F118B0"/>
    <w:rsid w:val="00F16677"/>
    <w:rsid w:val="00F373D0"/>
    <w:rsid w:val="00F455F8"/>
    <w:rsid w:val="00F50742"/>
    <w:rsid w:val="00F6363D"/>
    <w:rsid w:val="00F72899"/>
    <w:rsid w:val="00F9013A"/>
    <w:rsid w:val="00FB00A9"/>
    <w:rsid w:val="00FB514E"/>
    <w:rsid w:val="00FC03F9"/>
    <w:rsid w:val="00FC0A98"/>
    <w:rsid w:val="00FC2E90"/>
    <w:rsid w:val="00FE1499"/>
    <w:rsid w:val="00FE73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711B"/>
    <w:pPr>
      <w:ind w:left="720"/>
      <w:contextualSpacing/>
    </w:pPr>
  </w:style>
  <w:style w:type="paragraph" w:styleId="Header">
    <w:name w:val="header"/>
    <w:basedOn w:val="Normal"/>
    <w:link w:val="HeaderChar"/>
    <w:uiPriority w:val="99"/>
    <w:unhideWhenUsed/>
    <w:rsid w:val="009571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711B"/>
  </w:style>
  <w:style w:type="paragraph" w:styleId="Footer">
    <w:name w:val="footer"/>
    <w:basedOn w:val="Normal"/>
    <w:link w:val="FooterChar"/>
    <w:uiPriority w:val="99"/>
    <w:unhideWhenUsed/>
    <w:rsid w:val="009571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711B"/>
  </w:style>
  <w:style w:type="paragraph" w:styleId="BalloonText">
    <w:name w:val="Balloon Text"/>
    <w:basedOn w:val="Normal"/>
    <w:link w:val="BalloonTextChar"/>
    <w:uiPriority w:val="99"/>
    <w:semiHidden/>
    <w:unhideWhenUsed/>
    <w:rsid w:val="00A10C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0CD5"/>
    <w:rPr>
      <w:rFonts w:ascii="Tahoma" w:hAnsi="Tahoma" w:cs="Tahoma"/>
      <w:sz w:val="16"/>
      <w:szCs w:val="16"/>
    </w:rPr>
  </w:style>
  <w:style w:type="character" w:styleId="CommentReference">
    <w:name w:val="annotation reference"/>
    <w:basedOn w:val="DefaultParagraphFont"/>
    <w:uiPriority w:val="99"/>
    <w:semiHidden/>
    <w:unhideWhenUsed/>
    <w:rsid w:val="00A13EE1"/>
    <w:rPr>
      <w:sz w:val="16"/>
      <w:szCs w:val="16"/>
    </w:rPr>
  </w:style>
  <w:style w:type="paragraph" w:styleId="CommentText">
    <w:name w:val="annotation text"/>
    <w:basedOn w:val="Normal"/>
    <w:link w:val="CommentTextChar"/>
    <w:uiPriority w:val="99"/>
    <w:semiHidden/>
    <w:unhideWhenUsed/>
    <w:rsid w:val="00A13EE1"/>
    <w:pPr>
      <w:spacing w:line="240" w:lineRule="auto"/>
    </w:pPr>
    <w:rPr>
      <w:sz w:val="20"/>
      <w:szCs w:val="20"/>
    </w:rPr>
  </w:style>
  <w:style w:type="character" w:customStyle="1" w:styleId="CommentTextChar">
    <w:name w:val="Comment Text Char"/>
    <w:basedOn w:val="DefaultParagraphFont"/>
    <w:link w:val="CommentText"/>
    <w:uiPriority w:val="99"/>
    <w:semiHidden/>
    <w:rsid w:val="00A13EE1"/>
    <w:rPr>
      <w:sz w:val="20"/>
      <w:szCs w:val="20"/>
    </w:rPr>
  </w:style>
  <w:style w:type="paragraph" w:styleId="CommentSubject">
    <w:name w:val="annotation subject"/>
    <w:basedOn w:val="CommentText"/>
    <w:next w:val="CommentText"/>
    <w:link w:val="CommentSubjectChar"/>
    <w:uiPriority w:val="99"/>
    <w:semiHidden/>
    <w:unhideWhenUsed/>
    <w:rsid w:val="00A13EE1"/>
    <w:rPr>
      <w:b/>
      <w:bCs/>
    </w:rPr>
  </w:style>
  <w:style w:type="character" w:customStyle="1" w:styleId="CommentSubjectChar">
    <w:name w:val="Comment Subject Char"/>
    <w:basedOn w:val="CommentTextChar"/>
    <w:link w:val="CommentSubject"/>
    <w:uiPriority w:val="99"/>
    <w:semiHidden/>
    <w:rsid w:val="00A13EE1"/>
    <w:rPr>
      <w:b/>
      <w:bCs/>
      <w:sz w:val="20"/>
      <w:szCs w:val="20"/>
    </w:rPr>
  </w:style>
  <w:style w:type="paragraph" w:styleId="Revision">
    <w:name w:val="Revision"/>
    <w:hidden/>
    <w:uiPriority w:val="99"/>
    <w:semiHidden/>
    <w:rsid w:val="00A13EE1"/>
    <w:pPr>
      <w:spacing w:after="0" w:line="240" w:lineRule="auto"/>
    </w:pPr>
  </w:style>
  <w:style w:type="table" w:styleId="TableGrid">
    <w:name w:val="Table Grid"/>
    <w:basedOn w:val="TableNormal"/>
    <w:uiPriority w:val="59"/>
    <w:rsid w:val="00F636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DefaultParagraphFont"/>
    <w:rsid w:val="0023182E"/>
  </w:style>
  <w:style w:type="character" w:styleId="Hyperlink">
    <w:name w:val="Hyperlink"/>
    <w:basedOn w:val="DefaultParagraphFont"/>
    <w:uiPriority w:val="99"/>
    <w:unhideWhenUsed/>
    <w:rsid w:val="008C1D97"/>
    <w:rPr>
      <w:color w:val="0000FF" w:themeColor="hyperlink"/>
      <w:u w:val="single"/>
    </w:rPr>
  </w:style>
  <w:style w:type="paragraph" w:styleId="FootnoteText">
    <w:name w:val="footnote text"/>
    <w:basedOn w:val="Normal"/>
    <w:link w:val="FootnoteTextChar"/>
    <w:uiPriority w:val="99"/>
    <w:semiHidden/>
    <w:unhideWhenUsed/>
    <w:rsid w:val="00190DB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90DB7"/>
    <w:rPr>
      <w:sz w:val="20"/>
      <w:szCs w:val="20"/>
    </w:rPr>
  </w:style>
  <w:style w:type="character" w:styleId="FootnoteReference">
    <w:name w:val="footnote reference"/>
    <w:basedOn w:val="DefaultParagraphFont"/>
    <w:uiPriority w:val="99"/>
    <w:semiHidden/>
    <w:unhideWhenUsed/>
    <w:rsid w:val="00190DB7"/>
    <w:rPr>
      <w:vertAlign w:val="superscript"/>
    </w:rPr>
  </w:style>
  <w:style w:type="paragraph" w:customStyle="1" w:styleId="Default">
    <w:name w:val="Default"/>
    <w:rsid w:val="006D2259"/>
    <w:pPr>
      <w:autoSpaceDE w:val="0"/>
      <w:autoSpaceDN w:val="0"/>
      <w:adjustRightInd w:val="0"/>
      <w:spacing w:after="0" w:line="240" w:lineRule="auto"/>
    </w:pPr>
    <w:rPr>
      <w:rFonts w:ascii="Times New Roman" w:hAnsi="Times New Roman" w:cs="Times New Roman"/>
      <w:color w:val="000000"/>
      <w:sz w:val="24"/>
      <w:szCs w:val="24"/>
      <w:lang w:val="es-ES_tradnl"/>
    </w:rPr>
  </w:style>
  <w:style w:type="paragraph" w:customStyle="1" w:styleId="Chapter">
    <w:name w:val="Chapter"/>
    <w:basedOn w:val="Normal"/>
    <w:next w:val="Normal"/>
    <w:uiPriority w:val="99"/>
    <w:rsid w:val="00B206EE"/>
    <w:pPr>
      <w:keepNext/>
      <w:numPr>
        <w:numId w:val="18"/>
      </w:numPr>
      <w:tabs>
        <w:tab w:val="clear" w:pos="2088"/>
        <w:tab w:val="num" w:pos="648"/>
        <w:tab w:val="left" w:pos="1440"/>
      </w:tabs>
      <w:spacing w:before="240" w:after="240" w:line="240" w:lineRule="auto"/>
      <w:ind w:left="0"/>
      <w:jc w:val="center"/>
    </w:pPr>
    <w:rPr>
      <w:rFonts w:ascii="Times New Roman" w:eastAsia="Times New Roman" w:hAnsi="Times New Roman" w:cs="Times New Roman"/>
      <w:b/>
      <w:smallCaps/>
      <w:sz w:val="24"/>
      <w:szCs w:val="20"/>
      <w:lang w:val="es-ES_tradnl"/>
    </w:rPr>
  </w:style>
  <w:style w:type="paragraph" w:customStyle="1" w:styleId="Paragraph">
    <w:name w:val="Paragraph"/>
    <w:aliases w:val="paragraph,p,PARAGRAPH,PG,pa,at"/>
    <w:basedOn w:val="BodyTextIndent"/>
    <w:link w:val="ParagraphChar"/>
    <w:uiPriority w:val="99"/>
    <w:rsid w:val="00B206EE"/>
    <w:pPr>
      <w:numPr>
        <w:ilvl w:val="1"/>
        <w:numId w:val="18"/>
      </w:numPr>
      <w:tabs>
        <w:tab w:val="clear" w:pos="2736"/>
        <w:tab w:val="num" w:pos="720"/>
      </w:tabs>
      <w:spacing w:before="120" w:line="240" w:lineRule="auto"/>
      <w:ind w:left="720" w:hanging="720"/>
      <w:jc w:val="both"/>
      <w:outlineLvl w:val="1"/>
    </w:pPr>
    <w:rPr>
      <w:rFonts w:ascii="Times New Roman" w:eastAsia="Times New Roman" w:hAnsi="Times New Roman" w:cs="Times New Roman"/>
      <w:sz w:val="24"/>
      <w:szCs w:val="20"/>
      <w:lang w:val="es-ES_tradnl"/>
    </w:rPr>
  </w:style>
  <w:style w:type="paragraph" w:customStyle="1" w:styleId="subpar">
    <w:name w:val="subpar"/>
    <w:basedOn w:val="BodyTextIndent3"/>
    <w:uiPriority w:val="99"/>
    <w:rsid w:val="00B206EE"/>
    <w:pPr>
      <w:numPr>
        <w:ilvl w:val="2"/>
        <w:numId w:val="18"/>
      </w:numPr>
      <w:tabs>
        <w:tab w:val="clear" w:pos="2592"/>
        <w:tab w:val="num" w:pos="360"/>
        <w:tab w:val="num" w:pos="1152"/>
      </w:tabs>
      <w:spacing w:before="120" w:line="240" w:lineRule="auto"/>
      <w:ind w:left="1152" w:firstLine="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uiPriority w:val="99"/>
    <w:rsid w:val="00B206EE"/>
    <w:pPr>
      <w:numPr>
        <w:ilvl w:val="3"/>
      </w:numPr>
      <w:tabs>
        <w:tab w:val="clear" w:pos="3024"/>
        <w:tab w:val="left" w:pos="0"/>
        <w:tab w:val="num" w:pos="360"/>
        <w:tab w:val="num" w:pos="1152"/>
        <w:tab w:val="num" w:pos="1296"/>
      </w:tabs>
      <w:ind w:left="1296"/>
    </w:pPr>
  </w:style>
  <w:style w:type="character" w:customStyle="1" w:styleId="ParagraphChar">
    <w:name w:val="Paragraph Char"/>
    <w:aliases w:val="paragraph Char,p Char,PARAGRAPH Char,PG Char,pa Char,at Char"/>
    <w:basedOn w:val="DefaultParagraphFont"/>
    <w:link w:val="Paragraph"/>
    <w:uiPriority w:val="99"/>
    <w:locked/>
    <w:rsid w:val="00B206EE"/>
    <w:rPr>
      <w:rFonts w:ascii="Times New Roman" w:eastAsia="Times New Roman" w:hAnsi="Times New Roman" w:cs="Times New Roman"/>
      <w:sz w:val="24"/>
      <w:szCs w:val="20"/>
      <w:lang w:val="es-ES_tradnl"/>
    </w:rPr>
  </w:style>
  <w:style w:type="paragraph" w:styleId="BodyTextIndent">
    <w:name w:val="Body Text Indent"/>
    <w:basedOn w:val="Normal"/>
    <w:link w:val="BodyTextIndentChar"/>
    <w:uiPriority w:val="99"/>
    <w:semiHidden/>
    <w:unhideWhenUsed/>
    <w:rsid w:val="00B206EE"/>
    <w:pPr>
      <w:spacing w:after="120"/>
      <w:ind w:left="360"/>
    </w:pPr>
  </w:style>
  <w:style w:type="character" w:customStyle="1" w:styleId="BodyTextIndentChar">
    <w:name w:val="Body Text Indent Char"/>
    <w:basedOn w:val="DefaultParagraphFont"/>
    <w:link w:val="BodyTextIndent"/>
    <w:uiPriority w:val="99"/>
    <w:semiHidden/>
    <w:rsid w:val="00B206EE"/>
  </w:style>
  <w:style w:type="paragraph" w:styleId="BodyTextIndent3">
    <w:name w:val="Body Text Indent 3"/>
    <w:basedOn w:val="Normal"/>
    <w:link w:val="BodyTextIndent3Char"/>
    <w:uiPriority w:val="99"/>
    <w:semiHidden/>
    <w:unhideWhenUsed/>
    <w:rsid w:val="00B206EE"/>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B206EE"/>
    <w:rPr>
      <w:sz w:val="16"/>
      <w:szCs w:val="16"/>
    </w:rPr>
  </w:style>
  <w:style w:type="character" w:styleId="FollowedHyperlink">
    <w:name w:val="FollowedHyperlink"/>
    <w:basedOn w:val="DefaultParagraphFont"/>
    <w:uiPriority w:val="99"/>
    <w:semiHidden/>
    <w:unhideWhenUsed/>
    <w:rsid w:val="005C5B7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711B"/>
    <w:pPr>
      <w:ind w:left="720"/>
      <w:contextualSpacing/>
    </w:pPr>
  </w:style>
  <w:style w:type="paragraph" w:styleId="Header">
    <w:name w:val="header"/>
    <w:basedOn w:val="Normal"/>
    <w:link w:val="HeaderChar"/>
    <w:uiPriority w:val="99"/>
    <w:unhideWhenUsed/>
    <w:rsid w:val="009571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711B"/>
  </w:style>
  <w:style w:type="paragraph" w:styleId="Footer">
    <w:name w:val="footer"/>
    <w:basedOn w:val="Normal"/>
    <w:link w:val="FooterChar"/>
    <w:uiPriority w:val="99"/>
    <w:unhideWhenUsed/>
    <w:rsid w:val="009571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711B"/>
  </w:style>
  <w:style w:type="paragraph" w:styleId="BalloonText">
    <w:name w:val="Balloon Text"/>
    <w:basedOn w:val="Normal"/>
    <w:link w:val="BalloonTextChar"/>
    <w:uiPriority w:val="99"/>
    <w:semiHidden/>
    <w:unhideWhenUsed/>
    <w:rsid w:val="00A10C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0CD5"/>
    <w:rPr>
      <w:rFonts w:ascii="Tahoma" w:hAnsi="Tahoma" w:cs="Tahoma"/>
      <w:sz w:val="16"/>
      <w:szCs w:val="16"/>
    </w:rPr>
  </w:style>
  <w:style w:type="character" w:styleId="CommentReference">
    <w:name w:val="annotation reference"/>
    <w:basedOn w:val="DefaultParagraphFont"/>
    <w:uiPriority w:val="99"/>
    <w:semiHidden/>
    <w:unhideWhenUsed/>
    <w:rsid w:val="00A13EE1"/>
    <w:rPr>
      <w:sz w:val="16"/>
      <w:szCs w:val="16"/>
    </w:rPr>
  </w:style>
  <w:style w:type="paragraph" w:styleId="CommentText">
    <w:name w:val="annotation text"/>
    <w:basedOn w:val="Normal"/>
    <w:link w:val="CommentTextChar"/>
    <w:uiPriority w:val="99"/>
    <w:semiHidden/>
    <w:unhideWhenUsed/>
    <w:rsid w:val="00A13EE1"/>
    <w:pPr>
      <w:spacing w:line="240" w:lineRule="auto"/>
    </w:pPr>
    <w:rPr>
      <w:sz w:val="20"/>
      <w:szCs w:val="20"/>
    </w:rPr>
  </w:style>
  <w:style w:type="character" w:customStyle="1" w:styleId="CommentTextChar">
    <w:name w:val="Comment Text Char"/>
    <w:basedOn w:val="DefaultParagraphFont"/>
    <w:link w:val="CommentText"/>
    <w:uiPriority w:val="99"/>
    <w:semiHidden/>
    <w:rsid w:val="00A13EE1"/>
    <w:rPr>
      <w:sz w:val="20"/>
      <w:szCs w:val="20"/>
    </w:rPr>
  </w:style>
  <w:style w:type="paragraph" w:styleId="CommentSubject">
    <w:name w:val="annotation subject"/>
    <w:basedOn w:val="CommentText"/>
    <w:next w:val="CommentText"/>
    <w:link w:val="CommentSubjectChar"/>
    <w:uiPriority w:val="99"/>
    <w:semiHidden/>
    <w:unhideWhenUsed/>
    <w:rsid w:val="00A13EE1"/>
    <w:rPr>
      <w:b/>
      <w:bCs/>
    </w:rPr>
  </w:style>
  <w:style w:type="character" w:customStyle="1" w:styleId="CommentSubjectChar">
    <w:name w:val="Comment Subject Char"/>
    <w:basedOn w:val="CommentTextChar"/>
    <w:link w:val="CommentSubject"/>
    <w:uiPriority w:val="99"/>
    <w:semiHidden/>
    <w:rsid w:val="00A13EE1"/>
    <w:rPr>
      <w:b/>
      <w:bCs/>
      <w:sz w:val="20"/>
      <w:szCs w:val="20"/>
    </w:rPr>
  </w:style>
  <w:style w:type="paragraph" w:styleId="Revision">
    <w:name w:val="Revision"/>
    <w:hidden/>
    <w:uiPriority w:val="99"/>
    <w:semiHidden/>
    <w:rsid w:val="00A13EE1"/>
    <w:pPr>
      <w:spacing w:after="0" w:line="240" w:lineRule="auto"/>
    </w:pPr>
  </w:style>
  <w:style w:type="table" w:styleId="TableGrid">
    <w:name w:val="Table Grid"/>
    <w:basedOn w:val="TableNormal"/>
    <w:uiPriority w:val="59"/>
    <w:rsid w:val="00F636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DefaultParagraphFont"/>
    <w:rsid w:val="0023182E"/>
  </w:style>
  <w:style w:type="character" w:styleId="Hyperlink">
    <w:name w:val="Hyperlink"/>
    <w:basedOn w:val="DefaultParagraphFont"/>
    <w:uiPriority w:val="99"/>
    <w:unhideWhenUsed/>
    <w:rsid w:val="008C1D97"/>
    <w:rPr>
      <w:color w:val="0000FF" w:themeColor="hyperlink"/>
      <w:u w:val="single"/>
    </w:rPr>
  </w:style>
  <w:style w:type="paragraph" w:styleId="FootnoteText">
    <w:name w:val="footnote text"/>
    <w:basedOn w:val="Normal"/>
    <w:link w:val="FootnoteTextChar"/>
    <w:uiPriority w:val="99"/>
    <w:semiHidden/>
    <w:unhideWhenUsed/>
    <w:rsid w:val="00190DB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90DB7"/>
    <w:rPr>
      <w:sz w:val="20"/>
      <w:szCs w:val="20"/>
    </w:rPr>
  </w:style>
  <w:style w:type="character" w:styleId="FootnoteReference">
    <w:name w:val="footnote reference"/>
    <w:basedOn w:val="DefaultParagraphFont"/>
    <w:uiPriority w:val="99"/>
    <w:semiHidden/>
    <w:unhideWhenUsed/>
    <w:rsid w:val="00190DB7"/>
    <w:rPr>
      <w:vertAlign w:val="superscript"/>
    </w:rPr>
  </w:style>
  <w:style w:type="paragraph" w:customStyle="1" w:styleId="Default">
    <w:name w:val="Default"/>
    <w:rsid w:val="006D2259"/>
    <w:pPr>
      <w:autoSpaceDE w:val="0"/>
      <w:autoSpaceDN w:val="0"/>
      <w:adjustRightInd w:val="0"/>
      <w:spacing w:after="0" w:line="240" w:lineRule="auto"/>
    </w:pPr>
    <w:rPr>
      <w:rFonts w:ascii="Times New Roman" w:hAnsi="Times New Roman" w:cs="Times New Roman"/>
      <w:color w:val="000000"/>
      <w:sz w:val="24"/>
      <w:szCs w:val="24"/>
      <w:lang w:val="es-ES_tradnl"/>
    </w:rPr>
  </w:style>
  <w:style w:type="paragraph" w:customStyle="1" w:styleId="Chapter">
    <w:name w:val="Chapter"/>
    <w:basedOn w:val="Normal"/>
    <w:next w:val="Normal"/>
    <w:uiPriority w:val="99"/>
    <w:rsid w:val="00B206EE"/>
    <w:pPr>
      <w:keepNext/>
      <w:numPr>
        <w:numId w:val="18"/>
      </w:numPr>
      <w:tabs>
        <w:tab w:val="clear" w:pos="2088"/>
        <w:tab w:val="num" w:pos="648"/>
        <w:tab w:val="left" w:pos="1440"/>
      </w:tabs>
      <w:spacing w:before="240" w:after="240" w:line="240" w:lineRule="auto"/>
      <w:ind w:left="0"/>
      <w:jc w:val="center"/>
    </w:pPr>
    <w:rPr>
      <w:rFonts w:ascii="Times New Roman" w:eastAsia="Times New Roman" w:hAnsi="Times New Roman" w:cs="Times New Roman"/>
      <w:b/>
      <w:smallCaps/>
      <w:sz w:val="24"/>
      <w:szCs w:val="20"/>
      <w:lang w:val="es-ES_tradnl"/>
    </w:rPr>
  </w:style>
  <w:style w:type="paragraph" w:customStyle="1" w:styleId="Paragraph">
    <w:name w:val="Paragraph"/>
    <w:aliases w:val="paragraph,p,PARAGRAPH,PG,pa,at"/>
    <w:basedOn w:val="BodyTextIndent"/>
    <w:link w:val="ParagraphChar"/>
    <w:uiPriority w:val="99"/>
    <w:rsid w:val="00B206EE"/>
    <w:pPr>
      <w:numPr>
        <w:ilvl w:val="1"/>
        <w:numId w:val="18"/>
      </w:numPr>
      <w:tabs>
        <w:tab w:val="clear" w:pos="2736"/>
        <w:tab w:val="num" w:pos="720"/>
      </w:tabs>
      <w:spacing w:before="120" w:line="240" w:lineRule="auto"/>
      <w:ind w:left="720" w:hanging="720"/>
      <w:jc w:val="both"/>
      <w:outlineLvl w:val="1"/>
    </w:pPr>
    <w:rPr>
      <w:rFonts w:ascii="Times New Roman" w:eastAsia="Times New Roman" w:hAnsi="Times New Roman" w:cs="Times New Roman"/>
      <w:sz w:val="24"/>
      <w:szCs w:val="20"/>
      <w:lang w:val="es-ES_tradnl"/>
    </w:rPr>
  </w:style>
  <w:style w:type="paragraph" w:customStyle="1" w:styleId="subpar">
    <w:name w:val="subpar"/>
    <w:basedOn w:val="BodyTextIndent3"/>
    <w:uiPriority w:val="99"/>
    <w:rsid w:val="00B206EE"/>
    <w:pPr>
      <w:numPr>
        <w:ilvl w:val="2"/>
        <w:numId w:val="18"/>
      </w:numPr>
      <w:tabs>
        <w:tab w:val="clear" w:pos="2592"/>
        <w:tab w:val="num" w:pos="360"/>
        <w:tab w:val="num" w:pos="1152"/>
      </w:tabs>
      <w:spacing w:before="120" w:line="240" w:lineRule="auto"/>
      <w:ind w:left="1152" w:firstLine="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uiPriority w:val="99"/>
    <w:rsid w:val="00B206EE"/>
    <w:pPr>
      <w:numPr>
        <w:ilvl w:val="3"/>
      </w:numPr>
      <w:tabs>
        <w:tab w:val="clear" w:pos="3024"/>
        <w:tab w:val="left" w:pos="0"/>
        <w:tab w:val="num" w:pos="360"/>
        <w:tab w:val="num" w:pos="1152"/>
        <w:tab w:val="num" w:pos="1296"/>
      </w:tabs>
      <w:ind w:left="1296"/>
    </w:pPr>
  </w:style>
  <w:style w:type="character" w:customStyle="1" w:styleId="ParagraphChar">
    <w:name w:val="Paragraph Char"/>
    <w:aliases w:val="paragraph Char,p Char,PARAGRAPH Char,PG Char,pa Char,at Char"/>
    <w:basedOn w:val="DefaultParagraphFont"/>
    <w:link w:val="Paragraph"/>
    <w:uiPriority w:val="99"/>
    <w:locked/>
    <w:rsid w:val="00B206EE"/>
    <w:rPr>
      <w:rFonts w:ascii="Times New Roman" w:eastAsia="Times New Roman" w:hAnsi="Times New Roman" w:cs="Times New Roman"/>
      <w:sz w:val="24"/>
      <w:szCs w:val="20"/>
      <w:lang w:val="es-ES_tradnl"/>
    </w:rPr>
  </w:style>
  <w:style w:type="paragraph" w:styleId="BodyTextIndent">
    <w:name w:val="Body Text Indent"/>
    <w:basedOn w:val="Normal"/>
    <w:link w:val="BodyTextIndentChar"/>
    <w:uiPriority w:val="99"/>
    <w:semiHidden/>
    <w:unhideWhenUsed/>
    <w:rsid w:val="00B206EE"/>
    <w:pPr>
      <w:spacing w:after="120"/>
      <w:ind w:left="360"/>
    </w:pPr>
  </w:style>
  <w:style w:type="character" w:customStyle="1" w:styleId="BodyTextIndentChar">
    <w:name w:val="Body Text Indent Char"/>
    <w:basedOn w:val="DefaultParagraphFont"/>
    <w:link w:val="BodyTextIndent"/>
    <w:uiPriority w:val="99"/>
    <w:semiHidden/>
    <w:rsid w:val="00B206EE"/>
  </w:style>
  <w:style w:type="paragraph" w:styleId="BodyTextIndent3">
    <w:name w:val="Body Text Indent 3"/>
    <w:basedOn w:val="Normal"/>
    <w:link w:val="BodyTextIndent3Char"/>
    <w:uiPriority w:val="99"/>
    <w:semiHidden/>
    <w:unhideWhenUsed/>
    <w:rsid w:val="00B206EE"/>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B206EE"/>
    <w:rPr>
      <w:sz w:val="16"/>
      <w:szCs w:val="16"/>
    </w:rPr>
  </w:style>
  <w:style w:type="character" w:styleId="FollowedHyperlink">
    <w:name w:val="FollowedHyperlink"/>
    <w:basedOn w:val="DefaultParagraphFont"/>
    <w:uiPriority w:val="99"/>
    <w:semiHidden/>
    <w:unhideWhenUsed/>
    <w:rsid w:val="005C5B7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374657">
      <w:bodyDiv w:val="1"/>
      <w:marLeft w:val="0"/>
      <w:marRight w:val="0"/>
      <w:marTop w:val="0"/>
      <w:marBottom w:val="0"/>
      <w:divBdr>
        <w:top w:val="none" w:sz="0" w:space="0" w:color="auto"/>
        <w:left w:val="none" w:sz="0" w:space="0" w:color="auto"/>
        <w:bottom w:val="none" w:sz="0" w:space="0" w:color="auto"/>
        <w:right w:val="none" w:sz="0" w:space="0" w:color="auto"/>
      </w:divBdr>
    </w:div>
    <w:div w:id="250627084">
      <w:bodyDiv w:val="1"/>
      <w:marLeft w:val="0"/>
      <w:marRight w:val="0"/>
      <w:marTop w:val="0"/>
      <w:marBottom w:val="0"/>
      <w:divBdr>
        <w:top w:val="none" w:sz="0" w:space="0" w:color="auto"/>
        <w:left w:val="none" w:sz="0" w:space="0" w:color="auto"/>
        <w:bottom w:val="none" w:sz="0" w:space="0" w:color="auto"/>
        <w:right w:val="none" w:sz="0" w:space="0" w:color="auto"/>
      </w:divBdr>
    </w:div>
    <w:div w:id="523595945">
      <w:bodyDiv w:val="1"/>
      <w:marLeft w:val="0"/>
      <w:marRight w:val="0"/>
      <w:marTop w:val="0"/>
      <w:marBottom w:val="0"/>
      <w:divBdr>
        <w:top w:val="none" w:sz="0" w:space="0" w:color="auto"/>
        <w:left w:val="none" w:sz="0" w:space="0" w:color="auto"/>
        <w:bottom w:val="none" w:sz="0" w:space="0" w:color="auto"/>
        <w:right w:val="none" w:sz="0" w:space="0" w:color="auto"/>
      </w:divBdr>
    </w:div>
    <w:div w:id="590699546">
      <w:bodyDiv w:val="1"/>
      <w:marLeft w:val="0"/>
      <w:marRight w:val="0"/>
      <w:marTop w:val="0"/>
      <w:marBottom w:val="0"/>
      <w:divBdr>
        <w:top w:val="none" w:sz="0" w:space="0" w:color="auto"/>
        <w:left w:val="none" w:sz="0" w:space="0" w:color="auto"/>
        <w:bottom w:val="none" w:sz="0" w:space="0" w:color="auto"/>
        <w:right w:val="none" w:sz="0" w:space="0" w:color="auto"/>
      </w:divBdr>
    </w:div>
    <w:div w:id="602344648">
      <w:bodyDiv w:val="1"/>
      <w:marLeft w:val="0"/>
      <w:marRight w:val="0"/>
      <w:marTop w:val="0"/>
      <w:marBottom w:val="0"/>
      <w:divBdr>
        <w:top w:val="none" w:sz="0" w:space="0" w:color="auto"/>
        <w:left w:val="none" w:sz="0" w:space="0" w:color="auto"/>
        <w:bottom w:val="none" w:sz="0" w:space="0" w:color="auto"/>
        <w:right w:val="none" w:sz="0" w:space="0" w:color="auto"/>
      </w:divBdr>
    </w:div>
    <w:div w:id="820193113">
      <w:bodyDiv w:val="1"/>
      <w:marLeft w:val="0"/>
      <w:marRight w:val="0"/>
      <w:marTop w:val="0"/>
      <w:marBottom w:val="0"/>
      <w:divBdr>
        <w:top w:val="none" w:sz="0" w:space="0" w:color="auto"/>
        <w:left w:val="none" w:sz="0" w:space="0" w:color="auto"/>
        <w:bottom w:val="none" w:sz="0" w:space="0" w:color="auto"/>
        <w:right w:val="none" w:sz="0" w:space="0" w:color="auto"/>
      </w:divBdr>
    </w:div>
    <w:div w:id="886991348">
      <w:bodyDiv w:val="1"/>
      <w:marLeft w:val="0"/>
      <w:marRight w:val="0"/>
      <w:marTop w:val="0"/>
      <w:marBottom w:val="0"/>
      <w:divBdr>
        <w:top w:val="none" w:sz="0" w:space="0" w:color="auto"/>
        <w:left w:val="none" w:sz="0" w:space="0" w:color="auto"/>
        <w:bottom w:val="none" w:sz="0" w:space="0" w:color="auto"/>
        <w:right w:val="none" w:sz="0" w:space="0" w:color="auto"/>
      </w:divBdr>
    </w:div>
    <w:div w:id="1167016642">
      <w:bodyDiv w:val="1"/>
      <w:marLeft w:val="0"/>
      <w:marRight w:val="0"/>
      <w:marTop w:val="0"/>
      <w:marBottom w:val="0"/>
      <w:divBdr>
        <w:top w:val="none" w:sz="0" w:space="0" w:color="auto"/>
        <w:left w:val="none" w:sz="0" w:space="0" w:color="auto"/>
        <w:bottom w:val="none" w:sz="0" w:space="0" w:color="auto"/>
        <w:right w:val="none" w:sz="0" w:space="0" w:color="auto"/>
      </w:divBdr>
    </w:div>
    <w:div w:id="1424494732">
      <w:bodyDiv w:val="1"/>
      <w:marLeft w:val="0"/>
      <w:marRight w:val="0"/>
      <w:marTop w:val="0"/>
      <w:marBottom w:val="0"/>
      <w:divBdr>
        <w:top w:val="none" w:sz="0" w:space="0" w:color="auto"/>
        <w:left w:val="none" w:sz="0" w:space="0" w:color="auto"/>
        <w:bottom w:val="none" w:sz="0" w:space="0" w:color="auto"/>
        <w:right w:val="none" w:sz="0" w:space="0" w:color="auto"/>
      </w:divBdr>
    </w:div>
    <w:div w:id="1521118026">
      <w:bodyDiv w:val="1"/>
      <w:marLeft w:val="0"/>
      <w:marRight w:val="0"/>
      <w:marTop w:val="0"/>
      <w:marBottom w:val="0"/>
      <w:divBdr>
        <w:top w:val="none" w:sz="0" w:space="0" w:color="auto"/>
        <w:left w:val="none" w:sz="0" w:space="0" w:color="auto"/>
        <w:bottom w:val="none" w:sz="0" w:space="0" w:color="auto"/>
        <w:right w:val="none" w:sz="0" w:space="0" w:color="auto"/>
      </w:divBdr>
    </w:div>
    <w:div w:id="1535919034">
      <w:bodyDiv w:val="1"/>
      <w:marLeft w:val="0"/>
      <w:marRight w:val="0"/>
      <w:marTop w:val="0"/>
      <w:marBottom w:val="0"/>
      <w:divBdr>
        <w:top w:val="none" w:sz="0" w:space="0" w:color="auto"/>
        <w:left w:val="none" w:sz="0" w:space="0" w:color="auto"/>
        <w:bottom w:val="none" w:sz="0" w:space="0" w:color="auto"/>
        <w:right w:val="none" w:sz="0" w:space="0" w:color="auto"/>
      </w:divBdr>
    </w:div>
    <w:div w:id="1560167570">
      <w:bodyDiv w:val="1"/>
      <w:marLeft w:val="0"/>
      <w:marRight w:val="0"/>
      <w:marTop w:val="0"/>
      <w:marBottom w:val="0"/>
      <w:divBdr>
        <w:top w:val="none" w:sz="0" w:space="0" w:color="auto"/>
        <w:left w:val="none" w:sz="0" w:space="0" w:color="auto"/>
        <w:bottom w:val="none" w:sz="0" w:space="0" w:color="auto"/>
        <w:right w:val="none" w:sz="0" w:space="0" w:color="auto"/>
      </w:divBdr>
      <w:divsChild>
        <w:div w:id="1104231864">
          <w:marLeft w:val="0"/>
          <w:marRight w:val="0"/>
          <w:marTop w:val="0"/>
          <w:marBottom w:val="0"/>
          <w:divBdr>
            <w:top w:val="none" w:sz="0" w:space="0" w:color="auto"/>
            <w:left w:val="none" w:sz="0" w:space="0" w:color="auto"/>
            <w:bottom w:val="none" w:sz="0" w:space="0" w:color="auto"/>
            <w:right w:val="none" w:sz="0" w:space="0" w:color="auto"/>
          </w:divBdr>
          <w:divsChild>
            <w:div w:id="1858615185">
              <w:marLeft w:val="0"/>
              <w:marRight w:val="0"/>
              <w:marTop w:val="0"/>
              <w:marBottom w:val="0"/>
              <w:divBdr>
                <w:top w:val="none" w:sz="0" w:space="0" w:color="auto"/>
                <w:left w:val="none" w:sz="0" w:space="0" w:color="auto"/>
                <w:bottom w:val="none" w:sz="0" w:space="0" w:color="auto"/>
                <w:right w:val="none" w:sz="0" w:space="0" w:color="auto"/>
              </w:divBdr>
              <w:divsChild>
                <w:div w:id="1709796132">
                  <w:marLeft w:val="0"/>
                  <w:marRight w:val="0"/>
                  <w:marTop w:val="0"/>
                  <w:marBottom w:val="0"/>
                  <w:divBdr>
                    <w:top w:val="none" w:sz="0" w:space="0" w:color="auto"/>
                    <w:left w:val="none" w:sz="0" w:space="0" w:color="auto"/>
                    <w:bottom w:val="none" w:sz="0" w:space="0" w:color="auto"/>
                    <w:right w:val="none" w:sz="0" w:space="0" w:color="auto"/>
                  </w:divBdr>
                  <w:divsChild>
                    <w:div w:id="655840778">
                      <w:marLeft w:val="0"/>
                      <w:marRight w:val="0"/>
                      <w:marTop w:val="0"/>
                      <w:marBottom w:val="0"/>
                      <w:divBdr>
                        <w:top w:val="none" w:sz="0" w:space="0" w:color="auto"/>
                        <w:left w:val="none" w:sz="0" w:space="0" w:color="auto"/>
                        <w:bottom w:val="none" w:sz="0" w:space="0" w:color="auto"/>
                        <w:right w:val="none" w:sz="0" w:space="0" w:color="auto"/>
                      </w:divBdr>
                      <w:divsChild>
                        <w:div w:id="173350038">
                          <w:marLeft w:val="0"/>
                          <w:marRight w:val="0"/>
                          <w:marTop w:val="0"/>
                          <w:marBottom w:val="0"/>
                          <w:divBdr>
                            <w:top w:val="none" w:sz="0" w:space="0" w:color="auto"/>
                            <w:left w:val="none" w:sz="0" w:space="0" w:color="auto"/>
                            <w:bottom w:val="none" w:sz="0" w:space="0" w:color="auto"/>
                            <w:right w:val="none" w:sz="0" w:space="0" w:color="auto"/>
                          </w:divBdr>
                          <w:divsChild>
                            <w:div w:id="556092188">
                              <w:marLeft w:val="0"/>
                              <w:marRight w:val="0"/>
                              <w:marTop w:val="0"/>
                              <w:marBottom w:val="0"/>
                              <w:divBdr>
                                <w:top w:val="none" w:sz="0" w:space="0" w:color="auto"/>
                                <w:left w:val="none" w:sz="0" w:space="0" w:color="auto"/>
                                <w:bottom w:val="none" w:sz="0" w:space="0" w:color="auto"/>
                                <w:right w:val="none" w:sz="0" w:space="0" w:color="auto"/>
                              </w:divBdr>
                              <w:divsChild>
                                <w:div w:id="1455520701">
                                  <w:marLeft w:val="0"/>
                                  <w:marRight w:val="0"/>
                                  <w:marTop w:val="0"/>
                                  <w:marBottom w:val="0"/>
                                  <w:divBdr>
                                    <w:top w:val="none" w:sz="0" w:space="0" w:color="auto"/>
                                    <w:left w:val="none" w:sz="0" w:space="0" w:color="auto"/>
                                    <w:bottom w:val="none" w:sz="0" w:space="0" w:color="auto"/>
                                    <w:right w:val="none" w:sz="0" w:space="0" w:color="auto"/>
                                  </w:divBdr>
                                  <w:divsChild>
                                    <w:div w:id="1685747993">
                                      <w:marLeft w:val="0"/>
                                      <w:marRight w:val="0"/>
                                      <w:marTop w:val="0"/>
                                      <w:marBottom w:val="0"/>
                                      <w:divBdr>
                                        <w:top w:val="single" w:sz="6" w:space="0" w:color="F5F5F5"/>
                                        <w:left w:val="single" w:sz="6" w:space="0" w:color="F5F5F5"/>
                                        <w:bottom w:val="single" w:sz="6" w:space="0" w:color="F5F5F5"/>
                                        <w:right w:val="single" w:sz="6" w:space="0" w:color="F5F5F5"/>
                                      </w:divBdr>
                                      <w:divsChild>
                                        <w:div w:id="1503815793">
                                          <w:marLeft w:val="0"/>
                                          <w:marRight w:val="0"/>
                                          <w:marTop w:val="0"/>
                                          <w:marBottom w:val="0"/>
                                          <w:divBdr>
                                            <w:top w:val="none" w:sz="0" w:space="0" w:color="auto"/>
                                            <w:left w:val="none" w:sz="0" w:space="0" w:color="auto"/>
                                            <w:bottom w:val="none" w:sz="0" w:space="0" w:color="auto"/>
                                            <w:right w:val="none" w:sz="0" w:space="0" w:color="auto"/>
                                          </w:divBdr>
                                          <w:divsChild>
                                            <w:div w:id="122506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59262641">
      <w:bodyDiv w:val="1"/>
      <w:marLeft w:val="0"/>
      <w:marRight w:val="0"/>
      <w:marTop w:val="0"/>
      <w:marBottom w:val="0"/>
      <w:divBdr>
        <w:top w:val="none" w:sz="0" w:space="0" w:color="auto"/>
        <w:left w:val="none" w:sz="0" w:space="0" w:color="auto"/>
        <w:bottom w:val="none" w:sz="0" w:space="0" w:color="auto"/>
        <w:right w:val="none" w:sz="0" w:space="0" w:color="auto"/>
      </w:divBdr>
    </w:div>
    <w:div w:id="1666323899">
      <w:bodyDiv w:val="1"/>
      <w:marLeft w:val="0"/>
      <w:marRight w:val="0"/>
      <w:marTop w:val="0"/>
      <w:marBottom w:val="0"/>
      <w:divBdr>
        <w:top w:val="none" w:sz="0" w:space="0" w:color="auto"/>
        <w:left w:val="none" w:sz="0" w:space="0" w:color="auto"/>
        <w:bottom w:val="none" w:sz="0" w:space="0" w:color="auto"/>
        <w:right w:val="none" w:sz="0" w:space="0" w:color="auto"/>
      </w:divBdr>
      <w:divsChild>
        <w:div w:id="50230663">
          <w:marLeft w:val="0"/>
          <w:marRight w:val="0"/>
          <w:marTop w:val="0"/>
          <w:marBottom w:val="0"/>
          <w:divBdr>
            <w:top w:val="none" w:sz="0" w:space="0" w:color="auto"/>
            <w:left w:val="none" w:sz="0" w:space="0" w:color="auto"/>
            <w:bottom w:val="none" w:sz="0" w:space="0" w:color="auto"/>
            <w:right w:val="none" w:sz="0" w:space="0" w:color="auto"/>
          </w:divBdr>
          <w:divsChild>
            <w:div w:id="35860597">
              <w:marLeft w:val="0"/>
              <w:marRight w:val="0"/>
              <w:marTop w:val="0"/>
              <w:marBottom w:val="0"/>
              <w:divBdr>
                <w:top w:val="none" w:sz="0" w:space="0" w:color="auto"/>
                <w:left w:val="none" w:sz="0" w:space="0" w:color="auto"/>
                <w:bottom w:val="none" w:sz="0" w:space="0" w:color="auto"/>
                <w:right w:val="none" w:sz="0" w:space="0" w:color="auto"/>
              </w:divBdr>
              <w:divsChild>
                <w:div w:id="33240882">
                  <w:marLeft w:val="0"/>
                  <w:marRight w:val="0"/>
                  <w:marTop w:val="0"/>
                  <w:marBottom w:val="0"/>
                  <w:divBdr>
                    <w:top w:val="none" w:sz="0" w:space="0" w:color="auto"/>
                    <w:left w:val="none" w:sz="0" w:space="0" w:color="auto"/>
                    <w:bottom w:val="none" w:sz="0" w:space="0" w:color="auto"/>
                    <w:right w:val="none" w:sz="0" w:space="0" w:color="auto"/>
                  </w:divBdr>
                  <w:divsChild>
                    <w:div w:id="1862938260">
                      <w:marLeft w:val="0"/>
                      <w:marRight w:val="0"/>
                      <w:marTop w:val="0"/>
                      <w:marBottom w:val="0"/>
                      <w:divBdr>
                        <w:top w:val="none" w:sz="0" w:space="0" w:color="auto"/>
                        <w:left w:val="none" w:sz="0" w:space="0" w:color="auto"/>
                        <w:bottom w:val="none" w:sz="0" w:space="0" w:color="auto"/>
                        <w:right w:val="none" w:sz="0" w:space="0" w:color="auto"/>
                      </w:divBdr>
                      <w:divsChild>
                        <w:div w:id="223373652">
                          <w:marLeft w:val="0"/>
                          <w:marRight w:val="0"/>
                          <w:marTop w:val="0"/>
                          <w:marBottom w:val="0"/>
                          <w:divBdr>
                            <w:top w:val="none" w:sz="0" w:space="0" w:color="auto"/>
                            <w:left w:val="none" w:sz="0" w:space="0" w:color="auto"/>
                            <w:bottom w:val="none" w:sz="0" w:space="0" w:color="auto"/>
                            <w:right w:val="none" w:sz="0" w:space="0" w:color="auto"/>
                          </w:divBdr>
                          <w:divsChild>
                            <w:div w:id="2139445057">
                              <w:marLeft w:val="0"/>
                              <w:marRight w:val="0"/>
                              <w:marTop w:val="0"/>
                              <w:marBottom w:val="0"/>
                              <w:divBdr>
                                <w:top w:val="none" w:sz="0" w:space="0" w:color="auto"/>
                                <w:left w:val="none" w:sz="0" w:space="0" w:color="auto"/>
                                <w:bottom w:val="none" w:sz="0" w:space="0" w:color="auto"/>
                                <w:right w:val="none" w:sz="0" w:space="0" w:color="auto"/>
                              </w:divBdr>
                              <w:divsChild>
                                <w:div w:id="2048329628">
                                  <w:marLeft w:val="0"/>
                                  <w:marRight w:val="0"/>
                                  <w:marTop w:val="0"/>
                                  <w:marBottom w:val="0"/>
                                  <w:divBdr>
                                    <w:top w:val="none" w:sz="0" w:space="0" w:color="auto"/>
                                    <w:left w:val="none" w:sz="0" w:space="0" w:color="auto"/>
                                    <w:bottom w:val="none" w:sz="0" w:space="0" w:color="auto"/>
                                    <w:right w:val="none" w:sz="0" w:space="0" w:color="auto"/>
                                  </w:divBdr>
                                  <w:divsChild>
                                    <w:div w:id="1491797356">
                                      <w:marLeft w:val="0"/>
                                      <w:marRight w:val="0"/>
                                      <w:marTop w:val="0"/>
                                      <w:marBottom w:val="0"/>
                                      <w:divBdr>
                                        <w:top w:val="single" w:sz="6" w:space="0" w:color="F5F5F5"/>
                                        <w:left w:val="single" w:sz="6" w:space="0" w:color="F5F5F5"/>
                                        <w:bottom w:val="single" w:sz="6" w:space="0" w:color="F5F5F5"/>
                                        <w:right w:val="single" w:sz="6" w:space="0" w:color="F5F5F5"/>
                                      </w:divBdr>
                                      <w:divsChild>
                                        <w:div w:id="642463900">
                                          <w:marLeft w:val="0"/>
                                          <w:marRight w:val="0"/>
                                          <w:marTop w:val="0"/>
                                          <w:marBottom w:val="0"/>
                                          <w:divBdr>
                                            <w:top w:val="none" w:sz="0" w:space="0" w:color="auto"/>
                                            <w:left w:val="none" w:sz="0" w:space="0" w:color="auto"/>
                                            <w:bottom w:val="none" w:sz="0" w:space="0" w:color="auto"/>
                                            <w:right w:val="none" w:sz="0" w:space="0" w:color="auto"/>
                                          </w:divBdr>
                                          <w:divsChild>
                                            <w:div w:id="1108543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45762808">
      <w:bodyDiv w:val="1"/>
      <w:marLeft w:val="0"/>
      <w:marRight w:val="0"/>
      <w:marTop w:val="0"/>
      <w:marBottom w:val="0"/>
      <w:divBdr>
        <w:top w:val="none" w:sz="0" w:space="0" w:color="auto"/>
        <w:left w:val="none" w:sz="0" w:space="0" w:color="auto"/>
        <w:bottom w:val="none" w:sz="0" w:space="0" w:color="auto"/>
        <w:right w:val="none" w:sz="0" w:space="0" w:color="auto"/>
      </w:divBdr>
    </w:div>
    <w:div w:id="1753231941">
      <w:bodyDiv w:val="1"/>
      <w:marLeft w:val="0"/>
      <w:marRight w:val="0"/>
      <w:marTop w:val="0"/>
      <w:marBottom w:val="0"/>
      <w:divBdr>
        <w:top w:val="none" w:sz="0" w:space="0" w:color="auto"/>
        <w:left w:val="none" w:sz="0" w:space="0" w:color="auto"/>
        <w:bottom w:val="none" w:sz="0" w:space="0" w:color="auto"/>
        <w:right w:val="none" w:sz="0" w:space="0" w:color="auto"/>
      </w:divBdr>
      <w:divsChild>
        <w:div w:id="1339429995">
          <w:marLeft w:val="0"/>
          <w:marRight w:val="0"/>
          <w:marTop w:val="0"/>
          <w:marBottom w:val="0"/>
          <w:divBdr>
            <w:top w:val="none" w:sz="0" w:space="0" w:color="auto"/>
            <w:left w:val="none" w:sz="0" w:space="0" w:color="auto"/>
            <w:bottom w:val="none" w:sz="0" w:space="0" w:color="auto"/>
            <w:right w:val="none" w:sz="0" w:space="0" w:color="auto"/>
          </w:divBdr>
          <w:divsChild>
            <w:div w:id="526069355">
              <w:marLeft w:val="0"/>
              <w:marRight w:val="0"/>
              <w:marTop w:val="0"/>
              <w:marBottom w:val="0"/>
              <w:divBdr>
                <w:top w:val="none" w:sz="0" w:space="0" w:color="auto"/>
                <w:left w:val="none" w:sz="0" w:space="0" w:color="auto"/>
                <w:bottom w:val="none" w:sz="0" w:space="0" w:color="auto"/>
                <w:right w:val="none" w:sz="0" w:space="0" w:color="auto"/>
              </w:divBdr>
              <w:divsChild>
                <w:div w:id="1417284453">
                  <w:marLeft w:val="0"/>
                  <w:marRight w:val="0"/>
                  <w:marTop w:val="0"/>
                  <w:marBottom w:val="0"/>
                  <w:divBdr>
                    <w:top w:val="none" w:sz="0" w:space="0" w:color="auto"/>
                    <w:left w:val="none" w:sz="0" w:space="0" w:color="auto"/>
                    <w:bottom w:val="none" w:sz="0" w:space="0" w:color="auto"/>
                    <w:right w:val="none" w:sz="0" w:space="0" w:color="auto"/>
                  </w:divBdr>
                  <w:divsChild>
                    <w:div w:id="2001880685">
                      <w:marLeft w:val="0"/>
                      <w:marRight w:val="0"/>
                      <w:marTop w:val="0"/>
                      <w:marBottom w:val="0"/>
                      <w:divBdr>
                        <w:top w:val="none" w:sz="0" w:space="0" w:color="auto"/>
                        <w:left w:val="none" w:sz="0" w:space="0" w:color="auto"/>
                        <w:bottom w:val="none" w:sz="0" w:space="0" w:color="auto"/>
                        <w:right w:val="none" w:sz="0" w:space="0" w:color="auto"/>
                      </w:divBdr>
                      <w:divsChild>
                        <w:div w:id="1186485974">
                          <w:marLeft w:val="0"/>
                          <w:marRight w:val="0"/>
                          <w:marTop w:val="0"/>
                          <w:marBottom w:val="0"/>
                          <w:divBdr>
                            <w:top w:val="none" w:sz="0" w:space="0" w:color="auto"/>
                            <w:left w:val="none" w:sz="0" w:space="0" w:color="auto"/>
                            <w:bottom w:val="none" w:sz="0" w:space="0" w:color="auto"/>
                            <w:right w:val="none" w:sz="0" w:space="0" w:color="auto"/>
                          </w:divBdr>
                          <w:divsChild>
                            <w:div w:id="1841002369">
                              <w:marLeft w:val="0"/>
                              <w:marRight w:val="0"/>
                              <w:marTop w:val="0"/>
                              <w:marBottom w:val="0"/>
                              <w:divBdr>
                                <w:top w:val="none" w:sz="0" w:space="0" w:color="auto"/>
                                <w:left w:val="none" w:sz="0" w:space="0" w:color="auto"/>
                                <w:bottom w:val="none" w:sz="0" w:space="0" w:color="auto"/>
                                <w:right w:val="none" w:sz="0" w:space="0" w:color="auto"/>
                              </w:divBdr>
                              <w:divsChild>
                                <w:div w:id="1761171668">
                                  <w:marLeft w:val="0"/>
                                  <w:marRight w:val="0"/>
                                  <w:marTop w:val="0"/>
                                  <w:marBottom w:val="0"/>
                                  <w:divBdr>
                                    <w:top w:val="none" w:sz="0" w:space="0" w:color="auto"/>
                                    <w:left w:val="none" w:sz="0" w:space="0" w:color="auto"/>
                                    <w:bottom w:val="none" w:sz="0" w:space="0" w:color="auto"/>
                                    <w:right w:val="none" w:sz="0" w:space="0" w:color="auto"/>
                                  </w:divBdr>
                                  <w:divsChild>
                                    <w:div w:id="1250237194">
                                      <w:marLeft w:val="0"/>
                                      <w:marRight w:val="0"/>
                                      <w:marTop w:val="0"/>
                                      <w:marBottom w:val="0"/>
                                      <w:divBdr>
                                        <w:top w:val="single" w:sz="6" w:space="0" w:color="F5F5F5"/>
                                        <w:left w:val="single" w:sz="6" w:space="0" w:color="F5F5F5"/>
                                        <w:bottom w:val="single" w:sz="6" w:space="0" w:color="F5F5F5"/>
                                        <w:right w:val="single" w:sz="6" w:space="0" w:color="F5F5F5"/>
                                      </w:divBdr>
                                      <w:divsChild>
                                        <w:div w:id="1520971885">
                                          <w:marLeft w:val="0"/>
                                          <w:marRight w:val="0"/>
                                          <w:marTop w:val="0"/>
                                          <w:marBottom w:val="0"/>
                                          <w:divBdr>
                                            <w:top w:val="none" w:sz="0" w:space="0" w:color="auto"/>
                                            <w:left w:val="none" w:sz="0" w:space="0" w:color="auto"/>
                                            <w:bottom w:val="none" w:sz="0" w:space="0" w:color="auto"/>
                                            <w:right w:val="none" w:sz="0" w:space="0" w:color="auto"/>
                                          </w:divBdr>
                                          <w:divsChild>
                                            <w:div w:id="185991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35842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idbdocs.iadb.org/WSDocs/getDocument.aspx?DOCNUM=39671154" TargetMode="Externa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http://idbdocs.iadb.org/WSDocs/getDocument.aspx?DOCNUM=39760521"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idbdocs.iadb.org/WSDocs/getDocument.aspx?DOCNUM=39760611" TargetMode="External"/><Relationship Id="rId24" Type="http://schemas.openxmlformats.org/officeDocument/2006/relationships/customXml" Target="../customXml/item6.xml"/><Relationship Id="rId5" Type="http://schemas.openxmlformats.org/officeDocument/2006/relationships/settings" Target="settings.xml"/><Relationship Id="rId15" Type="http://schemas.openxmlformats.org/officeDocument/2006/relationships/hyperlink" Target="http://idbdocs.iadb.org/WSDocs/getDocument.aspx?DOCNUM=39958516" TargetMode="External"/><Relationship Id="rId23" Type="http://schemas.openxmlformats.org/officeDocument/2006/relationships/customXml" Target="../customXml/item5.xml"/><Relationship Id="rId10" Type="http://schemas.openxmlformats.org/officeDocument/2006/relationships/hyperlink" Target="http://idbdocs.iadb.org/WSDocs/getDocument.aspx?DOCNUM=39671154"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idbdocs.iadb.org/WSDocs/getDocument.aspx?DOCNUM=39760521" TargetMode="External"/><Relationship Id="rId14" Type="http://schemas.openxmlformats.org/officeDocument/2006/relationships/hyperlink" Target="http://idbdocs.iadb.org/WSDocs/getDocument.aspx?DOCNUM=39900754" TargetMode="External"/><Relationship Id="rId22"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1" Type="http://schemas.openxmlformats.org/officeDocument/2006/relationships/hyperlink" Target="http://www.bch.hn/download/fmi/2014/carta_intenciones_fmi_2014eng.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39958606</IDBDocs_x0020_Number>
    <TaxCatchAll xmlns="9c571b2f-e523-4ab2-ba2e-09e151a03ef4">
      <Value>4</Value>
      <Value>3</Value>
    </TaxCatchAll>
    <Phase xmlns="9c571b2f-e523-4ab2-ba2e-09e151a03ef4" xsi:nil="true"/>
    <SISCOR_x0020_Number xmlns="9c571b2f-e523-4ab2-ba2e-09e151a03ef4" xsi:nil="true"/>
    <Division_x0020_or_x0020_Unit xmlns="9c571b2f-e523-4ab2-ba2e-09e151a03ef4">CID/CHO</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Quijada Briceno, Jose Alejandro</Document_x0020_Author>
    <e559ffcc31d34167856647188be35015 xmlns="9c571b2f-e523-4ab2-ba2e-09e151a03ef4">
      <Terms xmlns="http://schemas.microsoft.com/office/infopath/2007/PartnerControls"/>
    </e559ffcc31d34167856647188be35015>
    <Fiscal_x0020_Year_x0020_IDB xmlns="9c571b2f-e523-4ab2-ba2e-09e151a03ef4">2015</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HO-T1232</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WORD&lt;/APPLICATION&gt;&lt;USER_STAGE&gt;Approved TC document&lt;/USER_STAGE&gt;&lt;PD_OBJ_TYPE&gt;0&lt;/PD_OBJ_TYPE&gt;&lt;MAKERECORD&gt;N&lt;/MAKERECORD&gt;&lt;/Data&gt;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HO-T1232 Documentos TC Vrs 11 Nov 2015 </Identifier>
    <Disclosure_x0020_Activity xmlns="9c571b2f-e523-4ab2-ba2e-09e151a03ef4">Approved TC document</Disclosure_x0020_Activity>
    <Webtopic xmlns="9c571b2f-e523-4ab2-ba2e-09e151a03ef4">RM-PUB</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7FC6775751B2904893B74329F16E95E2" ma:contentTypeVersion="0" ma:contentTypeDescription="A content type to manage public (operations) IDB documents" ma:contentTypeScope="" ma:versionID="9de4c229f8c38fd71af0118d9f18a432">
  <xsd:schema xmlns:xsd="http://www.w3.org/2001/XMLSchema" xmlns:xs="http://www.w3.org/2001/XMLSchema" xmlns:p="http://schemas.microsoft.com/office/2006/metadata/properties" xmlns:ns2="9c571b2f-e523-4ab2-ba2e-09e151a03ef4" targetNamespace="http://schemas.microsoft.com/office/2006/metadata/properties" ma:root="true" ma:fieldsID="60266da8385b582aa83f25fcdaf16806"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bb086faa-15a7-4845-b56f-b24e87d2263a}" ma:internalName="TaxCatchAll" ma:showField="CatchAllData" ma:web="3634f7d6-a1a1-4e53-b4c6-bdf58881b502">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bb086faa-15a7-4845-b56f-b24e87d2263a}" ma:internalName="TaxCatchAllLabel" ma:readOnly="true" ma:showField="CatchAllDataLabel" ma:web="3634f7d6-a1a1-4e53-b4c6-bdf58881b502">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A3E8BD9-61CF-4205-B658-E2B8CAC2A0A5}"/>
</file>

<file path=customXml/itemProps2.xml><?xml version="1.0" encoding="utf-8"?>
<ds:datastoreItem xmlns:ds="http://schemas.openxmlformats.org/officeDocument/2006/customXml" ds:itemID="{B0988D31-DF46-4C20-85E9-D1A274A552F5}"/>
</file>

<file path=customXml/itemProps3.xml><?xml version="1.0" encoding="utf-8"?>
<ds:datastoreItem xmlns:ds="http://schemas.openxmlformats.org/officeDocument/2006/customXml" ds:itemID="{1FCAA5C2-CA65-4936-9C1C-D2482D704726}"/>
</file>

<file path=customXml/itemProps4.xml><?xml version="1.0" encoding="utf-8"?>
<ds:datastoreItem xmlns:ds="http://schemas.openxmlformats.org/officeDocument/2006/customXml" ds:itemID="{1D7D5979-E4E4-4697-8B2E-CBBBF4686813}"/>
</file>

<file path=customXml/itemProps5.xml><?xml version="1.0" encoding="utf-8"?>
<ds:datastoreItem xmlns:ds="http://schemas.openxmlformats.org/officeDocument/2006/customXml" ds:itemID="{2DC2281B-397C-4ABB-8F23-CDE5CDD2C1AD}"/>
</file>

<file path=customXml/itemProps6.xml><?xml version="1.0" encoding="utf-8"?>
<ds:datastoreItem xmlns:ds="http://schemas.openxmlformats.org/officeDocument/2006/customXml" ds:itemID="{F28FFA67-980A-4D06-97C5-55C7D58BB569}"/>
</file>

<file path=docProps/app.xml><?xml version="1.0" encoding="utf-8"?>
<Properties xmlns="http://schemas.openxmlformats.org/officeDocument/2006/extended-properties" xmlns:vt="http://schemas.openxmlformats.org/officeDocument/2006/docPropsVTypes">
  <Template>Normal.dotm</Template>
  <TotalTime>22</TotalTime>
  <Pages>9</Pages>
  <Words>3107</Words>
  <Characters>17712</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20778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HO-T1232 Documentos TC Vrs 11 Nov 2015 Paquete Post QRR_</dc:title>
  <dc:creator>Yolanda Strachan</dc:creator>
  <cp:lastModifiedBy>Test</cp:lastModifiedBy>
  <cp:revision>6</cp:revision>
  <cp:lastPrinted>2015-10-12T14:50:00Z</cp:lastPrinted>
  <dcterms:created xsi:type="dcterms:W3CDTF">2015-11-12T15:19:00Z</dcterms:created>
  <dcterms:modified xsi:type="dcterms:W3CDTF">2015-11-13T15:51:00Z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0x01010046CF21643EE8D14686A648AA6DAD0892007FC6775751B2904893B74329F16E95E2</vt:lpwstr>
  </property>
  <property fmtid="{D5CDD505-2E9C-101B-9397-08002B2CF9AE}" pid="3" name="TaxKeyword">
    <vt:lpwstr/>
  </property>
  <property fmtid="{D5CDD505-2E9C-101B-9397-08002B2CF9AE}" pid="4" name="Function Operations IDB">
    <vt:lpwstr>4;#IDBDocs|cca77002-e150-4b2d-ab1f-1d7a7cdcae16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3;#Unclassified|a6dff32e-d477-44cd-a56b-85efe9e0a56c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3;#Unclassified|a6dff32e-d477-44cd-a56b-85efe9e0a56c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